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 w:rsidRPr="00431B7A">
        <w:trPr>
          <w:cantSplit/>
        </w:trPr>
        <w:tc>
          <w:tcPr>
            <w:tcW w:w="6771" w:type="dxa"/>
          </w:tcPr>
          <w:p w:rsidR="006E291F" w:rsidRPr="00431B7A" w:rsidRDefault="006E291F" w:rsidP="009B4751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431B7A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431B7A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431B7A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431B7A">
              <w:rPr>
                <w:b/>
                <w:caps/>
                <w:sz w:val="32"/>
              </w:rPr>
              <w:br/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 w:rsidRPr="00431B7A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 w:rsidRPr="00431B7A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 w:rsidRPr="00431B7A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6E291F" w:rsidRPr="00431B7A" w:rsidRDefault="006A42AB" w:rsidP="009B4751">
            <w:pPr>
              <w:shd w:val="solid" w:color="FFFFFF" w:fill="FFFFFF"/>
              <w:spacing w:before="0"/>
            </w:pPr>
            <w:r w:rsidRPr="00431B7A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4597877" wp14:editId="476F19F6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431B7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431B7A" w:rsidRDefault="006E291F" w:rsidP="009B475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431B7A" w:rsidRDefault="006E291F" w:rsidP="009B4751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6E291F" w:rsidRPr="00431B7A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431B7A" w:rsidRDefault="006E291F" w:rsidP="009B475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431B7A" w:rsidRDefault="006E291F" w:rsidP="009B4751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431B7A">
        <w:trPr>
          <w:cantSplit/>
        </w:trPr>
        <w:tc>
          <w:tcPr>
            <w:tcW w:w="6771" w:type="dxa"/>
            <w:vMerge w:val="restart"/>
          </w:tcPr>
          <w:p w:rsidR="006E291F" w:rsidRPr="00431B7A" w:rsidRDefault="006E291F" w:rsidP="009B4751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431B7A" w:rsidRDefault="005F6441" w:rsidP="00BB322E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431B7A">
              <w:rPr>
                <w:rFonts w:ascii="Verdana" w:hAnsi="Verdana"/>
                <w:b/>
                <w:sz w:val="20"/>
              </w:rPr>
              <w:t>Documento RAG13-1/</w:t>
            </w:r>
            <w:r w:rsidR="00BB322E">
              <w:rPr>
                <w:rFonts w:ascii="Verdana" w:hAnsi="Verdana"/>
                <w:b/>
                <w:sz w:val="20"/>
              </w:rPr>
              <w:t>8</w:t>
            </w:r>
            <w:r w:rsidRPr="00431B7A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431B7A">
        <w:trPr>
          <w:cantSplit/>
        </w:trPr>
        <w:tc>
          <w:tcPr>
            <w:tcW w:w="6771" w:type="dxa"/>
            <w:vMerge/>
          </w:tcPr>
          <w:p w:rsidR="006E291F" w:rsidRPr="00431B7A" w:rsidRDefault="006E291F" w:rsidP="009B4751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431B7A" w:rsidRDefault="0099456D" w:rsidP="009B475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25 de </w:t>
            </w:r>
            <w:bookmarkStart w:id="2" w:name="_GoBack"/>
            <w:bookmarkEnd w:id="2"/>
            <w:r w:rsidR="009828A4">
              <w:rPr>
                <w:rFonts w:ascii="Verdana" w:hAnsi="Verdana"/>
                <w:b/>
                <w:sz w:val="20"/>
              </w:rPr>
              <w:t>A</w:t>
            </w:r>
            <w:r w:rsidR="005F6441" w:rsidRPr="00431B7A">
              <w:rPr>
                <w:rFonts w:ascii="Verdana" w:hAnsi="Verdana"/>
                <w:b/>
                <w:sz w:val="20"/>
              </w:rPr>
              <w:t>bril de 2013</w:t>
            </w:r>
          </w:p>
        </w:tc>
      </w:tr>
      <w:tr w:rsidR="006E291F" w:rsidRPr="00431B7A">
        <w:trPr>
          <w:cantSplit/>
        </w:trPr>
        <w:tc>
          <w:tcPr>
            <w:tcW w:w="6771" w:type="dxa"/>
            <w:vMerge/>
          </w:tcPr>
          <w:p w:rsidR="006E291F" w:rsidRPr="00431B7A" w:rsidRDefault="006E291F" w:rsidP="009B4751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118" w:type="dxa"/>
          </w:tcPr>
          <w:p w:rsidR="006E291F" w:rsidRPr="00431B7A" w:rsidRDefault="005F6441" w:rsidP="009B4751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431B7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431B7A">
        <w:trPr>
          <w:cantSplit/>
        </w:trPr>
        <w:tc>
          <w:tcPr>
            <w:tcW w:w="9889" w:type="dxa"/>
            <w:gridSpan w:val="2"/>
          </w:tcPr>
          <w:p w:rsidR="006E291F" w:rsidRPr="00431B7A" w:rsidRDefault="00406BD7" w:rsidP="00E3776A">
            <w:pPr>
              <w:pStyle w:val="Source"/>
            </w:pPr>
            <w:bookmarkStart w:id="4" w:name="dsource" w:colFirst="0" w:colLast="0"/>
            <w:bookmarkEnd w:id="3"/>
            <w:r>
              <w:t>Presidente de la Comisión de Estudio</w:t>
            </w:r>
            <w:r w:rsidR="00915752" w:rsidRPr="00915752">
              <w:t xml:space="preserve"> </w:t>
            </w:r>
            <w:r w:rsidR="00BB322E">
              <w:t>1</w:t>
            </w:r>
          </w:p>
        </w:tc>
      </w:tr>
      <w:tr w:rsidR="006E291F" w:rsidRPr="00915752">
        <w:trPr>
          <w:cantSplit/>
        </w:trPr>
        <w:tc>
          <w:tcPr>
            <w:tcW w:w="9889" w:type="dxa"/>
            <w:gridSpan w:val="2"/>
          </w:tcPr>
          <w:p w:rsidR="00915752" w:rsidRPr="00406BD7" w:rsidRDefault="00406BD7" w:rsidP="00E3776A">
            <w:pPr>
              <w:pStyle w:val="Title1"/>
            </w:pPr>
            <w:bookmarkStart w:id="5" w:name="dtitle1" w:colFirst="0" w:colLast="0"/>
            <w:bookmarkEnd w:id="4"/>
            <w:r w:rsidRPr="00406BD7">
              <w:t xml:space="preserve">Resumen de la evolución de los estudios </w:t>
            </w:r>
            <w:r w:rsidR="00BB322E">
              <w:t>de la comisión de e</w:t>
            </w:r>
            <w:r w:rsidR="009828A4">
              <w:t xml:space="preserve">studio 1 del UIT-R en respuesta </w:t>
            </w:r>
            <w:r w:rsidR="00BB322E">
              <w:t xml:space="preserve">a </w:t>
            </w:r>
            <w:r w:rsidRPr="00406BD7">
              <w:t xml:space="preserve">las </w:t>
            </w:r>
            <w:r w:rsidR="00E3776A">
              <w:br/>
            </w:r>
            <w:r w:rsidRPr="00406BD7">
              <w:t>resoluciones UIT-r</w:t>
            </w:r>
            <w:r w:rsidR="00BB322E">
              <w:t xml:space="preserve"> pertinentes</w:t>
            </w:r>
          </w:p>
          <w:p w:rsidR="006E291F" w:rsidRPr="00915752" w:rsidRDefault="00915752" w:rsidP="009B4751">
            <w:pPr>
              <w:pStyle w:val="Title1"/>
              <w:rPr>
                <w:lang w:val="en-US"/>
              </w:rPr>
            </w:pPr>
            <w:r w:rsidRPr="00915752">
              <w:rPr>
                <w:lang w:val="en-US"/>
              </w:rPr>
              <w:t>(</w:t>
            </w:r>
            <w:r w:rsidR="00406BD7">
              <w:rPr>
                <w:lang w:val="en-US"/>
              </w:rPr>
              <w:t>para información</w:t>
            </w:r>
            <w:r w:rsidRPr="00915752">
              <w:rPr>
                <w:lang w:val="en-US"/>
              </w:rPr>
              <w:t>)</w:t>
            </w:r>
          </w:p>
        </w:tc>
      </w:tr>
      <w:bookmarkEnd w:id="5"/>
    </w:tbl>
    <w:p w:rsidR="00F018CC" w:rsidRDefault="00F018CC" w:rsidP="00F018CC"/>
    <w:p w:rsidR="00F018CC" w:rsidRDefault="00F018CC">
      <w:r w:rsidRPr="00955298">
        <w:t>En respuesta a la petición formulada por el GAR en su reuni</w:t>
      </w:r>
      <w:r>
        <w:t xml:space="preserve">ón de junio de 2012, en este documento se </w:t>
      </w:r>
      <w:r w:rsidR="00BB322E">
        <w:t xml:space="preserve">presenta </w:t>
      </w:r>
      <w:r>
        <w:t>la situación en que se encuentra</w:t>
      </w:r>
      <w:r w:rsidR="00BB322E">
        <w:t>n los estudios de la Comisión de Estudio 1 del UIT-R en respuesta a las</w:t>
      </w:r>
      <w:r>
        <w:t xml:space="preserve"> Resoluciones UIT-R</w:t>
      </w:r>
      <w:r w:rsidR="00BB322E">
        <w:t xml:space="preserve"> pertinentes</w:t>
      </w:r>
      <w:r>
        <w:t>.</w:t>
      </w:r>
    </w:p>
    <w:p w:rsidR="00F018CC" w:rsidRDefault="009C5447">
      <w:r>
        <w:t>Habida cuenta de que la Comisión de Estudio 1 (CE 1) y sus Grupos de Trabajo no se han reunido desde la última reunión del GAR y de que el próximo bloque de reuniones de la CE 1 se celebrará del 4 al 12 de junio de 2013, e</w:t>
      </w:r>
      <w:r w:rsidR="00F018CC">
        <w:t>n el Adjunto 1 se resumen la evolución de los estudios</w:t>
      </w:r>
      <w:r>
        <w:t xml:space="preserve"> y</w:t>
      </w:r>
      <w:r w:rsidR="00F018CC">
        <w:t xml:space="preserve"> los resultados provisionales </w:t>
      </w:r>
      <w:r>
        <w:t>en respuesta a</w:t>
      </w:r>
      <w:r w:rsidR="00F018CC">
        <w:t xml:space="preserve"> las Resoluciones UIT-R </w:t>
      </w:r>
      <w:r>
        <w:t>asignadas a la Comisión de Estudio</w:t>
      </w:r>
      <w:r w:rsidR="009828A4">
        <w:t> </w:t>
      </w:r>
      <w:r>
        <w:t>1 o de especial interés para ésta (véase el Adjunto 6 al Documento 1/2)</w:t>
      </w:r>
      <w:r w:rsidR="00F018CC">
        <w:t>.</w:t>
      </w:r>
    </w:p>
    <w:p w:rsidR="00F018CC" w:rsidRPr="00955298" w:rsidRDefault="00F018CC" w:rsidP="00F018CC">
      <w:r>
        <w:t>Esta información se ha transmitido a la Oficina de Radiocomunicaciones para la elaboración de una lista de actividades de las Comisiones de Estudio relacionadas con las Resoluciones UIT-R que se presentará a la próxima reunión del GAR.</w:t>
      </w:r>
    </w:p>
    <w:p w:rsidR="00BA23F9" w:rsidRPr="00F018CC" w:rsidRDefault="00431B7A">
      <w:pPr>
        <w:spacing w:before="1440"/>
      </w:pPr>
      <w:r w:rsidRPr="00F018CC">
        <w:rPr>
          <w:b/>
          <w:bCs/>
        </w:rPr>
        <w:t>A</w:t>
      </w:r>
      <w:r w:rsidR="009828A4">
        <w:rPr>
          <w:b/>
          <w:bCs/>
        </w:rPr>
        <w:t>djunto</w:t>
      </w:r>
      <w:r w:rsidRPr="00F018CC">
        <w:t xml:space="preserve">: </w:t>
      </w:r>
      <w:r w:rsidR="009C5447">
        <w:t>1</w:t>
      </w:r>
    </w:p>
    <w:p w:rsidR="00BA23F9" w:rsidRPr="00F018CC" w:rsidRDefault="00BA23F9" w:rsidP="009B4751">
      <w:pPr>
        <w:sectPr w:rsidR="00BA23F9" w:rsidRPr="00F018CC" w:rsidSect="004D6C09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D7681" w:rsidRPr="00F018CC" w:rsidRDefault="001D7681" w:rsidP="00E3776A">
      <w:pPr>
        <w:pStyle w:val="AppendixNo"/>
        <w:spacing w:before="0"/>
        <w:rPr>
          <w:lang w:val="es-ES_tradnl"/>
        </w:rPr>
      </w:pPr>
      <w:r w:rsidRPr="00F018CC">
        <w:rPr>
          <w:rFonts w:hint="eastAsia"/>
          <w:lang w:val="es-ES_tradnl"/>
        </w:rPr>
        <w:lastRenderedPageBreak/>
        <w:t>A</w:t>
      </w:r>
      <w:r w:rsidR="00406BD7" w:rsidRPr="00F018CC">
        <w:rPr>
          <w:lang w:val="es-ES_tradnl"/>
        </w:rPr>
        <w:t>djunto</w:t>
      </w:r>
      <w:r w:rsidRPr="00F018CC">
        <w:rPr>
          <w:rFonts w:hint="eastAsia"/>
          <w:lang w:val="es-ES_tradnl"/>
        </w:rPr>
        <w:t xml:space="preserve"> 1</w:t>
      </w:r>
    </w:p>
    <w:p w:rsidR="001D7681" w:rsidRPr="00406BD7" w:rsidRDefault="00406BD7">
      <w:pPr>
        <w:pStyle w:val="Appendixtitle"/>
        <w:rPr>
          <w:lang w:val="es-ES_tradnl" w:eastAsia="ja-JP"/>
        </w:rPr>
      </w:pPr>
      <w:r w:rsidRPr="00406BD7">
        <w:rPr>
          <w:lang w:val="es-ES_tradnl" w:eastAsia="ja-JP"/>
        </w:rPr>
        <w:t>Resumen de la evolución de los estudios previstos por las Resoluciones UIT-R correspondientes a la Comisión de Estudio</w:t>
      </w:r>
      <w:r w:rsidR="001D7681" w:rsidRPr="00406BD7">
        <w:rPr>
          <w:lang w:val="es-ES_tradnl" w:eastAsia="ja-JP"/>
        </w:rPr>
        <w:t xml:space="preserve"> </w:t>
      </w:r>
      <w:r w:rsidR="009C5447">
        <w:rPr>
          <w:lang w:val="es-ES_tradnl" w:eastAsia="ja-JP"/>
        </w:rPr>
        <w:t>1</w:t>
      </w:r>
    </w:p>
    <w:tbl>
      <w:tblPr>
        <w:tblW w:w="11573" w:type="dxa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2831"/>
        <w:gridCol w:w="708"/>
        <w:gridCol w:w="5234"/>
        <w:gridCol w:w="1362"/>
      </w:tblGrid>
      <w:tr w:rsidR="009828A4" w:rsidRPr="00431B7A" w:rsidTr="007D5E9C">
        <w:trPr>
          <w:cantSplit/>
          <w:tblHeader/>
          <w:tblCellSpacing w:w="0" w:type="dxa"/>
          <w:jc w:val="center"/>
        </w:trPr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828A4" w:rsidRPr="00431B7A" w:rsidRDefault="009828A4" w:rsidP="009B4751">
            <w:pPr>
              <w:pStyle w:val="Tablehead"/>
              <w:rPr>
                <w:lang w:eastAsia="ja-JP"/>
              </w:rPr>
            </w:pPr>
            <w:r w:rsidRPr="00431B7A">
              <w:rPr>
                <w:lang w:eastAsia="ja-JP"/>
              </w:rPr>
              <w:t>Resolución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828A4" w:rsidRPr="00431B7A" w:rsidRDefault="009828A4" w:rsidP="009B4751">
            <w:pPr>
              <w:pStyle w:val="Tablehead"/>
            </w:pPr>
            <w:r w:rsidRPr="00431B7A">
              <w:t>T</w:t>
            </w:r>
            <w:r>
              <w:t>ítulo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828A4" w:rsidRPr="00431B7A" w:rsidRDefault="009828A4" w:rsidP="009B4751">
            <w:pPr>
              <w:pStyle w:val="Tablehead"/>
              <w:rPr>
                <w:lang w:eastAsia="ja-JP"/>
              </w:rPr>
            </w:pPr>
            <w:r>
              <w:rPr>
                <w:lang w:eastAsia="ja-JP"/>
              </w:rPr>
              <w:t>GT</w:t>
            </w:r>
          </w:p>
        </w:tc>
        <w:tc>
          <w:tcPr>
            <w:tcW w:w="5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828A4" w:rsidRPr="00431B7A" w:rsidRDefault="009828A4" w:rsidP="009B4751">
            <w:pPr>
              <w:pStyle w:val="Tablehead"/>
            </w:pPr>
            <w:r>
              <w:t>Situación de los estudios</w:t>
            </w:r>
          </w:p>
        </w:tc>
        <w:tc>
          <w:tcPr>
            <w:tcW w:w="1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828A4" w:rsidRPr="00431B7A" w:rsidRDefault="009828A4" w:rsidP="009B4751">
            <w:pPr>
              <w:pStyle w:val="Tablehead"/>
              <w:rPr>
                <w:lang w:eastAsia="ja-JP"/>
              </w:rPr>
            </w:pPr>
            <w:r>
              <w:rPr>
                <w:lang w:eastAsia="ja-JP"/>
              </w:rPr>
              <w:t>Resultado provisional</w:t>
            </w:r>
          </w:p>
        </w:tc>
      </w:tr>
      <w:tr w:rsidR="009828A4" w:rsidRPr="00406BD7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>
            <w:pPr>
              <w:pStyle w:val="Tabletext"/>
              <w:rPr>
                <w:sz w:val="20"/>
              </w:rPr>
            </w:pPr>
            <w:r w:rsidRPr="00915752">
              <w:rPr>
                <w:sz w:val="20"/>
              </w:rPr>
              <w:t>Resolución</w:t>
            </w:r>
            <w:r w:rsidRPr="00915752">
              <w:rPr>
                <w:rFonts w:hint="eastAsia"/>
                <w:sz w:val="20"/>
              </w:rPr>
              <w:t xml:space="preserve"> 1</w:t>
            </w:r>
            <w:r>
              <w:rPr>
                <w:sz w:val="20"/>
              </w:rPr>
              <w:t>1</w:t>
            </w:r>
            <w:r w:rsidRPr="00915752">
              <w:rPr>
                <w:rFonts w:hint="eastAsia"/>
                <w:sz w:val="20"/>
              </w:rPr>
              <w:t>-4</w:t>
            </w:r>
          </w:p>
        </w:tc>
        <w:tc>
          <w:tcPr>
            <w:tcW w:w="2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128"/>
              <w:rPr>
                <w:sz w:val="20"/>
              </w:rPr>
            </w:pPr>
            <w:bookmarkStart w:id="6" w:name="_Toc180535207"/>
            <w:r w:rsidRPr="006D7897">
              <w:t>Perfeccionamiento del Sistema de Gestión del Espectro</w:t>
            </w:r>
            <w:r>
              <w:br/>
            </w:r>
            <w:r w:rsidRPr="006D7897">
              <w:t>para los Países en Desarrollo</w:t>
            </w:r>
            <w:bookmarkEnd w:id="6"/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828A4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caps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 xml:space="preserve">1A </w:t>
            </w:r>
            <w:r>
              <w:rPr>
                <w:sz w:val="20"/>
                <w:lang w:eastAsia="ja-JP"/>
              </w:rPr>
              <w:br/>
              <w:t>y 1B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E3776A" w:rsidRDefault="009828A4" w:rsidP="00E3776A">
            <w:pPr>
              <w:pStyle w:val="Tabletext"/>
              <w:numPr>
                <w:ilvl w:val="0"/>
                <w:numId w:val="5"/>
              </w:num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 xml:space="preserve">El GT 1A está estudiando la revisión del Manual de la UIT sobre </w:t>
            </w:r>
            <w:r w:rsidRPr="007832FE">
              <w:rPr>
                <w:lang w:val="es-ES"/>
              </w:rPr>
              <w:t>técnicas informatizadas para la gestión del espectro</w:t>
            </w:r>
          </w:p>
          <w:p w:rsidR="009828A4" w:rsidRPr="00406BD7" w:rsidRDefault="009828A4" w:rsidP="00E3776A">
            <w:pPr>
              <w:pStyle w:val="Tabletext"/>
              <w:numPr>
                <w:ilvl w:val="0"/>
                <w:numId w:val="5"/>
              </w:numPr>
              <w:rPr>
                <w:caps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</w:r>
            <w:r w:rsidRPr="00406BD7">
              <w:rPr>
                <w:sz w:val="20"/>
                <w:lang w:eastAsia="ja-JP"/>
              </w:rPr>
              <w:t xml:space="preserve">El Grupo de Trabajo </w:t>
            </w:r>
            <w:r>
              <w:rPr>
                <w:sz w:val="20"/>
                <w:lang w:eastAsia="ja-JP"/>
              </w:rPr>
              <w:t xml:space="preserve">1B ha elaborado el anteproyecto de revisión de la Recomendación UIT-R SM.1307-1, </w:t>
            </w:r>
            <w:r>
              <w:t>Directrices de diseño para la elaboración de sistemas avanzados de gestión automática del espectro</w:t>
            </w:r>
            <w:r w:rsidRPr="00406BD7">
              <w:rPr>
                <w:sz w:val="20"/>
                <w:lang w:eastAsia="ja-JP"/>
              </w:rPr>
              <w:t>.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E3776A">
            <w:pPr>
              <w:pStyle w:val="Tabletext"/>
              <w:jc w:val="center"/>
              <w:rPr>
                <w:iCs/>
                <w:cap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t>Anexo 9 al Doc. 1A/39</w:t>
            </w:r>
          </w:p>
          <w:p w:rsidR="009828A4" w:rsidRPr="00915752" w:rsidRDefault="009828A4" w:rsidP="00E3776A">
            <w:pPr>
              <w:pStyle w:val="Tabletext"/>
              <w:jc w:val="center"/>
              <w:rPr>
                <w:iCs/>
                <w:caps/>
                <w:sz w:val="20"/>
              </w:rPr>
            </w:pPr>
            <w:r>
              <w:rPr>
                <w:iCs/>
                <w:sz w:val="20"/>
                <w:lang w:eastAsia="ja-JP"/>
              </w:rPr>
              <w:t>Anexo 1 al Doc. 1B/42</w:t>
            </w:r>
          </w:p>
        </w:tc>
      </w:tr>
      <w:tr w:rsidR="009828A4" w:rsidRPr="00406BD7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C544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Resolución 22-3</w:t>
            </w:r>
          </w:p>
        </w:tc>
        <w:tc>
          <w:tcPr>
            <w:tcW w:w="2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6D7897" w:rsidRDefault="009828A4" w:rsidP="009B4751">
            <w:pPr>
              <w:pStyle w:val="Tabletext"/>
              <w:ind w:left="128"/>
            </w:pPr>
            <w:bookmarkStart w:id="7" w:name="_Toc180535217"/>
            <w:r w:rsidRPr="006D7897">
              <w:t>Mejora</w:t>
            </w:r>
            <w:r>
              <w:t xml:space="preserve"> </w:t>
            </w:r>
            <w:r w:rsidRPr="006D7897">
              <w:t>de</w:t>
            </w:r>
            <w:r>
              <w:t xml:space="preserve"> </w:t>
            </w:r>
            <w:r w:rsidRPr="006D7897">
              <w:t>las</w:t>
            </w:r>
            <w:r>
              <w:t xml:space="preserve"> </w:t>
            </w:r>
            <w:r w:rsidRPr="006D7897">
              <w:t>prácticas</w:t>
            </w:r>
            <w:r>
              <w:t xml:space="preserve"> </w:t>
            </w:r>
            <w:r w:rsidRPr="006D7897">
              <w:t>y</w:t>
            </w:r>
            <w:r>
              <w:t xml:space="preserve"> </w:t>
            </w:r>
            <w:r w:rsidRPr="006D7897">
              <w:t>técnicas</w:t>
            </w:r>
            <w:r>
              <w:t xml:space="preserve"> </w:t>
            </w:r>
            <w:r w:rsidRPr="006D7897">
              <w:t>relativas</w:t>
            </w:r>
            <w:r>
              <w:t xml:space="preserve"> </w:t>
            </w:r>
            <w:r w:rsidRPr="006D7897">
              <w:t>a</w:t>
            </w:r>
            <w:r>
              <w:t xml:space="preserve"> </w:t>
            </w:r>
            <w:r w:rsidRPr="006D7897">
              <w:t>la</w:t>
            </w:r>
            <w:r>
              <w:t xml:space="preserve"> </w:t>
            </w:r>
            <w:r w:rsidRPr="006D7897">
              <w:t>gestión</w:t>
            </w:r>
            <w:r>
              <w:t xml:space="preserve"> </w:t>
            </w:r>
            <w:r w:rsidRPr="006D7897">
              <w:br/>
              <w:t>nacional</w:t>
            </w:r>
            <w:r>
              <w:t xml:space="preserve"> </w:t>
            </w:r>
            <w:r w:rsidRPr="006D7897">
              <w:t>del</w:t>
            </w:r>
            <w:r>
              <w:t xml:space="preserve"> </w:t>
            </w:r>
            <w:r w:rsidRPr="006D7897">
              <w:t>espectro</w:t>
            </w:r>
            <w:r>
              <w:t xml:space="preserve"> </w:t>
            </w:r>
            <w:r w:rsidRPr="006D7897">
              <w:t>radioeléctrico</w:t>
            </w:r>
            <w:bookmarkEnd w:id="7"/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C5447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 1B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C5447">
            <w:pPr>
              <w:pStyle w:val="Tabletext"/>
              <w:numPr>
                <w:ilvl w:val="0"/>
                <w:numId w:val="5"/>
              </w:num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>Nueva Recomendación UIT-R SM.1047-2, Gestión nacional del espectro;</w:t>
            </w:r>
          </w:p>
          <w:p w:rsidR="009828A4" w:rsidRDefault="009828A4" w:rsidP="009C5447">
            <w:pPr>
              <w:pStyle w:val="Tabletext"/>
              <w:numPr>
                <w:ilvl w:val="0"/>
                <w:numId w:val="5"/>
              </w:num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>Nueva Recomendación UIT-R SM.1603-1, Reorganización del espectro como método de gestión nacional del espectro;</w:t>
            </w:r>
          </w:p>
          <w:p w:rsidR="009828A4" w:rsidRPr="00E3776A" w:rsidRDefault="009828A4" w:rsidP="00E3776A">
            <w:pPr>
              <w:pStyle w:val="Tabletext"/>
              <w:keepNext/>
              <w:keepLines/>
              <w:numPr>
                <w:ilvl w:val="0"/>
                <w:numId w:val="5"/>
              </w:num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 xml:space="preserve">Documento de trabajo previo al anteproyecto de revisión del Informe UIT-R SM.2012-3, </w:t>
            </w:r>
            <w:r w:rsidRPr="00AF7638">
              <w:t>Aspectos económicos de la gestión del espectro</w:t>
            </w:r>
            <w:r>
              <w:t>;</w:t>
            </w:r>
          </w:p>
          <w:p w:rsidR="009828A4" w:rsidRPr="00E3776A" w:rsidRDefault="009828A4" w:rsidP="00E3776A">
            <w:pPr>
              <w:pStyle w:val="Tabletext"/>
              <w:keepNext/>
              <w:keepLines/>
              <w:numPr>
                <w:ilvl w:val="0"/>
                <w:numId w:val="5"/>
              </w:num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 xml:space="preserve">Documento de trabajo previo al anteproyecto de nuevo Informe UIT-R SM.[INTERF_MNGNT], </w:t>
            </w:r>
            <w:r w:rsidRPr="00E3776A">
              <w:rPr>
                <w:sz w:val="20"/>
                <w:lang w:eastAsia="ja-JP"/>
              </w:rPr>
              <w:t xml:space="preserve">Gestión de la interferencia en estaciones que pueden funcionar </w:t>
            </w:r>
            <w:r w:rsidRPr="00E3776A">
              <w:rPr>
                <w:sz w:val="20"/>
                <w:lang w:eastAsia="ja-JP"/>
              </w:rPr>
              <w:br/>
              <w:t>bajo</w:t>
            </w:r>
            <w:r w:rsidRPr="00D04941">
              <w:t xml:space="preserve"> más de un servicio terrenal de radiocomunicaciones</w:t>
            </w:r>
            <w:r>
              <w:t>;</w:t>
            </w:r>
          </w:p>
          <w:p w:rsidR="009828A4" w:rsidRDefault="009828A4" w:rsidP="009C5447">
            <w:pPr>
              <w:pStyle w:val="Tabletext"/>
              <w:numPr>
                <w:ilvl w:val="0"/>
                <w:numId w:val="5"/>
              </w:num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>Estudios en curso sobre la revisión del Manual de la UIT sobre gestión nacional del espectro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828A4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br/>
            </w:r>
          </w:p>
          <w:p w:rsidR="009828A4" w:rsidRDefault="009828A4" w:rsidP="009828A4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br/>
            </w:r>
            <w:r>
              <w:rPr>
                <w:iCs/>
                <w:sz w:val="20"/>
                <w:lang w:eastAsia="ja-JP"/>
              </w:rPr>
              <w:br/>
            </w:r>
            <w:r>
              <w:rPr>
                <w:iCs/>
                <w:sz w:val="20"/>
                <w:lang w:eastAsia="ja-JP"/>
              </w:rPr>
              <w:br/>
              <w:t>Anexo 2 al Doc. 1B/42</w:t>
            </w:r>
          </w:p>
          <w:p w:rsidR="009828A4" w:rsidRDefault="009828A4" w:rsidP="009828A4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br/>
            </w:r>
            <w:r>
              <w:rPr>
                <w:iCs/>
                <w:sz w:val="20"/>
                <w:lang w:eastAsia="ja-JP"/>
              </w:rPr>
              <w:br/>
              <w:t>Anexo 3 al Doc. 1B/42</w:t>
            </w:r>
            <w:r>
              <w:rPr>
                <w:iCs/>
                <w:sz w:val="20"/>
                <w:lang w:eastAsia="ja-JP"/>
              </w:rPr>
              <w:br/>
            </w:r>
            <w:r>
              <w:rPr>
                <w:iCs/>
                <w:sz w:val="20"/>
                <w:lang w:eastAsia="ja-JP"/>
              </w:rPr>
              <w:br/>
            </w:r>
            <w:r>
              <w:rPr>
                <w:iCs/>
                <w:sz w:val="20"/>
                <w:lang w:eastAsia="ja-JP"/>
              </w:rPr>
              <w:br/>
              <w:t>Anexo 4 al Doc. 1B/42</w:t>
            </w:r>
          </w:p>
        </w:tc>
      </w:tr>
      <w:tr w:rsidR="009828A4" w:rsidRPr="00406BD7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C544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Resolución 23-2</w:t>
            </w:r>
          </w:p>
        </w:tc>
        <w:tc>
          <w:tcPr>
            <w:tcW w:w="2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6D7897" w:rsidRDefault="009828A4" w:rsidP="009B4751">
            <w:pPr>
              <w:pStyle w:val="Tabletext"/>
              <w:ind w:left="128"/>
            </w:pPr>
            <w:r>
              <w:rPr>
                <w:lang w:val="es-ES"/>
              </w:rPr>
              <w:t>Extensión al ámbito mundial del sistema internacional</w:t>
            </w:r>
            <w:r>
              <w:rPr>
                <w:lang w:val="es-ES"/>
              </w:rPr>
              <w:br/>
              <w:t>de Comprobación técnica de las</w:t>
            </w:r>
            <w:r w:rsidRPr="00543AA5">
              <w:rPr>
                <w:lang w:val="es-ES"/>
              </w:rPr>
              <w:t xml:space="preserve"> emisiones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C5447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 1C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C5447">
            <w:pPr>
              <w:pStyle w:val="Tabletext"/>
              <w:numPr>
                <w:ilvl w:val="0"/>
                <w:numId w:val="5"/>
              </w:num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>Completados y pendientes de la adición de nuevas administraciones a la Lista VIII (por ejemplo, véase asimismo el Informe UIT-R SM.2182)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C5447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t>-</w:t>
            </w:r>
          </w:p>
        </w:tc>
      </w:tr>
      <w:tr w:rsidR="009828A4" w:rsidRPr="00431B7A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Del="00BB22C0" w:rsidRDefault="009828A4" w:rsidP="009B4751">
            <w:pPr>
              <w:pStyle w:val="Tabletext"/>
              <w:rPr>
                <w:sz w:val="20"/>
              </w:rPr>
            </w:pPr>
            <w:r w:rsidRPr="00431B7A">
              <w:rPr>
                <w:sz w:val="20"/>
              </w:rPr>
              <w:lastRenderedPageBreak/>
              <w:t>Resolución</w:t>
            </w:r>
            <w:r w:rsidRPr="00431B7A">
              <w:rPr>
                <w:sz w:val="20"/>
                <w:lang w:eastAsia="ja-JP"/>
              </w:rPr>
              <w:t xml:space="preserve"> </w:t>
            </w:r>
            <w:r w:rsidRPr="00431B7A">
              <w:rPr>
                <w:sz w:val="20"/>
              </w:rPr>
              <w:t>5</w:t>
            </w:r>
            <w:r w:rsidRPr="00431B7A">
              <w:rPr>
                <w:sz w:val="20"/>
                <w:lang w:eastAsia="ja-JP"/>
              </w:rPr>
              <w:t>3-</w:t>
            </w:r>
            <w:r w:rsidRPr="00431B7A">
              <w:rPr>
                <w:sz w:val="20"/>
              </w:rPr>
              <w:t>1</w:t>
            </w:r>
          </w:p>
        </w:tc>
        <w:tc>
          <w:tcPr>
            <w:tcW w:w="2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128"/>
              <w:rPr>
                <w:sz w:val="20"/>
              </w:rPr>
            </w:pPr>
            <w:r w:rsidRPr="00915752">
              <w:rPr>
                <w:sz w:val="20"/>
              </w:rPr>
              <w:t>Utilización de las radiocomunicaciones para la respuesta y las operaciones de socorro en caso de catástrofe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E3776A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right"/>
              <w:rPr>
                <w:caps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1B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B7EB6" w:rsidRDefault="009828A4" w:rsidP="009B4751">
            <w:pPr>
              <w:pStyle w:val="Tabletext"/>
              <w:ind w:left="60"/>
              <w:rPr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No se han iniciado todavía.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2E5844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Resolución 54-1</w:t>
            </w:r>
          </w:p>
        </w:tc>
        <w:tc>
          <w:tcPr>
            <w:tcW w:w="2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128"/>
              <w:rPr>
                <w:sz w:val="20"/>
              </w:rPr>
            </w:pPr>
            <w:bookmarkStart w:id="8" w:name="_Toc180535252"/>
            <w:r w:rsidRPr="00785577">
              <w:t>Estudios para lograr la armonización de los dispositivos</w:t>
            </w:r>
            <w:r>
              <w:br/>
            </w:r>
            <w:r w:rsidRPr="00785577">
              <w:t>de corto alcance</w:t>
            </w:r>
            <w:bookmarkEnd w:id="8"/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828A4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 1B (véase nota 1)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E3776A" w:rsidRDefault="009828A4" w:rsidP="00E3776A">
            <w:pPr>
              <w:pStyle w:val="Tabletext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  <w:t xml:space="preserve">Recomendación UIT-R SM.1896, </w:t>
            </w:r>
            <w:r w:rsidRPr="00317137">
              <w:rPr>
                <w:lang w:val="es-ES"/>
              </w:rPr>
              <w:t xml:space="preserve">Gamas de frecuencia para la armonización mundial o regional </w:t>
            </w:r>
            <w:r>
              <w:rPr>
                <w:lang w:val="es-ES"/>
              </w:rPr>
              <w:br/>
            </w:r>
            <w:r w:rsidRPr="00317137">
              <w:rPr>
                <w:lang w:val="es-ES"/>
              </w:rPr>
              <w:t>de los dispositivos de corto alcance</w:t>
            </w:r>
            <w:r>
              <w:rPr>
                <w:lang w:val="es-ES"/>
              </w:rPr>
              <w:t>;</w:t>
            </w:r>
          </w:p>
          <w:p w:rsidR="009828A4" w:rsidRDefault="009828A4" w:rsidP="00E3776A">
            <w:pPr>
              <w:pStyle w:val="Tabletext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2E5844">
              <w:rPr>
                <w:rFonts w:asciiTheme="majorBidi" w:hAnsiTheme="majorBidi" w:cstheme="majorBidi"/>
                <w:sz w:val="20"/>
                <w:lang w:eastAsia="ja-JP"/>
              </w:rPr>
              <w:t>Informe UIT-R SM.2153-3, Parámetros técnicos y operativos y utilizaci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ón del espectro para dispositivos de corto alcance;</w:t>
            </w:r>
          </w:p>
          <w:p w:rsidR="009828A4" w:rsidRPr="00E3776A" w:rsidRDefault="009828A4" w:rsidP="00E3776A">
            <w:pPr>
              <w:pStyle w:val="Tabletext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  <w:t xml:space="preserve">Informe UIT-R SM.2255, </w:t>
            </w:r>
            <w:r w:rsidRPr="000A5E3C">
              <w:t>Características técnicas, normas y bandas de frecuencias de funcionamiento para RFID y posibilidades de armonización</w:t>
            </w:r>
          </w:p>
          <w:p w:rsidR="009828A4" w:rsidRPr="002E5844" w:rsidDel="00C92A0A" w:rsidRDefault="009828A4" w:rsidP="00E3776A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(Los GT 1A y GT 1C también elaboraron Informes UIT-R sobre RCA en su ámbito de competencia antes de la CMR-12)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2E5844" w:rsidDel="00C92A0A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3B7EB6" w:rsidTr="007D5E9C">
        <w:trPr>
          <w:cantSplit/>
          <w:tblCellSpacing w:w="0" w:type="dxa"/>
          <w:jc w:val="center"/>
        </w:trPr>
        <w:tc>
          <w:tcPr>
            <w:tcW w:w="143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Del="00BB22C0" w:rsidRDefault="009828A4" w:rsidP="009B4751">
            <w:pPr>
              <w:pStyle w:val="Tabletext"/>
              <w:rPr>
                <w:sz w:val="20"/>
              </w:rPr>
            </w:pPr>
            <w:r w:rsidRPr="00431B7A">
              <w:rPr>
                <w:sz w:val="20"/>
              </w:rPr>
              <w:t>Resolución</w:t>
            </w:r>
            <w:r w:rsidRPr="00431B7A">
              <w:rPr>
                <w:sz w:val="20"/>
                <w:lang w:eastAsia="ja-JP"/>
              </w:rPr>
              <w:t xml:space="preserve"> </w:t>
            </w:r>
            <w:r w:rsidRPr="00431B7A">
              <w:rPr>
                <w:sz w:val="20"/>
              </w:rPr>
              <w:t>55</w:t>
            </w:r>
            <w:r w:rsidRPr="00431B7A">
              <w:rPr>
                <w:sz w:val="20"/>
                <w:lang w:eastAsia="ja-JP"/>
              </w:rPr>
              <w:t>-</w:t>
            </w:r>
            <w:r w:rsidRPr="00431B7A">
              <w:rPr>
                <w:sz w:val="20"/>
              </w:rPr>
              <w:t>1</w:t>
            </w:r>
          </w:p>
        </w:tc>
        <w:tc>
          <w:tcPr>
            <w:tcW w:w="2831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128"/>
              <w:rPr>
                <w:sz w:val="20"/>
              </w:rPr>
            </w:pPr>
            <w:r w:rsidRPr="00915752">
              <w:rPr>
                <w:sz w:val="20"/>
              </w:rPr>
              <w:t>Estudios del UIT-R sobre predicción, detección, mitigación de los efectos de las catástrofes y operaciones de socorro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Default="009828A4" w:rsidP="009828A4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1B</w:t>
            </w:r>
          </w:p>
          <w:p w:rsidR="009828A4" w:rsidRPr="00431B7A" w:rsidRDefault="009828A4" w:rsidP="009828A4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sz w:val="20"/>
                <w:lang w:eastAsia="ja-JP"/>
              </w:rPr>
            </w:pP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B7EB6" w:rsidRDefault="009828A4" w:rsidP="009B4751">
            <w:pPr>
              <w:pStyle w:val="Tabletext"/>
              <w:numPr>
                <w:ilvl w:val="0"/>
                <w:numId w:val="2"/>
              </w:numPr>
              <w:tabs>
                <w:tab w:val="left" w:pos="1871"/>
              </w:tabs>
              <w:ind w:left="6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 se han iniciado todavía.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828A4" w:rsidRPr="00915752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431B7A" w:rsidTr="007D5E9C">
        <w:trPr>
          <w:cantSplit/>
          <w:tblCellSpacing w:w="0" w:type="dxa"/>
          <w:jc w:val="center"/>
        </w:trPr>
        <w:tc>
          <w:tcPr>
            <w:tcW w:w="1438" w:type="dxa"/>
            <w:vMerge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B7EB6" w:rsidRDefault="009828A4" w:rsidP="009B4751">
            <w:pPr>
              <w:pStyle w:val="Tabletext"/>
              <w:rPr>
                <w:sz w:val="21"/>
                <w:szCs w:val="21"/>
              </w:rPr>
            </w:pPr>
          </w:p>
        </w:tc>
        <w:tc>
          <w:tcPr>
            <w:tcW w:w="2831" w:type="dxa"/>
            <w:vMerge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B7EB6" w:rsidRDefault="009828A4" w:rsidP="009B4751">
            <w:pPr>
              <w:pStyle w:val="Tabletext"/>
              <w:rPr>
                <w:sz w:val="20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828A4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caps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1C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B7EB6" w:rsidRDefault="009828A4" w:rsidP="009B4751">
            <w:pPr>
              <w:pStyle w:val="Tabletext"/>
              <w:ind w:left="6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 se han iniciado todavía.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3B7EB6" w:rsidTr="007D5E9C">
        <w:trPr>
          <w:cantSplit/>
          <w:tblCellSpacing w:w="0" w:type="dxa"/>
          <w:jc w:val="center"/>
        </w:trPr>
        <w:tc>
          <w:tcPr>
            <w:tcW w:w="143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</w:pPr>
          </w:p>
        </w:tc>
        <w:tc>
          <w:tcPr>
            <w:tcW w:w="2831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rPr>
                <w:sz w:val="20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rPr>
                <w:sz w:val="20"/>
                <w:lang w:eastAsia="ja-JP"/>
              </w:rPr>
            </w:pP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E3776A" w:rsidRDefault="009828A4" w:rsidP="009B4751">
            <w:pPr>
              <w:pStyle w:val="Tabletext"/>
              <w:numPr>
                <w:ilvl w:val="0"/>
                <w:numId w:val="2"/>
              </w:numPr>
              <w:tabs>
                <w:tab w:val="left" w:pos="1871"/>
              </w:tabs>
              <w:ind w:left="68"/>
              <w:rPr>
                <w:sz w:val="20"/>
              </w:rPr>
            </w:pP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431B7A" w:rsidTr="007D5E9C">
        <w:trPr>
          <w:cantSplit/>
          <w:tblCellSpacing w:w="0" w:type="dxa"/>
          <w:jc w:val="center"/>
        </w:trPr>
        <w:tc>
          <w:tcPr>
            <w:tcW w:w="143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rPr>
                <w:sz w:val="20"/>
              </w:rPr>
            </w:pPr>
            <w:r w:rsidRPr="00431B7A">
              <w:rPr>
                <w:sz w:val="20"/>
              </w:rPr>
              <w:t>Resolución</w:t>
            </w:r>
            <w:r w:rsidRPr="00431B7A">
              <w:rPr>
                <w:sz w:val="20"/>
                <w:lang w:eastAsia="ja-JP"/>
              </w:rPr>
              <w:t xml:space="preserve"> </w:t>
            </w:r>
            <w:r w:rsidRPr="00431B7A">
              <w:rPr>
                <w:sz w:val="20"/>
              </w:rPr>
              <w:t>5</w:t>
            </w:r>
            <w:r w:rsidRPr="00431B7A">
              <w:rPr>
                <w:sz w:val="20"/>
                <w:lang w:eastAsia="ja-JP"/>
              </w:rPr>
              <w:t>8</w:t>
            </w:r>
          </w:p>
        </w:tc>
        <w:tc>
          <w:tcPr>
            <w:tcW w:w="2831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128"/>
              <w:rPr>
                <w:sz w:val="20"/>
              </w:rPr>
            </w:pPr>
            <w:r w:rsidRPr="00915752">
              <w:rPr>
                <w:sz w:val="20"/>
              </w:rPr>
              <w:t>Estudios sobre la implantación y utilización de sistemas de radiocomunicaciones inteligentes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E3776A">
            <w:pPr>
              <w:pStyle w:val="Tabletext"/>
              <w:rPr>
                <w:caps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1</w:t>
            </w:r>
            <w:r w:rsidRPr="00431B7A">
              <w:rPr>
                <w:sz w:val="20"/>
                <w:lang w:eastAsia="ja-JP"/>
              </w:rPr>
              <w:t>A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C92EF8" w:rsidRDefault="009828A4" w:rsidP="00E3776A">
            <w:pPr>
              <w:pStyle w:val="Tabletext"/>
              <w:ind w:left="68"/>
              <w:rPr>
                <w:caps/>
                <w:sz w:val="20"/>
                <w:lang w:eastAsia="ja-JP"/>
              </w:rPr>
            </w:pPr>
            <w:r>
              <w:rPr>
                <w:color w:val="000000"/>
                <w:sz w:val="20"/>
                <w:lang w:eastAsia="ja-JP"/>
              </w:rPr>
              <w:t>Los Grupos de Trabajo 1A y 1B están organizando</w:t>
            </w:r>
            <w:r>
              <w:rPr>
                <w:color w:val="000000"/>
                <w:sz w:val="20"/>
              </w:rPr>
              <w:t xml:space="preserve"> los estudios sobre sistemas de radiocomunicaciones inteligentes en relación con la Resolución UIT-R 58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E3776A">
            <w:pPr>
              <w:pStyle w:val="Tabletext"/>
              <w:jc w:val="center"/>
              <w:rPr>
                <w:iCs/>
                <w:cap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t>Anexo 11 al Doc. 1A/39</w:t>
            </w:r>
          </w:p>
        </w:tc>
      </w:tr>
      <w:tr w:rsidR="009828A4" w:rsidRPr="00C92EF8" w:rsidTr="007D5E9C">
        <w:trPr>
          <w:cantSplit/>
          <w:tblCellSpacing w:w="0" w:type="dxa"/>
          <w:jc w:val="center"/>
        </w:trPr>
        <w:tc>
          <w:tcPr>
            <w:tcW w:w="143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rPr>
                <w:sz w:val="21"/>
                <w:szCs w:val="21"/>
              </w:rPr>
            </w:pPr>
          </w:p>
        </w:tc>
        <w:tc>
          <w:tcPr>
            <w:tcW w:w="2831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rPr>
                <w:sz w:val="20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E3776A">
            <w:pPr>
              <w:pStyle w:val="Tabletext"/>
              <w:rPr>
                <w:caps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1B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C92EF8" w:rsidRDefault="009828A4" w:rsidP="00A10A8C">
            <w:pPr>
              <w:pStyle w:val="Tabletext"/>
              <w:ind w:left="68"/>
              <w:rPr>
                <w:sz w:val="20"/>
                <w:lang w:eastAsia="ja-JP"/>
              </w:rPr>
            </w:pPr>
            <w:r>
              <w:rPr>
                <w:color w:val="000000"/>
                <w:sz w:val="20"/>
                <w:lang w:eastAsia="ja-JP"/>
              </w:rPr>
              <w:t>Los Grupos de Trabajo 1A y 1B están organizando</w:t>
            </w:r>
            <w:r>
              <w:rPr>
                <w:color w:val="000000"/>
                <w:sz w:val="20"/>
              </w:rPr>
              <w:t xml:space="preserve"> los estudios sobre sistemas de radiocomunicaciones inteligentes en relación con la Resolución UIT-R 58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t>Anexo 14 al Doc. 1B/42</w:t>
            </w:r>
          </w:p>
        </w:tc>
      </w:tr>
      <w:tr w:rsidR="009828A4" w:rsidRPr="00C92EF8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C92EF8" w:rsidRDefault="009828A4" w:rsidP="009B4751">
            <w:pPr>
              <w:pStyle w:val="Tabletext"/>
              <w:rPr>
                <w:sz w:val="21"/>
                <w:szCs w:val="21"/>
                <w:lang w:val="en-US"/>
              </w:rPr>
            </w:pPr>
          </w:p>
        </w:tc>
        <w:tc>
          <w:tcPr>
            <w:tcW w:w="2831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C92EF8" w:rsidRDefault="009828A4" w:rsidP="009B4751">
            <w:pPr>
              <w:pStyle w:val="Tabletext"/>
              <w:rPr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C92EF8" w:rsidRDefault="009828A4" w:rsidP="00E3776A">
            <w:pPr>
              <w:pStyle w:val="Tabletext"/>
              <w:keepNext/>
              <w:keepLines/>
              <w:rPr>
                <w:caps/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GT</w:t>
            </w:r>
            <w:r w:rsidRPr="00C92EF8">
              <w:rPr>
                <w:sz w:val="20"/>
                <w:lang w:val="en-US" w:eastAsia="ja-JP"/>
              </w:rPr>
              <w:t xml:space="preserve"> </w:t>
            </w:r>
            <w:r>
              <w:rPr>
                <w:sz w:val="20"/>
                <w:lang w:val="en-US" w:eastAsia="ja-JP"/>
              </w:rPr>
              <w:t>1C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E3776A" w:rsidRDefault="009828A4" w:rsidP="00E3776A">
            <w:pPr>
              <w:pStyle w:val="Tabletext"/>
              <w:keepNext/>
              <w:keepLines/>
              <w:ind w:left="68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Estudios sobre la evolución de la comprobación técnica del espectro en respuesta a la Cuestión UIT-R 235/1 (véase el </w:t>
            </w:r>
            <w:r>
              <w:rPr>
                <w:i/>
                <w:iCs/>
                <w:sz w:val="20"/>
              </w:rPr>
              <w:t>considerando c)</w:t>
            </w:r>
            <w:r>
              <w:rPr>
                <w:sz w:val="20"/>
              </w:rPr>
              <w:t>) – Documento de trabajo previo al proyecto de nueva Recomendación UIT-R SM.[</w:t>
            </w:r>
            <w:proofErr w:type="spellStart"/>
            <w:r>
              <w:rPr>
                <w:sz w:val="20"/>
              </w:rPr>
              <w:t>spectrum_MONITORING_EVOLUTION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E3776A" w:rsidRDefault="009828A4" w:rsidP="00A10A8C">
            <w:pPr>
              <w:pStyle w:val="Tabletext"/>
              <w:keepNext/>
              <w:keepLines/>
              <w:jc w:val="center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t>Anexo 11 al Doc. 1C/36</w:t>
            </w:r>
          </w:p>
        </w:tc>
      </w:tr>
      <w:tr w:rsidR="009828A4" w:rsidRPr="00431B7A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rPr>
                <w:sz w:val="21"/>
                <w:szCs w:val="21"/>
              </w:rPr>
            </w:pPr>
            <w:r w:rsidRPr="00E3776A">
              <w:rPr>
                <w:sz w:val="21"/>
                <w:szCs w:val="21"/>
              </w:rPr>
              <w:lastRenderedPageBreak/>
              <w:t>Resoluc</w:t>
            </w:r>
            <w:r w:rsidRPr="00431B7A">
              <w:rPr>
                <w:sz w:val="21"/>
                <w:szCs w:val="21"/>
              </w:rPr>
              <w:t>ión</w:t>
            </w:r>
            <w:r w:rsidRPr="00431B7A">
              <w:rPr>
                <w:sz w:val="21"/>
                <w:szCs w:val="21"/>
                <w:lang w:eastAsia="ja-JP"/>
              </w:rPr>
              <w:t xml:space="preserve"> </w:t>
            </w:r>
            <w:r w:rsidRPr="00431B7A">
              <w:rPr>
                <w:sz w:val="21"/>
                <w:szCs w:val="21"/>
              </w:rPr>
              <w:t>5</w:t>
            </w:r>
            <w:r w:rsidRPr="00431B7A">
              <w:rPr>
                <w:sz w:val="21"/>
                <w:szCs w:val="21"/>
                <w:lang w:eastAsia="ja-JP"/>
              </w:rPr>
              <w:t>9</w:t>
            </w:r>
          </w:p>
          <w:p w:rsidR="009828A4" w:rsidRPr="00431B7A" w:rsidDel="00BB22C0" w:rsidRDefault="009828A4" w:rsidP="009B4751">
            <w:pPr>
              <w:pStyle w:val="Tabletex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Figurelegend"/>
              <w:spacing w:before="40" w:after="40"/>
              <w:ind w:left="129"/>
              <w:rPr>
                <w:rFonts w:eastAsia="MS PGothic"/>
                <w:sz w:val="20"/>
                <w:lang w:eastAsia="ja-JP"/>
              </w:rPr>
            </w:pPr>
            <w:r w:rsidRPr="00915752">
              <w:rPr>
                <w:rFonts w:eastAsia="MS PGothic"/>
                <w:sz w:val="20"/>
                <w:lang w:eastAsia="ja-JP"/>
              </w:rPr>
              <w:t>Estudios sobre disponibilidad de bandas de frecuencias y/o gamas de sintonía para la armonización a nivel mundial y/o regional y condiciones para su utilización por los sistemas electrónicos terrenales de periodismo electrónico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1B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1346D9" w:rsidRDefault="009828A4" w:rsidP="00A10A8C">
            <w:pPr>
              <w:pStyle w:val="Tabletext"/>
              <w:numPr>
                <w:ilvl w:val="0"/>
                <w:numId w:val="1"/>
              </w:numPr>
              <w:tabs>
                <w:tab w:val="left" w:pos="1871"/>
              </w:tabs>
              <w:ind w:left="7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 se han iniciado todavía-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E3776A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306B5D" w:rsidTr="007D5E9C">
        <w:trPr>
          <w:cantSplit/>
          <w:tblCellSpacing w:w="0" w:type="dxa"/>
          <w:jc w:val="center"/>
        </w:trPr>
        <w:tc>
          <w:tcPr>
            <w:tcW w:w="143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rPr>
                <w:sz w:val="21"/>
                <w:szCs w:val="21"/>
              </w:rPr>
            </w:pPr>
            <w:r w:rsidRPr="00431B7A">
              <w:rPr>
                <w:sz w:val="21"/>
                <w:szCs w:val="21"/>
              </w:rPr>
              <w:t>Resolución</w:t>
            </w:r>
            <w:r w:rsidRPr="00431B7A">
              <w:rPr>
                <w:sz w:val="21"/>
                <w:szCs w:val="21"/>
                <w:lang w:eastAsia="ja-JP"/>
              </w:rPr>
              <w:t xml:space="preserve"> 60</w:t>
            </w:r>
          </w:p>
        </w:tc>
        <w:tc>
          <w:tcPr>
            <w:tcW w:w="2831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129"/>
              <w:rPr>
                <w:sz w:val="20"/>
              </w:rPr>
            </w:pPr>
            <w:r w:rsidRPr="00915752">
              <w:rPr>
                <w:sz w:val="20"/>
              </w:rPr>
              <w:t>Reducción del consumo de energía para la protección del medio ambiente y la reducción del cambio climático mediante la utilización de tecnologías y sistemas de radiocomunicaciones/TIC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E3776A">
            <w:pPr>
              <w:pStyle w:val="Tabletext"/>
              <w:jc w:val="right"/>
              <w:rPr>
                <w:caps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GT</w:t>
            </w:r>
            <w:r w:rsidRPr="00431B7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1B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06B5D" w:rsidRDefault="009828A4" w:rsidP="009B4751">
            <w:pPr>
              <w:pStyle w:val="Tabletext"/>
              <w:ind w:left="76"/>
              <w:rPr>
                <w:sz w:val="20"/>
                <w:lang w:eastAsia="ja-JP"/>
              </w:rPr>
            </w:pPr>
            <w:r>
              <w:rPr>
                <w:color w:val="000000"/>
                <w:sz w:val="20"/>
              </w:rPr>
              <w:t>No se han iniciado todavía.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06B5D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t>-</w:t>
            </w:r>
          </w:p>
        </w:tc>
      </w:tr>
      <w:tr w:rsidR="009828A4" w:rsidRPr="002D08C9" w:rsidTr="007D5E9C">
        <w:trPr>
          <w:cantSplit/>
          <w:tblCellSpacing w:w="0" w:type="dxa"/>
          <w:jc w:val="center"/>
        </w:trPr>
        <w:tc>
          <w:tcPr>
            <w:tcW w:w="143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06B5D" w:rsidRDefault="009828A4" w:rsidP="009B4751">
            <w:pPr>
              <w:pStyle w:val="Tabletext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1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06B5D" w:rsidRDefault="009828A4" w:rsidP="009B4751">
            <w:pPr>
              <w:pStyle w:val="Tabletext"/>
              <w:ind w:left="129"/>
              <w:rPr>
                <w:rFonts w:eastAsia="MS PGothic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06B5D" w:rsidRDefault="009828A4" w:rsidP="009B4751">
            <w:pPr>
              <w:pStyle w:val="Tabletext"/>
              <w:jc w:val="right"/>
              <w:rPr>
                <w:sz w:val="20"/>
                <w:lang w:val="en-US" w:eastAsia="ja-JP"/>
              </w:rPr>
            </w:pP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2D08C9" w:rsidRDefault="009828A4" w:rsidP="009B4751">
            <w:pPr>
              <w:pStyle w:val="Tabletext"/>
              <w:ind w:left="76"/>
              <w:rPr>
                <w:sz w:val="20"/>
                <w:lang w:eastAsia="ja-JP"/>
              </w:rPr>
            </w:pP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2D08C9" w:rsidRDefault="009828A4" w:rsidP="009B4751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7E69FF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2D08C9" w:rsidRDefault="009828A4" w:rsidP="009B4751">
            <w:pPr>
              <w:pStyle w:val="Tabletext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1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2D08C9" w:rsidRDefault="009828A4" w:rsidP="009B4751">
            <w:pPr>
              <w:pStyle w:val="Tabletext"/>
              <w:ind w:left="129"/>
              <w:rPr>
                <w:rFonts w:eastAsia="MS PGothic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306B5D" w:rsidRDefault="009828A4" w:rsidP="009B4751">
            <w:pPr>
              <w:pStyle w:val="Tabletext"/>
              <w:jc w:val="right"/>
              <w:rPr>
                <w:sz w:val="20"/>
                <w:lang w:val="en-US" w:eastAsia="ja-JP"/>
              </w:rPr>
            </w:pP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7E69FF" w:rsidRDefault="009828A4" w:rsidP="009B4751">
            <w:pPr>
              <w:pStyle w:val="Tabletext"/>
              <w:ind w:left="76"/>
              <w:rPr>
                <w:sz w:val="20"/>
                <w:lang w:eastAsia="ja-JP"/>
              </w:rPr>
            </w:pP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spacing w:before="120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9828A4" w:rsidRPr="007E69FF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2D08C9" w:rsidRDefault="009828A4" w:rsidP="009B4751">
            <w:pPr>
              <w:pStyle w:val="Tabletex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Resolución 61</w:t>
            </w:r>
          </w:p>
        </w:tc>
        <w:tc>
          <w:tcPr>
            <w:tcW w:w="2831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2D08C9" w:rsidRDefault="009828A4" w:rsidP="009B4751">
            <w:pPr>
              <w:pStyle w:val="Tabletext"/>
              <w:ind w:left="129"/>
              <w:rPr>
                <w:rFonts w:eastAsia="MS PGothic"/>
                <w:sz w:val="20"/>
                <w:lang w:eastAsia="ja-JP"/>
              </w:rPr>
            </w:pPr>
            <w:r>
              <w:rPr>
                <w:lang w:val="es-ES"/>
              </w:rPr>
              <w:t>Contribución del UIT-</w:t>
            </w:r>
            <w:r w:rsidRPr="00425AD2">
              <w:rPr>
                <w:lang w:val="es-ES"/>
              </w:rPr>
              <w:t>R a la puesta en práctica de los resultados</w:t>
            </w:r>
            <w:r>
              <w:rPr>
                <w:lang w:val="es-ES"/>
              </w:rPr>
              <w:br/>
            </w:r>
            <w:r w:rsidRPr="00425AD2">
              <w:rPr>
                <w:lang w:val="es-ES"/>
              </w:rPr>
              <w:t>de la Cumbre Mundial sobre la Sociedad de la Información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E3776A" w:rsidDel="00535AE1" w:rsidRDefault="009828A4" w:rsidP="0009769A">
            <w:pPr>
              <w:pStyle w:val="Tabletext"/>
              <w:keepNext/>
              <w:keepLines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CE 1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7E69FF" w:rsidDel="00535AE1" w:rsidRDefault="009828A4" w:rsidP="009B4751">
            <w:pPr>
              <w:pStyle w:val="Tabletext"/>
              <w:ind w:left="7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 se han iniciado todavía</w:t>
            </w:r>
            <w:r w:rsidR="0009769A">
              <w:rPr>
                <w:sz w:val="20"/>
                <w:lang w:eastAsia="ja-JP"/>
              </w:rPr>
              <w:t>.</w:t>
            </w: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7E69FF" w:rsidDel="00535AE1" w:rsidRDefault="009828A4" w:rsidP="009B4751">
            <w:pPr>
              <w:pStyle w:val="Tabletext"/>
              <w:keepNext/>
              <w:keepLines/>
              <w:jc w:val="center"/>
              <w:rPr>
                <w:iCs/>
                <w:sz w:val="20"/>
                <w:lang w:eastAsia="ja-JP"/>
              </w:rPr>
            </w:pPr>
            <w:r>
              <w:rPr>
                <w:iCs/>
                <w:sz w:val="20"/>
                <w:lang w:eastAsia="ja-JP"/>
              </w:rPr>
              <w:t>-</w:t>
            </w:r>
          </w:p>
        </w:tc>
      </w:tr>
      <w:tr w:rsidR="009828A4" w:rsidRPr="00431B7A" w:rsidTr="007D5E9C">
        <w:trPr>
          <w:cantSplit/>
          <w:tblCellSpacing w:w="0" w:type="dxa"/>
          <w:jc w:val="center"/>
        </w:trPr>
        <w:tc>
          <w:tcPr>
            <w:tcW w:w="14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9B4751">
            <w:pPr>
              <w:pStyle w:val="Tabletext"/>
              <w:rPr>
                <w:sz w:val="21"/>
                <w:szCs w:val="21"/>
              </w:rPr>
            </w:pPr>
            <w:r w:rsidRPr="00431B7A">
              <w:rPr>
                <w:sz w:val="21"/>
                <w:szCs w:val="21"/>
              </w:rPr>
              <w:t>Resolución</w:t>
            </w:r>
            <w:r w:rsidRPr="00431B7A">
              <w:rPr>
                <w:sz w:val="21"/>
                <w:szCs w:val="21"/>
                <w:lang w:eastAsia="ja-JP"/>
              </w:rPr>
              <w:t xml:space="preserve"> 62</w:t>
            </w:r>
          </w:p>
          <w:p w:rsidR="009828A4" w:rsidRPr="00431B7A" w:rsidRDefault="009828A4" w:rsidP="009B4751">
            <w:pPr>
              <w:pStyle w:val="Tabletex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129"/>
              <w:rPr>
                <w:rFonts w:eastAsia="MS PGothic"/>
                <w:sz w:val="20"/>
                <w:lang w:eastAsia="ja-JP"/>
              </w:rPr>
            </w:pPr>
            <w:r w:rsidRPr="00915752">
              <w:rPr>
                <w:rFonts w:eastAsia="MS PGothic"/>
                <w:sz w:val="20"/>
                <w:lang w:eastAsia="ja-JP"/>
              </w:rPr>
              <w:t xml:space="preserve">Estudios sobre pruebas de conformidad con las Recomendaciones UIT-R e </w:t>
            </w:r>
            <w:proofErr w:type="spellStart"/>
            <w:r w:rsidRPr="00915752">
              <w:rPr>
                <w:rFonts w:eastAsia="MS PGothic"/>
                <w:sz w:val="20"/>
                <w:lang w:eastAsia="ja-JP"/>
              </w:rPr>
              <w:t>interfuncionamiento</w:t>
            </w:r>
            <w:proofErr w:type="spellEnd"/>
            <w:r w:rsidRPr="00915752">
              <w:rPr>
                <w:rFonts w:eastAsia="MS PGothic"/>
                <w:sz w:val="20"/>
                <w:lang w:eastAsia="ja-JP"/>
              </w:rPr>
              <w:t xml:space="preserve"> de los equipos y sistemas de radiocomunicaciones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431B7A" w:rsidRDefault="009828A4" w:rsidP="0009769A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CE 1</w:t>
            </w:r>
          </w:p>
        </w:tc>
        <w:tc>
          <w:tcPr>
            <w:tcW w:w="52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ind w:left="7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 se han iniciado todavía</w:t>
            </w:r>
            <w:r w:rsidR="0009769A">
              <w:rPr>
                <w:sz w:val="20"/>
                <w:lang w:eastAsia="ja-JP"/>
              </w:rPr>
              <w:t>.</w:t>
            </w:r>
          </w:p>
          <w:p w:rsidR="009828A4" w:rsidRPr="00915752" w:rsidRDefault="009828A4" w:rsidP="009B4751">
            <w:pPr>
              <w:ind w:left="76"/>
              <w:rPr>
                <w:sz w:val="20"/>
                <w:lang w:eastAsia="ja-JP"/>
              </w:rPr>
            </w:pPr>
          </w:p>
        </w:tc>
        <w:tc>
          <w:tcPr>
            <w:tcW w:w="13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828A4" w:rsidRPr="00915752" w:rsidRDefault="009828A4" w:rsidP="009B4751">
            <w:pPr>
              <w:pStyle w:val="Tabletex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</w:tbl>
    <w:p w:rsidR="00CA73AF" w:rsidRDefault="001D7681" w:rsidP="00E3776A">
      <w:pPr>
        <w:pStyle w:val="Tablelegend"/>
        <w:rPr>
          <w:sz w:val="20"/>
        </w:rPr>
      </w:pPr>
      <w:r w:rsidRPr="00427F9E">
        <w:rPr>
          <w:sz w:val="20"/>
          <w:lang w:eastAsia="ja-JP"/>
        </w:rPr>
        <w:t>Not</w:t>
      </w:r>
      <w:r w:rsidR="00427F9E" w:rsidRPr="00427F9E">
        <w:rPr>
          <w:sz w:val="20"/>
          <w:lang w:eastAsia="ja-JP"/>
        </w:rPr>
        <w:t>a</w:t>
      </w:r>
      <w:r w:rsidRPr="00427F9E">
        <w:rPr>
          <w:sz w:val="20"/>
          <w:lang w:eastAsia="ja-JP"/>
        </w:rPr>
        <w:t xml:space="preserve"> 1: </w:t>
      </w:r>
      <w:r w:rsidR="00535AE1">
        <w:rPr>
          <w:sz w:val="20"/>
          <w:lang w:eastAsia="ja-JP"/>
        </w:rPr>
        <w:t>Previa petición del GT 1B, el también podrá participar el GT 1A</w:t>
      </w:r>
      <w:r w:rsidRPr="008E3D87">
        <w:rPr>
          <w:sz w:val="20"/>
        </w:rPr>
        <w:t>.</w:t>
      </w:r>
    </w:p>
    <w:p w:rsidR="001D7681" w:rsidRPr="00431B7A" w:rsidRDefault="001D7681" w:rsidP="00CA73AF">
      <w:pPr>
        <w:pStyle w:val="Tablelegend"/>
        <w:jc w:val="center"/>
      </w:pPr>
      <w:r w:rsidRPr="00431B7A">
        <w:t>______________</w:t>
      </w:r>
    </w:p>
    <w:sectPr w:rsidR="001D7681" w:rsidRPr="00431B7A" w:rsidSect="008E3D87">
      <w:headerReference w:type="default" r:id="rId13"/>
      <w:footerReference w:type="default" r:id="rId14"/>
      <w:headerReference w:type="first" r:id="rId15"/>
      <w:footerReference w:type="first" r:id="rId16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87" w:rsidRDefault="008E3D87">
      <w:r>
        <w:separator/>
      </w:r>
    </w:p>
  </w:endnote>
  <w:endnote w:type="continuationSeparator" w:id="0">
    <w:p w:rsidR="008E3D87" w:rsidRDefault="008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87" w:rsidRDefault="008E3D8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921542">
      <w:rPr>
        <w:lang w:val="en-US"/>
      </w:rPr>
      <w:t>P:\ESP\ITU-R\AG\RAG13\RAG-1\000\008S.docx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56D">
      <w:t>07.05.13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1542">
      <w:t>07.05.13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25" w:rsidRDefault="00921542">
    <w:pPr>
      <w:pStyle w:val="Footer"/>
    </w:pPr>
    <w:fldSimple w:instr=" FILENAME \p  \* MERGEFORMAT ">
      <w:r>
        <w:t>P:\ESP\ITU-R\AG\RAG13\RAG-1\000\008S.docx</w:t>
      </w:r>
    </w:fldSimple>
    <w:r w:rsidR="008B6225">
      <w:t xml:space="preserve"> (343424)</w:t>
    </w:r>
    <w:r w:rsidR="008B6225">
      <w:tab/>
    </w:r>
    <w:r w:rsidR="008B6225">
      <w:fldChar w:fldCharType="begin"/>
    </w:r>
    <w:r w:rsidR="008B6225">
      <w:instrText xml:space="preserve"> SAVEDATE \@ DD.MM.YY </w:instrText>
    </w:r>
    <w:r w:rsidR="008B6225">
      <w:fldChar w:fldCharType="separate"/>
    </w:r>
    <w:r w:rsidR="0099456D">
      <w:t>07.05.13</w:t>
    </w:r>
    <w:r w:rsidR="008B6225">
      <w:fldChar w:fldCharType="end"/>
    </w:r>
    <w:r w:rsidR="008B6225">
      <w:tab/>
    </w:r>
    <w:r w:rsidR="008B6225">
      <w:fldChar w:fldCharType="begin"/>
    </w:r>
    <w:r w:rsidR="008B6225">
      <w:instrText xml:space="preserve"> PRINTDATE \@ DD.MM.YY </w:instrText>
    </w:r>
    <w:r w:rsidR="008B6225">
      <w:fldChar w:fldCharType="separate"/>
    </w:r>
    <w:r>
      <w:t>07.05.13</w:t>
    </w:r>
    <w:r w:rsidR="008B622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25" w:rsidRDefault="0099456D" w:rsidP="008B622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21542">
      <w:t>P:\ESP\ITU-R\AG\RAG13\RAG-1\000\008S.docx</w:t>
    </w:r>
    <w:r>
      <w:fldChar w:fldCharType="end"/>
    </w:r>
    <w:r w:rsidR="008B6225">
      <w:t xml:space="preserve"> (343424)</w:t>
    </w:r>
    <w:r w:rsidR="008B6225">
      <w:tab/>
    </w:r>
    <w:r w:rsidR="008B6225">
      <w:fldChar w:fldCharType="begin"/>
    </w:r>
    <w:r w:rsidR="008B6225">
      <w:instrText xml:space="preserve"> SAVEDATE \@ DD.MM.YY </w:instrText>
    </w:r>
    <w:r w:rsidR="008B6225">
      <w:fldChar w:fldCharType="separate"/>
    </w:r>
    <w:r>
      <w:t>07.05.13</w:t>
    </w:r>
    <w:r w:rsidR="008B6225">
      <w:fldChar w:fldCharType="end"/>
    </w:r>
    <w:r w:rsidR="008B6225">
      <w:tab/>
    </w:r>
    <w:r w:rsidR="008B6225">
      <w:fldChar w:fldCharType="begin"/>
    </w:r>
    <w:r w:rsidR="008B6225">
      <w:instrText xml:space="preserve"> PRINTDATE \@ DD.MM.YY </w:instrText>
    </w:r>
    <w:r w:rsidR="008B6225">
      <w:fldChar w:fldCharType="separate"/>
    </w:r>
    <w:r w:rsidR="00921542">
      <w:t>07.05.13</w:t>
    </w:r>
    <w:r w:rsidR="008B6225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25" w:rsidRDefault="0099456D" w:rsidP="008B622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21542">
      <w:t>P:\ESP\ITU-R\AG\RAG13\RAG-1\000\008S.docx</w:t>
    </w:r>
    <w:r>
      <w:fldChar w:fldCharType="end"/>
    </w:r>
    <w:r w:rsidR="008B6225">
      <w:t xml:space="preserve"> (343424)</w:t>
    </w:r>
    <w:r w:rsidR="008B6225">
      <w:tab/>
    </w:r>
    <w:r w:rsidR="008B6225">
      <w:fldChar w:fldCharType="begin"/>
    </w:r>
    <w:r w:rsidR="008B6225">
      <w:instrText xml:space="preserve"> SAVEDATE \@ DD.MM.YY </w:instrText>
    </w:r>
    <w:r w:rsidR="008B6225">
      <w:fldChar w:fldCharType="separate"/>
    </w:r>
    <w:r>
      <w:t>07.05.13</w:t>
    </w:r>
    <w:r w:rsidR="008B6225">
      <w:fldChar w:fldCharType="end"/>
    </w:r>
    <w:r w:rsidR="008B6225">
      <w:tab/>
    </w:r>
    <w:r w:rsidR="008B6225">
      <w:fldChar w:fldCharType="begin"/>
    </w:r>
    <w:r w:rsidR="008B6225">
      <w:instrText xml:space="preserve"> PRINTDATE \@ DD.MM.YY </w:instrText>
    </w:r>
    <w:r w:rsidR="008B6225">
      <w:fldChar w:fldCharType="separate"/>
    </w:r>
    <w:r w:rsidR="00921542">
      <w:t>07.05.13</w:t>
    </w:r>
    <w:r w:rsidR="008B622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87" w:rsidRDefault="008E3D87">
      <w:r>
        <w:t>____________________</w:t>
      </w:r>
    </w:p>
  </w:footnote>
  <w:footnote w:type="continuationSeparator" w:id="0">
    <w:p w:rsidR="008E3D87" w:rsidRDefault="008E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87" w:rsidRDefault="008E3D87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18CC">
      <w:rPr>
        <w:rStyle w:val="PageNumber"/>
        <w:noProof/>
      </w:rPr>
      <w:t>2</w:t>
    </w:r>
    <w:r>
      <w:rPr>
        <w:rStyle w:val="PageNumber"/>
      </w:rPr>
      <w:fldChar w:fldCharType="end"/>
    </w:r>
  </w:p>
  <w:p w:rsidR="008E3D87" w:rsidRDefault="008E3D87" w:rsidP="0031432E">
    <w:pPr>
      <w:pStyle w:val="Header"/>
      <w:rPr>
        <w:lang w:val="es-ES"/>
      </w:rPr>
    </w:pPr>
    <w:r>
      <w:rPr>
        <w:lang w:val="es-ES"/>
      </w:rPr>
      <w:t>RAG13-1/#-S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87" w:rsidRDefault="008E3D87" w:rsidP="008E3D8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9456D">
      <w:rPr>
        <w:noProof/>
      </w:rPr>
      <w:t>4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</w:t>
    </w:r>
    <w:r w:rsidR="008B6225">
      <w:t>8</w:t>
    </w:r>
    <w:r>
      <w:rPr>
        <w:lang w:val="es-ES"/>
      </w:rP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87" w:rsidRDefault="008E3D8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9456D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</w:t>
    </w:r>
    <w:r w:rsidR="008B6225">
      <w:t>8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0127E2"/>
    <w:multiLevelType w:val="hybridMultilevel"/>
    <w:tmpl w:val="8CF281DA"/>
    <w:lvl w:ilvl="0" w:tplc="4768AF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41"/>
    <w:rsid w:val="0009769A"/>
    <w:rsid w:val="0012592F"/>
    <w:rsid w:val="001346D9"/>
    <w:rsid w:val="001650CC"/>
    <w:rsid w:val="001D7681"/>
    <w:rsid w:val="002D08C9"/>
    <w:rsid w:val="002E5844"/>
    <w:rsid w:val="00306B5D"/>
    <w:rsid w:val="0031432E"/>
    <w:rsid w:val="0034043B"/>
    <w:rsid w:val="003B7EB6"/>
    <w:rsid w:val="00406BD7"/>
    <w:rsid w:val="00414D8B"/>
    <w:rsid w:val="00427F9E"/>
    <w:rsid w:val="00431B7A"/>
    <w:rsid w:val="00482905"/>
    <w:rsid w:val="004D6C09"/>
    <w:rsid w:val="00535AE1"/>
    <w:rsid w:val="0058574C"/>
    <w:rsid w:val="005D3E02"/>
    <w:rsid w:val="005F6441"/>
    <w:rsid w:val="00610642"/>
    <w:rsid w:val="00616601"/>
    <w:rsid w:val="006844BE"/>
    <w:rsid w:val="00686617"/>
    <w:rsid w:val="00692180"/>
    <w:rsid w:val="006A42AB"/>
    <w:rsid w:val="006E291F"/>
    <w:rsid w:val="00765415"/>
    <w:rsid w:val="007D5E9C"/>
    <w:rsid w:val="007E69FF"/>
    <w:rsid w:val="007F1AFF"/>
    <w:rsid w:val="00833225"/>
    <w:rsid w:val="008B6225"/>
    <w:rsid w:val="008E3D87"/>
    <w:rsid w:val="00903FC7"/>
    <w:rsid w:val="00915752"/>
    <w:rsid w:val="00921542"/>
    <w:rsid w:val="00944686"/>
    <w:rsid w:val="00951079"/>
    <w:rsid w:val="009828A4"/>
    <w:rsid w:val="0099456D"/>
    <w:rsid w:val="009B4751"/>
    <w:rsid w:val="009C5447"/>
    <w:rsid w:val="00A10A8C"/>
    <w:rsid w:val="00A33AD6"/>
    <w:rsid w:val="00B32E51"/>
    <w:rsid w:val="00BA23F9"/>
    <w:rsid w:val="00BB322E"/>
    <w:rsid w:val="00C92A0A"/>
    <w:rsid w:val="00C92EF8"/>
    <w:rsid w:val="00CA73AF"/>
    <w:rsid w:val="00CB7A43"/>
    <w:rsid w:val="00DC4397"/>
    <w:rsid w:val="00E3776A"/>
    <w:rsid w:val="00E56664"/>
    <w:rsid w:val="00E72EA7"/>
    <w:rsid w:val="00F018CC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AppendixNo">
    <w:name w:val="Appendix_No"/>
    <w:basedOn w:val="Normal"/>
    <w:next w:val="Normal"/>
    <w:link w:val="AppendixNoC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ppendixNoCar">
    <w:name w:val="Appendix_No Car"/>
    <w:link w:val="AppendixNo"/>
    <w:locked/>
    <w:rsid w:val="00BA23F9"/>
    <w:rPr>
      <w:rFonts w:ascii="Times New Roman" w:hAnsi="Times New Roman"/>
      <w:caps/>
      <w:sz w:val="26"/>
      <w:lang w:val="ru-RU" w:eastAsia="en-US"/>
    </w:rPr>
  </w:style>
  <w:style w:type="paragraph" w:customStyle="1" w:styleId="Appendixtitle">
    <w:name w:val="Appendix_title"/>
    <w:basedOn w:val="Normal"/>
    <w:next w:val="Normal"/>
    <w:link w:val="AppendixtitleCh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ppendixtitleChar">
    <w:name w:val="Appendix_title Char"/>
    <w:link w:val="Appendixtitle"/>
    <w:locked/>
    <w:rsid w:val="00BA23F9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link w:val="Tabletext"/>
    <w:locked/>
    <w:rsid w:val="00BA23F9"/>
    <w:rPr>
      <w:rFonts w:ascii="Times New Roman" w:hAnsi="Times New Roman"/>
      <w:sz w:val="22"/>
      <w:lang w:val="es-ES_tradnl" w:eastAsia="en-US"/>
    </w:rPr>
  </w:style>
  <w:style w:type="character" w:customStyle="1" w:styleId="FooterChar">
    <w:name w:val="Footer Char"/>
    <w:link w:val="Footer"/>
    <w:rsid w:val="00BA23F9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link w:val="Header"/>
    <w:rsid w:val="00BA23F9"/>
    <w:rPr>
      <w:rFonts w:ascii="Times New Roman" w:hAnsi="Times New Roman"/>
      <w:sz w:val="18"/>
      <w:lang w:val="es-ES_tradnl" w:eastAsia="en-US"/>
    </w:rPr>
  </w:style>
  <w:style w:type="character" w:styleId="Hyperlink">
    <w:name w:val="Hyperlink"/>
    <w:basedOn w:val="DefaultParagraphFont"/>
    <w:uiPriority w:val="99"/>
    <w:rsid w:val="00BA23F9"/>
    <w:rPr>
      <w:rFonts w:ascii="Times New Roman" w:hAnsi="Times New Roman"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1D7681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E3776A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AppendixNo">
    <w:name w:val="Appendix_No"/>
    <w:basedOn w:val="Normal"/>
    <w:next w:val="Normal"/>
    <w:link w:val="AppendixNoC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ppendixNoCar">
    <w:name w:val="Appendix_No Car"/>
    <w:link w:val="AppendixNo"/>
    <w:locked/>
    <w:rsid w:val="00BA23F9"/>
    <w:rPr>
      <w:rFonts w:ascii="Times New Roman" w:hAnsi="Times New Roman"/>
      <w:caps/>
      <w:sz w:val="26"/>
      <w:lang w:val="ru-RU" w:eastAsia="en-US"/>
    </w:rPr>
  </w:style>
  <w:style w:type="paragraph" w:customStyle="1" w:styleId="Appendixtitle">
    <w:name w:val="Appendix_title"/>
    <w:basedOn w:val="Normal"/>
    <w:next w:val="Normal"/>
    <w:link w:val="AppendixtitleCh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ppendixtitleChar">
    <w:name w:val="Appendix_title Char"/>
    <w:link w:val="Appendixtitle"/>
    <w:locked/>
    <w:rsid w:val="00BA23F9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link w:val="Tabletext"/>
    <w:locked/>
    <w:rsid w:val="00BA23F9"/>
    <w:rPr>
      <w:rFonts w:ascii="Times New Roman" w:hAnsi="Times New Roman"/>
      <w:sz w:val="22"/>
      <w:lang w:val="es-ES_tradnl" w:eastAsia="en-US"/>
    </w:rPr>
  </w:style>
  <w:style w:type="character" w:customStyle="1" w:styleId="FooterChar">
    <w:name w:val="Footer Char"/>
    <w:link w:val="Footer"/>
    <w:rsid w:val="00BA23F9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link w:val="Header"/>
    <w:rsid w:val="00BA23F9"/>
    <w:rPr>
      <w:rFonts w:ascii="Times New Roman" w:hAnsi="Times New Roman"/>
      <w:sz w:val="18"/>
      <w:lang w:val="es-ES_tradnl" w:eastAsia="en-US"/>
    </w:rPr>
  </w:style>
  <w:style w:type="character" w:styleId="Hyperlink">
    <w:name w:val="Hyperlink"/>
    <w:basedOn w:val="DefaultParagraphFont"/>
    <w:uiPriority w:val="99"/>
    <w:rsid w:val="00BA23F9"/>
    <w:rPr>
      <w:rFonts w:ascii="Times New Roman" w:hAnsi="Times New Roman"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1D7681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E3776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715C-CD3F-4C48-A9A9-073757D7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PS_RAG13</Template>
  <TotalTime>107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THE PROGRESS OF THE STUDIES REQUESTED IN THE ITU-R RESOLUTIONS (FOR INFORMATION)</vt:lpstr>
    </vt:vector>
  </TitlesOfParts>
  <Manager>General Secretariat - Pool</Manager>
  <Company>International Telecommunication Union (ITU)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THE PROGRESS OF THE STUDIES REQUESTED IN THE ITU-R RESOLUTIONS (FOR INFORMATION)</dc:title>
  <dc:subject>GRUPO ASESOR DE RADIOCOMUNICACIONES</dc:subject>
  <dc:creator>Chairman, Study Group 5</dc:creator>
  <cp:keywords>RAG03-1</cp:keywords>
  <dc:description>Documento RAG13-1/2-S  For: _x000d_Document date: 3 de abril de 2013_x000d_Saved by ITU51007802 at 18:08:54 on 11/04/2013</dc:description>
  <cp:lastModifiedBy>millet</cp:lastModifiedBy>
  <cp:revision>10</cp:revision>
  <cp:lastPrinted>2013-05-07T09:08:00Z</cp:lastPrinted>
  <dcterms:created xsi:type="dcterms:W3CDTF">2013-05-06T08:10:00Z</dcterms:created>
  <dcterms:modified xsi:type="dcterms:W3CDTF">2013-05-10T14:06:00Z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RAG13-1/2-S</vt:lpwstr>
  </property>
  <property fmtid="{D5CDD505-2E9C-101B-9397-08002B2CF9AE}" pid="3" name="Docdate">
    <vt:lpwstr>3 de abril de 2013</vt:lpwstr>
  </property>
  <property fmtid="{D5CDD505-2E9C-101B-9397-08002B2CF9AE}" pid="4" name="Docorlang">
    <vt:lpwstr>Original: inglés</vt:lpwstr>
  </property>
  <property fmtid="{D5CDD505-2E9C-101B-9397-08002B2CF9AE}" pid="5" name="Docauthor">
    <vt:lpwstr>Chairman, Study Group 5</vt:lpwstr>
  </property>
</Properties>
</file>