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>
        <w:trPr>
          <w:cantSplit/>
        </w:trPr>
        <w:tc>
          <w:tcPr>
            <w:tcW w:w="6771" w:type="dxa"/>
          </w:tcPr>
          <w:p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="003104E5" w:rsidRPr="003104E5">
              <w:rPr>
                <w:rFonts w:ascii="Verdana" w:hAnsi="Verdana" w:cs="Times New Roman Bold"/>
                <w:b/>
                <w:bCs/>
                <w:sz w:val="20"/>
              </w:rPr>
              <w:t>Geneva, 22-24 May 2013</w:t>
            </w:r>
          </w:p>
        </w:tc>
        <w:tc>
          <w:tcPr>
            <w:tcW w:w="3118" w:type="dxa"/>
          </w:tcPr>
          <w:p w:rsidR="0051782D" w:rsidRPr="00D872CB" w:rsidRDefault="00712178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0" w:after="48"/>
              <w:jc w:val="center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D872CB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0" w:after="48"/>
              <w:jc w:val="center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</w:pPr>
          </w:p>
        </w:tc>
      </w:tr>
      <w:tr w:rsidR="00175E0C" w:rsidRPr="00D872CB">
        <w:trPr>
          <w:cantSplit/>
        </w:trPr>
        <w:tc>
          <w:tcPr>
            <w:tcW w:w="6771" w:type="dxa"/>
          </w:tcPr>
          <w:p w:rsidR="00175E0C" w:rsidRPr="00D872CB" w:rsidRDefault="00175E0C" w:rsidP="00DC77EE">
            <w:pPr>
              <w:framePr w:hSpace="181" w:wrap="around" w:vAnchor="page" w:hAnchor="margin" w:x="1" w:y="852"/>
              <w:shd w:val="solid" w:color="FFFFFF" w:fill="FFFFFF"/>
              <w:spacing w:before="0"/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:rsidR="00175E0C" w:rsidRPr="00D872CB" w:rsidRDefault="00175E0C" w:rsidP="00C67CEE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</w:p>
        </w:tc>
      </w:tr>
      <w:tr w:rsidR="0051782D" w:rsidRPr="00D872CB">
        <w:trPr>
          <w:cantSplit/>
        </w:trPr>
        <w:tc>
          <w:tcPr>
            <w:tcW w:w="6771" w:type="dxa"/>
            <w:vMerge w:val="restart"/>
          </w:tcPr>
          <w:p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after="240"/>
              <w:jc w:val="center"/>
              <w:rPr>
                <w:sz w:val="20"/>
              </w:rPr>
            </w:pPr>
            <w:bookmarkStart w:id="0" w:name="dnum" w:colFirst="1" w:colLast="1"/>
          </w:p>
        </w:tc>
        <w:tc>
          <w:tcPr>
            <w:tcW w:w="3118" w:type="dxa"/>
          </w:tcPr>
          <w:p w:rsidR="0051782D" w:rsidRPr="00D872CB" w:rsidRDefault="00BD7223" w:rsidP="00D93784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Document RAG</w:t>
            </w:r>
            <w:r w:rsidR="00825ABF">
              <w:rPr>
                <w:rFonts w:ascii="Verdana" w:hAnsi="Verdana"/>
                <w:b/>
                <w:sz w:val="20"/>
              </w:rPr>
              <w:t>1</w:t>
            </w:r>
            <w:r w:rsidR="00C30D90">
              <w:rPr>
                <w:rFonts w:ascii="Verdana" w:hAnsi="Verdana" w:hint="eastAsia"/>
                <w:b/>
                <w:sz w:val="20"/>
                <w:lang w:eastAsia="ko-KR"/>
              </w:rPr>
              <w:t>3</w:t>
            </w:r>
            <w:r w:rsidRPr="00D872CB">
              <w:rPr>
                <w:rFonts w:ascii="Verdana" w:hAnsi="Verdana"/>
                <w:b/>
                <w:sz w:val="20"/>
              </w:rPr>
              <w:t>-1/</w:t>
            </w:r>
            <w:r w:rsidR="00D93784">
              <w:rPr>
                <w:rFonts w:ascii="Verdana" w:hAnsi="Verdana"/>
                <w:b/>
                <w:sz w:val="20"/>
              </w:rPr>
              <w:t>4</w:t>
            </w:r>
            <w:r w:rsidRPr="00D872C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RPr="00D872CB">
        <w:trPr>
          <w:cantSplit/>
        </w:trPr>
        <w:tc>
          <w:tcPr>
            <w:tcW w:w="6771" w:type="dxa"/>
            <w:vMerge/>
          </w:tcPr>
          <w:p w:rsidR="0051782D" w:rsidRPr="00D872CB" w:rsidRDefault="0051782D" w:rsidP="00DC77EE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1" w:name="ddate" w:colFirst="1" w:colLast="1"/>
            <w:bookmarkEnd w:id="0"/>
          </w:p>
        </w:tc>
        <w:tc>
          <w:tcPr>
            <w:tcW w:w="3118" w:type="dxa"/>
          </w:tcPr>
          <w:p w:rsidR="0051782D" w:rsidRPr="00D872CB" w:rsidRDefault="00416E86" w:rsidP="00C30D90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ko-KR"/>
              </w:rPr>
            </w:pPr>
            <w:r>
              <w:rPr>
                <w:rFonts w:ascii="Verdana" w:hAnsi="Verdana" w:hint="eastAsia"/>
                <w:b/>
                <w:sz w:val="20"/>
                <w:lang w:eastAsia="ko-KR"/>
              </w:rPr>
              <w:t>19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</w:t>
            </w:r>
            <w:r w:rsidR="00C30D90">
              <w:rPr>
                <w:rFonts w:ascii="Verdana" w:hAnsi="Verdana" w:hint="eastAsia"/>
                <w:b/>
                <w:sz w:val="20"/>
                <w:lang w:eastAsia="ko-KR"/>
              </w:rPr>
              <w:t>April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20</w:t>
            </w:r>
            <w:r w:rsidR="001E190A">
              <w:rPr>
                <w:rFonts w:ascii="Verdana" w:hAnsi="Verdana"/>
                <w:b/>
                <w:sz w:val="20"/>
              </w:rPr>
              <w:t>1</w:t>
            </w:r>
            <w:r w:rsidR="003104E5">
              <w:rPr>
                <w:rFonts w:ascii="Verdana" w:hAnsi="Verdana" w:hint="eastAsia"/>
                <w:b/>
                <w:sz w:val="20"/>
                <w:lang w:eastAsia="ko-KR"/>
              </w:rPr>
              <w:t>3</w:t>
            </w:r>
          </w:p>
        </w:tc>
      </w:tr>
      <w:tr w:rsidR="0051782D" w:rsidRPr="00D872CB">
        <w:trPr>
          <w:cantSplit/>
        </w:trPr>
        <w:tc>
          <w:tcPr>
            <w:tcW w:w="6771" w:type="dxa"/>
            <w:vMerge/>
          </w:tcPr>
          <w:p w:rsidR="0051782D" w:rsidRPr="00D872CB" w:rsidRDefault="0051782D" w:rsidP="00DC77EE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orlang" w:colFirst="1" w:colLast="1"/>
            <w:bookmarkEnd w:id="1"/>
          </w:p>
        </w:tc>
        <w:tc>
          <w:tcPr>
            <w:tcW w:w="3118" w:type="dxa"/>
          </w:tcPr>
          <w:p w:rsidR="0051782D" w:rsidRPr="00D872CB" w:rsidRDefault="00BD7223" w:rsidP="007156C7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 w:rsidRPr="00D872CB">
        <w:trPr>
          <w:cantSplit/>
        </w:trPr>
        <w:tc>
          <w:tcPr>
            <w:tcW w:w="9889" w:type="dxa"/>
          </w:tcPr>
          <w:p w:rsidR="00093C73" w:rsidRPr="00D872CB" w:rsidRDefault="003104E5" w:rsidP="0063464E">
            <w:pPr>
              <w:pStyle w:val="Source"/>
              <w:rPr>
                <w:lang w:eastAsia="ko-KR"/>
              </w:rPr>
            </w:pPr>
            <w:bookmarkStart w:id="3" w:name="dsource" w:colFirst="0" w:colLast="0"/>
            <w:bookmarkEnd w:id="2"/>
            <w:r>
              <w:rPr>
                <w:rFonts w:hint="eastAsia"/>
                <w:lang w:eastAsia="ko-KR"/>
              </w:rPr>
              <w:t>Korea (Rep. of)</w:t>
            </w:r>
          </w:p>
        </w:tc>
      </w:tr>
      <w:tr w:rsidR="00093C73" w:rsidRPr="00D872CB">
        <w:trPr>
          <w:cantSplit/>
        </w:trPr>
        <w:tc>
          <w:tcPr>
            <w:tcW w:w="9889" w:type="dxa"/>
          </w:tcPr>
          <w:p w:rsidR="00093C73" w:rsidRPr="003104E5" w:rsidRDefault="003104E5" w:rsidP="000576C4">
            <w:pPr>
              <w:spacing w:before="240"/>
              <w:jc w:val="center"/>
              <w:rPr>
                <w:sz w:val="28"/>
                <w:szCs w:val="28"/>
              </w:rPr>
            </w:pPr>
            <w:bookmarkStart w:id="4" w:name="dtitle1" w:colFirst="0" w:colLast="0"/>
            <w:bookmarkEnd w:id="3"/>
            <w:r>
              <w:rPr>
                <w:rFonts w:hint="eastAsia"/>
                <w:sz w:val="28"/>
                <w:szCs w:val="28"/>
                <w:lang w:eastAsia="ko-KR"/>
              </w:rPr>
              <w:t xml:space="preserve">PROPOSALS TO </w:t>
            </w:r>
            <w:r w:rsidR="00C30D90">
              <w:rPr>
                <w:rFonts w:hint="eastAsia"/>
                <w:sz w:val="28"/>
                <w:szCs w:val="28"/>
                <w:lang w:eastAsia="ko-KR"/>
              </w:rPr>
              <w:t>UPDATE</w:t>
            </w:r>
            <w:r>
              <w:rPr>
                <w:rFonts w:hint="eastAsia"/>
                <w:sz w:val="28"/>
                <w:szCs w:val="28"/>
                <w:lang w:eastAsia="ko-KR"/>
              </w:rPr>
              <w:t xml:space="preserve"> </w:t>
            </w:r>
            <w:r w:rsidR="005A2A7A">
              <w:rPr>
                <w:sz w:val="28"/>
                <w:szCs w:val="28"/>
                <w:lang w:eastAsia="ko-KR"/>
              </w:rPr>
              <w:t>“</w:t>
            </w:r>
            <w:r>
              <w:rPr>
                <w:rFonts w:hint="eastAsia"/>
                <w:sz w:val="28"/>
                <w:szCs w:val="28"/>
                <w:lang w:eastAsia="ko-KR"/>
              </w:rPr>
              <w:t>GUIDELINES FOR THE WORKING METHODS OF THE RADIOCOMMUNICATION ASSEMBLY, THE RADIOCOMMUNICATION STUDY GROUPS AND RELATED GROUPS</w:t>
            </w:r>
            <w:r w:rsidR="005A2A7A">
              <w:rPr>
                <w:sz w:val="28"/>
                <w:szCs w:val="28"/>
                <w:lang w:eastAsia="ko-KR"/>
              </w:rPr>
              <w:t>”</w:t>
            </w:r>
            <w:r w:rsidR="000576C4">
              <w:rPr>
                <w:rFonts w:hint="eastAsia"/>
                <w:sz w:val="28"/>
                <w:szCs w:val="28"/>
                <w:lang w:eastAsia="ko-KR"/>
              </w:rPr>
              <w:t xml:space="preserve"> AND IMPROVEMENT OF ACCESSIBILITY OF INFORMATION</w:t>
            </w:r>
          </w:p>
        </w:tc>
      </w:tr>
      <w:bookmarkEnd w:id="4"/>
    </w:tbl>
    <w:p w:rsidR="0063464E" w:rsidRPr="000576C4" w:rsidRDefault="0063464E" w:rsidP="003104E5">
      <w:pPr>
        <w:spacing w:after="120"/>
        <w:rPr>
          <w:szCs w:val="24"/>
          <w:lang w:eastAsia="ko-KR"/>
        </w:rPr>
      </w:pPr>
    </w:p>
    <w:p w:rsidR="0063464E" w:rsidRDefault="003104E5" w:rsidP="003B6E63">
      <w:pPr>
        <w:pStyle w:val="Heading1"/>
        <w:spacing w:before="120"/>
        <w:jc w:val="both"/>
        <w:rPr>
          <w:szCs w:val="24"/>
          <w:lang w:eastAsia="ko-KR"/>
        </w:rPr>
      </w:pPr>
      <w:r w:rsidRPr="00D872CB">
        <w:t>1</w:t>
      </w:r>
      <w:r w:rsidRPr="00D872CB">
        <w:tab/>
      </w:r>
      <w:r w:rsidR="003B6E63">
        <w:rPr>
          <w:rFonts w:hint="eastAsia"/>
          <w:szCs w:val="24"/>
          <w:lang w:eastAsia="ko-KR"/>
        </w:rPr>
        <w:t>Introduction</w:t>
      </w:r>
    </w:p>
    <w:p w:rsidR="000576C4" w:rsidRDefault="002E450C" w:rsidP="000576C4">
      <w:pPr>
        <w:rPr>
          <w:lang w:eastAsia="ko-KR"/>
        </w:rPr>
      </w:pPr>
      <w:r>
        <w:rPr>
          <w:lang w:eastAsia="ko-KR"/>
        </w:rPr>
        <w:t xml:space="preserve">The </w:t>
      </w:r>
      <w:r w:rsidR="000576C4">
        <w:rPr>
          <w:rFonts w:hint="eastAsia"/>
          <w:lang w:eastAsia="ko-KR"/>
        </w:rPr>
        <w:t xml:space="preserve">Radiocommunication Assembly was held in January 2012 and consequential </w:t>
      </w:r>
      <w:r w:rsidR="00A33F37">
        <w:rPr>
          <w:rFonts w:hint="eastAsia"/>
          <w:lang w:eastAsia="ko-KR"/>
        </w:rPr>
        <w:t>actions are</w:t>
      </w:r>
      <w:r w:rsidR="000576C4">
        <w:rPr>
          <w:rFonts w:hint="eastAsia"/>
          <w:lang w:eastAsia="ko-KR"/>
        </w:rPr>
        <w:t xml:space="preserve"> needed in the guidelines of working method for the benefit of delegates of the ITU-R meetings. </w:t>
      </w:r>
    </w:p>
    <w:p w:rsidR="000576C4" w:rsidRDefault="000576C4" w:rsidP="000576C4">
      <w:pPr>
        <w:rPr>
          <w:lang w:eastAsia="ko-KR"/>
        </w:rPr>
      </w:pPr>
      <w:r>
        <w:rPr>
          <w:rFonts w:hint="eastAsia"/>
          <w:lang w:eastAsia="ko-KR"/>
        </w:rPr>
        <w:t xml:space="preserve">It is also noted that there are useful </w:t>
      </w:r>
      <w:r>
        <w:rPr>
          <w:lang w:eastAsia="ko-KR"/>
        </w:rPr>
        <w:t>information</w:t>
      </w:r>
      <w:r>
        <w:rPr>
          <w:rFonts w:hint="eastAsia"/>
          <w:lang w:eastAsia="ko-KR"/>
        </w:rPr>
        <w:t xml:space="preserve"> related to the meetings here and there on the ITU-R webpages which are not </w:t>
      </w:r>
      <w:r w:rsidRPr="0090227C">
        <w:rPr>
          <w:rFonts w:hint="eastAsia"/>
          <w:lang w:eastAsia="ko-KR"/>
        </w:rPr>
        <w:t xml:space="preserve">easy </w:t>
      </w:r>
      <w:r w:rsidR="00C7177D" w:rsidRPr="0090227C">
        <w:rPr>
          <w:lang w:eastAsia="ko-KR"/>
        </w:rPr>
        <w:t>for new delegates</w:t>
      </w:r>
      <w:r w:rsidR="00C7177D" w:rsidRPr="0090227C">
        <w:rPr>
          <w:rFonts w:hint="eastAsia"/>
          <w:lang w:eastAsia="ko-KR"/>
        </w:rPr>
        <w:t xml:space="preserve"> </w:t>
      </w:r>
      <w:r w:rsidRPr="0090227C">
        <w:rPr>
          <w:rFonts w:hint="eastAsia"/>
          <w:lang w:eastAsia="ko-KR"/>
        </w:rPr>
        <w:t>to</w:t>
      </w:r>
      <w:r>
        <w:rPr>
          <w:rFonts w:hint="eastAsia"/>
          <w:lang w:eastAsia="ko-KR"/>
        </w:rPr>
        <w:t xml:space="preserve"> find.</w:t>
      </w:r>
    </w:p>
    <w:p w:rsidR="003104E5" w:rsidRPr="00851EEC" w:rsidRDefault="000576C4" w:rsidP="0085669C">
      <w:pPr>
        <w:pStyle w:val="Heading1"/>
        <w:rPr>
          <w:lang w:eastAsia="ko-KR"/>
        </w:rPr>
      </w:pPr>
      <w:r>
        <w:rPr>
          <w:rFonts w:hint="eastAsia"/>
          <w:lang w:eastAsia="ko-KR"/>
        </w:rPr>
        <w:t>2</w:t>
      </w:r>
      <w:r w:rsidR="003104E5" w:rsidRPr="00851EEC">
        <w:rPr>
          <w:rFonts w:hint="eastAsia"/>
          <w:lang w:eastAsia="ko-KR"/>
        </w:rPr>
        <w:t xml:space="preserve"> </w:t>
      </w:r>
      <w:r w:rsidR="003104E5" w:rsidRPr="00851EEC">
        <w:rPr>
          <w:rFonts w:hint="eastAsia"/>
          <w:lang w:eastAsia="ko-KR"/>
        </w:rPr>
        <w:tab/>
      </w:r>
      <w:r w:rsidR="00851EEC" w:rsidRPr="00851EEC">
        <w:rPr>
          <w:rFonts w:hint="eastAsia"/>
          <w:lang w:eastAsia="ko-KR"/>
        </w:rPr>
        <w:t xml:space="preserve">Update guidelines for </w:t>
      </w:r>
      <w:r w:rsidR="00C30D90">
        <w:rPr>
          <w:rFonts w:hint="eastAsia"/>
          <w:lang w:eastAsia="ko-KR"/>
        </w:rPr>
        <w:t xml:space="preserve">the </w:t>
      </w:r>
      <w:r w:rsidR="00851EEC" w:rsidRPr="00851EEC">
        <w:rPr>
          <w:rFonts w:hint="eastAsia"/>
          <w:lang w:eastAsia="ko-KR"/>
        </w:rPr>
        <w:t>working method</w:t>
      </w:r>
      <w:r w:rsidR="00C30D90">
        <w:rPr>
          <w:rFonts w:hint="eastAsia"/>
          <w:lang w:eastAsia="ko-KR"/>
        </w:rPr>
        <w:t>s</w:t>
      </w:r>
    </w:p>
    <w:p w:rsidR="00851EEC" w:rsidRDefault="00851EEC" w:rsidP="00D93784">
      <w:pPr>
        <w:spacing w:after="120"/>
        <w:rPr>
          <w:lang w:eastAsia="ko-KR"/>
        </w:rPr>
      </w:pPr>
      <w:r>
        <w:t>The working methods of the Radiocommunication Assembly (RA) and the Radiocommunication Study Groups are contained in Resolution ITU-R 1</w:t>
      </w:r>
      <w:r>
        <w:rPr>
          <w:rFonts w:hint="eastAsia"/>
          <w:lang w:eastAsia="ko-KR"/>
        </w:rPr>
        <w:t>-6</w:t>
      </w:r>
      <w:r>
        <w:t xml:space="preserve"> </w:t>
      </w:r>
      <w:r w:rsidR="002E363D">
        <w:rPr>
          <w:rFonts w:hint="eastAsia"/>
          <w:lang w:eastAsia="ko-KR"/>
        </w:rPr>
        <w:t>which</w:t>
      </w:r>
      <w:r>
        <w:t xml:space="preserve"> refers to </w:t>
      </w:r>
      <w:r w:rsidR="0034074E">
        <w:rPr>
          <w:lang w:eastAsia="ko-KR"/>
        </w:rPr>
        <w:t xml:space="preserve">the </w:t>
      </w:r>
      <w:r w:rsidR="0034074E" w:rsidRPr="00B76772">
        <w:rPr>
          <w:iCs/>
          <w:lang w:eastAsia="ko-KR"/>
        </w:rPr>
        <w:t>g</w:t>
      </w:r>
      <w:r w:rsidR="0034074E" w:rsidRPr="00B76772">
        <w:rPr>
          <w:iCs/>
        </w:rPr>
        <w:t>uidelines</w:t>
      </w:r>
      <w:r>
        <w:t xml:space="preserve"> issued by the Director</w:t>
      </w:r>
      <w:r w:rsidR="007E5CD1">
        <w:rPr>
          <w:rFonts w:hint="eastAsia"/>
          <w:lang w:eastAsia="ko-KR"/>
        </w:rPr>
        <w:t xml:space="preserve">. The </w:t>
      </w:r>
      <w:r w:rsidR="0034074E" w:rsidRPr="00B76772">
        <w:rPr>
          <w:lang w:eastAsia="ko-KR"/>
        </w:rPr>
        <w:t>guidelines</w:t>
      </w:r>
      <w:r w:rsidR="0034074E">
        <w:t xml:space="preserve"> </w:t>
      </w:r>
      <w:r>
        <w:t>provid</w:t>
      </w:r>
      <w:r w:rsidR="003B6E63">
        <w:rPr>
          <w:rFonts w:hint="eastAsia"/>
          <w:lang w:eastAsia="ko-KR"/>
        </w:rPr>
        <w:t>e</w:t>
      </w:r>
      <w:r w:rsidR="007E5CD1">
        <w:rPr>
          <w:rFonts w:hint="eastAsia"/>
          <w:lang w:eastAsia="ko-KR"/>
        </w:rPr>
        <w:t>s</w:t>
      </w:r>
      <w:r>
        <w:t xml:space="preserve"> additional information on working procedures</w:t>
      </w:r>
      <w:r w:rsidR="007E5CD1">
        <w:rPr>
          <w:rFonts w:hint="eastAsia"/>
          <w:lang w:eastAsia="ko-KR"/>
        </w:rPr>
        <w:t xml:space="preserve"> in detail</w:t>
      </w:r>
      <w:r>
        <w:t>.</w:t>
      </w:r>
    </w:p>
    <w:p w:rsidR="00706BF3" w:rsidRPr="008B7D28" w:rsidRDefault="001F1A03" w:rsidP="00D93784">
      <w:pPr>
        <w:spacing w:after="120"/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 xml:space="preserve">According to the Resolution, </w:t>
      </w:r>
      <w:r w:rsidR="00F26670">
        <w:rPr>
          <w:rFonts w:hint="eastAsia"/>
          <w:szCs w:val="24"/>
          <w:lang w:eastAsia="ko-KR"/>
        </w:rPr>
        <w:t>t</w:t>
      </w:r>
      <w:r w:rsidR="00851EEC" w:rsidRPr="00851EEC">
        <w:rPr>
          <w:szCs w:val="24"/>
          <w:lang w:eastAsia="ko-KR"/>
        </w:rPr>
        <w:t xml:space="preserve">he Director of the Radiocommunication Bureau is authorized </w:t>
      </w:r>
      <w:r>
        <w:rPr>
          <w:szCs w:val="24"/>
          <w:lang w:eastAsia="ko-KR"/>
        </w:rPr>
        <w:t xml:space="preserve">to </w:t>
      </w:r>
      <w:r>
        <w:rPr>
          <w:rFonts w:hint="eastAsia"/>
          <w:szCs w:val="24"/>
          <w:lang w:eastAsia="ko-KR"/>
        </w:rPr>
        <w:t>revise</w:t>
      </w:r>
      <w:r w:rsidRPr="00851EEC">
        <w:rPr>
          <w:szCs w:val="24"/>
          <w:lang w:eastAsia="ko-KR"/>
        </w:rPr>
        <w:t xml:space="preserve"> </w:t>
      </w:r>
      <w:r w:rsidRPr="001F1A03">
        <w:rPr>
          <w:rFonts w:hint="eastAsia"/>
          <w:szCs w:val="24"/>
          <w:lang w:eastAsia="ko-KR"/>
        </w:rPr>
        <w:t>the G</w:t>
      </w:r>
      <w:r w:rsidRPr="001F1A03">
        <w:rPr>
          <w:szCs w:val="24"/>
          <w:lang w:eastAsia="ko-KR"/>
        </w:rPr>
        <w:t>uidelines</w:t>
      </w:r>
      <w:r w:rsidRPr="00851EEC">
        <w:rPr>
          <w:szCs w:val="24"/>
          <w:lang w:eastAsia="ko-KR"/>
        </w:rPr>
        <w:t xml:space="preserve"> </w:t>
      </w:r>
      <w:r w:rsidR="00BB764C">
        <w:rPr>
          <w:rFonts w:hint="eastAsia"/>
          <w:szCs w:val="24"/>
          <w:lang w:eastAsia="ko-KR"/>
        </w:rPr>
        <w:t xml:space="preserve">periodically </w:t>
      </w:r>
      <w:r w:rsidR="00851EEC" w:rsidRPr="00851EEC">
        <w:rPr>
          <w:szCs w:val="24"/>
          <w:lang w:eastAsia="ko-KR"/>
        </w:rPr>
        <w:t>in close cooperation with RAG when needed</w:t>
      </w:r>
      <w:r w:rsidR="00F26670">
        <w:rPr>
          <w:rFonts w:hint="eastAsia"/>
          <w:szCs w:val="24"/>
          <w:lang w:eastAsia="ko-KR"/>
        </w:rPr>
        <w:t>.</w:t>
      </w:r>
    </w:p>
    <w:p w:rsidR="00851EEC" w:rsidRPr="00F26670" w:rsidRDefault="00706BF3" w:rsidP="00D93784">
      <w:pPr>
        <w:spacing w:after="120"/>
        <w:rPr>
          <w:szCs w:val="24"/>
          <w:lang w:eastAsia="ko-KR"/>
        </w:rPr>
      </w:pPr>
      <w:r>
        <w:rPr>
          <w:rFonts w:hint="eastAsia"/>
          <w:szCs w:val="24"/>
          <w:lang w:eastAsia="ko-KR"/>
        </w:rPr>
        <w:t>With this regards,</w:t>
      </w:r>
      <w:r w:rsidR="00F26670">
        <w:rPr>
          <w:rFonts w:hint="eastAsia"/>
          <w:szCs w:val="24"/>
          <w:lang w:eastAsia="ko-KR"/>
        </w:rPr>
        <w:t xml:space="preserve"> current</w:t>
      </w:r>
      <w:r w:rsidR="005A2A7A">
        <w:rPr>
          <w:rFonts w:hint="eastAsia"/>
          <w:szCs w:val="24"/>
          <w:lang w:eastAsia="ko-KR"/>
        </w:rPr>
        <w:t xml:space="preserve"> edition of</w:t>
      </w:r>
      <w:r w:rsidR="00F26670">
        <w:rPr>
          <w:rFonts w:hint="eastAsia"/>
          <w:szCs w:val="24"/>
          <w:lang w:eastAsia="ko-KR"/>
        </w:rPr>
        <w:t xml:space="preserve"> </w:t>
      </w:r>
      <w:r w:rsidR="00EC45CF">
        <w:rPr>
          <w:szCs w:val="24"/>
          <w:lang w:eastAsia="ko-KR"/>
        </w:rPr>
        <w:t>“</w:t>
      </w:r>
      <w:r w:rsidR="00EC45CF">
        <w:rPr>
          <w:rFonts w:hint="eastAsia"/>
          <w:szCs w:val="24"/>
          <w:lang w:eastAsia="ko-KR"/>
        </w:rPr>
        <w:t>G</w:t>
      </w:r>
      <w:r w:rsidR="00F26670" w:rsidRPr="00F26670">
        <w:rPr>
          <w:szCs w:val="24"/>
          <w:lang w:eastAsia="ko-KR"/>
        </w:rPr>
        <w:t xml:space="preserve">uidelines for the </w:t>
      </w:r>
      <w:r w:rsidR="00EC45CF">
        <w:rPr>
          <w:rFonts w:hint="eastAsia"/>
          <w:szCs w:val="24"/>
          <w:lang w:eastAsia="ko-KR"/>
        </w:rPr>
        <w:t>W</w:t>
      </w:r>
      <w:r w:rsidR="00F26670" w:rsidRPr="00F26670">
        <w:rPr>
          <w:szCs w:val="24"/>
          <w:lang w:eastAsia="ko-KR"/>
        </w:rPr>
        <w:t xml:space="preserve">orking </w:t>
      </w:r>
      <w:r w:rsidR="00EC45CF">
        <w:rPr>
          <w:rFonts w:hint="eastAsia"/>
          <w:szCs w:val="24"/>
          <w:lang w:eastAsia="ko-KR"/>
        </w:rPr>
        <w:t>M</w:t>
      </w:r>
      <w:r w:rsidR="00F26670" w:rsidRPr="00F26670">
        <w:rPr>
          <w:szCs w:val="24"/>
          <w:lang w:eastAsia="ko-KR"/>
        </w:rPr>
        <w:t xml:space="preserve">ethods of the Radiocommunication Assembly, the Radiocommunication Study Groups and related </w:t>
      </w:r>
      <w:r w:rsidR="00EC45CF">
        <w:rPr>
          <w:rFonts w:hint="eastAsia"/>
          <w:szCs w:val="24"/>
          <w:lang w:eastAsia="ko-KR"/>
        </w:rPr>
        <w:t>G</w:t>
      </w:r>
      <w:r w:rsidR="00F26670" w:rsidRPr="00F26670">
        <w:rPr>
          <w:szCs w:val="24"/>
          <w:lang w:eastAsia="ko-KR"/>
        </w:rPr>
        <w:t>roups</w:t>
      </w:r>
      <w:r w:rsidR="00EC45CF">
        <w:rPr>
          <w:szCs w:val="24"/>
          <w:lang w:eastAsia="ko-KR"/>
        </w:rPr>
        <w:t>”</w:t>
      </w:r>
      <w:r w:rsidR="00F26670">
        <w:rPr>
          <w:rFonts w:hint="eastAsia"/>
          <w:szCs w:val="24"/>
          <w:lang w:eastAsia="ko-KR"/>
        </w:rPr>
        <w:t xml:space="preserve"> (2008, </w:t>
      </w:r>
      <w:hyperlink r:id="rId13" w:history="1">
        <w:r w:rsidR="00AF0228" w:rsidRPr="00AF0228">
          <w:rPr>
            <w:rStyle w:val="Hyperlink"/>
            <w:rFonts w:hint="eastAsia"/>
            <w:szCs w:val="24"/>
            <w:lang w:val="en-AU" w:eastAsia="ko-KR"/>
          </w:rPr>
          <w:t xml:space="preserve">Administrative Circular </w:t>
        </w:r>
        <w:r w:rsidR="00AF0228">
          <w:rPr>
            <w:rStyle w:val="Hyperlink"/>
            <w:rFonts w:hint="eastAsia"/>
            <w:szCs w:val="24"/>
            <w:lang w:val="en-AU" w:eastAsia="ko-KR"/>
          </w:rPr>
          <w:t>C</w:t>
        </w:r>
        <w:r w:rsidR="00F26670" w:rsidRPr="00F26670">
          <w:rPr>
            <w:rStyle w:val="Hyperlink"/>
            <w:rFonts w:hint="eastAsia"/>
            <w:szCs w:val="24"/>
            <w:lang w:val="en-AU" w:eastAsia="ko-KR"/>
          </w:rPr>
          <w:t>A/177</w:t>
        </w:r>
      </w:hyperlink>
      <w:r w:rsidR="00F26670">
        <w:rPr>
          <w:rFonts w:hint="eastAsia"/>
          <w:szCs w:val="24"/>
          <w:lang w:eastAsia="ko-KR"/>
        </w:rPr>
        <w:t xml:space="preserve">) needs to </w:t>
      </w:r>
      <w:r w:rsidR="005A2A7A">
        <w:rPr>
          <w:rFonts w:hint="eastAsia"/>
          <w:szCs w:val="24"/>
          <w:lang w:eastAsia="ko-KR"/>
        </w:rPr>
        <w:t>be revi</w:t>
      </w:r>
      <w:r w:rsidR="002A32DF">
        <w:rPr>
          <w:rFonts w:hint="eastAsia"/>
          <w:szCs w:val="24"/>
          <w:lang w:eastAsia="ko-KR"/>
        </w:rPr>
        <w:t>s</w:t>
      </w:r>
      <w:r w:rsidR="005A2A7A">
        <w:rPr>
          <w:rFonts w:hint="eastAsia"/>
          <w:szCs w:val="24"/>
          <w:lang w:eastAsia="ko-KR"/>
        </w:rPr>
        <w:t xml:space="preserve">ed </w:t>
      </w:r>
      <w:r w:rsidR="00F26670">
        <w:rPr>
          <w:rFonts w:hint="eastAsia"/>
          <w:szCs w:val="24"/>
          <w:lang w:eastAsia="ko-KR"/>
        </w:rPr>
        <w:t xml:space="preserve">by BR </w:t>
      </w:r>
      <w:r w:rsidR="005A2A7A">
        <w:rPr>
          <w:rFonts w:hint="eastAsia"/>
          <w:szCs w:val="24"/>
          <w:lang w:eastAsia="ko-KR"/>
        </w:rPr>
        <w:t xml:space="preserve">in order to reflect </w:t>
      </w:r>
      <w:r w:rsidR="002A32DF">
        <w:rPr>
          <w:rFonts w:hint="eastAsia"/>
          <w:szCs w:val="24"/>
          <w:lang w:eastAsia="ko-KR"/>
        </w:rPr>
        <w:t xml:space="preserve">the result of </w:t>
      </w:r>
      <w:r w:rsidR="00F26670">
        <w:rPr>
          <w:rFonts w:hint="eastAsia"/>
          <w:szCs w:val="24"/>
          <w:lang w:eastAsia="ko-KR"/>
        </w:rPr>
        <w:t>RA-12</w:t>
      </w:r>
      <w:r w:rsidR="002A32DF">
        <w:rPr>
          <w:rFonts w:hint="eastAsia"/>
          <w:szCs w:val="24"/>
          <w:lang w:eastAsia="ko-KR"/>
        </w:rPr>
        <w:t>, e.g. Resolution ITU-R 45</w:t>
      </w:r>
      <w:r w:rsidR="00930ED2">
        <w:rPr>
          <w:rFonts w:hint="eastAsia"/>
          <w:szCs w:val="24"/>
          <w:lang w:eastAsia="ko-KR"/>
        </w:rPr>
        <w:t xml:space="preserve"> (Application of an </w:t>
      </w:r>
      <w:r w:rsidR="00C7177D" w:rsidRPr="0090227C">
        <w:rPr>
          <w:rFonts w:hint="eastAsia"/>
          <w:szCs w:val="24"/>
          <w:lang w:eastAsia="ko-KR"/>
        </w:rPr>
        <w:t>alternative</w:t>
      </w:r>
      <w:r w:rsidR="00930ED2" w:rsidRPr="0090227C">
        <w:rPr>
          <w:rFonts w:hint="eastAsia"/>
          <w:szCs w:val="24"/>
          <w:lang w:eastAsia="ko-KR"/>
        </w:rPr>
        <w:t xml:space="preserve"> </w:t>
      </w:r>
      <w:r w:rsidR="00930ED2">
        <w:rPr>
          <w:rFonts w:hint="eastAsia"/>
          <w:szCs w:val="24"/>
          <w:lang w:eastAsia="ko-KR"/>
        </w:rPr>
        <w:t>approval procedure (AAP) for Recommendations)</w:t>
      </w:r>
      <w:r w:rsidR="003B6E63">
        <w:rPr>
          <w:rFonts w:hint="eastAsia"/>
          <w:szCs w:val="24"/>
          <w:lang w:eastAsia="ko-KR"/>
        </w:rPr>
        <w:t xml:space="preserve"> wa</w:t>
      </w:r>
      <w:r w:rsidR="002A32DF">
        <w:rPr>
          <w:rFonts w:hint="eastAsia"/>
          <w:szCs w:val="24"/>
          <w:lang w:eastAsia="ko-KR"/>
        </w:rPr>
        <w:t>s suppressed</w:t>
      </w:r>
      <w:r w:rsidR="00930ED2">
        <w:rPr>
          <w:rFonts w:hint="eastAsia"/>
          <w:szCs w:val="24"/>
          <w:lang w:eastAsia="ko-KR"/>
        </w:rPr>
        <w:t xml:space="preserve"> at the RA</w:t>
      </w:r>
      <w:r w:rsidR="003B6E63">
        <w:rPr>
          <w:rFonts w:hint="eastAsia"/>
          <w:szCs w:val="24"/>
          <w:lang w:eastAsia="ko-KR"/>
        </w:rPr>
        <w:t>-12</w:t>
      </w:r>
      <w:r w:rsidR="002A32DF">
        <w:rPr>
          <w:rFonts w:hint="eastAsia"/>
          <w:szCs w:val="24"/>
          <w:lang w:eastAsia="ko-KR"/>
        </w:rPr>
        <w:t xml:space="preserve">, which is </w:t>
      </w:r>
      <w:r w:rsidR="0085669C">
        <w:rPr>
          <w:szCs w:val="24"/>
          <w:lang w:eastAsia="ko-KR"/>
        </w:rPr>
        <w:t>referred</w:t>
      </w:r>
      <w:r w:rsidR="002A32DF">
        <w:rPr>
          <w:rFonts w:hint="eastAsia"/>
          <w:szCs w:val="24"/>
          <w:lang w:eastAsia="ko-KR"/>
        </w:rPr>
        <w:t xml:space="preserve"> in the </w:t>
      </w:r>
      <w:r w:rsidR="00A33F37">
        <w:rPr>
          <w:rFonts w:hint="eastAsia"/>
          <w:szCs w:val="24"/>
          <w:lang w:eastAsia="ko-KR"/>
        </w:rPr>
        <w:t>g</w:t>
      </w:r>
      <w:r w:rsidR="002A32DF">
        <w:rPr>
          <w:rFonts w:hint="eastAsia"/>
          <w:szCs w:val="24"/>
          <w:lang w:eastAsia="ko-KR"/>
        </w:rPr>
        <w:t>uideline</w:t>
      </w:r>
      <w:r w:rsidR="00930ED2">
        <w:rPr>
          <w:rFonts w:hint="eastAsia"/>
          <w:szCs w:val="24"/>
          <w:lang w:eastAsia="ko-KR"/>
        </w:rPr>
        <w:t>s</w:t>
      </w:r>
      <w:r w:rsidR="002A32DF">
        <w:rPr>
          <w:rFonts w:hint="eastAsia"/>
          <w:szCs w:val="24"/>
          <w:lang w:eastAsia="ko-KR"/>
        </w:rPr>
        <w:t xml:space="preserve"> </w:t>
      </w:r>
      <w:r w:rsidR="00F26670">
        <w:rPr>
          <w:rFonts w:hint="eastAsia"/>
          <w:szCs w:val="24"/>
          <w:lang w:eastAsia="ko-KR"/>
        </w:rPr>
        <w:t>.</w:t>
      </w:r>
    </w:p>
    <w:p w:rsidR="00851EEC" w:rsidRPr="00851EEC" w:rsidRDefault="000576C4" w:rsidP="0085669C">
      <w:pPr>
        <w:pStyle w:val="Heading1"/>
        <w:rPr>
          <w:lang w:eastAsia="ko-KR"/>
        </w:rPr>
      </w:pPr>
      <w:r>
        <w:rPr>
          <w:rFonts w:hint="eastAsia"/>
          <w:lang w:eastAsia="ko-KR"/>
        </w:rPr>
        <w:t>3</w:t>
      </w:r>
      <w:r w:rsidR="00851EEC" w:rsidRPr="00851EEC">
        <w:rPr>
          <w:rFonts w:hint="eastAsia"/>
          <w:lang w:eastAsia="ko-KR"/>
        </w:rPr>
        <w:tab/>
      </w:r>
      <w:r w:rsidR="00304AB0">
        <w:rPr>
          <w:rFonts w:hint="eastAsia"/>
          <w:lang w:eastAsia="ko-KR"/>
        </w:rPr>
        <w:t xml:space="preserve">Improvement of web </w:t>
      </w:r>
      <w:r w:rsidR="00304AB0">
        <w:rPr>
          <w:lang w:eastAsia="ko-KR"/>
        </w:rPr>
        <w:t>accessibility</w:t>
      </w:r>
      <w:r w:rsidR="00304AB0">
        <w:rPr>
          <w:rFonts w:hint="eastAsia"/>
          <w:lang w:eastAsia="ko-KR"/>
        </w:rPr>
        <w:t xml:space="preserve"> of</w:t>
      </w:r>
      <w:r w:rsidR="00304AB0" w:rsidRPr="00851EEC">
        <w:rPr>
          <w:rFonts w:hint="eastAsia"/>
          <w:lang w:eastAsia="ko-KR"/>
        </w:rPr>
        <w:t xml:space="preserve"> </w:t>
      </w:r>
      <w:r w:rsidR="00304AB0">
        <w:rPr>
          <w:rFonts w:hint="eastAsia"/>
          <w:lang w:eastAsia="ko-KR"/>
        </w:rPr>
        <w:t xml:space="preserve">useful information including the </w:t>
      </w:r>
      <w:r w:rsidR="00304AB0" w:rsidRPr="00851EEC">
        <w:rPr>
          <w:rFonts w:hint="eastAsia"/>
          <w:lang w:eastAsia="ko-KR"/>
        </w:rPr>
        <w:t>guidelines for working method</w:t>
      </w:r>
      <w:r w:rsidR="004C0543">
        <w:rPr>
          <w:rFonts w:hint="eastAsia"/>
          <w:lang w:eastAsia="ko-KR"/>
        </w:rPr>
        <w:t>s</w:t>
      </w:r>
    </w:p>
    <w:p w:rsidR="005B0868" w:rsidRDefault="00DE7415" w:rsidP="004E0DD4">
      <w:pPr>
        <w:spacing w:after="120"/>
        <w:rPr>
          <w:lang w:eastAsia="ko-KR"/>
        </w:rPr>
      </w:pPr>
      <w:r w:rsidRPr="00304AB0">
        <w:t xml:space="preserve">Tracking the history on </w:t>
      </w:r>
      <w:r w:rsidR="00A33F37">
        <w:rPr>
          <w:rFonts w:hint="eastAsia"/>
          <w:lang w:eastAsia="ko-KR"/>
        </w:rPr>
        <w:t xml:space="preserve">the </w:t>
      </w:r>
      <w:r w:rsidRPr="00304AB0">
        <w:t xml:space="preserve">guidelines (see Annex), the 2nd edition of guidelines (1995, </w:t>
      </w:r>
      <w:hyperlink r:id="rId14" w:history="1">
        <w:r w:rsidRPr="00304AB0">
          <w:t>Administrative  Circular CA/13</w:t>
        </w:r>
      </w:hyperlink>
      <w:r w:rsidRPr="00304AB0">
        <w:t>) contained useful Annex</w:t>
      </w:r>
      <w:r w:rsidR="006F04EE">
        <w:rPr>
          <w:rFonts w:hint="eastAsia"/>
          <w:lang w:eastAsia="ko-KR"/>
        </w:rPr>
        <w:t>e</w:t>
      </w:r>
      <w:r w:rsidRPr="00304AB0">
        <w:t>s such as ‘Format of contribution’, ‘Format of ITU-R Recommendations’ and so on. These Annex</w:t>
      </w:r>
      <w:r w:rsidR="006F04EE">
        <w:rPr>
          <w:rFonts w:hint="eastAsia"/>
          <w:lang w:eastAsia="ko-KR"/>
        </w:rPr>
        <w:t>e</w:t>
      </w:r>
      <w:r w:rsidRPr="00304AB0">
        <w:t xml:space="preserve">s were deleted in the 3rd edition of </w:t>
      </w:r>
      <w:r w:rsidR="006F04EE">
        <w:rPr>
          <w:rFonts w:hint="eastAsia"/>
          <w:lang w:eastAsia="ko-KR"/>
        </w:rPr>
        <w:t xml:space="preserve">the </w:t>
      </w:r>
      <w:r w:rsidRPr="00304AB0">
        <w:t xml:space="preserve">guidelines (2001, </w:t>
      </w:r>
      <w:hyperlink r:id="rId15" w:history="1">
        <w:r w:rsidRPr="00304AB0">
          <w:t>Administrative Circular CA/106</w:t>
        </w:r>
      </w:hyperlink>
      <w:r w:rsidRPr="00304AB0">
        <w:t>) and the latest edition was published without the Annex</w:t>
      </w:r>
      <w:r w:rsidR="006F04EE">
        <w:rPr>
          <w:rFonts w:hint="eastAsia"/>
          <w:lang w:eastAsia="ko-KR"/>
        </w:rPr>
        <w:t>e</w:t>
      </w:r>
      <w:r w:rsidRPr="00304AB0">
        <w:t>s as well.</w:t>
      </w:r>
      <w:r w:rsidR="00304AB0">
        <w:rPr>
          <w:rFonts w:hint="eastAsia"/>
          <w:lang w:eastAsia="ko-KR"/>
        </w:rPr>
        <w:t xml:space="preserve"> </w:t>
      </w:r>
      <w:r w:rsidRPr="00304AB0">
        <w:t xml:space="preserve">However, ‘Format of contribution’ and ‘Format of ITU-R Recommendations’ </w:t>
      </w:r>
      <w:r w:rsidRPr="00304AB0">
        <w:lastRenderedPageBreak/>
        <w:t>are still valuable</w:t>
      </w:r>
      <w:r w:rsidR="006F04EE">
        <w:rPr>
          <w:rFonts w:hint="eastAsia"/>
          <w:lang w:eastAsia="ko-KR"/>
        </w:rPr>
        <w:t xml:space="preserve"> information to new delegates in preparing contributions to ITU-R meetings</w:t>
      </w:r>
      <w:r w:rsidR="00761DF4" w:rsidRPr="00304AB0">
        <w:rPr>
          <w:rFonts w:hint="eastAsia"/>
        </w:rPr>
        <w:t>,</w:t>
      </w:r>
      <w:r w:rsidRPr="00304AB0">
        <w:t xml:space="preserve"> </w:t>
      </w:r>
      <w:r w:rsidR="00761DF4" w:rsidRPr="00304AB0">
        <w:rPr>
          <w:rFonts w:hint="eastAsia"/>
        </w:rPr>
        <w:t>so</w:t>
      </w:r>
      <w:r w:rsidRPr="00304AB0">
        <w:t xml:space="preserve"> it should be considered to </w:t>
      </w:r>
      <w:r w:rsidR="00761DF4" w:rsidRPr="00304AB0">
        <w:rPr>
          <w:rFonts w:hint="eastAsia"/>
        </w:rPr>
        <w:t>share</w:t>
      </w:r>
      <w:r w:rsidRPr="00304AB0">
        <w:t xml:space="preserve"> th</w:t>
      </w:r>
      <w:r w:rsidR="006F04EE">
        <w:rPr>
          <w:rFonts w:hint="eastAsia"/>
          <w:lang w:eastAsia="ko-KR"/>
        </w:rPr>
        <w:t>e</w:t>
      </w:r>
      <w:r w:rsidRPr="00304AB0">
        <w:t xml:space="preserve">se information </w:t>
      </w:r>
      <w:r w:rsidR="00761DF4" w:rsidRPr="00304AB0">
        <w:rPr>
          <w:rFonts w:hint="eastAsia"/>
        </w:rPr>
        <w:t>with delegates of the ITU-R meetings</w:t>
      </w:r>
      <w:r w:rsidRPr="00304AB0">
        <w:t xml:space="preserve">. </w:t>
      </w:r>
    </w:p>
    <w:p w:rsidR="005B0868" w:rsidRDefault="000A0867" w:rsidP="000A0867">
      <w:pPr>
        <w:pStyle w:val="enumlev1"/>
        <w:rPr>
          <w:lang w:eastAsia="ko-KR"/>
        </w:rPr>
      </w:pPr>
      <w:bookmarkStart w:id="5" w:name="_GoBack"/>
      <w:bookmarkEnd w:id="5"/>
      <w:r>
        <w:rPr>
          <w:lang w:eastAsia="ko-KR"/>
        </w:rPr>
        <w:t>-</w:t>
      </w:r>
      <w:r>
        <w:rPr>
          <w:lang w:eastAsia="ko-KR"/>
        </w:rPr>
        <w:tab/>
      </w:r>
      <w:r w:rsidR="00304AB0">
        <w:rPr>
          <w:rFonts w:hint="eastAsia"/>
          <w:lang w:eastAsia="ko-KR"/>
        </w:rPr>
        <w:t xml:space="preserve">It seems that </w:t>
      </w:r>
      <w:r w:rsidR="006F04EE">
        <w:rPr>
          <w:rFonts w:hint="eastAsia"/>
          <w:lang w:eastAsia="ko-KR"/>
        </w:rPr>
        <w:t xml:space="preserve">the </w:t>
      </w:r>
      <w:r w:rsidR="00304AB0">
        <w:rPr>
          <w:rFonts w:hint="eastAsia"/>
          <w:lang w:eastAsia="ko-KR"/>
        </w:rPr>
        <w:t xml:space="preserve">format of </w:t>
      </w:r>
      <w:r w:rsidR="00304AB0">
        <w:rPr>
          <w:lang w:eastAsia="ko-KR"/>
        </w:rPr>
        <w:t>contribution</w:t>
      </w:r>
      <w:r w:rsidR="002E450C">
        <w:rPr>
          <w:lang w:eastAsia="ko-KR"/>
        </w:rPr>
        <w:t>s</w:t>
      </w:r>
      <w:r w:rsidR="00304AB0">
        <w:rPr>
          <w:rFonts w:hint="eastAsia"/>
          <w:lang w:eastAsia="ko-KR"/>
        </w:rPr>
        <w:t xml:space="preserve"> is simplified into the template of contribution</w:t>
      </w:r>
      <w:r w:rsidR="002E450C">
        <w:rPr>
          <w:lang w:eastAsia="ko-KR"/>
        </w:rPr>
        <w:t>s</w:t>
      </w:r>
      <w:r w:rsidR="00304AB0">
        <w:rPr>
          <w:rFonts w:hint="eastAsia"/>
          <w:lang w:eastAsia="ko-KR"/>
        </w:rPr>
        <w:t xml:space="preserve"> which cannot be </w:t>
      </w:r>
      <w:r w:rsidR="005B0868">
        <w:rPr>
          <w:rFonts w:hint="eastAsia"/>
          <w:lang w:eastAsia="ko-KR"/>
        </w:rPr>
        <w:t xml:space="preserve">easily </w:t>
      </w:r>
      <w:r w:rsidR="00304AB0">
        <w:rPr>
          <w:rFonts w:hint="eastAsia"/>
          <w:lang w:eastAsia="ko-KR"/>
        </w:rPr>
        <w:t>found in ITU-R webpage</w:t>
      </w:r>
      <w:r w:rsidR="005B0868">
        <w:rPr>
          <w:rFonts w:hint="eastAsia"/>
          <w:lang w:eastAsia="ko-KR"/>
        </w:rPr>
        <w:t xml:space="preserve">. </w:t>
      </w:r>
      <w:r w:rsidR="00645051">
        <w:rPr>
          <w:rFonts w:hint="eastAsia"/>
          <w:lang w:eastAsia="ko-KR"/>
        </w:rPr>
        <w:t xml:space="preserve">It would be useful if the template of </w:t>
      </w:r>
      <w:r w:rsidR="005F5447">
        <w:rPr>
          <w:rFonts w:hint="eastAsia"/>
          <w:lang w:eastAsia="ko-KR"/>
        </w:rPr>
        <w:t>contribution</w:t>
      </w:r>
      <w:r w:rsidR="002E450C">
        <w:rPr>
          <w:lang w:eastAsia="ko-KR"/>
        </w:rPr>
        <w:t>s</w:t>
      </w:r>
      <w:r w:rsidR="005F5447">
        <w:rPr>
          <w:rFonts w:hint="eastAsia"/>
          <w:lang w:eastAsia="ko-KR"/>
        </w:rPr>
        <w:t xml:space="preserve"> also provide</w:t>
      </w:r>
      <w:r w:rsidR="004C0543">
        <w:rPr>
          <w:rFonts w:hint="eastAsia"/>
          <w:lang w:eastAsia="ko-KR"/>
        </w:rPr>
        <w:t>s</w:t>
      </w:r>
      <w:r w:rsidR="005F5447">
        <w:rPr>
          <w:rFonts w:hint="eastAsia"/>
          <w:lang w:eastAsia="ko-KR"/>
        </w:rPr>
        <w:t xml:space="preserve"> </w:t>
      </w:r>
      <w:r w:rsidR="00645051">
        <w:rPr>
          <w:rFonts w:hint="eastAsia"/>
          <w:lang w:eastAsia="ko-KR"/>
        </w:rPr>
        <w:t xml:space="preserve">an </w:t>
      </w:r>
      <w:r w:rsidR="005F5447">
        <w:rPr>
          <w:rFonts w:hint="eastAsia"/>
          <w:lang w:eastAsia="ko-KR"/>
        </w:rPr>
        <w:t>example of the format of contribution</w:t>
      </w:r>
      <w:r w:rsidR="002E450C">
        <w:rPr>
          <w:lang w:eastAsia="ko-KR"/>
        </w:rPr>
        <w:t>s</w:t>
      </w:r>
      <w:r w:rsidR="005F5447">
        <w:rPr>
          <w:rFonts w:hint="eastAsia"/>
          <w:lang w:eastAsia="ko-KR"/>
        </w:rPr>
        <w:t xml:space="preserve"> </w:t>
      </w:r>
      <w:r w:rsidR="005F5447">
        <w:rPr>
          <w:lang w:eastAsia="ko-KR"/>
        </w:rPr>
        <w:t>similar</w:t>
      </w:r>
      <w:r w:rsidR="005F5447">
        <w:rPr>
          <w:rFonts w:hint="eastAsia"/>
          <w:lang w:eastAsia="ko-KR"/>
        </w:rPr>
        <w:t xml:space="preserve"> to the 2</w:t>
      </w:r>
      <w:r w:rsidR="0034074E" w:rsidRPr="000A0867">
        <w:rPr>
          <w:vertAlign w:val="superscript"/>
          <w:lang w:eastAsia="ko-KR"/>
        </w:rPr>
        <w:t>nd</w:t>
      </w:r>
      <w:r w:rsidR="005F5447">
        <w:rPr>
          <w:rFonts w:hint="eastAsia"/>
          <w:lang w:eastAsia="ko-KR"/>
        </w:rPr>
        <w:t xml:space="preserve"> edition of the guideline</w:t>
      </w:r>
      <w:r w:rsidR="004C0543">
        <w:rPr>
          <w:rFonts w:hint="eastAsia"/>
          <w:lang w:eastAsia="ko-KR"/>
        </w:rPr>
        <w:t>s</w:t>
      </w:r>
      <w:r w:rsidR="005F5447">
        <w:rPr>
          <w:rFonts w:hint="eastAsia"/>
          <w:lang w:eastAsia="ko-KR"/>
        </w:rPr>
        <w:t>.</w:t>
      </w:r>
    </w:p>
    <w:p w:rsidR="00AF0228" w:rsidRPr="00304AB0" w:rsidRDefault="000A0867" w:rsidP="000A0867">
      <w:pPr>
        <w:pStyle w:val="enumlev1"/>
        <w:rPr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 w:rsidR="005B0868">
        <w:rPr>
          <w:rFonts w:hint="eastAsia"/>
          <w:lang w:eastAsia="ko-KR"/>
        </w:rPr>
        <w:t>The format of Recommendation</w:t>
      </w:r>
      <w:r w:rsidR="002E450C">
        <w:rPr>
          <w:lang w:eastAsia="ko-KR"/>
        </w:rPr>
        <w:t>s</w:t>
      </w:r>
      <w:r w:rsidR="005B0868">
        <w:rPr>
          <w:rFonts w:hint="eastAsia"/>
          <w:lang w:eastAsia="ko-KR"/>
        </w:rPr>
        <w:t xml:space="preserve"> is under discussion </w:t>
      </w:r>
      <w:r w:rsidR="002E450C">
        <w:rPr>
          <w:lang w:eastAsia="ko-KR"/>
        </w:rPr>
        <w:t>in the</w:t>
      </w:r>
      <w:r w:rsidR="005B0868">
        <w:rPr>
          <w:rFonts w:hint="eastAsia"/>
          <w:lang w:eastAsia="ko-KR"/>
        </w:rPr>
        <w:t xml:space="preserve"> CG of the RAG. After the discussion is finalized, final conclusion on the format of Recommendation</w:t>
      </w:r>
      <w:r w:rsidR="002E450C">
        <w:rPr>
          <w:lang w:eastAsia="ko-KR"/>
        </w:rPr>
        <w:t>s</w:t>
      </w:r>
      <w:r w:rsidR="005B0868">
        <w:rPr>
          <w:rFonts w:hint="eastAsia"/>
          <w:lang w:eastAsia="ko-KR"/>
        </w:rPr>
        <w:t xml:space="preserve"> </w:t>
      </w:r>
      <w:r w:rsidR="00645051">
        <w:rPr>
          <w:rFonts w:hint="eastAsia"/>
          <w:lang w:eastAsia="ko-KR"/>
        </w:rPr>
        <w:t>w</w:t>
      </w:r>
      <w:r w:rsidR="006F04EE">
        <w:rPr>
          <w:rFonts w:hint="eastAsia"/>
          <w:lang w:eastAsia="ko-KR"/>
        </w:rPr>
        <w:t xml:space="preserve">ould be </w:t>
      </w:r>
      <w:r w:rsidR="00645051">
        <w:rPr>
          <w:rFonts w:hint="eastAsia"/>
          <w:lang w:eastAsia="ko-KR"/>
        </w:rPr>
        <w:t xml:space="preserve">useful to </w:t>
      </w:r>
      <w:r w:rsidR="006F04EE">
        <w:rPr>
          <w:rFonts w:hint="eastAsia"/>
          <w:lang w:eastAsia="ko-KR"/>
        </w:rPr>
        <w:t xml:space="preserve">share with </w:t>
      </w:r>
      <w:r w:rsidR="00645051">
        <w:rPr>
          <w:rFonts w:hint="eastAsia"/>
          <w:lang w:eastAsia="ko-KR"/>
        </w:rPr>
        <w:t>future participants.</w:t>
      </w:r>
    </w:p>
    <w:p w:rsidR="004572F6" w:rsidRPr="00304AB0" w:rsidRDefault="00BC1D54" w:rsidP="002E450C">
      <w:pPr>
        <w:spacing w:after="120"/>
      </w:pPr>
      <w:r w:rsidRPr="00304AB0">
        <w:rPr>
          <w:rFonts w:hint="eastAsia"/>
        </w:rPr>
        <w:t>The guidelines</w:t>
      </w:r>
      <w:r w:rsidRPr="00304AB0">
        <w:t xml:space="preserve"> </w:t>
      </w:r>
      <w:r w:rsidR="002E450C">
        <w:t>themselve</w:t>
      </w:r>
      <w:r w:rsidR="00761DF4" w:rsidRPr="00304AB0">
        <w:rPr>
          <w:rFonts w:hint="eastAsia"/>
        </w:rPr>
        <w:t xml:space="preserve">s also </w:t>
      </w:r>
      <w:r w:rsidRPr="00304AB0">
        <w:rPr>
          <w:rFonts w:hint="eastAsia"/>
        </w:rPr>
        <w:t>provide very essen</w:t>
      </w:r>
      <w:r w:rsidR="003B6E63" w:rsidRPr="00304AB0">
        <w:rPr>
          <w:rFonts w:hint="eastAsia"/>
        </w:rPr>
        <w:t>t</w:t>
      </w:r>
      <w:r w:rsidRPr="00304AB0">
        <w:rPr>
          <w:rFonts w:hint="eastAsia"/>
        </w:rPr>
        <w:t xml:space="preserve">ial and useful information for </w:t>
      </w:r>
      <w:r w:rsidR="002E450C">
        <w:t xml:space="preserve">the </w:t>
      </w:r>
      <w:r>
        <w:t>Radiocommunication Assembly (RA)</w:t>
      </w:r>
      <w:r>
        <w:rPr>
          <w:rFonts w:hint="eastAsia"/>
        </w:rPr>
        <w:t>,</w:t>
      </w:r>
      <w:r>
        <w:t xml:space="preserve"> the Radiocommunication Study Groups</w:t>
      </w:r>
      <w:r>
        <w:rPr>
          <w:rFonts w:hint="eastAsia"/>
        </w:rPr>
        <w:t xml:space="preserve"> a</w:t>
      </w:r>
      <w:r w:rsidRPr="00304AB0">
        <w:t xml:space="preserve">nd related </w:t>
      </w:r>
      <w:r w:rsidRPr="00304AB0">
        <w:rPr>
          <w:rFonts w:hint="eastAsia"/>
        </w:rPr>
        <w:t>G</w:t>
      </w:r>
      <w:r w:rsidRPr="00304AB0">
        <w:t>roups</w:t>
      </w:r>
      <w:r w:rsidRPr="00304AB0">
        <w:rPr>
          <w:rFonts w:hint="eastAsia"/>
        </w:rPr>
        <w:t>.</w:t>
      </w:r>
      <w:r w:rsidR="00304AB0">
        <w:rPr>
          <w:rFonts w:hint="eastAsia"/>
          <w:lang w:eastAsia="ko-KR"/>
        </w:rPr>
        <w:t xml:space="preserve"> </w:t>
      </w:r>
      <w:r w:rsidRPr="00304AB0">
        <w:rPr>
          <w:rFonts w:hint="eastAsia"/>
        </w:rPr>
        <w:t xml:space="preserve">Currently, </w:t>
      </w:r>
      <w:r w:rsidR="001F3536" w:rsidRPr="00304AB0">
        <w:rPr>
          <w:rFonts w:hint="eastAsia"/>
        </w:rPr>
        <w:t xml:space="preserve">only the </w:t>
      </w:r>
      <w:r w:rsidRPr="00304AB0">
        <w:rPr>
          <w:rFonts w:hint="eastAsia"/>
        </w:rPr>
        <w:t>main web page (</w:t>
      </w:r>
      <w:hyperlink r:id="rId16" w:history="1">
        <w:r w:rsidRPr="00304AB0">
          <w:t>http://www.itu.int/ITU-R/index.asp?category=study-groups&amp;rlink=rsg&amp;lang=en</w:t>
        </w:r>
      </w:hyperlink>
      <w:r w:rsidRPr="00304AB0">
        <w:rPr>
          <w:rFonts w:hint="eastAsia"/>
        </w:rPr>
        <w:t>) of ITU-R Study Groups</w:t>
      </w:r>
      <w:r w:rsidR="00261F8A" w:rsidRPr="00304AB0">
        <w:rPr>
          <w:rFonts w:hint="eastAsia"/>
        </w:rPr>
        <w:t xml:space="preserve"> </w:t>
      </w:r>
      <w:r w:rsidRPr="00304AB0">
        <w:rPr>
          <w:rFonts w:hint="eastAsia"/>
        </w:rPr>
        <w:t>provides quick link</w:t>
      </w:r>
      <w:r w:rsidR="001F3536" w:rsidRPr="00304AB0">
        <w:rPr>
          <w:rFonts w:hint="eastAsia"/>
        </w:rPr>
        <w:t>s</w:t>
      </w:r>
      <w:r w:rsidRPr="00304AB0">
        <w:rPr>
          <w:rFonts w:hint="eastAsia"/>
        </w:rPr>
        <w:t xml:space="preserve"> to access</w:t>
      </w:r>
      <w:r w:rsidR="00261F8A" w:rsidRPr="00304AB0">
        <w:rPr>
          <w:rFonts w:hint="eastAsia"/>
        </w:rPr>
        <w:t xml:space="preserve"> the most recent version of </w:t>
      </w:r>
      <w:r w:rsidR="00DE7415" w:rsidRPr="00304AB0">
        <w:t>guidelines</w:t>
      </w:r>
      <w:r w:rsidR="00714C03" w:rsidRPr="00304AB0">
        <w:rPr>
          <w:rFonts w:hint="eastAsia"/>
        </w:rPr>
        <w:t xml:space="preserve"> </w:t>
      </w:r>
      <w:r w:rsidR="00513737" w:rsidRPr="00304AB0">
        <w:rPr>
          <w:rFonts w:hint="eastAsia"/>
        </w:rPr>
        <w:t xml:space="preserve">under the </w:t>
      </w:r>
      <w:r w:rsidR="00513737" w:rsidRPr="00304AB0">
        <w:t>“</w:t>
      </w:r>
      <w:r w:rsidR="00513737" w:rsidRPr="00304AB0">
        <w:rPr>
          <w:rFonts w:hint="eastAsia"/>
        </w:rPr>
        <w:t>working methods and liaison with other organizations</w:t>
      </w:r>
      <w:r w:rsidR="00513737" w:rsidRPr="00304AB0">
        <w:t>”</w:t>
      </w:r>
      <w:r w:rsidR="00513737" w:rsidRPr="00304AB0">
        <w:rPr>
          <w:rFonts w:hint="eastAsia"/>
        </w:rPr>
        <w:t xml:space="preserve"> </w:t>
      </w:r>
      <w:r w:rsidR="00714C03" w:rsidRPr="00304AB0">
        <w:rPr>
          <w:rFonts w:hint="eastAsia"/>
        </w:rPr>
        <w:t>while</w:t>
      </w:r>
      <w:r w:rsidR="00DE7415" w:rsidRPr="00304AB0">
        <w:t xml:space="preserve"> each Study Group and </w:t>
      </w:r>
      <w:r w:rsidR="00513737" w:rsidRPr="00304AB0">
        <w:rPr>
          <w:rFonts w:hint="eastAsia"/>
        </w:rPr>
        <w:t xml:space="preserve">its subordinate </w:t>
      </w:r>
      <w:r w:rsidR="00DE7415" w:rsidRPr="00304AB0">
        <w:t>Groups’ main web page</w:t>
      </w:r>
      <w:r w:rsidR="00513737" w:rsidRPr="00304AB0">
        <w:rPr>
          <w:rFonts w:hint="eastAsia"/>
        </w:rPr>
        <w:t>s</w:t>
      </w:r>
      <w:r w:rsidR="00714C03" w:rsidRPr="00304AB0">
        <w:rPr>
          <w:rFonts w:hint="eastAsia"/>
        </w:rPr>
        <w:t xml:space="preserve"> do not</w:t>
      </w:r>
      <w:r w:rsidR="00DE7415" w:rsidRPr="00304AB0">
        <w:t xml:space="preserve">. For </w:t>
      </w:r>
      <w:r w:rsidR="00513737" w:rsidRPr="00304AB0">
        <w:rPr>
          <w:rFonts w:hint="eastAsia"/>
        </w:rPr>
        <w:t>the participants</w:t>
      </w:r>
      <w:r w:rsidR="007E5CD1" w:rsidRPr="00304AB0">
        <w:t>’</w:t>
      </w:r>
      <w:r w:rsidR="00DE7415" w:rsidRPr="00304AB0">
        <w:t xml:space="preserve"> convenience </w:t>
      </w:r>
      <w:r w:rsidR="00513737" w:rsidRPr="00304AB0">
        <w:rPr>
          <w:rFonts w:hint="eastAsia"/>
        </w:rPr>
        <w:t>of</w:t>
      </w:r>
      <w:r w:rsidR="00DE7415" w:rsidRPr="00304AB0">
        <w:t xml:space="preserve"> easy finding</w:t>
      </w:r>
      <w:r w:rsidR="006F04EE">
        <w:rPr>
          <w:rFonts w:hint="eastAsia"/>
          <w:lang w:eastAsia="ko-KR"/>
        </w:rPr>
        <w:t xml:space="preserve"> of it</w:t>
      </w:r>
      <w:r w:rsidR="00DE7415" w:rsidRPr="00304AB0">
        <w:t xml:space="preserve">, </w:t>
      </w:r>
      <w:r w:rsidR="00720214" w:rsidRPr="00304AB0">
        <w:rPr>
          <w:rFonts w:hint="eastAsia"/>
        </w:rPr>
        <w:t>in particular for a new participant of ITU</w:t>
      </w:r>
      <w:r w:rsidR="006F04EE">
        <w:rPr>
          <w:rFonts w:hint="eastAsia"/>
          <w:lang w:eastAsia="ko-KR"/>
        </w:rPr>
        <w:t>-R</w:t>
      </w:r>
      <w:r w:rsidR="00720214" w:rsidRPr="00304AB0">
        <w:rPr>
          <w:rFonts w:hint="eastAsia"/>
        </w:rPr>
        <w:t xml:space="preserve"> meetings, </w:t>
      </w:r>
      <w:r w:rsidR="00DE7415" w:rsidRPr="00304AB0">
        <w:t>it</w:t>
      </w:r>
      <w:r w:rsidR="007E5CD1" w:rsidRPr="00304AB0">
        <w:rPr>
          <w:rFonts w:hint="eastAsia"/>
        </w:rPr>
        <w:t xml:space="preserve"> woul</w:t>
      </w:r>
      <w:r w:rsidR="002E450C">
        <w:t>d</w:t>
      </w:r>
      <w:r w:rsidR="007E5CD1" w:rsidRPr="00304AB0">
        <w:rPr>
          <w:rFonts w:hint="eastAsia"/>
        </w:rPr>
        <w:t xml:space="preserve"> be</w:t>
      </w:r>
      <w:r w:rsidR="00DE7415" w:rsidRPr="00304AB0">
        <w:t xml:space="preserve"> better to provide </w:t>
      </w:r>
      <w:r w:rsidR="00513737" w:rsidRPr="00304AB0">
        <w:rPr>
          <w:rFonts w:hint="eastAsia"/>
        </w:rPr>
        <w:t xml:space="preserve">such a </w:t>
      </w:r>
      <w:r w:rsidR="00261F8A" w:rsidRPr="00304AB0">
        <w:rPr>
          <w:rFonts w:hint="eastAsia"/>
        </w:rPr>
        <w:t xml:space="preserve">quick link </w:t>
      </w:r>
      <w:r w:rsidR="007E5CD1" w:rsidRPr="00304AB0">
        <w:rPr>
          <w:rFonts w:hint="eastAsia"/>
        </w:rPr>
        <w:t>on</w:t>
      </w:r>
      <w:r w:rsidR="00261F8A" w:rsidRPr="00304AB0">
        <w:rPr>
          <w:rFonts w:hint="eastAsia"/>
        </w:rPr>
        <w:t xml:space="preserve"> </w:t>
      </w:r>
      <w:r w:rsidR="00513737" w:rsidRPr="00304AB0">
        <w:rPr>
          <w:rFonts w:hint="eastAsia"/>
        </w:rPr>
        <w:t xml:space="preserve">the </w:t>
      </w:r>
      <w:r w:rsidR="00261F8A" w:rsidRPr="00304AB0">
        <w:rPr>
          <w:rFonts w:hint="eastAsia"/>
        </w:rPr>
        <w:t>main web page</w:t>
      </w:r>
      <w:r w:rsidR="00513737" w:rsidRPr="00304AB0">
        <w:rPr>
          <w:rFonts w:hint="eastAsia"/>
        </w:rPr>
        <w:t>s</w:t>
      </w:r>
      <w:r w:rsidR="00261F8A" w:rsidRPr="00304AB0">
        <w:rPr>
          <w:rFonts w:hint="eastAsia"/>
        </w:rPr>
        <w:t xml:space="preserve"> of each </w:t>
      </w:r>
      <w:r w:rsidR="00714C03" w:rsidRPr="00304AB0">
        <w:rPr>
          <w:rFonts w:hint="eastAsia"/>
        </w:rPr>
        <w:t xml:space="preserve">Study </w:t>
      </w:r>
      <w:r w:rsidR="00261F8A" w:rsidRPr="00304AB0">
        <w:rPr>
          <w:rFonts w:hint="eastAsia"/>
        </w:rPr>
        <w:t>Group</w:t>
      </w:r>
      <w:r w:rsidR="004572F6" w:rsidRPr="00304AB0">
        <w:rPr>
          <w:rFonts w:hint="eastAsia"/>
        </w:rPr>
        <w:t xml:space="preserve"> </w:t>
      </w:r>
      <w:r w:rsidR="00513737" w:rsidRPr="00304AB0">
        <w:rPr>
          <w:rFonts w:hint="eastAsia"/>
        </w:rPr>
        <w:t xml:space="preserve">and its subordinate groups </w:t>
      </w:r>
      <w:r w:rsidR="004572F6" w:rsidRPr="00304AB0">
        <w:rPr>
          <w:rFonts w:hint="eastAsia"/>
        </w:rPr>
        <w:t>as general information</w:t>
      </w:r>
      <w:r w:rsidR="00261F8A" w:rsidRPr="00304AB0">
        <w:rPr>
          <w:rFonts w:hint="eastAsia"/>
        </w:rPr>
        <w:t>.</w:t>
      </w:r>
      <w:r w:rsidR="00304AB0">
        <w:rPr>
          <w:rFonts w:hint="eastAsia"/>
          <w:lang w:eastAsia="ko-KR"/>
        </w:rPr>
        <w:t xml:space="preserve"> </w:t>
      </w:r>
      <w:r w:rsidR="004572F6" w:rsidRPr="00304AB0">
        <w:rPr>
          <w:rFonts w:hint="eastAsia"/>
        </w:rPr>
        <w:t xml:space="preserve">Also, </w:t>
      </w:r>
      <w:r w:rsidR="007E5CD1" w:rsidRPr="00304AB0">
        <w:rPr>
          <w:rFonts w:hint="eastAsia"/>
        </w:rPr>
        <w:t xml:space="preserve">the </w:t>
      </w:r>
      <w:r w:rsidR="004572F6" w:rsidRPr="00304AB0">
        <w:t>quick</w:t>
      </w:r>
      <w:r w:rsidR="004572F6" w:rsidRPr="00304AB0">
        <w:rPr>
          <w:rFonts w:hint="eastAsia"/>
        </w:rPr>
        <w:t xml:space="preserve"> link needs to </w:t>
      </w:r>
      <w:r w:rsidR="007E5CD1" w:rsidRPr="00304AB0">
        <w:rPr>
          <w:rFonts w:hint="eastAsia"/>
        </w:rPr>
        <w:t xml:space="preserve">show </w:t>
      </w:r>
      <w:r w:rsidR="004572F6" w:rsidRPr="00304AB0">
        <w:rPr>
          <w:rFonts w:hint="eastAsia"/>
        </w:rPr>
        <w:t xml:space="preserve">not only the most recent version but also previous version of </w:t>
      </w:r>
      <w:r w:rsidR="00DE7415" w:rsidRPr="00304AB0">
        <w:t xml:space="preserve">guidelines as other ITU-R output documents. </w:t>
      </w:r>
      <w:r w:rsidR="005B0868">
        <w:rPr>
          <w:rFonts w:hint="eastAsia"/>
          <w:lang w:eastAsia="ko-KR"/>
        </w:rPr>
        <w:t xml:space="preserve">The </w:t>
      </w:r>
      <w:r w:rsidR="00DE7415" w:rsidRPr="00304AB0">
        <w:t xml:space="preserve">Annex </w:t>
      </w:r>
      <w:r w:rsidR="005B0868">
        <w:rPr>
          <w:lang w:eastAsia="ko-KR"/>
        </w:rPr>
        <w:t>attached</w:t>
      </w:r>
      <w:r w:rsidR="005B0868">
        <w:rPr>
          <w:rFonts w:hint="eastAsia"/>
          <w:lang w:eastAsia="ko-KR"/>
        </w:rPr>
        <w:t xml:space="preserve"> to this document </w:t>
      </w:r>
      <w:r w:rsidR="00DE7415" w:rsidRPr="00304AB0">
        <w:t xml:space="preserve">is </w:t>
      </w:r>
      <w:r w:rsidR="005B0868">
        <w:rPr>
          <w:rFonts w:hint="eastAsia"/>
          <w:lang w:eastAsia="ko-KR"/>
        </w:rPr>
        <w:t xml:space="preserve">an </w:t>
      </w:r>
      <w:r w:rsidR="00DE7415" w:rsidRPr="00304AB0">
        <w:t xml:space="preserve">example </w:t>
      </w:r>
      <w:r w:rsidR="00714C03" w:rsidRPr="00304AB0">
        <w:rPr>
          <w:rFonts w:hint="eastAsia"/>
        </w:rPr>
        <w:t>to be shown on the web page</w:t>
      </w:r>
      <w:r w:rsidR="00DE7415" w:rsidRPr="00304AB0">
        <w:t>.</w:t>
      </w:r>
    </w:p>
    <w:p w:rsidR="00851EEC" w:rsidRPr="00304AB0" w:rsidRDefault="00720214" w:rsidP="002E450C">
      <w:pPr>
        <w:spacing w:after="120"/>
      </w:pPr>
      <w:r w:rsidRPr="00304AB0">
        <w:rPr>
          <w:rFonts w:hint="eastAsia"/>
        </w:rPr>
        <w:t xml:space="preserve">Under the section of </w:t>
      </w:r>
      <w:r w:rsidRPr="00304AB0">
        <w:t>“</w:t>
      </w:r>
      <w:r w:rsidRPr="00304AB0">
        <w:rPr>
          <w:rFonts w:hint="eastAsia"/>
        </w:rPr>
        <w:t>general information</w:t>
      </w:r>
      <w:r w:rsidRPr="00304AB0">
        <w:t>”</w:t>
      </w:r>
      <w:r w:rsidRPr="00304AB0">
        <w:rPr>
          <w:rFonts w:hint="eastAsia"/>
        </w:rPr>
        <w:t xml:space="preserve"> on the main page of each Working Party, if </w:t>
      </w:r>
      <w:r w:rsidR="00304AB0">
        <w:rPr>
          <w:rFonts w:hint="eastAsia"/>
          <w:lang w:eastAsia="ko-KR"/>
        </w:rPr>
        <w:t xml:space="preserve">the guidelines of working methods, </w:t>
      </w:r>
      <w:r w:rsidRPr="00304AB0">
        <w:rPr>
          <w:rFonts w:hint="eastAsia"/>
        </w:rPr>
        <w:t xml:space="preserve">the template of the contribution and format of recommendations are also provided, it would be very useful and convenient to </w:t>
      </w:r>
      <w:r w:rsidR="005F5447">
        <w:rPr>
          <w:rFonts w:hint="eastAsia"/>
          <w:lang w:eastAsia="ko-KR"/>
        </w:rPr>
        <w:t xml:space="preserve">new </w:t>
      </w:r>
      <w:r w:rsidRPr="00304AB0">
        <w:t>participants</w:t>
      </w:r>
      <w:r w:rsidRPr="00304AB0">
        <w:rPr>
          <w:rFonts w:hint="eastAsia"/>
        </w:rPr>
        <w:t xml:space="preserve"> of th</w:t>
      </w:r>
      <w:r w:rsidR="002E450C">
        <w:t>at Working Party</w:t>
      </w:r>
      <w:r w:rsidRPr="00304AB0">
        <w:rPr>
          <w:rFonts w:hint="eastAsia"/>
        </w:rPr>
        <w:t xml:space="preserve"> meeting.</w:t>
      </w:r>
    </w:p>
    <w:p w:rsidR="00720214" w:rsidRPr="007E5CD1" w:rsidRDefault="00720214" w:rsidP="002A32DF">
      <w:pPr>
        <w:spacing w:after="120"/>
        <w:jc w:val="both"/>
        <w:rPr>
          <w:szCs w:val="24"/>
          <w:lang w:eastAsia="ko-KR"/>
        </w:rPr>
      </w:pPr>
    </w:p>
    <w:p w:rsidR="0063464E" w:rsidRDefault="000576C4" w:rsidP="002A32DF">
      <w:pPr>
        <w:pStyle w:val="Heading1"/>
        <w:spacing w:before="120"/>
        <w:jc w:val="both"/>
        <w:rPr>
          <w:b w:val="0"/>
          <w:szCs w:val="24"/>
          <w:lang w:eastAsia="ko-KR"/>
        </w:rPr>
      </w:pPr>
      <w:r>
        <w:rPr>
          <w:rFonts w:hint="eastAsia"/>
          <w:lang w:eastAsia="ko-KR"/>
        </w:rPr>
        <w:t>4</w:t>
      </w:r>
      <w:r w:rsidR="003104E5" w:rsidRPr="00D872CB">
        <w:tab/>
      </w:r>
      <w:r w:rsidR="0063464E">
        <w:rPr>
          <w:szCs w:val="24"/>
        </w:rPr>
        <w:t>Proposal</w:t>
      </w:r>
      <w:r w:rsidR="003104E5">
        <w:rPr>
          <w:rFonts w:hint="eastAsia"/>
          <w:szCs w:val="24"/>
          <w:lang w:eastAsia="ko-KR"/>
        </w:rPr>
        <w:t>s</w:t>
      </w:r>
    </w:p>
    <w:p w:rsidR="0063464E" w:rsidRDefault="0063464E" w:rsidP="00D93784">
      <w:pPr>
        <w:spacing w:after="120"/>
        <w:rPr>
          <w:szCs w:val="24"/>
          <w:lang w:eastAsia="ko-KR"/>
        </w:rPr>
      </w:pPr>
      <w:r>
        <w:rPr>
          <w:szCs w:val="24"/>
        </w:rPr>
        <w:t xml:space="preserve">The </w:t>
      </w:r>
      <w:r w:rsidR="004572F6">
        <w:rPr>
          <w:rFonts w:hint="eastAsia"/>
          <w:szCs w:val="24"/>
          <w:lang w:eastAsia="ko-KR"/>
        </w:rPr>
        <w:t xml:space="preserve">Republic of Korea </w:t>
      </w:r>
      <w:r>
        <w:rPr>
          <w:szCs w:val="24"/>
        </w:rPr>
        <w:t xml:space="preserve">would offer the following </w:t>
      </w:r>
      <w:r w:rsidR="004572F6">
        <w:rPr>
          <w:rFonts w:hint="eastAsia"/>
          <w:szCs w:val="24"/>
          <w:lang w:eastAsia="ko-KR"/>
        </w:rPr>
        <w:t>proposals</w:t>
      </w:r>
      <w:r>
        <w:rPr>
          <w:szCs w:val="24"/>
        </w:rPr>
        <w:t xml:space="preserve"> for the consideration </w:t>
      </w:r>
      <w:r w:rsidR="007D62B9">
        <w:rPr>
          <w:rFonts w:hint="eastAsia"/>
          <w:szCs w:val="24"/>
          <w:lang w:eastAsia="ko-KR"/>
        </w:rPr>
        <w:t>in</w:t>
      </w:r>
      <w:r w:rsidR="007D62B9">
        <w:rPr>
          <w:szCs w:val="24"/>
        </w:rPr>
        <w:t xml:space="preserve"> </w:t>
      </w:r>
      <w:r>
        <w:rPr>
          <w:szCs w:val="24"/>
        </w:rPr>
        <w:t>the meeting.</w:t>
      </w:r>
    </w:p>
    <w:p w:rsidR="00D75CBA" w:rsidRPr="000A0867" w:rsidRDefault="000A0867" w:rsidP="000A0867">
      <w:pPr>
        <w:pStyle w:val="enumlev1"/>
        <w:rPr>
          <w:lang w:eastAsia="ko-KR"/>
        </w:rPr>
      </w:pPr>
      <w:r w:rsidRPr="000A0867">
        <w:rPr>
          <w:lang w:eastAsia="ko-KR"/>
        </w:rPr>
        <w:t>•</w:t>
      </w:r>
      <w:r>
        <w:rPr>
          <w:lang w:eastAsia="ko-KR"/>
        </w:rPr>
        <w:tab/>
      </w:r>
      <w:r w:rsidR="00D75CBA" w:rsidRPr="000A0867">
        <w:rPr>
          <w:rFonts w:hint="eastAsia"/>
          <w:lang w:eastAsia="ko-KR"/>
        </w:rPr>
        <w:t xml:space="preserve">RAG-13 </w:t>
      </w:r>
      <w:r w:rsidR="00D75CBA" w:rsidRPr="000A0867">
        <w:rPr>
          <w:lang w:eastAsia="ko-KR"/>
        </w:rPr>
        <w:t>invite</w:t>
      </w:r>
      <w:r w:rsidR="007D62B9" w:rsidRPr="000A0867">
        <w:rPr>
          <w:rFonts w:hint="eastAsia"/>
          <w:lang w:eastAsia="ko-KR"/>
        </w:rPr>
        <w:t>s</w:t>
      </w:r>
      <w:r w:rsidR="00D75CBA" w:rsidRPr="000A0867">
        <w:rPr>
          <w:lang w:eastAsia="ko-KR"/>
        </w:rPr>
        <w:t xml:space="preserve"> the Director to review and update the </w:t>
      </w:r>
      <w:r w:rsidR="006F04EE" w:rsidRPr="000A0867">
        <w:rPr>
          <w:rFonts w:hint="eastAsia"/>
          <w:iCs/>
          <w:lang w:eastAsia="ko-KR"/>
        </w:rPr>
        <w:t>g</w:t>
      </w:r>
      <w:r w:rsidR="0034074E" w:rsidRPr="000A0867">
        <w:rPr>
          <w:iCs/>
          <w:lang w:eastAsia="ko-KR"/>
        </w:rPr>
        <w:t>uidelines</w:t>
      </w:r>
      <w:r w:rsidR="00D75CBA" w:rsidRPr="000A0867">
        <w:rPr>
          <w:lang w:eastAsia="ko-KR"/>
        </w:rPr>
        <w:t xml:space="preserve"> currently contained in </w:t>
      </w:r>
      <w:hyperlink r:id="rId17" w:history="1">
        <w:r w:rsidR="00D75CBA" w:rsidRPr="000A0867">
          <w:rPr>
            <w:rStyle w:val="Hyperlink"/>
            <w:rFonts w:hint="eastAsia"/>
            <w:szCs w:val="24"/>
            <w:lang w:val="en-AU" w:eastAsia="ko-KR"/>
          </w:rPr>
          <w:t>Administrative Circular CA/177</w:t>
        </w:r>
      </w:hyperlink>
      <w:r w:rsidR="00D75CBA" w:rsidRPr="000A0867">
        <w:rPr>
          <w:lang w:eastAsia="ko-KR"/>
        </w:rPr>
        <w:t xml:space="preserve"> (</w:t>
      </w:r>
      <w:r w:rsidR="00D75CBA" w:rsidRPr="000A0867">
        <w:rPr>
          <w:rFonts w:hint="eastAsia"/>
          <w:lang w:eastAsia="ko-KR"/>
        </w:rPr>
        <w:t>2008</w:t>
      </w:r>
      <w:r w:rsidR="00D75CBA" w:rsidRPr="000A0867">
        <w:rPr>
          <w:lang w:eastAsia="ko-KR"/>
        </w:rPr>
        <w:t>).</w:t>
      </w:r>
    </w:p>
    <w:p w:rsidR="00D75CBA" w:rsidRPr="000A0867" w:rsidRDefault="000A0867" w:rsidP="000A0867">
      <w:pPr>
        <w:pStyle w:val="enumlev1"/>
        <w:rPr>
          <w:lang w:eastAsia="ko-KR"/>
        </w:rPr>
      </w:pPr>
      <w:r w:rsidRPr="000A0867">
        <w:rPr>
          <w:lang w:eastAsia="ko-KR"/>
        </w:rPr>
        <w:t>•</w:t>
      </w:r>
      <w:r>
        <w:rPr>
          <w:lang w:eastAsia="ko-KR"/>
        </w:rPr>
        <w:tab/>
      </w:r>
      <w:r w:rsidR="00D75CBA" w:rsidRPr="000A0867">
        <w:rPr>
          <w:rFonts w:hint="eastAsia"/>
          <w:lang w:eastAsia="ko-KR"/>
        </w:rPr>
        <w:t xml:space="preserve">RAG-13 </w:t>
      </w:r>
      <w:r w:rsidR="00D75CBA" w:rsidRPr="000A0867">
        <w:rPr>
          <w:lang w:eastAsia="ko-KR"/>
        </w:rPr>
        <w:t>invite</w:t>
      </w:r>
      <w:r w:rsidR="00295593" w:rsidRPr="000A0867">
        <w:rPr>
          <w:rFonts w:hint="eastAsia"/>
          <w:lang w:eastAsia="ko-KR"/>
        </w:rPr>
        <w:t>s</w:t>
      </w:r>
      <w:r w:rsidR="00D75CBA" w:rsidRPr="000A0867">
        <w:rPr>
          <w:lang w:eastAsia="ko-KR"/>
        </w:rPr>
        <w:t xml:space="preserve"> the Director to </w:t>
      </w:r>
      <w:r w:rsidR="00D75CBA" w:rsidRPr="000A0867">
        <w:rPr>
          <w:rFonts w:hint="eastAsia"/>
          <w:lang w:eastAsia="ko-KR"/>
        </w:rPr>
        <w:t>provide quick link</w:t>
      </w:r>
      <w:r w:rsidR="00304AB0" w:rsidRPr="000A0867">
        <w:rPr>
          <w:rFonts w:hint="eastAsia"/>
          <w:lang w:eastAsia="ko-KR"/>
        </w:rPr>
        <w:t>s</w:t>
      </w:r>
      <w:r w:rsidR="00D75CBA" w:rsidRPr="000A0867">
        <w:rPr>
          <w:rFonts w:hint="eastAsia"/>
          <w:lang w:eastAsia="ko-KR"/>
        </w:rPr>
        <w:t xml:space="preserve"> </w:t>
      </w:r>
      <w:r w:rsidR="005B0868" w:rsidRPr="000A0867">
        <w:rPr>
          <w:rFonts w:hint="eastAsia"/>
          <w:lang w:eastAsia="ko-KR"/>
        </w:rPr>
        <w:t xml:space="preserve">on the </w:t>
      </w:r>
      <w:r w:rsidR="0034074E" w:rsidRPr="000A0867">
        <w:rPr>
          <w:lang w:eastAsia="ko-KR"/>
        </w:rPr>
        <w:t>guidelines</w:t>
      </w:r>
      <w:r w:rsidR="005B0868" w:rsidRPr="000A0867">
        <w:rPr>
          <w:rFonts w:hint="eastAsia"/>
          <w:i/>
          <w:lang w:eastAsia="ko-KR"/>
        </w:rPr>
        <w:t xml:space="preserve"> </w:t>
      </w:r>
      <w:r w:rsidR="005B0868" w:rsidRPr="000A0867">
        <w:rPr>
          <w:rFonts w:hint="eastAsia"/>
          <w:lang w:eastAsia="ko-KR"/>
        </w:rPr>
        <w:t>including revision history as shown in th</w:t>
      </w:r>
      <w:r w:rsidR="002E450C" w:rsidRPr="000A0867">
        <w:rPr>
          <w:lang w:eastAsia="ko-KR"/>
        </w:rPr>
        <w:t>e</w:t>
      </w:r>
      <w:r w:rsidR="005B0868" w:rsidRPr="000A0867">
        <w:rPr>
          <w:rFonts w:hint="eastAsia"/>
          <w:lang w:eastAsia="ko-KR"/>
        </w:rPr>
        <w:t xml:space="preserve"> Annex as well as the </w:t>
      </w:r>
      <w:r w:rsidR="005B0868" w:rsidRPr="000A0867">
        <w:rPr>
          <w:lang w:eastAsia="ko-KR"/>
        </w:rPr>
        <w:t>template</w:t>
      </w:r>
      <w:r w:rsidR="005B0868" w:rsidRPr="000A0867">
        <w:rPr>
          <w:rFonts w:hint="eastAsia"/>
          <w:lang w:eastAsia="ko-KR"/>
        </w:rPr>
        <w:t xml:space="preserve"> of contribution and format of Recommendation </w:t>
      </w:r>
      <w:r w:rsidR="00CC0FE5" w:rsidRPr="000A0867">
        <w:rPr>
          <w:rFonts w:hint="eastAsia"/>
          <w:lang w:eastAsia="ko-KR"/>
        </w:rPr>
        <w:t xml:space="preserve">under the section of general information </w:t>
      </w:r>
      <w:r w:rsidR="00952396" w:rsidRPr="000A0867">
        <w:rPr>
          <w:rFonts w:hint="eastAsia"/>
          <w:lang w:eastAsia="ko-KR"/>
        </w:rPr>
        <w:t xml:space="preserve">on the main web page of each </w:t>
      </w:r>
      <w:r w:rsidR="00304AB0" w:rsidRPr="000A0867">
        <w:rPr>
          <w:rFonts w:hint="eastAsia"/>
          <w:lang w:eastAsia="ko-KR"/>
        </w:rPr>
        <w:t xml:space="preserve">Working Party, </w:t>
      </w:r>
      <w:r w:rsidR="00952396" w:rsidRPr="000A0867">
        <w:rPr>
          <w:rFonts w:hint="eastAsia"/>
          <w:lang w:eastAsia="ko-KR"/>
        </w:rPr>
        <w:t xml:space="preserve">Study Group in order </w:t>
      </w:r>
      <w:r w:rsidR="00D75CBA" w:rsidRPr="000A0867">
        <w:rPr>
          <w:rFonts w:hint="eastAsia"/>
          <w:lang w:eastAsia="ko-KR"/>
        </w:rPr>
        <w:t xml:space="preserve">to </w:t>
      </w:r>
      <w:r w:rsidR="00591E0C" w:rsidRPr="000A0867">
        <w:rPr>
          <w:rFonts w:hint="eastAsia"/>
          <w:lang w:eastAsia="ko-KR"/>
        </w:rPr>
        <w:t>improve</w:t>
      </w:r>
      <w:r w:rsidR="00952396" w:rsidRPr="000A0867">
        <w:rPr>
          <w:rFonts w:hint="eastAsia"/>
          <w:lang w:eastAsia="ko-KR"/>
        </w:rPr>
        <w:t xml:space="preserve"> </w:t>
      </w:r>
      <w:r w:rsidR="00D75CBA" w:rsidRPr="000A0867">
        <w:rPr>
          <w:rFonts w:hint="eastAsia"/>
          <w:lang w:eastAsia="ko-KR"/>
        </w:rPr>
        <w:t>access</w:t>
      </w:r>
      <w:r w:rsidR="00591E0C" w:rsidRPr="000A0867">
        <w:rPr>
          <w:rFonts w:hint="eastAsia"/>
          <w:lang w:eastAsia="ko-KR"/>
        </w:rPr>
        <w:t>ibility</w:t>
      </w:r>
      <w:r w:rsidR="00CC0FE5" w:rsidRPr="000A0867">
        <w:rPr>
          <w:rFonts w:hint="eastAsia"/>
          <w:lang w:eastAsia="ko-KR"/>
        </w:rPr>
        <w:t xml:space="preserve"> of useful information</w:t>
      </w:r>
      <w:r w:rsidR="00D75CBA" w:rsidRPr="000A0867">
        <w:rPr>
          <w:rFonts w:hint="eastAsia"/>
          <w:lang w:eastAsia="ko-KR"/>
        </w:rPr>
        <w:t>.</w:t>
      </w:r>
    </w:p>
    <w:p w:rsidR="004572F6" w:rsidRPr="005B0868" w:rsidRDefault="004572F6" w:rsidP="002A32D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after="120"/>
        <w:jc w:val="both"/>
        <w:textAlignment w:val="auto"/>
        <w:rPr>
          <w:bCs/>
          <w:szCs w:val="24"/>
        </w:rPr>
      </w:pPr>
    </w:p>
    <w:p w:rsidR="0034074E" w:rsidRDefault="00E5654F" w:rsidP="00FD50C0">
      <w:pPr>
        <w:tabs>
          <w:tab w:val="clear" w:pos="1191"/>
        </w:tabs>
        <w:jc w:val="both"/>
        <w:rPr>
          <w:b/>
          <w:lang w:eastAsia="ko-KR"/>
        </w:rPr>
      </w:pPr>
      <w:r w:rsidRPr="00E5654F">
        <w:rPr>
          <w:rFonts w:hint="eastAsia"/>
          <w:b/>
          <w:lang w:eastAsia="ko-KR"/>
        </w:rPr>
        <w:t>Annex: 1</w:t>
      </w:r>
    </w:p>
    <w:p w:rsidR="00E5654F" w:rsidRDefault="00E5654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b/>
          <w:lang w:eastAsia="ko-KR"/>
        </w:rPr>
      </w:pPr>
      <w:r>
        <w:rPr>
          <w:b/>
          <w:lang w:eastAsia="ko-KR"/>
        </w:rPr>
        <w:br w:type="page"/>
      </w:r>
    </w:p>
    <w:p w:rsidR="00D93784" w:rsidRDefault="00D93784" w:rsidP="00E5654F">
      <w:pPr>
        <w:tabs>
          <w:tab w:val="clear" w:pos="1191"/>
        </w:tabs>
        <w:jc w:val="center"/>
        <w:rPr>
          <w:lang w:eastAsia="ko-KR"/>
        </w:rPr>
      </w:pPr>
    </w:p>
    <w:p w:rsidR="000B7B82" w:rsidRDefault="00D75CBA" w:rsidP="00E5654F">
      <w:pPr>
        <w:tabs>
          <w:tab w:val="clear" w:pos="1191"/>
        </w:tabs>
        <w:jc w:val="center"/>
        <w:rPr>
          <w:lang w:eastAsia="ko-KR"/>
        </w:rPr>
      </w:pPr>
      <w:r>
        <w:rPr>
          <w:rFonts w:hint="eastAsia"/>
          <w:lang w:eastAsia="ko-KR"/>
        </w:rPr>
        <w:t>ANNEX</w:t>
      </w:r>
    </w:p>
    <w:p w:rsidR="00E5654F" w:rsidRDefault="00E5654F" w:rsidP="00E5654F">
      <w:pPr>
        <w:tabs>
          <w:tab w:val="clear" w:pos="1191"/>
        </w:tabs>
        <w:jc w:val="center"/>
        <w:rPr>
          <w:lang w:eastAsia="ko-KR"/>
        </w:rPr>
      </w:pPr>
    </w:p>
    <w:p w:rsidR="00E5654F" w:rsidRPr="00E5654F" w:rsidRDefault="00C74DD6" w:rsidP="00E5654F">
      <w:pPr>
        <w:tabs>
          <w:tab w:val="clear" w:pos="1191"/>
        </w:tabs>
        <w:jc w:val="center"/>
        <w:rPr>
          <w:b/>
          <w:lang w:eastAsia="ko-KR"/>
        </w:rPr>
      </w:pPr>
      <w:r>
        <w:rPr>
          <w:rFonts w:hint="eastAsia"/>
          <w:b/>
          <w:lang w:eastAsia="ko-KR"/>
        </w:rPr>
        <w:t>An e</w:t>
      </w:r>
      <w:r w:rsidR="00233A76">
        <w:rPr>
          <w:rFonts w:hint="eastAsia"/>
          <w:b/>
          <w:lang w:eastAsia="ko-KR"/>
        </w:rPr>
        <w:t xml:space="preserve">xample </w:t>
      </w:r>
      <w:r>
        <w:rPr>
          <w:rFonts w:hint="eastAsia"/>
          <w:b/>
          <w:lang w:eastAsia="ko-KR"/>
        </w:rPr>
        <w:t xml:space="preserve">to be shown on a webpage </w:t>
      </w:r>
      <w:r w:rsidR="00233A76">
        <w:rPr>
          <w:rFonts w:hint="eastAsia"/>
          <w:b/>
          <w:lang w:eastAsia="ko-KR"/>
        </w:rPr>
        <w:t>o</w:t>
      </w:r>
      <w:r w:rsidR="007319CB">
        <w:rPr>
          <w:rFonts w:hint="eastAsia"/>
          <w:b/>
          <w:lang w:eastAsia="ko-KR"/>
        </w:rPr>
        <w:t xml:space="preserve">n </w:t>
      </w:r>
      <w:r w:rsidR="00233A76">
        <w:rPr>
          <w:rFonts w:hint="eastAsia"/>
          <w:b/>
          <w:lang w:eastAsia="ko-KR"/>
        </w:rPr>
        <w:t xml:space="preserve">the </w:t>
      </w:r>
      <w:r w:rsidR="00E5654F" w:rsidRPr="00E5654F">
        <w:rPr>
          <w:b/>
          <w:lang w:eastAsia="ko-KR"/>
        </w:rPr>
        <w:t>Guideline</w:t>
      </w:r>
      <w:r w:rsidR="00233A76">
        <w:rPr>
          <w:rFonts w:hint="eastAsia"/>
          <w:b/>
          <w:lang w:eastAsia="ko-KR"/>
        </w:rPr>
        <w:t>s</w:t>
      </w:r>
      <w:r w:rsidR="00E5654F">
        <w:rPr>
          <w:rFonts w:hint="eastAsia"/>
          <w:b/>
          <w:lang w:eastAsia="ko-KR"/>
        </w:rPr>
        <w:t xml:space="preserve"> for Working Method</w:t>
      </w:r>
    </w:p>
    <w:p w:rsidR="00E5654F" w:rsidRDefault="00E5654F" w:rsidP="00E5654F">
      <w:pPr>
        <w:tabs>
          <w:tab w:val="clear" w:pos="1191"/>
        </w:tabs>
        <w:jc w:val="center"/>
        <w:rPr>
          <w:lang w:eastAsia="ko-KR"/>
        </w:rPr>
      </w:pP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992"/>
        <w:gridCol w:w="5528"/>
        <w:gridCol w:w="1032"/>
      </w:tblGrid>
      <w:tr w:rsidR="00E5654F" w:rsidRPr="0005788D" w:rsidTr="00284FBF">
        <w:trPr>
          <w:trHeight w:val="226"/>
        </w:trPr>
        <w:tc>
          <w:tcPr>
            <w:tcW w:w="993" w:type="dxa"/>
            <w:shd w:val="pct10" w:color="auto" w:fill="FFFFFF"/>
          </w:tcPr>
          <w:p w:rsidR="00E5654F" w:rsidRPr="0005788D" w:rsidRDefault="00E5654F" w:rsidP="004E0DD4">
            <w:pPr>
              <w:pStyle w:val="TAL"/>
              <w:rPr>
                <w:rFonts w:cs="Arial"/>
                <w:b/>
                <w:sz w:val="16"/>
              </w:rPr>
            </w:pPr>
            <w:r w:rsidRPr="0005788D">
              <w:rPr>
                <w:rFonts w:cs="Arial"/>
                <w:b/>
                <w:sz w:val="16"/>
              </w:rPr>
              <w:t>Date</w:t>
            </w:r>
          </w:p>
        </w:tc>
        <w:tc>
          <w:tcPr>
            <w:tcW w:w="1134" w:type="dxa"/>
            <w:shd w:val="pct10" w:color="auto" w:fill="FFFFFF"/>
          </w:tcPr>
          <w:p w:rsidR="00E5654F" w:rsidRPr="0005788D" w:rsidRDefault="00E5654F" w:rsidP="00E5654F">
            <w:pPr>
              <w:pStyle w:val="TAL"/>
              <w:rPr>
                <w:rFonts w:cs="Arial"/>
                <w:b/>
                <w:sz w:val="16"/>
                <w:lang w:eastAsia="ko-KR"/>
              </w:rPr>
            </w:pPr>
            <w:r>
              <w:rPr>
                <w:rFonts w:cs="Arial" w:hint="eastAsia"/>
                <w:b/>
                <w:sz w:val="16"/>
                <w:lang w:eastAsia="ko-KR"/>
              </w:rPr>
              <w:t>Doc. Number</w:t>
            </w:r>
          </w:p>
        </w:tc>
        <w:tc>
          <w:tcPr>
            <w:tcW w:w="992" w:type="dxa"/>
            <w:shd w:val="pct10" w:color="auto" w:fill="FFFFFF"/>
          </w:tcPr>
          <w:p w:rsidR="00E5654F" w:rsidRDefault="00284FBF" w:rsidP="00E5654F">
            <w:pPr>
              <w:pStyle w:val="TAL"/>
              <w:jc w:val="both"/>
              <w:rPr>
                <w:rFonts w:cs="Arial"/>
                <w:b/>
                <w:sz w:val="16"/>
                <w:lang w:eastAsia="ko-KR"/>
              </w:rPr>
            </w:pPr>
            <w:r>
              <w:rPr>
                <w:rFonts w:cs="Arial" w:hint="eastAsia"/>
                <w:b/>
                <w:sz w:val="16"/>
                <w:lang w:eastAsia="ko-KR"/>
              </w:rPr>
              <w:t>Source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pct10" w:color="auto" w:fill="FFFFFF"/>
          </w:tcPr>
          <w:p w:rsidR="00E5654F" w:rsidRPr="0005788D" w:rsidRDefault="00E5654F" w:rsidP="00E5654F">
            <w:pPr>
              <w:pStyle w:val="TAL"/>
              <w:jc w:val="both"/>
              <w:rPr>
                <w:rFonts w:cs="Arial"/>
                <w:b/>
                <w:sz w:val="16"/>
                <w:lang w:eastAsia="ko-KR"/>
              </w:rPr>
            </w:pPr>
            <w:r>
              <w:rPr>
                <w:rFonts w:cs="Arial" w:hint="eastAsia"/>
                <w:b/>
                <w:sz w:val="16"/>
                <w:lang w:eastAsia="ko-KR"/>
              </w:rPr>
              <w:t>Title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pct10" w:color="auto" w:fill="FFFFFF"/>
          </w:tcPr>
          <w:p w:rsidR="00E5654F" w:rsidRPr="0005788D" w:rsidRDefault="00D75CBA" w:rsidP="004E0DD4">
            <w:pPr>
              <w:pStyle w:val="TAL"/>
              <w:rPr>
                <w:rFonts w:cs="Arial"/>
                <w:b/>
                <w:sz w:val="16"/>
                <w:lang w:eastAsia="ko-KR"/>
              </w:rPr>
            </w:pPr>
            <w:r>
              <w:rPr>
                <w:rFonts w:cs="Arial" w:hint="eastAsia"/>
                <w:b/>
                <w:sz w:val="16"/>
                <w:lang w:eastAsia="ko-KR"/>
              </w:rPr>
              <w:t>Remark</w:t>
            </w:r>
          </w:p>
        </w:tc>
      </w:tr>
      <w:tr w:rsidR="00E5654F" w:rsidRPr="0005788D" w:rsidTr="00284FBF">
        <w:tc>
          <w:tcPr>
            <w:tcW w:w="993" w:type="dxa"/>
            <w:shd w:val="solid" w:color="FFFFFF" w:fill="auto"/>
          </w:tcPr>
          <w:p w:rsidR="00E5654F" w:rsidRPr="0005788D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>1992-03-16</w:t>
            </w:r>
          </w:p>
        </w:tc>
        <w:tc>
          <w:tcPr>
            <w:tcW w:w="1134" w:type="dxa"/>
            <w:shd w:val="solid" w:color="FFFFFF" w:fill="auto"/>
          </w:tcPr>
          <w:p w:rsidR="00E5654F" w:rsidRPr="0005788D" w:rsidRDefault="0064700F" w:rsidP="0064700F">
            <w:pPr>
              <w:rPr>
                <w:rFonts w:ascii="Arial" w:hAnsi="Arial" w:cs="Arial"/>
                <w:snapToGrid w:val="0"/>
                <w:color w:val="000000"/>
                <w:sz w:val="16"/>
                <w:lang w:val="en-AU"/>
              </w:rPr>
            </w:pPr>
            <w:r w:rsidRPr="0064700F"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>AC/360</w:t>
            </w:r>
          </w:p>
        </w:tc>
        <w:tc>
          <w:tcPr>
            <w:tcW w:w="992" w:type="dxa"/>
            <w:shd w:val="solid" w:color="FFFFFF" w:fill="auto"/>
          </w:tcPr>
          <w:p w:rsidR="00E5654F" w:rsidRPr="00E5654F" w:rsidRDefault="00284FBF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eastAsia="ko-KR"/>
              </w:rPr>
              <w:t>Director, BR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solid" w:color="FFFFFF" w:fill="auto"/>
          </w:tcPr>
          <w:p w:rsidR="00E5654F" w:rsidRPr="0005788D" w:rsidRDefault="00E5654F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 w:rsidRPr="00E5654F">
              <w:rPr>
                <w:rFonts w:ascii="Arial" w:hAnsi="Arial" w:cs="Arial"/>
                <w:snapToGrid w:val="0"/>
                <w:color w:val="000000"/>
                <w:sz w:val="16"/>
                <w:lang w:eastAsia="ko-KR"/>
              </w:rPr>
              <w:t>Working Guidelines for Radiocommunication Assembly and Study Group Meetings and Documentation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solid" w:color="FFFFFF" w:fill="auto"/>
          </w:tcPr>
          <w:p w:rsidR="00E5654F" w:rsidRPr="0005788D" w:rsidRDefault="00284FBF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>1</w:t>
            </w:r>
            <w:r w:rsidRPr="00284FBF">
              <w:rPr>
                <w:rFonts w:ascii="Arial" w:hAnsi="Arial" w:cs="Arial" w:hint="eastAsia"/>
                <w:snapToGrid w:val="0"/>
                <w:color w:val="000000"/>
                <w:sz w:val="16"/>
                <w:vertAlign w:val="superscript"/>
                <w:lang w:val="en-AU" w:eastAsia="ko-KR"/>
              </w:rPr>
              <w:t>st</w:t>
            </w: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 xml:space="preserve"> edition</w:t>
            </w:r>
          </w:p>
        </w:tc>
      </w:tr>
      <w:tr w:rsidR="000F2C54" w:rsidRPr="0005788D" w:rsidTr="00284FBF">
        <w:tc>
          <w:tcPr>
            <w:tcW w:w="993" w:type="dxa"/>
            <w:shd w:val="solid" w:color="FFFFFF" w:fill="auto"/>
          </w:tcPr>
          <w:p w:rsidR="000F2C54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>1995-02-24</w:t>
            </w:r>
          </w:p>
        </w:tc>
        <w:tc>
          <w:tcPr>
            <w:tcW w:w="1134" w:type="dxa"/>
            <w:shd w:val="solid" w:color="FFFFFF" w:fill="auto"/>
          </w:tcPr>
          <w:p w:rsidR="000F2C54" w:rsidRDefault="000A0867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hyperlink r:id="rId18" w:history="1">
              <w:r w:rsidR="000F2C54" w:rsidRPr="00E5654F">
                <w:rPr>
                  <w:rStyle w:val="Hyperlink"/>
                  <w:rFonts w:ascii="Arial" w:hAnsi="Arial" w:cs="Arial" w:hint="eastAsia"/>
                  <w:snapToGrid w:val="0"/>
                  <w:sz w:val="16"/>
                  <w:lang w:val="en-AU" w:eastAsia="ko-KR"/>
                </w:rPr>
                <w:t>CA/13</w:t>
              </w:r>
            </w:hyperlink>
          </w:p>
        </w:tc>
        <w:tc>
          <w:tcPr>
            <w:tcW w:w="992" w:type="dxa"/>
            <w:shd w:val="solid" w:color="FFFFFF" w:fill="auto"/>
          </w:tcPr>
          <w:p w:rsidR="000F2C54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eastAsia="ko-KR"/>
              </w:rPr>
              <w:t>Director, BR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solid" w:color="FFFFFF" w:fill="auto"/>
          </w:tcPr>
          <w:p w:rsidR="000F2C54" w:rsidRPr="00E5654F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eastAsia="ko-KR"/>
              </w:rPr>
            </w:pPr>
            <w:r w:rsidRPr="00E5654F">
              <w:rPr>
                <w:rFonts w:ascii="Arial" w:hAnsi="Arial" w:cs="Arial"/>
                <w:snapToGrid w:val="0"/>
                <w:color w:val="000000"/>
                <w:sz w:val="16"/>
                <w:lang w:eastAsia="ko-KR"/>
              </w:rPr>
              <w:t>Working Guidelines for Radiocommunication Assembly and Study Group Meetings and Documentation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solid" w:color="FFFFFF" w:fill="auto"/>
          </w:tcPr>
          <w:p w:rsidR="000F2C54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>2</w:t>
            </w:r>
            <w:r w:rsidRPr="00284FBF">
              <w:rPr>
                <w:rFonts w:ascii="Arial" w:hAnsi="Arial" w:cs="Arial" w:hint="eastAsia"/>
                <w:snapToGrid w:val="0"/>
                <w:color w:val="000000"/>
                <w:sz w:val="16"/>
                <w:vertAlign w:val="superscript"/>
                <w:lang w:val="en-AU" w:eastAsia="ko-KR"/>
              </w:rPr>
              <w:t>nd</w:t>
            </w: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 xml:space="preserve"> edition</w:t>
            </w:r>
          </w:p>
        </w:tc>
      </w:tr>
      <w:tr w:rsidR="000F2C54" w:rsidRPr="0005788D" w:rsidTr="00284FBF">
        <w:tc>
          <w:tcPr>
            <w:tcW w:w="993" w:type="dxa"/>
            <w:shd w:val="solid" w:color="FFFFFF" w:fill="auto"/>
          </w:tcPr>
          <w:p w:rsidR="000F2C54" w:rsidRPr="0005788D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>2001-10-10</w:t>
            </w:r>
          </w:p>
        </w:tc>
        <w:tc>
          <w:tcPr>
            <w:tcW w:w="1134" w:type="dxa"/>
            <w:shd w:val="solid" w:color="FFFFFF" w:fill="auto"/>
          </w:tcPr>
          <w:p w:rsidR="000F2C54" w:rsidRPr="0005788D" w:rsidRDefault="000A0867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hyperlink r:id="rId19" w:history="1">
              <w:r w:rsidR="000F2C54" w:rsidRPr="00284FBF">
                <w:rPr>
                  <w:rStyle w:val="Hyperlink"/>
                  <w:rFonts w:ascii="Arial" w:hAnsi="Arial" w:cs="Arial" w:hint="eastAsia"/>
                  <w:snapToGrid w:val="0"/>
                  <w:sz w:val="16"/>
                  <w:lang w:val="en-AU" w:eastAsia="ko-KR"/>
                </w:rPr>
                <w:t>CA/106</w:t>
              </w:r>
            </w:hyperlink>
          </w:p>
        </w:tc>
        <w:tc>
          <w:tcPr>
            <w:tcW w:w="992" w:type="dxa"/>
            <w:shd w:val="solid" w:color="FFFFFF" w:fill="auto"/>
          </w:tcPr>
          <w:p w:rsidR="000F2C54" w:rsidRPr="0005788D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eastAsia="ko-KR"/>
              </w:rPr>
              <w:t>Director, BR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solid" w:color="FFFFFF" w:fill="auto"/>
          </w:tcPr>
          <w:p w:rsidR="000F2C54" w:rsidRPr="0005788D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 w:rsidRPr="00284FBF">
              <w:rPr>
                <w:rFonts w:ascii="Arial" w:hAnsi="Arial" w:cs="Arial"/>
                <w:snapToGrid w:val="0"/>
                <w:color w:val="000000"/>
                <w:sz w:val="16"/>
                <w:lang w:eastAsia="ko-KR"/>
              </w:rPr>
              <w:t>Draft guidelines for the Working Methods of the Radiocommunication Assembly, the Radiocommunication Study Groups and related Groups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solid" w:color="FFFFFF" w:fill="auto"/>
          </w:tcPr>
          <w:p w:rsidR="000F2C54" w:rsidRPr="0005788D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>3</w:t>
            </w:r>
            <w:r w:rsidRPr="00284FBF">
              <w:rPr>
                <w:rFonts w:ascii="Arial" w:hAnsi="Arial" w:cs="Arial" w:hint="eastAsia"/>
                <w:snapToGrid w:val="0"/>
                <w:color w:val="000000"/>
                <w:sz w:val="16"/>
                <w:vertAlign w:val="superscript"/>
                <w:lang w:val="en-AU" w:eastAsia="ko-KR"/>
              </w:rPr>
              <w:t>rd</w:t>
            </w: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 xml:space="preserve"> edition</w:t>
            </w:r>
          </w:p>
        </w:tc>
      </w:tr>
      <w:tr w:rsidR="000F2C54" w:rsidRPr="0005788D" w:rsidTr="00284FBF">
        <w:tc>
          <w:tcPr>
            <w:tcW w:w="993" w:type="dxa"/>
            <w:shd w:val="solid" w:color="FFFFFF" w:fill="auto"/>
          </w:tcPr>
          <w:p w:rsidR="000F2C54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>2002-05-01</w:t>
            </w:r>
          </w:p>
        </w:tc>
        <w:tc>
          <w:tcPr>
            <w:tcW w:w="1134" w:type="dxa"/>
            <w:shd w:val="solid" w:color="FFFFFF" w:fill="auto"/>
          </w:tcPr>
          <w:p w:rsidR="000F2C54" w:rsidRDefault="000A0867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hyperlink r:id="rId20" w:history="1">
              <w:r w:rsidR="000F2C54" w:rsidRPr="00284FBF">
                <w:rPr>
                  <w:rStyle w:val="Hyperlink"/>
                  <w:rFonts w:ascii="Arial" w:hAnsi="Arial" w:cs="Arial" w:hint="eastAsia"/>
                  <w:snapToGrid w:val="0"/>
                  <w:sz w:val="16"/>
                  <w:lang w:val="en-AU" w:eastAsia="ko-KR"/>
                </w:rPr>
                <w:t>CA/117</w:t>
              </w:r>
            </w:hyperlink>
          </w:p>
        </w:tc>
        <w:tc>
          <w:tcPr>
            <w:tcW w:w="992" w:type="dxa"/>
            <w:shd w:val="solid" w:color="FFFFFF" w:fill="auto"/>
          </w:tcPr>
          <w:p w:rsidR="000F2C54" w:rsidRPr="0005788D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eastAsia="ko-KR"/>
              </w:rPr>
              <w:t>Director, BR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solid" w:color="FFFFFF" w:fill="auto"/>
          </w:tcPr>
          <w:p w:rsidR="000F2C54" w:rsidRPr="0005788D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 w:rsidRPr="00284FBF">
              <w:rPr>
                <w:rFonts w:ascii="Arial" w:hAnsi="Arial" w:cs="Arial"/>
                <w:snapToGrid w:val="0"/>
                <w:color w:val="000000"/>
                <w:sz w:val="16"/>
                <w:lang w:eastAsia="ko-KR"/>
              </w:rPr>
              <w:t>Revised Guidelines for the working methods of the Radiocommunication Assembly, Study Groups and related groups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solid" w:color="FFFFFF" w:fill="auto"/>
          </w:tcPr>
          <w:p w:rsidR="000F2C54" w:rsidRPr="0005788D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>4</w:t>
            </w:r>
            <w:r w:rsidRPr="00284FBF">
              <w:rPr>
                <w:rFonts w:ascii="Arial" w:hAnsi="Arial" w:cs="Arial" w:hint="eastAsia"/>
                <w:snapToGrid w:val="0"/>
                <w:color w:val="000000"/>
                <w:sz w:val="16"/>
                <w:vertAlign w:val="superscript"/>
                <w:lang w:val="en-AU" w:eastAsia="ko-KR"/>
              </w:rPr>
              <w:t>th</w:t>
            </w: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 xml:space="preserve"> edition</w:t>
            </w:r>
          </w:p>
        </w:tc>
      </w:tr>
      <w:tr w:rsidR="000F2C54" w:rsidRPr="0005788D" w:rsidTr="00284FBF">
        <w:tc>
          <w:tcPr>
            <w:tcW w:w="993" w:type="dxa"/>
            <w:shd w:val="solid" w:color="FFFFFF" w:fill="auto"/>
          </w:tcPr>
          <w:p w:rsidR="000F2C54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>2004-06-30</w:t>
            </w:r>
          </w:p>
        </w:tc>
        <w:tc>
          <w:tcPr>
            <w:tcW w:w="1134" w:type="dxa"/>
            <w:shd w:val="solid" w:color="FFFFFF" w:fill="auto"/>
          </w:tcPr>
          <w:p w:rsidR="000F2C54" w:rsidRDefault="000A0867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hyperlink r:id="rId21" w:history="1">
              <w:r w:rsidR="000F2C54" w:rsidRPr="00284FBF">
                <w:rPr>
                  <w:rStyle w:val="Hyperlink"/>
                  <w:rFonts w:ascii="Arial" w:hAnsi="Arial" w:cs="Arial" w:hint="eastAsia"/>
                  <w:snapToGrid w:val="0"/>
                  <w:sz w:val="16"/>
                  <w:lang w:val="en-AU" w:eastAsia="ko-KR"/>
                </w:rPr>
                <w:t>CA/140</w:t>
              </w:r>
            </w:hyperlink>
          </w:p>
        </w:tc>
        <w:tc>
          <w:tcPr>
            <w:tcW w:w="992" w:type="dxa"/>
            <w:shd w:val="solid" w:color="FFFFFF" w:fill="auto"/>
          </w:tcPr>
          <w:p w:rsidR="000F2C54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eastAsia="ko-KR"/>
              </w:rPr>
              <w:t>Director, BR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solid" w:color="FFFFFF" w:fill="auto"/>
          </w:tcPr>
          <w:p w:rsidR="000F2C54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 w:rsidRPr="00284FBF">
              <w:rPr>
                <w:rFonts w:ascii="Arial" w:hAnsi="Arial" w:cs="Arial"/>
                <w:snapToGrid w:val="0"/>
                <w:color w:val="000000"/>
                <w:sz w:val="16"/>
                <w:lang w:eastAsia="ko-KR"/>
              </w:rPr>
              <w:t>Revision of Guidelines for the working methods of the Radiocommunication Assembly, the Radiocommunication Study Groups and related groups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solid" w:color="FFFFFF" w:fill="auto"/>
          </w:tcPr>
          <w:p w:rsidR="000F2C54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>5</w:t>
            </w:r>
            <w:r w:rsidRPr="00284FBF">
              <w:rPr>
                <w:rFonts w:ascii="Arial" w:hAnsi="Arial" w:cs="Arial" w:hint="eastAsia"/>
                <w:snapToGrid w:val="0"/>
                <w:color w:val="000000"/>
                <w:sz w:val="16"/>
                <w:vertAlign w:val="superscript"/>
                <w:lang w:val="en-AU" w:eastAsia="ko-KR"/>
              </w:rPr>
              <w:t>th</w:t>
            </w: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 xml:space="preserve"> edition</w:t>
            </w:r>
          </w:p>
        </w:tc>
      </w:tr>
      <w:tr w:rsidR="000F2C54" w:rsidRPr="0005788D" w:rsidTr="00284FBF">
        <w:tc>
          <w:tcPr>
            <w:tcW w:w="993" w:type="dxa"/>
            <w:shd w:val="solid" w:color="FFFFFF" w:fill="auto"/>
          </w:tcPr>
          <w:p w:rsidR="000F2C54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>2005-12-21</w:t>
            </w:r>
          </w:p>
        </w:tc>
        <w:tc>
          <w:tcPr>
            <w:tcW w:w="1134" w:type="dxa"/>
            <w:shd w:val="solid" w:color="FFFFFF" w:fill="auto"/>
          </w:tcPr>
          <w:p w:rsidR="000F2C54" w:rsidRDefault="000A0867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hyperlink r:id="rId22" w:history="1">
              <w:r w:rsidR="000F2C54" w:rsidRPr="00284FBF">
                <w:rPr>
                  <w:rStyle w:val="Hyperlink"/>
                  <w:rFonts w:ascii="Arial" w:hAnsi="Arial" w:cs="Arial" w:hint="eastAsia"/>
                  <w:snapToGrid w:val="0"/>
                  <w:sz w:val="16"/>
                  <w:lang w:val="en-AU" w:eastAsia="ko-KR"/>
                </w:rPr>
                <w:t>CA/155</w:t>
              </w:r>
            </w:hyperlink>
          </w:p>
        </w:tc>
        <w:tc>
          <w:tcPr>
            <w:tcW w:w="992" w:type="dxa"/>
            <w:shd w:val="solid" w:color="FFFFFF" w:fill="auto"/>
          </w:tcPr>
          <w:p w:rsidR="000F2C54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eastAsia="ko-KR"/>
              </w:rPr>
              <w:t>Director, BR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solid" w:color="FFFFFF" w:fill="auto"/>
          </w:tcPr>
          <w:p w:rsidR="000F2C54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 w:rsidRPr="00284FBF">
              <w:rPr>
                <w:rFonts w:ascii="Arial" w:hAnsi="Arial" w:cs="Arial"/>
                <w:snapToGrid w:val="0"/>
                <w:color w:val="000000"/>
                <w:sz w:val="16"/>
                <w:lang w:eastAsia="ko-KR"/>
              </w:rPr>
              <w:t>Revision of Guidelines for the working methods of the Radiocommunication Assembly, the Radiocommunication Study Groups and related groups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solid" w:color="FFFFFF" w:fill="auto"/>
          </w:tcPr>
          <w:p w:rsidR="000F2C54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>6</w:t>
            </w:r>
            <w:r w:rsidRPr="00284FBF">
              <w:rPr>
                <w:rFonts w:ascii="Arial" w:hAnsi="Arial" w:cs="Arial" w:hint="eastAsia"/>
                <w:snapToGrid w:val="0"/>
                <w:color w:val="000000"/>
                <w:sz w:val="16"/>
                <w:vertAlign w:val="superscript"/>
                <w:lang w:val="en-AU" w:eastAsia="ko-KR"/>
              </w:rPr>
              <w:t>th</w:t>
            </w: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 xml:space="preserve"> edition</w:t>
            </w:r>
          </w:p>
        </w:tc>
      </w:tr>
      <w:tr w:rsidR="000F2C54" w:rsidRPr="0005788D" w:rsidTr="00284FBF">
        <w:tc>
          <w:tcPr>
            <w:tcW w:w="993" w:type="dxa"/>
            <w:shd w:val="solid" w:color="FFFFFF" w:fill="auto"/>
          </w:tcPr>
          <w:p w:rsidR="000F2C54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>2008-11-26</w:t>
            </w:r>
          </w:p>
        </w:tc>
        <w:tc>
          <w:tcPr>
            <w:tcW w:w="1134" w:type="dxa"/>
            <w:shd w:val="solid" w:color="FFFFFF" w:fill="auto"/>
          </w:tcPr>
          <w:p w:rsidR="000F2C54" w:rsidRDefault="000A0867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hyperlink r:id="rId23" w:history="1">
              <w:r w:rsidR="000F2C54" w:rsidRPr="00284FBF">
                <w:rPr>
                  <w:rStyle w:val="Hyperlink"/>
                  <w:rFonts w:ascii="Arial" w:hAnsi="Arial" w:cs="Arial" w:hint="eastAsia"/>
                  <w:snapToGrid w:val="0"/>
                  <w:sz w:val="16"/>
                  <w:lang w:val="en-AU" w:eastAsia="ko-KR"/>
                </w:rPr>
                <w:t>CA/177</w:t>
              </w:r>
            </w:hyperlink>
          </w:p>
        </w:tc>
        <w:tc>
          <w:tcPr>
            <w:tcW w:w="992" w:type="dxa"/>
            <w:shd w:val="solid" w:color="FFFFFF" w:fill="auto"/>
          </w:tcPr>
          <w:p w:rsidR="000F2C54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eastAsia="ko-KR"/>
              </w:rPr>
              <w:t>Director, BR</w:t>
            </w:r>
          </w:p>
        </w:tc>
        <w:tc>
          <w:tcPr>
            <w:tcW w:w="5528" w:type="dxa"/>
            <w:tcBorders>
              <w:right w:val="single" w:sz="4" w:space="0" w:color="auto"/>
            </w:tcBorders>
            <w:shd w:val="solid" w:color="FFFFFF" w:fill="auto"/>
          </w:tcPr>
          <w:p w:rsidR="000F2C54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 w:rsidRPr="00284FBF">
              <w:rPr>
                <w:rFonts w:ascii="Arial" w:hAnsi="Arial" w:cs="Arial"/>
                <w:snapToGrid w:val="0"/>
                <w:color w:val="000000"/>
                <w:sz w:val="16"/>
                <w:lang w:eastAsia="ko-KR"/>
              </w:rPr>
              <w:t>Revision of Guidelines for the working methods of the Radiocommunication Assembly, the Radiocommunication Study Groups and related groups</w:t>
            </w:r>
          </w:p>
        </w:tc>
        <w:tc>
          <w:tcPr>
            <w:tcW w:w="1032" w:type="dxa"/>
            <w:tcBorders>
              <w:left w:val="single" w:sz="4" w:space="0" w:color="auto"/>
            </w:tcBorders>
            <w:shd w:val="solid" w:color="FFFFFF" w:fill="auto"/>
          </w:tcPr>
          <w:p w:rsidR="000F2C54" w:rsidRDefault="000F2C54" w:rsidP="00284FBF">
            <w:pPr>
              <w:rPr>
                <w:rFonts w:ascii="Arial" w:hAnsi="Arial" w:cs="Arial"/>
                <w:snapToGrid w:val="0"/>
                <w:color w:val="000000"/>
                <w:sz w:val="16"/>
                <w:lang w:val="en-AU" w:eastAsia="ko-KR"/>
              </w:rPr>
            </w:pP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>7</w:t>
            </w:r>
            <w:r w:rsidRPr="000F2C54">
              <w:rPr>
                <w:rFonts w:ascii="Arial" w:hAnsi="Arial" w:cs="Arial" w:hint="eastAsia"/>
                <w:snapToGrid w:val="0"/>
                <w:color w:val="000000"/>
                <w:sz w:val="16"/>
                <w:vertAlign w:val="superscript"/>
                <w:lang w:val="en-AU" w:eastAsia="ko-KR"/>
              </w:rPr>
              <w:t>th</w:t>
            </w:r>
            <w:r>
              <w:rPr>
                <w:rFonts w:ascii="Arial" w:hAnsi="Arial" w:cs="Arial" w:hint="eastAsia"/>
                <w:snapToGrid w:val="0"/>
                <w:color w:val="000000"/>
                <w:sz w:val="16"/>
                <w:lang w:val="en-AU" w:eastAsia="ko-KR"/>
              </w:rPr>
              <w:t xml:space="preserve"> edition</w:t>
            </w:r>
          </w:p>
        </w:tc>
      </w:tr>
    </w:tbl>
    <w:p w:rsidR="00E5654F" w:rsidRPr="00E5654F" w:rsidRDefault="00E5654F" w:rsidP="00284FBF">
      <w:pPr>
        <w:tabs>
          <w:tab w:val="clear" w:pos="1191"/>
        </w:tabs>
        <w:rPr>
          <w:lang w:eastAsia="ko-KR"/>
        </w:rPr>
      </w:pPr>
    </w:p>
    <w:p w:rsidR="004A728A" w:rsidRDefault="004A728A" w:rsidP="004A728A">
      <w:pPr>
        <w:jc w:val="center"/>
      </w:pPr>
      <w:r>
        <w:t>___________</w:t>
      </w:r>
    </w:p>
    <w:sectPr w:rsidR="004A728A" w:rsidSect="00D80829">
      <w:headerReference w:type="default" r:id="rId24"/>
      <w:footerReference w:type="default" r:id="rId25"/>
      <w:footerReference w:type="first" r:id="rId26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36F" w:rsidRDefault="0000636F">
      <w:r>
        <w:separator/>
      </w:r>
    </w:p>
  </w:endnote>
  <w:endnote w:type="continuationSeparator" w:id="0">
    <w:p w:rsidR="0000636F" w:rsidRDefault="0000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36F" w:rsidRPr="0085669C" w:rsidRDefault="000A0867" w:rsidP="0000636F">
    <w:pPr>
      <w:pStyle w:val="Footer"/>
      <w:rPr>
        <w:lang w:val="en-US"/>
      </w:rPr>
    </w:pPr>
    <w:r>
      <w:fldChar w:fldCharType="begin"/>
    </w:r>
    <w:r w:rsidRPr="0085669C">
      <w:rPr>
        <w:lang w:val="en-US"/>
      </w:rPr>
      <w:instrText xml:space="preserve"> FILENAME \p \* MERGEFORMAT </w:instrText>
    </w:r>
    <w:r>
      <w:fldChar w:fldCharType="separate"/>
    </w:r>
    <w:r w:rsidR="0085669C" w:rsidRPr="0085669C">
      <w:rPr>
        <w:lang w:val="en-US"/>
      </w:rPr>
      <w:t>P:\ENG\ITU-R\AG\RAG13\RAG-1\000\004e.docx</w:t>
    </w:r>
    <w:r>
      <w:fldChar w:fldCharType="end"/>
    </w:r>
    <w:r w:rsidR="0085669C">
      <w:t xml:space="preserve"> (342793)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36F" w:rsidRPr="0085669C" w:rsidRDefault="000A0867" w:rsidP="00F84657">
    <w:pPr>
      <w:pStyle w:val="Footer"/>
      <w:rPr>
        <w:lang w:val="en-US"/>
      </w:rPr>
    </w:pPr>
    <w:r>
      <w:fldChar w:fldCharType="begin"/>
    </w:r>
    <w:r w:rsidRPr="0085669C">
      <w:rPr>
        <w:lang w:val="en-US"/>
      </w:rPr>
      <w:instrText xml:space="preserve"> FILENAME \p \* MERGEFORMAT </w:instrText>
    </w:r>
    <w:r>
      <w:fldChar w:fldCharType="separate"/>
    </w:r>
    <w:r w:rsidR="0085669C" w:rsidRPr="0085669C">
      <w:rPr>
        <w:lang w:val="en-US"/>
      </w:rPr>
      <w:t>P:\ENG\ITU-R\AG\RAG13\RAG-1\000\004e.docx</w:t>
    </w:r>
    <w:r>
      <w:fldChar w:fldCharType="end"/>
    </w:r>
    <w:r w:rsidR="0085669C">
      <w:t xml:space="preserve">  (342793)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36F" w:rsidRDefault="0000636F">
      <w:r>
        <w:t>____________________</w:t>
      </w:r>
    </w:p>
  </w:footnote>
  <w:footnote w:type="continuationSeparator" w:id="0">
    <w:p w:rsidR="0000636F" w:rsidRDefault="00006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36F" w:rsidRDefault="0000636F" w:rsidP="00DF4712">
    <w:pPr>
      <w:pStyle w:val="Header"/>
      <w:rPr>
        <w:lang w:val="es-ES"/>
      </w:rPr>
    </w:pPr>
    <w:r>
      <w:rPr>
        <w:lang w:val="es-ES"/>
      </w:rPr>
      <w:t xml:space="preserve">- </w:t>
    </w:r>
    <w:r w:rsidR="000A0867">
      <w:fldChar w:fldCharType="begin"/>
    </w:r>
    <w:r w:rsidR="000A0867">
      <w:instrText xml:space="preserve"> PAGE </w:instrText>
    </w:r>
    <w:r w:rsidR="000A0867">
      <w:fldChar w:fldCharType="separate"/>
    </w:r>
    <w:r w:rsidR="000A0867">
      <w:rPr>
        <w:noProof/>
      </w:rPr>
      <w:t>2</w:t>
    </w:r>
    <w:r w:rsidR="000A0867">
      <w:rPr>
        <w:noProof/>
      </w:rPr>
      <w:fldChar w:fldCharType="end"/>
    </w:r>
    <w:r>
      <w:rPr>
        <w:lang w:val="es-ES"/>
      </w:rPr>
      <w:t xml:space="preserve"> -</w:t>
    </w:r>
  </w:p>
  <w:p w:rsidR="0000636F" w:rsidRDefault="0000636F" w:rsidP="00F84657">
    <w:pPr>
      <w:pStyle w:val="Header"/>
      <w:rPr>
        <w:lang w:val="es-ES"/>
      </w:rPr>
    </w:pPr>
    <w:r>
      <w:rPr>
        <w:lang w:val="es-ES"/>
      </w:rPr>
      <w:t>RAG1</w:t>
    </w:r>
    <w:r>
      <w:rPr>
        <w:rFonts w:hint="eastAsia"/>
        <w:lang w:val="es-ES" w:eastAsia="ko-KR"/>
      </w:rPr>
      <w:t>3</w:t>
    </w:r>
    <w:r>
      <w:rPr>
        <w:lang w:val="es-ES"/>
      </w:rPr>
      <w:t>-1/4-E</w:t>
    </w:r>
  </w:p>
  <w:p w:rsidR="0000636F" w:rsidRDefault="000063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27F4"/>
    <w:multiLevelType w:val="hybridMultilevel"/>
    <w:tmpl w:val="F5D0F7E0"/>
    <w:lvl w:ilvl="0" w:tplc="D422C4E2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F61053F"/>
    <w:multiLevelType w:val="hybridMultilevel"/>
    <w:tmpl w:val="ABC06638"/>
    <w:lvl w:ilvl="0" w:tplc="F852FCAA">
      <w:start w:val="2"/>
      <w:numFmt w:val="bullet"/>
      <w:lvlText w:val="-"/>
      <w:lvlJc w:val="left"/>
      <w:pPr>
        <w:ind w:left="760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/>
  <w:bordersDoNotSurroundFooter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activeWritingStyle w:appName="MSWord" w:lang="ko-KR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A299C"/>
    <w:rsid w:val="00001087"/>
    <w:rsid w:val="0000329A"/>
    <w:rsid w:val="0000543A"/>
    <w:rsid w:val="0000636F"/>
    <w:rsid w:val="000149CD"/>
    <w:rsid w:val="00020106"/>
    <w:rsid w:val="0002033D"/>
    <w:rsid w:val="00021007"/>
    <w:rsid w:val="000232E6"/>
    <w:rsid w:val="0004059F"/>
    <w:rsid w:val="000447A6"/>
    <w:rsid w:val="00051F57"/>
    <w:rsid w:val="00053779"/>
    <w:rsid w:val="000542D9"/>
    <w:rsid w:val="000576C4"/>
    <w:rsid w:val="00057DAF"/>
    <w:rsid w:val="00062BB9"/>
    <w:rsid w:val="0006614B"/>
    <w:rsid w:val="00070157"/>
    <w:rsid w:val="0007381C"/>
    <w:rsid w:val="00076C26"/>
    <w:rsid w:val="00080D5A"/>
    <w:rsid w:val="00083608"/>
    <w:rsid w:val="000845BE"/>
    <w:rsid w:val="00084871"/>
    <w:rsid w:val="00087F59"/>
    <w:rsid w:val="00093C73"/>
    <w:rsid w:val="000A0867"/>
    <w:rsid w:val="000B0A62"/>
    <w:rsid w:val="000B0E00"/>
    <w:rsid w:val="000B4D42"/>
    <w:rsid w:val="000B7B82"/>
    <w:rsid w:val="000C0FEC"/>
    <w:rsid w:val="000C31A2"/>
    <w:rsid w:val="000C5E0B"/>
    <w:rsid w:val="000D00A3"/>
    <w:rsid w:val="000D0ACE"/>
    <w:rsid w:val="000D0AFB"/>
    <w:rsid w:val="000D423B"/>
    <w:rsid w:val="000D4D18"/>
    <w:rsid w:val="000D5C8B"/>
    <w:rsid w:val="000E027E"/>
    <w:rsid w:val="000E3510"/>
    <w:rsid w:val="000E3604"/>
    <w:rsid w:val="000E716A"/>
    <w:rsid w:val="000F275A"/>
    <w:rsid w:val="000F2C54"/>
    <w:rsid w:val="000F36A7"/>
    <w:rsid w:val="000F43D8"/>
    <w:rsid w:val="000F738C"/>
    <w:rsid w:val="00107E5A"/>
    <w:rsid w:val="00114C9C"/>
    <w:rsid w:val="00116905"/>
    <w:rsid w:val="00121CE0"/>
    <w:rsid w:val="001225EE"/>
    <w:rsid w:val="00130A81"/>
    <w:rsid w:val="00132157"/>
    <w:rsid w:val="001340DC"/>
    <w:rsid w:val="0013473D"/>
    <w:rsid w:val="00135391"/>
    <w:rsid w:val="0014514C"/>
    <w:rsid w:val="00147382"/>
    <w:rsid w:val="001501A5"/>
    <w:rsid w:val="00150F3C"/>
    <w:rsid w:val="00152B3F"/>
    <w:rsid w:val="001539C7"/>
    <w:rsid w:val="00153EEE"/>
    <w:rsid w:val="00162C4A"/>
    <w:rsid w:val="00170375"/>
    <w:rsid w:val="001722B2"/>
    <w:rsid w:val="00174F91"/>
    <w:rsid w:val="00175E0C"/>
    <w:rsid w:val="00177E61"/>
    <w:rsid w:val="0018254B"/>
    <w:rsid w:val="00183ECD"/>
    <w:rsid w:val="001853D5"/>
    <w:rsid w:val="00185654"/>
    <w:rsid w:val="00192342"/>
    <w:rsid w:val="00194AD3"/>
    <w:rsid w:val="001A5A4C"/>
    <w:rsid w:val="001A71BE"/>
    <w:rsid w:val="001C0A8E"/>
    <w:rsid w:val="001D2334"/>
    <w:rsid w:val="001D5265"/>
    <w:rsid w:val="001D6E77"/>
    <w:rsid w:val="001D7D93"/>
    <w:rsid w:val="001E190A"/>
    <w:rsid w:val="001E2FB4"/>
    <w:rsid w:val="001E44BD"/>
    <w:rsid w:val="001E5A76"/>
    <w:rsid w:val="001E692F"/>
    <w:rsid w:val="001E73F1"/>
    <w:rsid w:val="001F1A03"/>
    <w:rsid w:val="001F3536"/>
    <w:rsid w:val="001F41DB"/>
    <w:rsid w:val="001F4646"/>
    <w:rsid w:val="001F73BE"/>
    <w:rsid w:val="00201590"/>
    <w:rsid w:val="00205C2C"/>
    <w:rsid w:val="00221986"/>
    <w:rsid w:val="00233A76"/>
    <w:rsid w:val="00233B6E"/>
    <w:rsid w:val="002359BE"/>
    <w:rsid w:val="00245295"/>
    <w:rsid w:val="00250E1D"/>
    <w:rsid w:val="00252B08"/>
    <w:rsid w:val="00254085"/>
    <w:rsid w:val="0025580E"/>
    <w:rsid w:val="00255D7B"/>
    <w:rsid w:val="00261F8A"/>
    <w:rsid w:val="0026346E"/>
    <w:rsid w:val="00266190"/>
    <w:rsid w:val="0027133E"/>
    <w:rsid w:val="00272B16"/>
    <w:rsid w:val="00273854"/>
    <w:rsid w:val="00282A04"/>
    <w:rsid w:val="00283232"/>
    <w:rsid w:val="00284FBF"/>
    <w:rsid w:val="00290C20"/>
    <w:rsid w:val="0029482E"/>
    <w:rsid w:val="00295593"/>
    <w:rsid w:val="00295E27"/>
    <w:rsid w:val="002A2D54"/>
    <w:rsid w:val="002A32DF"/>
    <w:rsid w:val="002A6FC3"/>
    <w:rsid w:val="002B224F"/>
    <w:rsid w:val="002B3506"/>
    <w:rsid w:val="002B6B71"/>
    <w:rsid w:val="002C7683"/>
    <w:rsid w:val="002D064F"/>
    <w:rsid w:val="002D16A7"/>
    <w:rsid w:val="002E363D"/>
    <w:rsid w:val="002E3C9E"/>
    <w:rsid w:val="002E450C"/>
    <w:rsid w:val="002E6592"/>
    <w:rsid w:val="002F340E"/>
    <w:rsid w:val="002F4558"/>
    <w:rsid w:val="002F63C5"/>
    <w:rsid w:val="00303349"/>
    <w:rsid w:val="00304AB0"/>
    <w:rsid w:val="003065AC"/>
    <w:rsid w:val="003102C3"/>
    <w:rsid w:val="003104E5"/>
    <w:rsid w:val="0031077A"/>
    <w:rsid w:val="003221F3"/>
    <w:rsid w:val="00323E85"/>
    <w:rsid w:val="0033041D"/>
    <w:rsid w:val="0034074E"/>
    <w:rsid w:val="00341CC2"/>
    <w:rsid w:val="003425F8"/>
    <w:rsid w:val="00342659"/>
    <w:rsid w:val="0034529C"/>
    <w:rsid w:val="00346BAE"/>
    <w:rsid w:val="00363AF1"/>
    <w:rsid w:val="00363DD1"/>
    <w:rsid w:val="00370DA9"/>
    <w:rsid w:val="00372468"/>
    <w:rsid w:val="00375DE0"/>
    <w:rsid w:val="00380478"/>
    <w:rsid w:val="00381BFC"/>
    <w:rsid w:val="00381FB8"/>
    <w:rsid w:val="00382569"/>
    <w:rsid w:val="003901D1"/>
    <w:rsid w:val="003907D4"/>
    <w:rsid w:val="00395256"/>
    <w:rsid w:val="00395953"/>
    <w:rsid w:val="003A0B83"/>
    <w:rsid w:val="003A1D6F"/>
    <w:rsid w:val="003B07CA"/>
    <w:rsid w:val="003B317F"/>
    <w:rsid w:val="003B3ECF"/>
    <w:rsid w:val="003B55F3"/>
    <w:rsid w:val="003B6E63"/>
    <w:rsid w:val="003C27D0"/>
    <w:rsid w:val="003D0AB2"/>
    <w:rsid w:val="003D1C8D"/>
    <w:rsid w:val="003D2EFD"/>
    <w:rsid w:val="003E4E3F"/>
    <w:rsid w:val="003E6E41"/>
    <w:rsid w:val="003F2683"/>
    <w:rsid w:val="003F70FB"/>
    <w:rsid w:val="003F7677"/>
    <w:rsid w:val="0040305D"/>
    <w:rsid w:val="00405539"/>
    <w:rsid w:val="00406282"/>
    <w:rsid w:val="004069C9"/>
    <w:rsid w:val="00407BC7"/>
    <w:rsid w:val="00410F8C"/>
    <w:rsid w:val="00411C59"/>
    <w:rsid w:val="00411DE5"/>
    <w:rsid w:val="00415FA0"/>
    <w:rsid w:val="00416E86"/>
    <w:rsid w:val="004215B0"/>
    <w:rsid w:val="00424DCA"/>
    <w:rsid w:val="0042612F"/>
    <w:rsid w:val="004267D8"/>
    <w:rsid w:val="0043586E"/>
    <w:rsid w:val="004359CB"/>
    <w:rsid w:val="00436940"/>
    <w:rsid w:val="0043747F"/>
    <w:rsid w:val="0044253D"/>
    <w:rsid w:val="004520C3"/>
    <w:rsid w:val="0045496A"/>
    <w:rsid w:val="00455427"/>
    <w:rsid w:val="004572F6"/>
    <w:rsid w:val="00462C3A"/>
    <w:rsid w:val="00466E55"/>
    <w:rsid w:val="00472494"/>
    <w:rsid w:val="0047494A"/>
    <w:rsid w:val="00474CCC"/>
    <w:rsid w:val="00475AE9"/>
    <w:rsid w:val="00476F39"/>
    <w:rsid w:val="004804EF"/>
    <w:rsid w:val="00484678"/>
    <w:rsid w:val="0048556B"/>
    <w:rsid w:val="00490C67"/>
    <w:rsid w:val="00492617"/>
    <w:rsid w:val="00494C18"/>
    <w:rsid w:val="004A3728"/>
    <w:rsid w:val="004A66E4"/>
    <w:rsid w:val="004A728A"/>
    <w:rsid w:val="004B2ADF"/>
    <w:rsid w:val="004B468C"/>
    <w:rsid w:val="004B4881"/>
    <w:rsid w:val="004B6338"/>
    <w:rsid w:val="004C0543"/>
    <w:rsid w:val="004C4FD8"/>
    <w:rsid w:val="004C6B98"/>
    <w:rsid w:val="004D780F"/>
    <w:rsid w:val="004E0CB1"/>
    <w:rsid w:val="004E0DD4"/>
    <w:rsid w:val="004E0EA8"/>
    <w:rsid w:val="004E4C4E"/>
    <w:rsid w:val="004E505A"/>
    <w:rsid w:val="004E563F"/>
    <w:rsid w:val="004E5A6D"/>
    <w:rsid w:val="0050169F"/>
    <w:rsid w:val="005034E8"/>
    <w:rsid w:val="00504017"/>
    <w:rsid w:val="00507305"/>
    <w:rsid w:val="00513737"/>
    <w:rsid w:val="00513BEA"/>
    <w:rsid w:val="0051648F"/>
    <w:rsid w:val="0051782D"/>
    <w:rsid w:val="00520332"/>
    <w:rsid w:val="00534555"/>
    <w:rsid w:val="0053462E"/>
    <w:rsid w:val="00547DF9"/>
    <w:rsid w:val="00551870"/>
    <w:rsid w:val="00552474"/>
    <w:rsid w:val="0055452F"/>
    <w:rsid w:val="00554826"/>
    <w:rsid w:val="005611ED"/>
    <w:rsid w:val="005625A4"/>
    <w:rsid w:val="00563A1A"/>
    <w:rsid w:val="0056792E"/>
    <w:rsid w:val="00576A0F"/>
    <w:rsid w:val="005803A5"/>
    <w:rsid w:val="0058124D"/>
    <w:rsid w:val="00585978"/>
    <w:rsid w:val="00587D68"/>
    <w:rsid w:val="00591E0C"/>
    <w:rsid w:val="00591E9F"/>
    <w:rsid w:val="005927C9"/>
    <w:rsid w:val="00593033"/>
    <w:rsid w:val="00594405"/>
    <w:rsid w:val="005A1189"/>
    <w:rsid w:val="005A2A7A"/>
    <w:rsid w:val="005A4D54"/>
    <w:rsid w:val="005A59BA"/>
    <w:rsid w:val="005A6914"/>
    <w:rsid w:val="005B0868"/>
    <w:rsid w:val="005B264D"/>
    <w:rsid w:val="005C190E"/>
    <w:rsid w:val="005C1D8E"/>
    <w:rsid w:val="005C3FCB"/>
    <w:rsid w:val="005C528C"/>
    <w:rsid w:val="005C5DD3"/>
    <w:rsid w:val="005C6906"/>
    <w:rsid w:val="005D4564"/>
    <w:rsid w:val="005D6EC1"/>
    <w:rsid w:val="005E0B32"/>
    <w:rsid w:val="005E6E3F"/>
    <w:rsid w:val="005F2407"/>
    <w:rsid w:val="005F4448"/>
    <w:rsid w:val="005F4A85"/>
    <w:rsid w:val="005F504B"/>
    <w:rsid w:val="005F5447"/>
    <w:rsid w:val="005F5897"/>
    <w:rsid w:val="00600636"/>
    <w:rsid w:val="00601807"/>
    <w:rsid w:val="00603A3C"/>
    <w:rsid w:val="0060773B"/>
    <w:rsid w:val="00612CE6"/>
    <w:rsid w:val="006132D5"/>
    <w:rsid w:val="00620EE9"/>
    <w:rsid w:val="00622F9B"/>
    <w:rsid w:val="00625ACA"/>
    <w:rsid w:val="00626B39"/>
    <w:rsid w:val="006329EF"/>
    <w:rsid w:val="006337B8"/>
    <w:rsid w:val="0063464E"/>
    <w:rsid w:val="00642FB8"/>
    <w:rsid w:val="00643ACC"/>
    <w:rsid w:val="006442A5"/>
    <w:rsid w:val="00645051"/>
    <w:rsid w:val="00646F21"/>
    <w:rsid w:val="0064700F"/>
    <w:rsid w:val="006476FF"/>
    <w:rsid w:val="00647EA5"/>
    <w:rsid w:val="0065517E"/>
    <w:rsid w:val="006578DA"/>
    <w:rsid w:val="00660002"/>
    <w:rsid w:val="00660EB6"/>
    <w:rsid w:val="006623F8"/>
    <w:rsid w:val="00665157"/>
    <w:rsid w:val="006676B1"/>
    <w:rsid w:val="00667C49"/>
    <w:rsid w:val="006704F5"/>
    <w:rsid w:val="00673D9A"/>
    <w:rsid w:val="00681EC2"/>
    <w:rsid w:val="006820C9"/>
    <w:rsid w:val="00683C7F"/>
    <w:rsid w:val="00684AA9"/>
    <w:rsid w:val="006854B3"/>
    <w:rsid w:val="00690DAD"/>
    <w:rsid w:val="006A1FAC"/>
    <w:rsid w:val="006A3934"/>
    <w:rsid w:val="006A3E35"/>
    <w:rsid w:val="006A3FBE"/>
    <w:rsid w:val="006B09B1"/>
    <w:rsid w:val="006B1CC2"/>
    <w:rsid w:val="006C1A3D"/>
    <w:rsid w:val="006C3558"/>
    <w:rsid w:val="006C39AB"/>
    <w:rsid w:val="006D08AE"/>
    <w:rsid w:val="006D21CB"/>
    <w:rsid w:val="006D2445"/>
    <w:rsid w:val="006D36FE"/>
    <w:rsid w:val="006D3CED"/>
    <w:rsid w:val="006E0802"/>
    <w:rsid w:val="006E1BA7"/>
    <w:rsid w:val="006E59F5"/>
    <w:rsid w:val="006E6364"/>
    <w:rsid w:val="006E6D69"/>
    <w:rsid w:val="006F04EE"/>
    <w:rsid w:val="006F1DDB"/>
    <w:rsid w:val="007013A7"/>
    <w:rsid w:val="007029A5"/>
    <w:rsid w:val="00704EA2"/>
    <w:rsid w:val="00706BF3"/>
    <w:rsid w:val="00710C80"/>
    <w:rsid w:val="00712178"/>
    <w:rsid w:val="00714C03"/>
    <w:rsid w:val="007156C7"/>
    <w:rsid w:val="00720214"/>
    <w:rsid w:val="007208F2"/>
    <w:rsid w:val="00723667"/>
    <w:rsid w:val="00724C3D"/>
    <w:rsid w:val="00725BEA"/>
    <w:rsid w:val="007266DA"/>
    <w:rsid w:val="00727B6E"/>
    <w:rsid w:val="007319CB"/>
    <w:rsid w:val="00732249"/>
    <w:rsid w:val="00734A81"/>
    <w:rsid w:val="00735BA0"/>
    <w:rsid w:val="007425F2"/>
    <w:rsid w:val="00743574"/>
    <w:rsid w:val="007467D7"/>
    <w:rsid w:val="007468BC"/>
    <w:rsid w:val="00746EC5"/>
    <w:rsid w:val="00753034"/>
    <w:rsid w:val="0075704C"/>
    <w:rsid w:val="00761DF4"/>
    <w:rsid w:val="007632FB"/>
    <w:rsid w:val="00791B04"/>
    <w:rsid w:val="007945EA"/>
    <w:rsid w:val="007A064F"/>
    <w:rsid w:val="007A12CF"/>
    <w:rsid w:val="007A299C"/>
    <w:rsid w:val="007B0F50"/>
    <w:rsid w:val="007C4823"/>
    <w:rsid w:val="007C4F8B"/>
    <w:rsid w:val="007D62B9"/>
    <w:rsid w:val="007E28CA"/>
    <w:rsid w:val="007E5CD1"/>
    <w:rsid w:val="007F087F"/>
    <w:rsid w:val="007F0E18"/>
    <w:rsid w:val="007F24E1"/>
    <w:rsid w:val="007F28FE"/>
    <w:rsid w:val="007F55F4"/>
    <w:rsid w:val="007F651C"/>
    <w:rsid w:val="00802801"/>
    <w:rsid w:val="008051C9"/>
    <w:rsid w:val="00812F57"/>
    <w:rsid w:val="00814D26"/>
    <w:rsid w:val="00817FE6"/>
    <w:rsid w:val="00820BCF"/>
    <w:rsid w:val="008212B6"/>
    <w:rsid w:val="00822A9B"/>
    <w:rsid w:val="00823553"/>
    <w:rsid w:val="00823DE6"/>
    <w:rsid w:val="00824ADB"/>
    <w:rsid w:val="00825ABF"/>
    <w:rsid w:val="008261D5"/>
    <w:rsid w:val="0082674B"/>
    <w:rsid w:val="00827A36"/>
    <w:rsid w:val="008323A1"/>
    <w:rsid w:val="00833822"/>
    <w:rsid w:val="00835F45"/>
    <w:rsid w:val="00836D09"/>
    <w:rsid w:val="008422BB"/>
    <w:rsid w:val="008453C2"/>
    <w:rsid w:val="0084602B"/>
    <w:rsid w:val="00851EEC"/>
    <w:rsid w:val="008558A1"/>
    <w:rsid w:val="00855B4C"/>
    <w:rsid w:val="0085669C"/>
    <w:rsid w:val="00861C2D"/>
    <w:rsid w:val="0087115D"/>
    <w:rsid w:val="0087161B"/>
    <w:rsid w:val="00886824"/>
    <w:rsid w:val="0088755C"/>
    <w:rsid w:val="008906DF"/>
    <w:rsid w:val="00890BC2"/>
    <w:rsid w:val="008954AA"/>
    <w:rsid w:val="00895B55"/>
    <w:rsid w:val="008A4564"/>
    <w:rsid w:val="008A48E1"/>
    <w:rsid w:val="008A56A5"/>
    <w:rsid w:val="008A5BB4"/>
    <w:rsid w:val="008A6932"/>
    <w:rsid w:val="008B06FC"/>
    <w:rsid w:val="008B3AD2"/>
    <w:rsid w:val="008B40D9"/>
    <w:rsid w:val="008B43C5"/>
    <w:rsid w:val="008B7446"/>
    <w:rsid w:val="008B7D28"/>
    <w:rsid w:val="008C02B6"/>
    <w:rsid w:val="008C0B81"/>
    <w:rsid w:val="008C1250"/>
    <w:rsid w:val="008C1346"/>
    <w:rsid w:val="008C2136"/>
    <w:rsid w:val="008C25F1"/>
    <w:rsid w:val="008C34A4"/>
    <w:rsid w:val="008C5AC8"/>
    <w:rsid w:val="008D238C"/>
    <w:rsid w:val="008D7288"/>
    <w:rsid w:val="008D742C"/>
    <w:rsid w:val="008D7715"/>
    <w:rsid w:val="008E1C29"/>
    <w:rsid w:val="008E252E"/>
    <w:rsid w:val="008E321B"/>
    <w:rsid w:val="008E68B6"/>
    <w:rsid w:val="008F1F07"/>
    <w:rsid w:val="008F2B32"/>
    <w:rsid w:val="008F4657"/>
    <w:rsid w:val="00900D16"/>
    <w:rsid w:val="009010EE"/>
    <w:rsid w:val="0090227C"/>
    <w:rsid w:val="0090740D"/>
    <w:rsid w:val="0091039B"/>
    <w:rsid w:val="00911577"/>
    <w:rsid w:val="00913E53"/>
    <w:rsid w:val="0091443D"/>
    <w:rsid w:val="00914DF4"/>
    <w:rsid w:val="00917F88"/>
    <w:rsid w:val="00920D5A"/>
    <w:rsid w:val="009249B9"/>
    <w:rsid w:val="00924B9F"/>
    <w:rsid w:val="00930ED2"/>
    <w:rsid w:val="00931C34"/>
    <w:rsid w:val="00937B03"/>
    <w:rsid w:val="0094383F"/>
    <w:rsid w:val="009456BE"/>
    <w:rsid w:val="00945B61"/>
    <w:rsid w:val="00952396"/>
    <w:rsid w:val="009540C3"/>
    <w:rsid w:val="00956C6B"/>
    <w:rsid w:val="00960F36"/>
    <w:rsid w:val="00965060"/>
    <w:rsid w:val="00970057"/>
    <w:rsid w:val="00974C12"/>
    <w:rsid w:val="0098015B"/>
    <w:rsid w:val="00982680"/>
    <w:rsid w:val="0098442C"/>
    <w:rsid w:val="00996229"/>
    <w:rsid w:val="009A137B"/>
    <w:rsid w:val="009A4596"/>
    <w:rsid w:val="009B20DE"/>
    <w:rsid w:val="009B2CDD"/>
    <w:rsid w:val="009C0DC9"/>
    <w:rsid w:val="009C16F8"/>
    <w:rsid w:val="009C521B"/>
    <w:rsid w:val="009C59B9"/>
    <w:rsid w:val="009D2408"/>
    <w:rsid w:val="009D4491"/>
    <w:rsid w:val="009D47EE"/>
    <w:rsid w:val="009D5CFC"/>
    <w:rsid w:val="009D6081"/>
    <w:rsid w:val="009E3A9B"/>
    <w:rsid w:val="009E4DBC"/>
    <w:rsid w:val="009F0137"/>
    <w:rsid w:val="009F17FE"/>
    <w:rsid w:val="009F2160"/>
    <w:rsid w:val="009F3D2E"/>
    <w:rsid w:val="009F6692"/>
    <w:rsid w:val="00A0326A"/>
    <w:rsid w:val="00A038FA"/>
    <w:rsid w:val="00A05E32"/>
    <w:rsid w:val="00A06654"/>
    <w:rsid w:val="00A10DA0"/>
    <w:rsid w:val="00A1279E"/>
    <w:rsid w:val="00A12BBA"/>
    <w:rsid w:val="00A16CB2"/>
    <w:rsid w:val="00A1733F"/>
    <w:rsid w:val="00A20AB1"/>
    <w:rsid w:val="00A20AD5"/>
    <w:rsid w:val="00A22D97"/>
    <w:rsid w:val="00A23E26"/>
    <w:rsid w:val="00A246E8"/>
    <w:rsid w:val="00A25404"/>
    <w:rsid w:val="00A263CE"/>
    <w:rsid w:val="00A26889"/>
    <w:rsid w:val="00A27ECF"/>
    <w:rsid w:val="00A307DD"/>
    <w:rsid w:val="00A322A5"/>
    <w:rsid w:val="00A33F37"/>
    <w:rsid w:val="00A3696F"/>
    <w:rsid w:val="00A43ACF"/>
    <w:rsid w:val="00A44D41"/>
    <w:rsid w:val="00A451C9"/>
    <w:rsid w:val="00A46F45"/>
    <w:rsid w:val="00A47E56"/>
    <w:rsid w:val="00A50605"/>
    <w:rsid w:val="00A54E5F"/>
    <w:rsid w:val="00A5516C"/>
    <w:rsid w:val="00A62089"/>
    <w:rsid w:val="00A620A1"/>
    <w:rsid w:val="00A64143"/>
    <w:rsid w:val="00A64728"/>
    <w:rsid w:val="00A77CE1"/>
    <w:rsid w:val="00A80790"/>
    <w:rsid w:val="00A8348E"/>
    <w:rsid w:val="00A852C2"/>
    <w:rsid w:val="00A86695"/>
    <w:rsid w:val="00A913BA"/>
    <w:rsid w:val="00A92123"/>
    <w:rsid w:val="00A941E2"/>
    <w:rsid w:val="00A954C1"/>
    <w:rsid w:val="00AA26F8"/>
    <w:rsid w:val="00AA32BF"/>
    <w:rsid w:val="00AA4B90"/>
    <w:rsid w:val="00AA5E79"/>
    <w:rsid w:val="00AB1309"/>
    <w:rsid w:val="00AB6207"/>
    <w:rsid w:val="00AC2193"/>
    <w:rsid w:val="00AC5D24"/>
    <w:rsid w:val="00AD21E9"/>
    <w:rsid w:val="00AD41BF"/>
    <w:rsid w:val="00AD5D1A"/>
    <w:rsid w:val="00AE40E0"/>
    <w:rsid w:val="00AE588C"/>
    <w:rsid w:val="00AE5B6C"/>
    <w:rsid w:val="00AE66ED"/>
    <w:rsid w:val="00AF0228"/>
    <w:rsid w:val="00B0050A"/>
    <w:rsid w:val="00B0425A"/>
    <w:rsid w:val="00B04373"/>
    <w:rsid w:val="00B05704"/>
    <w:rsid w:val="00B074A2"/>
    <w:rsid w:val="00B10E62"/>
    <w:rsid w:val="00B11BA5"/>
    <w:rsid w:val="00B1508A"/>
    <w:rsid w:val="00B16B4B"/>
    <w:rsid w:val="00B20505"/>
    <w:rsid w:val="00B22FBB"/>
    <w:rsid w:val="00B25A3A"/>
    <w:rsid w:val="00B35251"/>
    <w:rsid w:val="00B35D47"/>
    <w:rsid w:val="00B43520"/>
    <w:rsid w:val="00B473B5"/>
    <w:rsid w:val="00B5075D"/>
    <w:rsid w:val="00B52992"/>
    <w:rsid w:val="00B57898"/>
    <w:rsid w:val="00B618EF"/>
    <w:rsid w:val="00B65E00"/>
    <w:rsid w:val="00B72B8A"/>
    <w:rsid w:val="00B75A60"/>
    <w:rsid w:val="00B76772"/>
    <w:rsid w:val="00B90E72"/>
    <w:rsid w:val="00B90F36"/>
    <w:rsid w:val="00B91AC7"/>
    <w:rsid w:val="00B9375D"/>
    <w:rsid w:val="00BA15EF"/>
    <w:rsid w:val="00BA7F01"/>
    <w:rsid w:val="00BB2A02"/>
    <w:rsid w:val="00BB4ADA"/>
    <w:rsid w:val="00BB5AA4"/>
    <w:rsid w:val="00BB764C"/>
    <w:rsid w:val="00BC075A"/>
    <w:rsid w:val="00BC1D54"/>
    <w:rsid w:val="00BC72C9"/>
    <w:rsid w:val="00BD399F"/>
    <w:rsid w:val="00BD6E64"/>
    <w:rsid w:val="00BD7223"/>
    <w:rsid w:val="00BE1F57"/>
    <w:rsid w:val="00BE7548"/>
    <w:rsid w:val="00BF39BB"/>
    <w:rsid w:val="00BF6736"/>
    <w:rsid w:val="00C02143"/>
    <w:rsid w:val="00C069AD"/>
    <w:rsid w:val="00C07FE9"/>
    <w:rsid w:val="00C127FC"/>
    <w:rsid w:val="00C143DC"/>
    <w:rsid w:val="00C153C8"/>
    <w:rsid w:val="00C16E0B"/>
    <w:rsid w:val="00C17DD9"/>
    <w:rsid w:val="00C2263A"/>
    <w:rsid w:val="00C226F4"/>
    <w:rsid w:val="00C2494A"/>
    <w:rsid w:val="00C25047"/>
    <w:rsid w:val="00C30A3C"/>
    <w:rsid w:val="00C30D90"/>
    <w:rsid w:val="00C3355F"/>
    <w:rsid w:val="00C338B1"/>
    <w:rsid w:val="00C3399E"/>
    <w:rsid w:val="00C3425F"/>
    <w:rsid w:val="00C376B5"/>
    <w:rsid w:val="00C37890"/>
    <w:rsid w:val="00C43AEE"/>
    <w:rsid w:val="00C43AF7"/>
    <w:rsid w:val="00C468E2"/>
    <w:rsid w:val="00C57C4D"/>
    <w:rsid w:val="00C636D1"/>
    <w:rsid w:val="00C63AE5"/>
    <w:rsid w:val="00C67CEE"/>
    <w:rsid w:val="00C7177D"/>
    <w:rsid w:val="00C72550"/>
    <w:rsid w:val="00C74DD6"/>
    <w:rsid w:val="00C75078"/>
    <w:rsid w:val="00C845CC"/>
    <w:rsid w:val="00C92A87"/>
    <w:rsid w:val="00C933B3"/>
    <w:rsid w:val="00CA3135"/>
    <w:rsid w:val="00CA60B0"/>
    <w:rsid w:val="00CA723D"/>
    <w:rsid w:val="00CA7899"/>
    <w:rsid w:val="00CB0F3A"/>
    <w:rsid w:val="00CB7F4E"/>
    <w:rsid w:val="00CC0FE5"/>
    <w:rsid w:val="00CC2D20"/>
    <w:rsid w:val="00CC5313"/>
    <w:rsid w:val="00CD0023"/>
    <w:rsid w:val="00CD0335"/>
    <w:rsid w:val="00CD26D3"/>
    <w:rsid w:val="00CD2B21"/>
    <w:rsid w:val="00CD5F38"/>
    <w:rsid w:val="00CE1A23"/>
    <w:rsid w:val="00CE1C53"/>
    <w:rsid w:val="00CE1DEC"/>
    <w:rsid w:val="00CE20C1"/>
    <w:rsid w:val="00CE2404"/>
    <w:rsid w:val="00CE62B2"/>
    <w:rsid w:val="00CE6FDB"/>
    <w:rsid w:val="00CF3CD8"/>
    <w:rsid w:val="00CF5307"/>
    <w:rsid w:val="00CF5ECC"/>
    <w:rsid w:val="00CF6EFF"/>
    <w:rsid w:val="00D0037A"/>
    <w:rsid w:val="00D01BAB"/>
    <w:rsid w:val="00D02106"/>
    <w:rsid w:val="00D02852"/>
    <w:rsid w:val="00D10918"/>
    <w:rsid w:val="00D1165D"/>
    <w:rsid w:val="00D135F1"/>
    <w:rsid w:val="00D16D71"/>
    <w:rsid w:val="00D226CE"/>
    <w:rsid w:val="00D22D5C"/>
    <w:rsid w:val="00D23AD9"/>
    <w:rsid w:val="00D23B58"/>
    <w:rsid w:val="00D31CAE"/>
    <w:rsid w:val="00D33A41"/>
    <w:rsid w:val="00D424DF"/>
    <w:rsid w:val="00D42612"/>
    <w:rsid w:val="00D456B4"/>
    <w:rsid w:val="00D47178"/>
    <w:rsid w:val="00D476FB"/>
    <w:rsid w:val="00D5017E"/>
    <w:rsid w:val="00D50A33"/>
    <w:rsid w:val="00D566FE"/>
    <w:rsid w:val="00D75CBA"/>
    <w:rsid w:val="00D769B3"/>
    <w:rsid w:val="00D80829"/>
    <w:rsid w:val="00D80A4C"/>
    <w:rsid w:val="00D8149F"/>
    <w:rsid w:val="00D81F5A"/>
    <w:rsid w:val="00D83981"/>
    <w:rsid w:val="00D85CBA"/>
    <w:rsid w:val="00D872CB"/>
    <w:rsid w:val="00D87920"/>
    <w:rsid w:val="00D91C7F"/>
    <w:rsid w:val="00D93784"/>
    <w:rsid w:val="00D9794F"/>
    <w:rsid w:val="00DC409C"/>
    <w:rsid w:val="00DC47A9"/>
    <w:rsid w:val="00DC4893"/>
    <w:rsid w:val="00DC4D21"/>
    <w:rsid w:val="00DC66EF"/>
    <w:rsid w:val="00DC77EE"/>
    <w:rsid w:val="00DD52BA"/>
    <w:rsid w:val="00DE7415"/>
    <w:rsid w:val="00DF3D87"/>
    <w:rsid w:val="00DF4712"/>
    <w:rsid w:val="00E11865"/>
    <w:rsid w:val="00E169AC"/>
    <w:rsid w:val="00E22B52"/>
    <w:rsid w:val="00E24E62"/>
    <w:rsid w:val="00E27750"/>
    <w:rsid w:val="00E301FE"/>
    <w:rsid w:val="00E30921"/>
    <w:rsid w:val="00E3144D"/>
    <w:rsid w:val="00E32DE7"/>
    <w:rsid w:val="00E332FA"/>
    <w:rsid w:val="00E36518"/>
    <w:rsid w:val="00E37220"/>
    <w:rsid w:val="00E37793"/>
    <w:rsid w:val="00E433EA"/>
    <w:rsid w:val="00E4542A"/>
    <w:rsid w:val="00E46D5B"/>
    <w:rsid w:val="00E50A4F"/>
    <w:rsid w:val="00E5465E"/>
    <w:rsid w:val="00E54B96"/>
    <w:rsid w:val="00E54FD3"/>
    <w:rsid w:val="00E5654F"/>
    <w:rsid w:val="00E632CD"/>
    <w:rsid w:val="00E661A9"/>
    <w:rsid w:val="00E74D28"/>
    <w:rsid w:val="00E820BB"/>
    <w:rsid w:val="00E83221"/>
    <w:rsid w:val="00E86567"/>
    <w:rsid w:val="00E91301"/>
    <w:rsid w:val="00E966F7"/>
    <w:rsid w:val="00E979B6"/>
    <w:rsid w:val="00EA1624"/>
    <w:rsid w:val="00EA7C1D"/>
    <w:rsid w:val="00EC45CF"/>
    <w:rsid w:val="00EC6ACC"/>
    <w:rsid w:val="00ED0A23"/>
    <w:rsid w:val="00ED13A2"/>
    <w:rsid w:val="00ED5D96"/>
    <w:rsid w:val="00EE0585"/>
    <w:rsid w:val="00EE4121"/>
    <w:rsid w:val="00EE44D4"/>
    <w:rsid w:val="00EF0D10"/>
    <w:rsid w:val="00EF27F5"/>
    <w:rsid w:val="00EF67F5"/>
    <w:rsid w:val="00EF6D34"/>
    <w:rsid w:val="00F00EBD"/>
    <w:rsid w:val="00F028C1"/>
    <w:rsid w:val="00F02B8C"/>
    <w:rsid w:val="00F06849"/>
    <w:rsid w:val="00F220B5"/>
    <w:rsid w:val="00F22230"/>
    <w:rsid w:val="00F26670"/>
    <w:rsid w:val="00F27C58"/>
    <w:rsid w:val="00F349E0"/>
    <w:rsid w:val="00F36FFF"/>
    <w:rsid w:val="00F50FD6"/>
    <w:rsid w:val="00F53BE7"/>
    <w:rsid w:val="00F55BB8"/>
    <w:rsid w:val="00F5795F"/>
    <w:rsid w:val="00F61335"/>
    <w:rsid w:val="00F620E2"/>
    <w:rsid w:val="00F84657"/>
    <w:rsid w:val="00F8528E"/>
    <w:rsid w:val="00F90440"/>
    <w:rsid w:val="00F94326"/>
    <w:rsid w:val="00F9582A"/>
    <w:rsid w:val="00FA4497"/>
    <w:rsid w:val="00FA7922"/>
    <w:rsid w:val="00FB1E59"/>
    <w:rsid w:val="00FC21B6"/>
    <w:rsid w:val="00FC3D94"/>
    <w:rsid w:val="00FD0474"/>
    <w:rsid w:val="00FD27BF"/>
    <w:rsid w:val="00FD4C32"/>
    <w:rsid w:val="00FD50C0"/>
    <w:rsid w:val="00FD7D9D"/>
    <w:rsid w:val="00FE6880"/>
    <w:rsid w:val="00FF5B6E"/>
    <w:rsid w:val="00FF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link w:val="HeaderChar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A12CF"/>
    <w:rPr>
      <w:rFonts w:ascii="Times New Roman" w:hAnsi="Times New Roman"/>
      <w:sz w:val="24"/>
      <w:lang w:val="en-GB" w:eastAsia="en-US"/>
    </w:rPr>
  </w:style>
  <w:style w:type="paragraph" w:styleId="NoSpacing">
    <w:name w:val="No Spacing"/>
    <w:uiPriority w:val="1"/>
    <w:qFormat/>
    <w:rsid w:val="000B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4C1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F4712"/>
    <w:rPr>
      <w:rFonts w:ascii="Times New Roman" w:hAnsi="Times New Roman"/>
      <w:sz w:val="18"/>
      <w:lang w:val="en-GB" w:eastAsia="en-US"/>
    </w:rPr>
  </w:style>
  <w:style w:type="paragraph" w:customStyle="1" w:styleId="TAL">
    <w:name w:val="TAL"/>
    <w:basedOn w:val="Normal"/>
    <w:rsid w:val="00E5654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Malgun Gothic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Batang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link w:val="HeaderChar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제목 3 Char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각주 텍스트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부제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본문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A12CF"/>
    <w:rPr>
      <w:rFonts w:ascii="Times New Roman" w:hAnsi="Times New Roman"/>
      <w:sz w:val="24"/>
      <w:lang w:val="en-GB" w:eastAsia="en-US"/>
    </w:rPr>
  </w:style>
  <w:style w:type="paragraph" w:styleId="NoSpacing">
    <w:name w:val="No Spacing"/>
    <w:uiPriority w:val="1"/>
    <w:qFormat/>
    <w:rsid w:val="000B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바닥글 Char"/>
    <w:basedOn w:val="DefaultParagraphFont"/>
    <w:link w:val="Footer"/>
    <w:rsid w:val="00494C1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erChar">
    <w:name w:val="머리글 Char"/>
    <w:basedOn w:val="DefaultParagraphFont"/>
    <w:link w:val="Header"/>
    <w:rsid w:val="00DF4712"/>
    <w:rPr>
      <w:rFonts w:ascii="Times New Roman" w:hAnsi="Times New Roman"/>
      <w:sz w:val="18"/>
      <w:lang w:val="en-GB" w:eastAsia="en-US"/>
    </w:rPr>
  </w:style>
  <w:style w:type="paragraph" w:customStyle="1" w:styleId="TAL">
    <w:name w:val="TAL"/>
    <w:basedOn w:val="Normal"/>
    <w:rsid w:val="00E5654F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Arial" w:eastAsia="Malgun Gothic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itu.int/md/meetingdoc.asp?lang=en&amp;parent=R00-CA-CIR-0177" TargetMode="External"/><Relationship Id="rId18" Type="http://schemas.openxmlformats.org/officeDocument/2006/relationships/hyperlink" Target="http://www.itu.int/md/meetingdoc.asp?lang=en&amp;parent=R00-CA-CIR-0013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itu.int/md/meetingdoc.asp?lang=en&amp;parent=R00-CA-CIR-0140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www.itu.int/md/meetingdoc.asp?lang=en&amp;parent=R00-CA-CIR-0177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itu.int/ITU-R/index.asp?category=study-groups&amp;rlink=rsg&amp;lang=en" TargetMode="External"/><Relationship Id="rId20" Type="http://schemas.openxmlformats.org/officeDocument/2006/relationships/hyperlink" Target="http://www.itu.int/md/meetingdoc.asp?lang=en&amp;parent=R00-CA-CIR-011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://www.itu.int/md/meetingdoc.asp?lang=en&amp;parent=R00-CA-CIR-0106" TargetMode="External"/><Relationship Id="rId23" Type="http://schemas.openxmlformats.org/officeDocument/2006/relationships/hyperlink" Target="http://www.itu.int/md/meetingdoc.asp?lang=en&amp;parent=R00-CA-CIR-0177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://www.itu.int/md/meetingdoc.asp?lang=en&amp;parent=R00-CA-CIR-0106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tu.int/md/meetingdoc.asp?lang=en&amp;parent=R00-CA-CIR-0013" TargetMode="External"/><Relationship Id="rId22" Type="http://schemas.openxmlformats.org/officeDocument/2006/relationships/hyperlink" Target="http://www.itu.int/md/meetingdoc.asp?lang=en&amp;parent=R00-CA-CIR-0155" TargetMode="Externa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F0B2-7EF8-4B26-8A2C-E4AB6F578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86EC1E-ED12-45B6-98D8-E5DC5442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E8248-8BBE-4147-B40D-E01F31ED8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9C50C9-0818-45C3-855E-36E1EE41E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PE_RAG07.DOT</Template>
  <TotalTime>37</TotalTime>
  <Pages>3</Pages>
  <Words>887</Words>
  <Characters>6090</Characters>
  <Application>Microsoft Office Word</Application>
  <DocSecurity>0</DocSecurity>
  <Lines>50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REPORT TO THE FIFTEENTH MEETING OF THE RADIOCOMMUNICATION ADVISORY GROUP</vt:lpstr>
    </vt:vector>
  </TitlesOfParts>
  <Manager>General Secretariat - Pool</Manager>
  <Company>International Telecommunication Union (ITU)</Company>
  <LinksUpToDate>false</LinksUpToDate>
  <CharactersWithSpaces>6964</CharactersWithSpaces>
  <SharedDoc>false</SharedDoc>
  <HLinks>
    <vt:vector size="198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7864360</vt:i4>
      </vt:variant>
      <vt:variant>
        <vt:i4>42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neal</cp:lastModifiedBy>
  <cp:revision>11</cp:revision>
  <cp:lastPrinted>2013-04-19T13:17:00Z</cp:lastPrinted>
  <dcterms:created xsi:type="dcterms:W3CDTF">2013-04-19T05:49:00Z</dcterms:created>
  <dcterms:modified xsi:type="dcterms:W3CDTF">2013-05-01T14:51:00Z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