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2F5F67">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31432E">
              <w:rPr>
                <w:rFonts w:ascii="Verdana" w:hAnsi="Verdana" w:cs="Times New Roman Bold"/>
                <w:b/>
                <w:bCs/>
                <w:sz w:val="20"/>
              </w:rPr>
              <w:t>2</w:t>
            </w:r>
            <w:r>
              <w:rPr>
                <w:rFonts w:ascii="Verdana" w:hAnsi="Verdana" w:cs="Times New Roman Bold"/>
                <w:b/>
                <w:bCs/>
                <w:sz w:val="20"/>
              </w:rPr>
              <w:t>-</w:t>
            </w:r>
            <w:r w:rsidR="00482905">
              <w:rPr>
                <w:rFonts w:ascii="Verdana" w:hAnsi="Verdana" w:cs="Times New Roman Bold"/>
                <w:b/>
                <w:bCs/>
                <w:sz w:val="20"/>
              </w:rPr>
              <w:t>2</w:t>
            </w:r>
            <w:r w:rsidR="0031432E">
              <w:rPr>
                <w:rFonts w:ascii="Verdana" w:hAnsi="Verdana" w:cs="Times New Roman Bold"/>
                <w:b/>
                <w:bCs/>
                <w:sz w:val="20"/>
              </w:rPr>
              <w:t>4</w:t>
            </w:r>
            <w:r>
              <w:rPr>
                <w:rFonts w:ascii="Verdana" w:hAnsi="Verdana" w:cs="Times New Roman Bold"/>
                <w:b/>
                <w:bCs/>
                <w:sz w:val="20"/>
              </w:rPr>
              <w:t xml:space="preserve"> de </w:t>
            </w:r>
            <w:r w:rsidR="0031432E">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31432E">
              <w:rPr>
                <w:rFonts w:ascii="Verdana" w:hAnsi="Verdana" w:cs="Times New Roman Bold"/>
                <w:b/>
                <w:bCs/>
                <w:sz w:val="20"/>
              </w:rPr>
              <w:t>3</w:t>
            </w:r>
          </w:p>
        </w:tc>
        <w:tc>
          <w:tcPr>
            <w:tcW w:w="3118" w:type="dxa"/>
          </w:tcPr>
          <w:p w:rsidR="006E291F" w:rsidRDefault="006A42AB" w:rsidP="002F5F67">
            <w:pPr>
              <w:shd w:val="solid" w:color="FFFFFF" w:fill="FFFFFF"/>
              <w:spacing w:before="0"/>
            </w:pPr>
            <w:r>
              <w:rPr>
                <w:rFonts w:ascii="Verdana" w:hAnsi="Verdana"/>
                <w:b/>
                <w:bCs/>
                <w:noProof/>
                <w:szCs w:val="24"/>
                <w:lang w:val="en-US" w:eastAsia="zh-CN"/>
              </w:rPr>
              <w:drawing>
                <wp:inline distT="0" distB="0" distL="0" distR="0" wp14:anchorId="1DCC7089" wp14:editId="4705E999">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2F5F6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2F5F67">
            <w:pPr>
              <w:shd w:val="solid" w:color="FFFFFF" w:fill="FFFFFF"/>
              <w:spacing w:before="0" w:after="48"/>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2F5F6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2F5F67">
            <w:pPr>
              <w:shd w:val="solid" w:color="FFFFFF" w:fill="FFFFFF"/>
              <w:spacing w:before="0" w:after="48"/>
              <w:rPr>
                <w:rFonts w:ascii="Verdana" w:hAnsi="Verdana"/>
                <w:sz w:val="22"/>
                <w:szCs w:val="22"/>
                <w:lang w:val="en-US"/>
              </w:rPr>
            </w:pPr>
          </w:p>
        </w:tc>
      </w:tr>
      <w:tr w:rsidR="006E291F" w:rsidRPr="002A127E">
        <w:trPr>
          <w:cantSplit/>
        </w:trPr>
        <w:tc>
          <w:tcPr>
            <w:tcW w:w="6771" w:type="dxa"/>
            <w:vMerge w:val="restart"/>
          </w:tcPr>
          <w:p w:rsidR="006E291F" w:rsidRDefault="006E291F" w:rsidP="002F5F67">
            <w:pPr>
              <w:shd w:val="solid" w:color="FFFFFF" w:fill="FFFFFF"/>
              <w:spacing w:after="240"/>
              <w:rPr>
                <w:sz w:val="20"/>
              </w:rPr>
            </w:pPr>
            <w:bookmarkStart w:id="0" w:name="dnum" w:colFirst="1" w:colLast="1"/>
          </w:p>
        </w:tc>
        <w:tc>
          <w:tcPr>
            <w:tcW w:w="3118" w:type="dxa"/>
          </w:tcPr>
          <w:p w:rsidR="006E291F" w:rsidRPr="000661D0" w:rsidRDefault="000661D0" w:rsidP="002F5F67">
            <w:pPr>
              <w:shd w:val="solid" w:color="FFFFFF" w:fill="FFFFFF"/>
              <w:spacing w:before="0"/>
              <w:rPr>
                <w:rFonts w:ascii="Verdana" w:hAnsi="Verdana"/>
                <w:sz w:val="20"/>
              </w:rPr>
            </w:pPr>
            <w:r w:rsidRPr="000661D0">
              <w:rPr>
                <w:rFonts w:ascii="Verdana" w:hAnsi="Verdana"/>
                <w:b/>
                <w:sz w:val="20"/>
              </w:rPr>
              <w:t xml:space="preserve">Addéndum </w:t>
            </w:r>
            <w:r>
              <w:rPr>
                <w:rFonts w:ascii="Verdana" w:hAnsi="Verdana"/>
                <w:b/>
                <w:sz w:val="20"/>
              </w:rPr>
              <w:t>1</w:t>
            </w:r>
            <w:r w:rsidRPr="000661D0">
              <w:rPr>
                <w:rFonts w:ascii="Verdana" w:hAnsi="Verdana"/>
                <w:b/>
                <w:sz w:val="20"/>
              </w:rPr>
              <w:t xml:space="preserve"> al</w:t>
            </w:r>
            <w:r>
              <w:rPr>
                <w:rFonts w:ascii="Verdana" w:hAnsi="Verdana"/>
                <w:b/>
                <w:sz w:val="20"/>
              </w:rPr>
              <w:br/>
              <w:t>Documento RAG13-1/1-S</w:t>
            </w:r>
          </w:p>
        </w:tc>
      </w:tr>
      <w:tr w:rsidR="006E291F" w:rsidRPr="002A127E">
        <w:trPr>
          <w:cantSplit/>
        </w:trPr>
        <w:tc>
          <w:tcPr>
            <w:tcW w:w="6771" w:type="dxa"/>
            <w:vMerge/>
          </w:tcPr>
          <w:p w:rsidR="006E291F" w:rsidRDefault="006E291F" w:rsidP="002F5F67">
            <w:pPr>
              <w:spacing w:before="60"/>
              <w:jc w:val="center"/>
              <w:rPr>
                <w:b/>
                <w:smallCaps/>
                <w:sz w:val="32"/>
              </w:rPr>
            </w:pPr>
            <w:bookmarkStart w:id="1" w:name="ddate" w:colFirst="1" w:colLast="1"/>
            <w:bookmarkEnd w:id="0"/>
          </w:p>
        </w:tc>
        <w:tc>
          <w:tcPr>
            <w:tcW w:w="3118" w:type="dxa"/>
          </w:tcPr>
          <w:p w:rsidR="006E291F" w:rsidRPr="000661D0" w:rsidRDefault="006E291F" w:rsidP="002F5F67">
            <w:pPr>
              <w:shd w:val="solid" w:color="FFFFFF" w:fill="FFFFFF"/>
              <w:spacing w:before="0"/>
              <w:rPr>
                <w:rFonts w:ascii="Verdana" w:hAnsi="Verdana"/>
                <w:sz w:val="20"/>
              </w:rPr>
            </w:pPr>
          </w:p>
        </w:tc>
      </w:tr>
      <w:tr w:rsidR="006E291F" w:rsidRPr="002A127E">
        <w:trPr>
          <w:cantSplit/>
        </w:trPr>
        <w:tc>
          <w:tcPr>
            <w:tcW w:w="6771" w:type="dxa"/>
            <w:vMerge/>
          </w:tcPr>
          <w:p w:rsidR="006E291F" w:rsidRDefault="006E291F" w:rsidP="002F5F67">
            <w:pPr>
              <w:spacing w:before="60"/>
              <w:jc w:val="center"/>
              <w:rPr>
                <w:b/>
                <w:smallCaps/>
                <w:sz w:val="32"/>
              </w:rPr>
            </w:pPr>
            <w:bookmarkStart w:id="2" w:name="dorlang" w:colFirst="1" w:colLast="1"/>
            <w:bookmarkEnd w:id="1"/>
          </w:p>
        </w:tc>
        <w:tc>
          <w:tcPr>
            <w:tcW w:w="3118" w:type="dxa"/>
          </w:tcPr>
          <w:p w:rsidR="006E291F" w:rsidRPr="000661D0" w:rsidRDefault="000661D0" w:rsidP="002F5F67">
            <w:pPr>
              <w:shd w:val="solid" w:color="FFFFFF" w:fill="FFFFFF"/>
              <w:spacing w:before="0" w:after="120"/>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0661D0" w:rsidP="002F5F67">
            <w:pPr>
              <w:pStyle w:val="Source"/>
            </w:pPr>
            <w:bookmarkStart w:id="3" w:name="dsource" w:colFirst="0" w:colLast="0"/>
            <w:bookmarkEnd w:id="2"/>
            <w:r w:rsidRPr="000661D0">
              <w:t>Director de la Oficina de Radiocomunicaciones</w:t>
            </w:r>
          </w:p>
        </w:tc>
      </w:tr>
      <w:tr w:rsidR="006E291F">
        <w:trPr>
          <w:cantSplit/>
        </w:trPr>
        <w:tc>
          <w:tcPr>
            <w:tcW w:w="9889" w:type="dxa"/>
            <w:gridSpan w:val="2"/>
          </w:tcPr>
          <w:p w:rsidR="006E291F" w:rsidRDefault="000661D0" w:rsidP="003E5150">
            <w:pPr>
              <w:pStyle w:val="Title1"/>
            </w:pPr>
            <w:bookmarkStart w:id="4" w:name="dtitle1" w:colFirst="0" w:colLast="0"/>
            <w:bookmarkEnd w:id="3"/>
            <w:r>
              <w:t xml:space="preserve">INFORME A LA </w:t>
            </w:r>
            <w:r w:rsidR="005005CE">
              <w:t>VIGÉSIMA</w:t>
            </w:r>
            <w:r>
              <w:t xml:space="preserve"> REUNIÓN</w:t>
            </w:r>
            <w:r w:rsidR="003E5150">
              <w:t xml:space="preserve"> </w:t>
            </w:r>
            <w:r w:rsidR="003E5150">
              <w:t>DEL</w:t>
            </w:r>
            <w:r>
              <w:br/>
              <w:t>GRUPO ASESOR DE RADIOCOMUNICACIONES</w:t>
            </w:r>
          </w:p>
        </w:tc>
      </w:tr>
      <w:tr w:rsidR="000661D0" w:rsidTr="006A27FB">
        <w:trPr>
          <w:cantSplit/>
        </w:trPr>
        <w:tc>
          <w:tcPr>
            <w:tcW w:w="9889" w:type="dxa"/>
            <w:gridSpan w:val="2"/>
          </w:tcPr>
          <w:p w:rsidR="000661D0" w:rsidRPr="00715B5C" w:rsidRDefault="000661D0" w:rsidP="006A27FB">
            <w:pPr>
              <w:pStyle w:val="Title2"/>
              <w:rPr>
                <w:rFonts w:eastAsia="SimSun"/>
                <w:lang w:eastAsia="zh-CN"/>
              </w:rPr>
            </w:pPr>
            <w:r w:rsidRPr="00715B5C">
              <w:rPr>
                <w:rFonts w:eastAsia="SimSun"/>
                <w:lang w:eastAsia="zh-CN"/>
              </w:rPr>
              <w:t>Actividades de las Comisiones de Estudio</w:t>
            </w:r>
          </w:p>
        </w:tc>
      </w:tr>
    </w:tbl>
    <w:bookmarkEnd w:id="4"/>
    <w:p w:rsidR="00576A2D" w:rsidRDefault="00576A2D" w:rsidP="002F5F67">
      <w:pPr>
        <w:pStyle w:val="Heading1"/>
      </w:pPr>
      <w:r>
        <w:t>1</w:t>
      </w:r>
      <w:r>
        <w:tab/>
        <w:t>Métodos de trabajo</w:t>
      </w:r>
    </w:p>
    <w:p w:rsidR="00576A2D" w:rsidRDefault="00576A2D" w:rsidP="00715B5C">
      <w:r>
        <w:t>Las Comisiones de Estudio han seguido realizando sus actividades en el marco de una estructura de Comisiones de Estudio (CE) y Grupos de Trabajo (GT) estable, de conformidad con los programas de trabajo definidos en el Plan Operacional del UIT-R. Los métodos de trabajo se han aplicado satisfactoriamente de acuerdo con la Resoluci</w:t>
      </w:r>
      <w:r w:rsidR="00715B5C">
        <w:t>ó</w:t>
      </w:r>
      <w:r>
        <w:t>n UIT-R 1-6 (y las correspondientes directrices</w:t>
      </w:r>
      <w:r w:rsidR="005005CE">
        <w:t xml:space="preserve"> de trabajo</w:t>
      </w:r>
      <w:r>
        <w:t>).</w:t>
      </w:r>
    </w:p>
    <w:p w:rsidR="00E72EA7" w:rsidRDefault="005005CE" w:rsidP="002F5F67">
      <w:r>
        <w:t>A fin de tener en cuenta los cambios introducidos en la Resolución UIT-R 1 por la AR-12 y los recientes avances en los métodos de trabajo electrónicos, se ha elaborado un proyecto de revisión de las Directrices de Trabajo para su consideración por el GAR. Este proyecto de revisión se ha redactado como un documento del GAR separado.</w:t>
      </w:r>
    </w:p>
    <w:p w:rsidR="00576A2D" w:rsidRDefault="00576A2D" w:rsidP="002F5F67">
      <w:pPr>
        <w:pStyle w:val="Heading1"/>
      </w:pPr>
      <w:r>
        <w:t>2</w:t>
      </w:r>
      <w:r>
        <w:tab/>
        <w:t>Acceso a los documentos de la reunión</w:t>
      </w:r>
    </w:p>
    <w:p w:rsidR="00576A2D" w:rsidRDefault="00576A2D" w:rsidP="002F5F67">
      <w:r>
        <w:t xml:space="preserve">De conformidad con las revisiones efectuadas a la Resolución UIT-R 1 por la AR-12, el personal de la Secretaría publica actualmente </w:t>
      </w:r>
      <w:r w:rsidR="005005CE">
        <w:t xml:space="preserve">en el plazo de un día hábil </w:t>
      </w:r>
      <w:r>
        <w:t>los documentos de la reunión «a medida que se reciben» en la página web creada al efecto y las versiones oficiales se incluyen en la dirección web en el plazo de tres días hábiles.</w:t>
      </w:r>
    </w:p>
    <w:p w:rsidR="00576A2D" w:rsidRDefault="00576A2D" w:rsidP="002F5F67">
      <w:pPr>
        <w:pStyle w:val="Heading1"/>
      </w:pPr>
      <w:r>
        <w:t>3</w:t>
      </w:r>
      <w:r>
        <w:tab/>
      </w:r>
      <w:r w:rsidR="005005CE">
        <w:t>Medios de trabajo electrónicos</w:t>
      </w:r>
    </w:p>
    <w:p w:rsidR="00576A2D" w:rsidRPr="005005CE" w:rsidRDefault="001304A4" w:rsidP="002F5F67">
      <w:r w:rsidRPr="005005CE">
        <w:t>Se continúa haciendo hincapié en la importancia que reviste la utilización de los medios electrónicos que han aportado notables ventajas a los delegados y un importante ahorro de papel.</w:t>
      </w:r>
    </w:p>
    <w:p w:rsidR="00576A2D" w:rsidRDefault="00576A2D" w:rsidP="002F5F67">
      <w:pPr>
        <w:pStyle w:val="Heading2"/>
      </w:pPr>
      <w:r>
        <w:t>3.1</w:t>
      </w:r>
      <w:r>
        <w:tab/>
      </w:r>
      <w:r w:rsidR="00AE237C">
        <w:t>Presentación de documentos en línea</w:t>
      </w:r>
    </w:p>
    <w:p w:rsidR="00576A2D" w:rsidRDefault="00AE237C" w:rsidP="002F5F67">
      <w:r>
        <w:t>A lo largo de este año se introducirá</w:t>
      </w:r>
      <w:r w:rsidR="00576A2D">
        <w:t xml:space="preserve"> un sistema que permita a los participantes descargar sus propias contribuciones directamente </w:t>
      </w:r>
      <w:r>
        <w:t>en la página web</w:t>
      </w:r>
      <w:r w:rsidR="00576A2D">
        <w:t xml:space="preserve"> «a medida que se reciben».</w:t>
      </w:r>
    </w:p>
    <w:p w:rsidR="00576A2D" w:rsidRDefault="001304A4" w:rsidP="002F5F67">
      <w:pPr>
        <w:pStyle w:val="Heading2"/>
      </w:pPr>
      <w:r>
        <w:lastRenderedPageBreak/>
        <w:t>3.2</w:t>
      </w:r>
      <w:r>
        <w:tab/>
      </w:r>
      <w:r w:rsidR="00AE237C">
        <w:t>Dirección web SharePoint</w:t>
      </w:r>
    </w:p>
    <w:p w:rsidR="001304A4" w:rsidRDefault="001304A4" w:rsidP="002F5F67">
      <w:r>
        <w:t xml:space="preserve">La práctica habitual es acceder a la documentación durante las reuniones a través de una dirección web SharePoint. En las reuniones de Comisiones de Estudio y Grupos de Trabajo </w:t>
      </w:r>
      <w:r w:rsidR="00AE237C">
        <w:t xml:space="preserve">ya </w:t>
      </w:r>
      <w:r>
        <w:t>no se imprim</w:t>
      </w:r>
      <w:r w:rsidR="00AE237C">
        <w:t>e</w:t>
      </w:r>
      <w:r>
        <w:t xml:space="preserve"> ningún documento.</w:t>
      </w:r>
    </w:p>
    <w:p w:rsidR="001304A4" w:rsidRDefault="001304A4" w:rsidP="002F5F67">
      <w:pPr>
        <w:pStyle w:val="Heading2"/>
      </w:pPr>
      <w:r>
        <w:t>3.3</w:t>
      </w:r>
      <w:r>
        <w:tab/>
      </w:r>
      <w:r w:rsidR="00AE237C">
        <w:t>Sincronización de ficheros</w:t>
      </w:r>
    </w:p>
    <w:p w:rsidR="001304A4" w:rsidRDefault="001304A4" w:rsidP="002F5F67">
      <w:r>
        <w:t>Se ha implementado un sistema de sincronización de ficheros para todas las reuniones de Comisiones de Estudio/Grupos de Trabajo a fin de facilitar durante las reuniones el acceso a las versiones más recientes de los documentos.</w:t>
      </w:r>
      <w:r w:rsidR="00AE237C">
        <w:t xml:space="preserve"> También se está trabajando sobre una herramienta de sincronización mejorada.</w:t>
      </w:r>
    </w:p>
    <w:p w:rsidR="001304A4" w:rsidRDefault="001E08FC" w:rsidP="002F5F67">
      <w:pPr>
        <w:pStyle w:val="Heading2"/>
      </w:pPr>
      <w:r>
        <w:t>3.4</w:t>
      </w:r>
      <w:r>
        <w:tab/>
      </w:r>
      <w:r w:rsidRPr="001E08FC">
        <w:t>Lista de participantes</w:t>
      </w:r>
      <w:r w:rsidR="00AE237C">
        <w:t xml:space="preserve"> en línea</w:t>
      </w:r>
    </w:p>
    <w:p w:rsidR="001E08FC" w:rsidRPr="00A67E82" w:rsidRDefault="00AE237C" w:rsidP="00A67E82">
      <w:r>
        <w:t>A principios de mayo de 2013 se introducirá</w:t>
      </w:r>
      <w:r w:rsidR="001E08FC">
        <w:t xml:space="preserve"> una versión en línea de la lista de participantes</w:t>
      </w:r>
      <w:r>
        <w:t xml:space="preserve"> en el GAR-13</w:t>
      </w:r>
      <w:r w:rsidR="001E08FC">
        <w:t>. El acceso a esta versión en línea estará restringido a los usuarios de TIES. La lista dinámica podrá consultarse basándose en parámetros tales como el nombre, el miembro y el cargo que ocupa en la delegación.</w:t>
      </w:r>
      <w:r w:rsidR="00715B5C" w:rsidRPr="00715B5C">
        <w:t xml:space="preserve"> </w:t>
      </w:r>
      <w:r w:rsidR="00A67E82" w:rsidRPr="00A67E82">
        <w:t>La versión en línea de la lista de participantes de</w:t>
      </w:r>
      <w:r w:rsidR="00A67E82">
        <w:t>l</w:t>
      </w:r>
      <w:r w:rsidR="00715B5C" w:rsidRPr="00A67E82">
        <w:t xml:space="preserve"> G</w:t>
      </w:r>
      <w:r w:rsidR="00A67E82">
        <w:t>AR</w:t>
      </w:r>
      <w:r w:rsidR="00715B5C" w:rsidRPr="00A67E82">
        <w:t xml:space="preserve">-13 </w:t>
      </w:r>
      <w:r w:rsidR="00A67E82">
        <w:t xml:space="preserve">será accesible desde la </w:t>
      </w:r>
      <w:hyperlink r:id="rId9" w:history="1">
        <w:r w:rsidR="00A67E82">
          <w:rPr>
            <w:rStyle w:val="Hyperlink"/>
            <w:rFonts w:asciiTheme="majorBidi" w:hAnsiTheme="majorBidi" w:cstheme="majorBidi"/>
            <w:szCs w:val="24"/>
          </w:rPr>
          <w:t xml:space="preserve">página web </w:t>
        </w:r>
        <w:r w:rsidR="00715B5C" w:rsidRPr="00A67E82">
          <w:rPr>
            <w:rStyle w:val="Hyperlink"/>
            <w:rFonts w:asciiTheme="majorBidi" w:hAnsiTheme="majorBidi" w:cstheme="majorBidi"/>
            <w:szCs w:val="24"/>
          </w:rPr>
          <w:t>G</w:t>
        </w:r>
        <w:r w:rsidR="00A67E82">
          <w:rPr>
            <w:rStyle w:val="Hyperlink"/>
            <w:rFonts w:asciiTheme="majorBidi" w:hAnsiTheme="majorBidi" w:cstheme="majorBidi"/>
            <w:szCs w:val="24"/>
          </w:rPr>
          <w:t>AR</w:t>
        </w:r>
        <w:r w:rsidR="00715B5C" w:rsidRPr="00A67E82">
          <w:rPr>
            <w:rStyle w:val="Hyperlink"/>
            <w:rFonts w:asciiTheme="majorBidi" w:hAnsiTheme="majorBidi" w:cstheme="majorBidi"/>
            <w:szCs w:val="24"/>
          </w:rPr>
          <w:t>-13</w:t>
        </w:r>
      </w:hyperlink>
      <w:r w:rsidR="00715B5C" w:rsidRPr="00A67E82">
        <w:t xml:space="preserve">. </w:t>
      </w:r>
      <w:r w:rsidR="00A67E82" w:rsidRPr="00A67E82">
        <w:t>Tras el</w:t>
      </w:r>
      <w:r w:rsidR="00715B5C" w:rsidRPr="00A67E82">
        <w:t xml:space="preserve"> </w:t>
      </w:r>
      <w:r w:rsidR="00A67E82" w:rsidRPr="00A67E82">
        <w:t>GAR-13</w:t>
      </w:r>
      <w:r w:rsidR="00715B5C" w:rsidRPr="00A67E82">
        <w:t xml:space="preserve"> </w:t>
      </w:r>
      <w:r w:rsidR="00A67E82" w:rsidRPr="00A67E82">
        <w:t>está previsto introducir en línea una lista de participantes para todos los eventos de las Comisiones de Estudio del UIT</w:t>
      </w:r>
      <w:r w:rsidR="00A67E82" w:rsidRPr="00A67E82">
        <w:noBreakHyphen/>
        <w:t>R</w:t>
      </w:r>
      <w:r w:rsidR="00715B5C" w:rsidRPr="00A67E82">
        <w:t xml:space="preserve">. </w:t>
      </w:r>
    </w:p>
    <w:p w:rsidR="001E08FC" w:rsidRDefault="001E08FC" w:rsidP="002F5F67">
      <w:pPr>
        <w:pStyle w:val="Heading2"/>
      </w:pPr>
      <w:r>
        <w:t>3.5</w:t>
      </w:r>
      <w:r w:rsidRPr="001E08FC">
        <w:tab/>
        <w:t>Participación a distancia</w:t>
      </w:r>
    </w:p>
    <w:p w:rsidR="001E08FC" w:rsidRDefault="001E08FC" w:rsidP="002F5F67">
      <w:r>
        <w:t>La Resolución 167 (Guadalajara, 2010) encarga a los Directores de las Oficinas a que, en consulta con los Grupos Asesores del Sector, tomen medidas a fin de facilitar a los delegados que no puedan asistir en persona a las reuniones de Sector los medios adecuados para la participación o la observación por medios electrónicos.</w:t>
      </w:r>
    </w:p>
    <w:p w:rsidR="00233E93" w:rsidRDefault="00233E93" w:rsidP="00715B5C">
      <w:r>
        <w:t xml:space="preserve">Desde la </w:t>
      </w:r>
      <w:r w:rsidR="00740060">
        <w:t>última</w:t>
      </w:r>
      <w:r>
        <w:t xml:space="preserve"> reunión del GAR se proporciona una difusión por la red (webcast) de la señal de audio en todos los idiomas disponibles durante las </w:t>
      </w:r>
      <w:r w:rsidR="00715B5C">
        <w:t>S</w:t>
      </w:r>
      <w:r>
        <w:t>esiones Plenarias de todas las reuniones de Comisiones de Estudio y Grupos de Trabajo celebradas en Ginebra.</w:t>
      </w:r>
    </w:p>
    <w:p w:rsidR="00233E93" w:rsidRDefault="00233E93" w:rsidP="002F5F67">
      <w:r>
        <w:t xml:space="preserve">En las reuniones de los Grupos de Trabajo se ha ofrecido la posibilidad de una participación a distancia activa utilizando Adobe Connect en inglés únicamente. Los participantes a distancia que deseen tomar parte </w:t>
      </w:r>
      <w:r w:rsidR="00740060">
        <w:t>activamente</w:t>
      </w:r>
      <w:r>
        <w:t xml:space="preserve"> (por ejemplo, presentado una contribución) deben inscribirse en la reunión con antelación y coordinar su participación activa con el Consejero responsable.</w:t>
      </w:r>
    </w:p>
    <w:p w:rsidR="00233E93" w:rsidRDefault="00233E93" w:rsidP="002F5F67">
      <w:r>
        <w:t xml:space="preserve">La modalidad de participación a distancia activa se ha establecido para permitir a los participantes en los Grupos de Trabajo presentar contribuciones en 10 ocasiones en el último año. Normalmente ha habido </w:t>
      </w:r>
      <w:r w:rsidR="00740060">
        <w:t>únicamente</w:t>
      </w:r>
      <w:r>
        <w:t xml:space="preserve"> 1 ó 2 participantes a distancia activos en una reunión determinada. La información recibida al respecto ha sido, por regla general, que este tipo de participación es útil, pero puede ser difícil de programar y frena el desarrollo de la reunión.</w:t>
      </w:r>
    </w:p>
    <w:p w:rsidR="00233E93" w:rsidRDefault="00233E93" w:rsidP="002F5F67">
      <w:r>
        <w:t>Durante la reunión de la Comisión de Dirección de la RPC-15 celebrada el 18 de diciembre de 2012 para examinar la preparación del proyecto de Informe de la RPC a la CMR-15 se proporcionó la participación a distancia activa. Los Presidentes de las Comisiones de Estudio y de los Grupos responsables del UIT-R también fueron invitados a asistir a esta reunión, en la que la participación a distancia activa resulto ser muy útil.</w:t>
      </w:r>
    </w:p>
    <w:p w:rsidR="00233E93" w:rsidRDefault="00233E93" w:rsidP="00715B5C">
      <w:r>
        <w:t xml:space="preserve">El Comité de </w:t>
      </w:r>
      <w:r w:rsidR="00740060">
        <w:t>Coordinación</w:t>
      </w:r>
      <w:r>
        <w:t xml:space="preserve"> del Vocabulario (CCV) ha tenido experiencias muy positivas introduciendo la participación a distancia en sus reuniones. El 27 de junio de 2012, 3 de los 11</w:t>
      </w:r>
      <w:r w:rsidR="00715B5C">
        <w:t> </w:t>
      </w:r>
      <w:r>
        <w:t>participantes asistieron a distancia y el 16 de noviembre de 2012, 5 de los 10 participantes estaban conectados a distancia.</w:t>
      </w:r>
    </w:p>
    <w:p w:rsidR="000B7FF4" w:rsidRDefault="00233E93" w:rsidP="002F5F67">
      <w:r>
        <w:lastRenderedPageBreak/>
        <w:t xml:space="preserve">Esta modalidad se ha revelado especialmente útil en las discusiones en línea para soportar las actividades del </w:t>
      </w:r>
      <w:r w:rsidR="00715B5C">
        <w:t>Grupo</w:t>
      </w:r>
      <w:r>
        <w:t xml:space="preserve"> por </w:t>
      </w:r>
      <w:r w:rsidR="00715B5C">
        <w:t>C</w:t>
      </w:r>
      <w:r>
        <w:t>orrespondencia. En 2012 se celebraron cinco sesiones de discusiones en línea que contaron normalmente con una participación comprendida entre 10 y 20 participantes.</w:t>
      </w:r>
    </w:p>
    <w:p w:rsidR="001E08FC" w:rsidRDefault="001E08FC" w:rsidP="002F5F67">
      <w:r>
        <w:t>Si bien la Secretaría hará todo lo posible para facilitar la participación activa,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p>
    <w:p w:rsidR="001E08FC" w:rsidRPr="0061077B" w:rsidRDefault="0061077B" w:rsidP="002F5F67">
      <w:pPr>
        <w:pStyle w:val="Heading2"/>
      </w:pPr>
      <w:r w:rsidRPr="0061077B">
        <w:t>3.6</w:t>
      </w:r>
      <w:r w:rsidRPr="0061077B">
        <w:tab/>
      </w:r>
      <w:r w:rsidR="00917825" w:rsidRPr="00917825">
        <w:t>P</w:t>
      </w:r>
      <w:r w:rsidR="00917825">
        <w:t>á</w:t>
      </w:r>
      <w:r w:rsidR="00917825" w:rsidRPr="00917825">
        <w:t>ginas web de las Comisio</w:t>
      </w:r>
      <w:r w:rsidR="00917825">
        <w:t>n</w:t>
      </w:r>
      <w:r w:rsidR="00917825" w:rsidRPr="00917825">
        <w:t>es de Estudio</w:t>
      </w:r>
    </w:p>
    <w:p w:rsidR="0061077B" w:rsidRPr="005005CE" w:rsidRDefault="00917825" w:rsidP="002F5F67">
      <w:r w:rsidRPr="00917825">
        <w:t>La UIT est</w:t>
      </w:r>
      <w:r w:rsidR="00DF73AF">
        <w:t>á</w:t>
      </w:r>
      <w:r w:rsidRPr="00917825">
        <w:t xml:space="preserve"> cambiando la </w:t>
      </w:r>
      <w:r w:rsidR="00740060" w:rsidRPr="00917825">
        <w:t>presentación</w:t>
      </w:r>
      <w:r w:rsidRPr="00917825">
        <w:t xml:space="preserve"> de sus p</w:t>
      </w:r>
      <w:r>
        <w:t>á</w:t>
      </w:r>
      <w:r w:rsidRPr="00917825">
        <w:t>ginas web para proporcionar una presentación actualizada y coheren</w:t>
      </w:r>
      <w:r>
        <w:t>te en la dirección web de la UI</w:t>
      </w:r>
      <w:r w:rsidRPr="00917825">
        <w:t>T. La p</w:t>
      </w:r>
      <w:r>
        <w:t>ágina web gener</w:t>
      </w:r>
      <w:r w:rsidRPr="00917825">
        <w:t>a</w:t>
      </w:r>
      <w:r>
        <w:t>l</w:t>
      </w:r>
      <w:r w:rsidRPr="00917825">
        <w:t xml:space="preserve"> de las Comisiones de Estudio ya se ha modificado con el nuevo formato de presentaci</w:t>
      </w:r>
      <w:r>
        <w:t>ó</w:t>
      </w:r>
      <w:r w:rsidRPr="00917825">
        <w:t>n mientras que las p</w:t>
      </w:r>
      <w:r>
        <w:t>á</w:t>
      </w:r>
      <w:r w:rsidRPr="00917825">
        <w:t xml:space="preserve">ginas </w:t>
      </w:r>
      <w:r>
        <w:t>correspondientes a</w:t>
      </w:r>
      <w:r w:rsidRPr="00917825">
        <w:t xml:space="preserve"> cada </w:t>
      </w:r>
      <w:r>
        <w:t>una de las Comisiones</w:t>
      </w:r>
      <w:r w:rsidRPr="00917825">
        <w:t xml:space="preserve"> de Estudio se e</w:t>
      </w:r>
      <w:r>
        <w:t>stán cambiando progresivamente sigu</w:t>
      </w:r>
      <w:r w:rsidRPr="00917825">
        <w:t>i</w:t>
      </w:r>
      <w:r>
        <w:t>e</w:t>
      </w:r>
      <w:r w:rsidRPr="00917825">
        <w:t>ndo los bloque</w:t>
      </w:r>
      <w:r>
        <w:t>s</w:t>
      </w:r>
      <w:r w:rsidRPr="00917825">
        <w:t xml:space="preserve"> de reuniones de </w:t>
      </w:r>
      <w:r>
        <w:t xml:space="preserve">las </w:t>
      </w:r>
      <w:r w:rsidRPr="00917825">
        <w:t>Comisiones para evitar una interrupción de dichas reunio</w:t>
      </w:r>
      <w:r w:rsidR="00DF73AF">
        <w:t>n</w:t>
      </w:r>
      <w:r w:rsidRPr="00917825">
        <w:t>es.</w:t>
      </w:r>
    </w:p>
    <w:p w:rsidR="0061077B" w:rsidRDefault="0061077B" w:rsidP="002F5F67">
      <w:pPr>
        <w:pStyle w:val="Heading2"/>
      </w:pPr>
      <w:r w:rsidRPr="0061077B">
        <w:t>3.7</w:t>
      </w:r>
      <w:r w:rsidRPr="0061077B">
        <w:tab/>
      </w:r>
      <w:r w:rsidR="00DF73AF" w:rsidRPr="00DF73AF">
        <w:t>Base de datos de las Recomendaciones y me</w:t>
      </w:r>
      <w:r w:rsidR="00DF73AF">
        <w:t>c</w:t>
      </w:r>
      <w:r w:rsidR="00DF73AF" w:rsidRPr="00DF73AF">
        <w:t>anismos de búsqueda</w:t>
      </w:r>
    </w:p>
    <w:p w:rsidR="000B7FF4" w:rsidRDefault="00DF73AF" w:rsidP="002F5F67">
      <w:r w:rsidRPr="00DF73AF">
        <w:t>Se est</w:t>
      </w:r>
      <w:r>
        <w:t>á</w:t>
      </w:r>
      <w:r w:rsidRPr="00DF73AF">
        <w:t xml:space="preserve"> elaborando para las </w:t>
      </w:r>
      <w:r w:rsidR="00740060" w:rsidRPr="00DF73AF">
        <w:t>Rec</w:t>
      </w:r>
      <w:r w:rsidR="00740060">
        <w:t>omendaciones</w:t>
      </w:r>
      <w:r>
        <w:t xml:space="preserve"> UIT-R una base de d</w:t>
      </w:r>
      <w:r w:rsidRPr="00DF73AF">
        <w:t>atos con motor de búsqueda avanzado para permitir la localización de las Recomendaciones y su filtrado por categorías</w:t>
      </w:r>
      <w:r>
        <w:t>,</w:t>
      </w:r>
      <w:r w:rsidRPr="00DF73AF">
        <w:t xml:space="preserve"> tales como s</w:t>
      </w:r>
      <w:r>
        <w:t>ervicio</w:t>
      </w:r>
      <w:r w:rsidRPr="00DF73AF">
        <w:t xml:space="preserve"> de radiocomunicaciones, tipo de sistema radioeléctrico y banda de frecuencia</w:t>
      </w:r>
      <w:r>
        <w:t>s</w:t>
      </w:r>
      <w:r w:rsidRPr="00DF73AF">
        <w:t xml:space="preserve"> aplicable. Se ha elaborado un documento del GAR </w:t>
      </w:r>
      <w:r>
        <w:t xml:space="preserve">separado </w:t>
      </w:r>
      <w:r w:rsidRPr="00DF73AF">
        <w:t>que describe este sistema de búsqueda.</w:t>
      </w:r>
    </w:p>
    <w:p w:rsidR="0061077B" w:rsidRDefault="0061077B" w:rsidP="002F5F67">
      <w:pPr>
        <w:pStyle w:val="Heading2"/>
      </w:pPr>
      <w:r>
        <w:t>3.8</w:t>
      </w:r>
      <w:r>
        <w:tab/>
      </w:r>
      <w:r w:rsidR="00DF73AF" w:rsidRPr="00DF73AF">
        <w:t xml:space="preserve">Herramienta de </w:t>
      </w:r>
      <w:r w:rsidR="00715B5C" w:rsidRPr="00DF73AF">
        <w:t>G</w:t>
      </w:r>
      <w:r w:rsidR="00DF73AF" w:rsidRPr="00DF73AF">
        <w:t xml:space="preserve">rupo por </w:t>
      </w:r>
      <w:r w:rsidR="00715B5C" w:rsidRPr="00DF73AF">
        <w:t>C</w:t>
      </w:r>
      <w:r w:rsidR="00DF73AF">
        <w:t>o</w:t>
      </w:r>
      <w:r w:rsidR="00DF73AF" w:rsidRPr="00DF73AF">
        <w:t>rrespondencia mejorada</w:t>
      </w:r>
    </w:p>
    <w:p w:rsidR="0061077B" w:rsidRDefault="00DF73AF" w:rsidP="002F5F67">
      <w:r w:rsidRPr="00DF73AF">
        <w:t>Se han llevado a cabo pruebas sobre una herramienta mejorada para sustituir</w:t>
      </w:r>
      <w:r w:rsidR="00740060">
        <w:t xml:space="preserve"> </w:t>
      </w:r>
      <w:r w:rsidRPr="00DF73AF">
        <w:t>las actuales listas de correos y servidores ftp. En la próxima reunión del GAR se pres</w:t>
      </w:r>
      <w:r>
        <w:t>e</w:t>
      </w:r>
      <w:r w:rsidRPr="00DF73AF">
        <w:t>ntar</w:t>
      </w:r>
      <w:r>
        <w:t>á</w:t>
      </w:r>
      <w:r w:rsidRPr="00DF73AF">
        <w:t xml:space="preserve"> </w:t>
      </w:r>
      <w:r>
        <w:t xml:space="preserve">un </w:t>
      </w:r>
      <w:bookmarkStart w:id="5" w:name="_GoBack"/>
      <w:r w:rsidR="003E5150">
        <w:t>I</w:t>
      </w:r>
      <w:bookmarkEnd w:id="5"/>
      <w:r>
        <w:t>nforme sobre los resultad</w:t>
      </w:r>
      <w:r w:rsidRPr="00DF73AF">
        <w:t>o</w:t>
      </w:r>
      <w:r>
        <w:t>s</w:t>
      </w:r>
      <w:r w:rsidRPr="00DF73AF">
        <w:t xml:space="preserve"> de estas pruebas.</w:t>
      </w:r>
    </w:p>
    <w:p w:rsidR="0061077B" w:rsidRPr="001C2398" w:rsidRDefault="0061077B" w:rsidP="002F5F67">
      <w:pPr>
        <w:pStyle w:val="Heading1"/>
      </w:pPr>
      <w:r>
        <w:t>4</w:t>
      </w:r>
      <w:r>
        <w:tab/>
      </w:r>
      <w:r w:rsidRPr="001C2398">
        <w:t>Salas de reunión</w:t>
      </w:r>
    </w:p>
    <w:p w:rsidR="0061077B" w:rsidRDefault="0061077B" w:rsidP="002F5F67">
      <w:r>
        <w:t>La escasez de salas de reunión en la Sede de la UIT está presentando cada vez con mayor frecuencia serios problemas para la planificación eficaz de las reuniones. Este problema se ha visto agravado por los siguientes factores:</w:t>
      </w:r>
    </w:p>
    <w:p w:rsidR="0061077B" w:rsidRDefault="0061077B" w:rsidP="002F5F67">
      <w:pPr>
        <w:pStyle w:val="enumlev1"/>
      </w:pPr>
      <w:r>
        <w:t>i)</w:t>
      </w:r>
      <w:r>
        <w:tab/>
        <w:t>el creciente número de reuniones previstas por los tres Sectores y la Secretaría General;</w:t>
      </w:r>
    </w:p>
    <w:p w:rsidR="0061077B" w:rsidRDefault="0061077B" w:rsidP="00807C71">
      <w:pPr>
        <w:pStyle w:val="enumlev1"/>
      </w:pPr>
      <w:r>
        <w:t>ii)</w:t>
      </w:r>
      <w:r>
        <w:tab/>
        <w:t xml:space="preserve">la escasez de salas de reunión con aforo de </w:t>
      </w:r>
      <w:r w:rsidR="00807C71">
        <w:t xml:space="preserve">más de </w:t>
      </w:r>
      <w:r>
        <w:t>150 participantes;</w:t>
      </w:r>
    </w:p>
    <w:p w:rsidR="0061077B" w:rsidRDefault="0061077B" w:rsidP="002F5F67">
      <w:pPr>
        <w:pStyle w:val="enumlev1"/>
      </w:pPr>
      <w:r>
        <w:t>iii)</w:t>
      </w:r>
      <w:r>
        <w:tab/>
        <w:t>la necesidad de evitar que las fechas de las reuniones se solapen o coincidan con las de otras;</w:t>
      </w:r>
    </w:p>
    <w:p w:rsidR="0061077B" w:rsidRDefault="0061077B" w:rsidP="002F5F67">
      <w:pPr>
        <w:pStyle w:val="enumlev1"/>
      </w:pPr>
      <w:r>
        <w:t>iv)</w:t>
      </w:r>
      <w:r>
        <w:tab/>
        <w:t>la limitada disponibilidad y la gran antelación necesaria para reservar instalaciones alternativas tales como el CICG.</w:t>
      </w:r>
    </w:p>
    <w:p w:rsidR="00822538" w:rsidRDefault="00822538" w:rsidP="002F5F67">
      <w:pPr>
        <w:pStyle w:val="Heading1"/>
      </w:pPr>
      <w:r>
        <w:t>5</w:t>
      </w:r>
      <w:r>
        <w:tab/>
        <w:t>Principales actividades de las Comisiones de Estudio</w:t>
      </w:r>
    </w:p>
    <w:p w:rsidR="00822538" w:rsidRDefault="00822538" w:rsidP="002F5F67">
      <w:r>
        <w:t>Desde la última reunión del GAR, las actividades de las Comisiones de Estudio se han centrado en la normalización en curso de los sistemas de radiocomunicaciones</w:t>
      </w:r>
      <w:r w:rsidR="00DF73AF">
        <w:t xml:space="preserve"> y</w:t>
      </w:r>
      <w:r>
        <w:t xml:space="preserve"> en </w:t>
      </w:r>
      <w:r w:rsidR="00DF73AF">
        <w:t>el progreso</w:t>
      </w:r>
      <w:r>
        <w:t xml:space="preserve"> de los estudios necesarios para la</w:t>
      </w:r>
      <w:r w:rsidR="00DF73AF">
        <w:t xml:space="preserve"> AR-15 y la </w:t>
      </w:r>
      <w:r>
        <w:t>CMR-15. A continuación se indican algunas de las actividades más importantes llevadas a cabo por cada Comisión de Estudio:</w:t>
      </w:r>
    </w:p>
    <w:p w:rsidR="0061077B" w:rsidRDefault="00822538" w:rsidP="002F5F67">
      <w:pPr>
        <w:pStyle w:val="Heading2"/>
      </w:pPr>
      <w:r>
        <w:lastRenderedPageBreak/>
        <w:t>5.1</w:t>
      </w:r>
      <w:r>
        <w:tab/>
      </w:r>
      <w:r w:rsidR="000B7FF4" w:rsidRPr="000B7FF4">
        <w:t>Comisi</w:t>
      </w:r>
      <w:r w:rsidR="000B7FF4">
        <w:t>ón</w:t>
      </w:r>
      <w:r w:rsidR="000B7FF4" w:rsidRPr="000B7FF4">
        <w:t xml:space="preserve"> de Estudio</w:t>
      </w:r>
      <w:r w:rsidR="000B7FF4">
        <w:t xml:space="preserve"> 1</w:t>
      </w:r>
    </w:p>
    <w:p w:rsidR="0071432C" w:rsidRDefault="00DF73AF" w:rsidP="00715B5C">
      <w:r w:rsidRPr="00DF73AF">
        <w:t>Con la aprobación de la Recomendación UIT-R SM.2028, as</w:t>
      </w:r>
      <w:r>
        <w:t>í</w:t>
      </w:r>
      <w:r w:rsidRPr="00DF73AF">
        <w:t xml:space="preserve"> como el Informe UIT-R SM.2255 sobre </w:t>
      </w:r>
      <w:r>
        <w:t>dispositivos</w:t>
      </w:r>
      <w:r w:rsidRPr="00DF73AF">
        <w:t xml:space="preserve"> de identificación por radiofrecuencia (RFDI) y el Informe UIT-R SM.2212-1 sobre sistemas de telecomunicaciones por líneas de </w:t>
      </w:r>
      <w:r>
        <w:t xml:space="preserve">transporte y distribución de </w:t>
      </w:r>
      <w:r w:rsidRPr="00DF73AF">
        <w:t>energía eléctrica (PLT), la CE 1 contin</w:t>
      </w:r>
      <w:r>
        <w:t>ú</w:t>
      </w:r>
      <w:r w:rsidRPr="00DF73AF">
        <w:t>a sus esfuerzos para armonizar los dispositivos de corto alcance en respuesta a la Resoluci</w:t>
      </w:r>
      <w:r>
        <w:t>ó</w:t>
      </w:r>
      <w:r w:rsidRPr="00DF73AF">
        <w:t xml:space="preserve">n UIT-R 54-1, </w:t>
      </w:r>
      <w:r w:rsidR="00740060" w:rsidRPr="00DF73AF">
        <w:t>así</w:t>
      </w:r>
      <w:r w:rsidRPr="00DF73AF">
        <w:t xml:space="preserve"> como sobre la protección de los servicios de radiocomunicaciones contra la interferencia causada por las radiaciones procedentes de los equipos ICM en respuesta a la Resoluci</w:t>
      </w:r>
      <w:r>
        <w:t>ó</w:t>
      </w:r>
      <w:r w:rsidRPr="00DF73AF">
        <w:t>n 63 (Rev.CMR-12) y contra la repercusión de los sistemas PLT en respuesta a la Cuesti</w:t>
      </w:r>
      <w:r>
        <w:t>ó</w:t>
      </w:r>
      <w:r w:rsidRPr="00DF73AF">
        <w:t xml:space="preserve">n UIT-R 221-2/1; la CE 1 </w:t>
      </w:r>
      <w:r w:rsidR="00740060" w:rsidRPr="00DF73AF">
        <w:t>ta</w:t>
      </w:r>
      <w:r w:rsidR="00740060">
        <w:t>mbién</w:t>
      </w:r>
      <w:r>
        <w:t xml:space="preserve"> prosigue sus actividades </w:t>
      </w:r>
      <w:r w:rsidRPr="00DF73AF">
        <w:t xml:space="preserve">principales relativas, en particular, a los estudios sobre la evolución de la comprobación técnica del espectro y la revisión de sus Manuales de </w:t>
      </w:r>
      <w:r w:rsidR="00715B5C">
        <w:t>g</w:t>
      </w:r>
      <w:r w:rsidRPr="00DF73AF">
        <w:t>esti</w:t>
      </w:r>
      <w:r>
        <w:t>ó</w:t>
      </w:r>
      <w:r w:rsidRPr="00DF73AF">
        <w:t xml:space="preserve">n </w:t>
      </w:r>
      <w:r>
        <w:t>na</w:t>
      </w:r>
      <w:r w:rsidRPr="00DF73AF">
        <w:t xml:space="preserve">cional del </w:t>
      </w:r>
      <w:r>
        <w:t>e</w:t>
      </w:r>
      <w:r w:rsidRPr="00DF73AF">
        <w:t xml:space="preserve">spectro y </w:t>
      </w:r>
      <w:r>
        <w:t>de té</w:t>
      </w:r>
      <w:r w:rsidRPr="00DF73AF">
        <w:t>cnicas inform</w:t>
      </w:r>
      <w:r>
        <w:t>a</w:t>
      </w:r>
      <w:r w:rsidRPr="00DF73AF">
        <w:t>ti</w:t>
      </w:r>
      <w:r>
        <w:t>z</w:t>
      </w:r>
      <w:r w:rsidRPr="00DF73AF">
        <w:t>a</w:t>
      </w:r>
      <w:r>
        <w:t>das para la g</w:t>
      </w:r>
      <w:r w:rsidRPr="00DF73AF">
        <w:t>esti</w:t>
      </w:r>
      <w:r>
        <w:t>ó</w:t>
      </w:r>
      <w:r w:rsidRPr="00DF73AF">
        <w:t xml:space="preserve">n del </w:t>
      </w:r>
      <w:r>
        <w:t>e</w:t>
      </w:r>
      <w:r w:rsidRPr="00DF73AF">
        <w:t>spec</w:t>
      </w:r>
      <w:r>
        <w:t>t</w:t>
      </w:r>
      <w:r w:rsidRPr="00DF73AF">
        <w:t>ro.</w:t>
      </w:r>
    </w:p>
    <w:p w:rsidR="0071432C" w:rsidRDefault="0071432C" w:rsidP="002F5F67">
      <w:pPr>
        <w:pStyle w:val="Heading2"/>
      </w:pPr>
      <w:r>
        <w:t>5.2</w:t>
      </w:r>
      <w:r>
        <w:tab/>
      </w:r>
      <w:r w:rsidR="000B7FF4">
        <w:t>Comisión de Estudio 3</w:t>
      </w:r>
    </w:p>
    <w:p w:rsidR="00DF73AF" w:rsidRDefault="00DF73AF" w:rsidP="00715B5C">
      <w:r>
        <w:t>La CE 3 introdujo el método de difracción de Bullington con correcciones que se van ajustando para facilitar una transición suave entre los trayecto</w:t>
      </w:r>
      <w:r w:rsidR="00B403A5">
        <w:t>s con visibilidad directa y transhorizonte e</w:t>
      </w:r>
      <w:r>
        <w:t>n la Recomendación UIT-R P.526-12 y</w:t>
      </w:r>
      <w:r w:rsidR="00B403A5">
        <w:t>,</w:t>
      </w:r>
      <w:r>
        <w:t xml:space="preserve"> en consecuencia</w:t>
      </w:r>
      <w:r w:rsidR="00B403A5">
        <w:t>,</w:t>
      </w:r>
      <w:r>
        <w:t xml:space="preserve"> decidi</w:t>
      </w:r>
      <w:r w:rsidR="00B403A5">
        <w:t>ó</w:t>
      </w:r>
      <w:r>
        <w:t xml:space="preserve"> aplicar este modelo como modificaciones a las Recomendaciones UIT-R P.452-14 </w:t>
      </w:r>
      <w:r w:rsidR="00B403A5">
        <w:t>(</w:t>
      </w:r>
      <w:r>
        <w:t>a</w:t>
      </w:r>
      <w:r w:rsidR="00B403A5">
        <w:t>ú</w:t>
      </w:r>
      <w:r>
        <w:t xml:space="preserve">n en proceso de revisión) y P.1812-2 y en la </w:t>
      </w:r>
      <w:r w:rsidR="00B403A5">
        <w:t>Recomendación UIT-R P.</w:t>
      </w:r>
      <w:r>
        <w:t xml:space="preserve">2001. Esta </w:t>
      </w:r>
      <w:r w:rsidR="00B403A5">
        <w:t>ú</w:t>
      </w:r>
      <w:r>
        <w:t xml:space="preserve">ltima es una nueva Recomendación que proporciona un conjunto de modelos de propagación </w:t>
      </w:r>
      <w:r w:rsidR="00740060">
        <w:t>radioeléctrica</w:t>
      </w:r>
      <w:r>
        <w:t xml:space="preserve"> terrenal en la gama de 30 MHz a 50 MHz.</w:t>
      </w:r>
    </w:p>
    <w:p w:rsidR="0071432C" w:rsidRDefault="00DF73AF" w:rsidP="00715B5C">
      <w:r>
        <w:t>Teniendo en cu</w:t>
      </w:r>
      <w:r w:rsidR="00715B5C">
        <w:t>e</w:t>
      </w:r>
      <w:r>
        <w:t>nta las nuevas disposiciones de la Resoluci</w:t>
      </w:r>
      <w:r w:rsidR="00B403A5">
        <w:t>ó</w:t>
      </w:r>
      <w:r>
        <w:t>n UIT-R 25-3, la CE 3 desarroll</w:t>
      </w:r>
      <w:r w:rsidR="00B403A5">
        <w:t>ó</w:t>
      </w:r>
      <w:r>
        <w:t xml:space="preserve"> cuatro </w:t>
      </w:r>
      <w:r w:rsidR="00740060">
        <w:t>Recomendaciones</w:t>
      </w:r>
      <w:r>
        <w:t xml:space="preserve"> UIT-R revisadas (P.528-3, P.617-2, P.837-6 y P.2001) que incorporan actualmente conjuntos de datos o software que se consideran parte de la Recomendación.</w:t>
      </w:r>
    </w:p>
    <w:p w:rsidR="0071432C" w:rsidRDefault="0071432C" w:rsidP="002F5F67">
      <w:pPr>
        <w:pStyle w:val="Heading2"/>
      </w:pPr>
      <w:r>
        <w:t>5.3</w:t>
      </w:r>
      <w:r>
        <w:tab/>
      </w:r>
      <w:r w:rsidR="000B7FF4">
        <w:t>Comisión de Estudio 4</w:t>
      </w:r>
    </w:p>
    <w:p w:rsidR="00DF73AF" w:rsidRDefault="00DF73AF" w:rsidP="00715B5C">
      <w:r>
        <w:t>Se aprobaron R</w:t>
      </w:r>
      <w:r w:rsidR="00B403A5">
        <w:t>eco</w:t>
      </w:r>
      <w:r>
        <w:t xml:space="preserve">mendaciones e </w:t>
      </w:r>
      <w:r w:rsidR="00B403A5">
        <w:t xml:space="preserve">Informes </w:t>
      </w:r>
      <w:r>
        <w:t xml:space="preserve">nuevos y revisados relativos a las actividades de la </w:t>
      </w:r>
      <w:r w:rsidR="00B403A5">
        <w:t>CE </w:t>
      </w:r>
      <w:r>
        <w:t xml:space="preserve">4, en particular la Recomendación UIT-R M.2031 sobre </w:t>
      </w:r>
      <w:r w:rsidR="00B403A5">
        <w:t>«</w:t>
      </w:r>
      <w:r>
        <w:t>Caracter</w:t>
      </w:r>
      <w:r w:rsidR="00B403A5">
        <w:t>í</w:t>
      </w:r>
      <w:r>
        <w:t>sticas y criterios de protección de las estaciones terrenas receptoras y característica</w:t>
      </w:r>
      <w:r w:rsidR="00B403A5">
        <w:t xml:space="preserve">s de las estaciones espaciales </w:t>
      </w:r>
      <w:r>
        <w:t>t</w:t>
      </w:r>
      <w:r w:rsidR="00B403A5">
        <w:t>ransmisoras del serv</w:t>
      </w:r>
      <w:r>
        <w:t>icio de radionavegación por satélite (espacio-Tierra) que funcionan en la banda 5</w:t>
      </w:r>
      <w:r w:rsidR="00715B5C">
        <w:t> </w:t>
      </w:r>
      <w:r>
        <w:t>010-5</w:t>
      </w:r>
      <w:r w:rsidR="00715B5C">
        <w:t> </w:t>
      </w:r>
      <w:r>
        <w:t>030 MHz</w:t>
      </w:r>
      <w:r w:rsidR="00B403A5">
        <w:t>»</w:t>
      </w:r>
      <w:r>
        <w:t xml:space="preserve">, el Informe UIT-R S.2261 sobre </w:t>
      </w:r>
      <w:r w:rsidR="00B403A5">
        <w:t>«</w:t>
      </w:r>
      <w:r>
        <w:t>Requ</w:t>
      </w:r>
      <w:r w:rsidR="00B403A5">
        <w:t>i</w:t>
      </w:r>
      <w:r>
        <w:t>sitos técnicos y de funcionamiento de las estaciones terrenas en plataformas móviles que funcionan en sistemas del SFS no OSG en las bandas de frecuencia de 17,3</w:t>
      </w:r>
      <w:r w:rsidR="00B403A5">
        <w:t xml:space="preserve"> a</w:t>
      </w:r>
      <w:r>
        <w:t xml:space="preserve"> 19,3 GHz, de 19,7 a 20,2 GHz, de 27 a 29,1 GHz y de 29,5 a 30,0</w:t>
      </w:r>
      <w:r w:rsidR="00B403A5">
        <w:t> </w:t>
      </w:r>
      <w:r>
        <w:t>GHz</w:t>
      </w:r>
      <w:r w:rsidR="00B403A5">
        <w:t>»</w:t>
      </w:r>
      <w:r>
        <w:t xml:space="preserve"> y el Informe UIT-R S.2151-1 sobre </w:t>
      </w:r>
      <w:r w:rsidR="00B403A5">
        <w:t>«</w:t>
      </w:r>
      <w:r>
        <w:t>Utilizaci</w:t>
      </w:r>
      <w:r w:rsidR="00B403A5">
        <w:t>ó</w:t>
      </w:r>
      <w:r>
        <w:t>n y ejemplos de sistemas del servicio fijo por satélite en caso de catástrofes naturales y emergencias similares para las operaciones de aviso y socorro</w:t>
      </w:r>
      <w:r w:rsidR="00B403A5">
        <w:t>»</w:t>
      </w:r>
      <w:r>
        <w:t>.</w:t>
      </w:r>
    </w:p>
    <w:p w:rsidR="0071432C" w:rsidRDefault="00DF73AF" w:rsidP="00715B5C">
      <w:r>
        <w:t xml:space="preserve">Con la aprobación del Informe UIT-R M.2176-1, </w:t>
      </w:r>
      <w:r w:rsidR="00B403A5">
        <w:t>«</w:t>
      </w:r>
      <w:r>
        <w:t>Visi</w:t>
      </w:r>
      <w:r w:rsidR="00B403A5">
        <w:t>ó</w:t>
      </w:r>
      <w:r>
        <w:t xml:space="preserve">n y requisitos de las interfaces </w:t>
      </w:r>
      <w:r w:rsidR="00740060">
        <w:t>radioeléctricas</w:t>
      </w:r>
      <w:r>
        <w:t xml:space="preserve"> de los satélites de las IMT</w:t>
      </w:r>
      <w:r w:rsidR="00715B5C">
        <w:t>-A</w:t>
      </w:r>
      <w:r>
        <w:t>vanzadas</w:t>
      </w:r>
      <w:r w:rsidR="00B403A5">
        <w:t>»</w:t>
      </w:r>
      <w:r>
        <w:t xml:space="preserve"> y el desarrollo de </w:t>
      </w:r>
      <w:r w:rsidR="00B403A5">
        <w:t>una nueva Recomendación UIT-R s</w:t>
      </w:r>
      <w:r>
        <w:t>obre especificaciones detalladas de las interfaces radioeléctricas para la componente de satélite de las IMT</w:t>
      </w:r>
      <w:r w:rsidR="00715B5C">
        <w:t>-A</w:t>
      </w:r>
      <w:r>
        <w:t>vanzadas, la CE 4 ha seguido progr</w:t>
      </w:r>
      <w:r w:rsidR="00B403A5">
        <w:t>e</w:t>
      </w:r>
      <w:r>
        <w:t>sando en los estudios relativos a la componente de satélite de las IM</w:t>
      </w:r>
      <w:r w:rsidR="00B403A5">
        <w:t>T</w:t>
      </w:r>
      <w:r w:rsidR="00715B5C">
        <w:t>-A</w:t>
      </w:r>
      <w:r>
        <w:t>vanzadas. Estos trabajos están orientados por la Resoluci</w:t>
      </w:r>
      <w:r w:rsidR="00B403A5">
        <w:t>ó</w:t>
      </w:r>
      <w:r>
        <w:t>n</w:t>
      </w:r>
      <w:r w:rsidR="00B403A5">
        <w:t> </w:t>
      </w:r>
      <w:r>
        <w:t>UIT-R 57-1.</w:t>
      </w:r>
    </w:p>
    <w:p w:rsidR="0071432C" w:rsidRDefault="0071432C" w:rsidP="002F5F67">
      <w:pPr>
        <w:pStyle w:val="Heading2"/>
      </w:pPr>
      <w:r>
        <w:t>5.4</w:t>
      </w:r>
      <w:r>
        <w:tab/>
      </w:r>
      <w:r w:rsidR="000B7FF4">
        <w:t>Comisión de Estudio 5</w:t>
      </w:r>
    </w:p>
    <w:p w:rsidR="00DF73AF" w:rsidRDefault="00DF73AF" w:rsidP="002F5F67">
      <w:r>
        <w:t xml:space="preserve">Se aprobaron 17 Recomendaciones y 4 </w:t>
      </w:r>
      <w:r w:rsidR="00B403A5">
        <w:t xml:space="preserve">Informes </w:t>
      </w:r>
      <w:r>
        <w:t>relativos a las actividades de la CE 5, algunos de los cuales son en apoyo de las actividades llev</w:t>
      </w:r>
      <w:r w:rsidR="00B403A5">
        <w:t>a</w:t>
      </w:r>
      <w:r>
        <w:t>das a cabo por la CE 5 en relación con los puntos del orden del d</w:t>
      </w:r>
      <w:r w:rsidR="00B403A5">
        <w:t>í</w:t>
      </w:r>
      <w:r>
        <w:t>a de la CMR-15.</w:t>
      </w:r>
    </w:p>
    <w:p w:rsidR="00715B5C" w:rsidRDefault="00715B5C">
      <w:pPr>
        <w:tabs>
          <w:tab w:val="clear" w:pos="794"/>
          <w:tab w:val="clear" w:pos="1191"/>
          <w:tab w:val="clear" w:pos="1588"/>
          <w:tab w:val="clear" w:pos="1985"/>
        </w:tabs>
        <w:overflowPunct/>
        <w:autoSpaceDE/>
        <w:autoSpaceDN/>
        <w:adjustRightInd/>
        <w:spacing w:before="0"/>
        <w:textAlignment w:val="auto"/>
      </w:pPr>
      <w:r>
        <w:br w:type="page"/>
      </w:r>
    </w:p>
    <w:p w:rsidR="00DF73AF" w:rsidRDefault="00DF73AF" w:rsidP="00715B5C">
      <w:r>
        <w:lastRenderedPageBreak/>
        <w:t>Durante la primera reunión del GT 5B en este ciclo de estudios, en línea con los preparativos de la CMR-15, en concreto el punto 1.18</w:t>
      </w:r>
      <w:r w:rsidR="00B403A5">
        <w:t xml:space="preserve"> de su orden del día</w:t>
      </w:r>
      <w:r>
        <w:t>, se organiz</w:t>
      </w:r>
      <w:r w:rsidR="00B403A5">
        <w:t>ó</w:t>
      </w:r>
      <w:r>
        <w:t xml:space="preserve"> conjuntamente con ERTICO</w:t>
      </w:r>
      <w:r w:rsidR="00715B5C">
        <w:t> </w:t>
      </w:r>
      <w:r w:rsidR="00715B5C">
        <w:noBreakHyphen/>
        <w:t> </w:t>
      </w:r>
      <w:r>
        <w:t xml:space="preserve">ITS Europe un </w:t>
      </w:r>
      <w:r w:rsidR="00715B5C">
        <w:t>S</w:t>
      </w:r>
      <w:r>
        <w:t>eminario de medio d</w:t>
      </w:r>
      <w:r w:rsidR="004A51C9">
        <w:t>í</w:t>
      </w:r>
      <w:r>
        <w:t>a sobre radar de automoción a 79 GHz. Los oradores demostraron a unos 80 participantes los progresos realizados en el</w:t>
      </w:r>
      <w:r w:rsidR="004A51C9">
        <w:t xml:space="preserve"> </w:t>
      </w:r>
      <w:r>
        <w:t xml:space="preserve">pasado año respecto al desarrollo de los sistemas de </w:t>
      </w:r>
      <w:r w:rsidR="004A51C9">
        <w:t>radares</w:t>
      </w:r>
      <w:r>
        <w:t xml:space="preserve"> de alta resolución y corto alcance en </w:t>
      </w:r>
      <w:r w:rsidR="004A51C9">
        <w:t xml:space="preserve">vehículos en </w:t>
      </w:r>
      <w:r>
        <w:t>la banda de frecuencias de 79 GHz que contribuirán a</w:t>
      </w:r>
      <w:r w:rsidR="004A51C9">
        <w:t xml:space="preserve"> incrementar la eficacia del tr</w:t>
      </w:r>
      <w:r>
        <w:t>a</w:t>
      </w:r>
      <w:r w:rsidR="004A51C9">
        <w:t>n</w:t>
      </w:r>
      <w:r>
        <w:t>sporte y la seguridad vial. Para m</w:t>
      </w:r>
      <w:r w:rsidR="004A51C9">
        <w:t>á</w:t>
      </w:r>
      <w:r>
        <w:t>s informaci</w:t>
      </w:r>
      <w:r w:rsidR="004A51C9">
        <w:t>ó</w:t>
      </w:r>
      <w:r>
        <w:t xml:space="preserve">n véase </w:t>
      </w:r>
      <w:hyperlink r:id="rId10" w:history="1">
        <w:r w:rsidR="004A51C9">
          <w:rPr>
            <w:rStyle w:val="Hyperlink"/>
            <w:rFonts w:asciiTheme="majorBidi" w:hAnsiTheme="majorBidi" w:cstheme="majorBidi"/>
            <w:szCs w:val="24"/>
            <w:lang w:eastAsia="en-GB"/>
          </w:rPr>
          <w:t>http://www.itu.int/dms_pub/itu-r/oth/0A/06/R0A060000540001PDFE.pdf</w:t>
        </w:r>
      </w:hyperlink>
      <w:r w:rsidR="004A51C9" w:rsidRPr="00B51848">
        <w:rPr>
          <w:lang w:eastAsia="en-GB"/>
        </w:rPr>
        <w:t>.</w:t>
      </w:r>
    </w:p>
    <w:p w:rsidR="0071432C" w:rsidRDefault="00DF73AF" w:rsidP="00715B5C">
      <w:r>
        <w:t xml:space="preserve">Durante la primera reunión del GT 5D en este ciclo de estudios, </w:t>
      </w:r>
      <w:r w:rsidR="004A51C9">
        <w:t>tuvo lugar un</w:t>
      </w:r>
      <w:r>
        <w:t xml:space="preserve"> </w:t>
      </w:r>
      <w:r w:rsidR="00715B5C">
        <w:t>S</w:t>
      </w:r>
      <w:r>
        <w:t>eminario de medio d</w:t>
      </w:r>
      <w:r w:rsidR="004A51C9">
        <w:t>í</w:t>
      </w:r>
      <w:r>
        <w:t xml:space="preserve">a de duración sobre </w:t>
      </w:r>
      <w:r w:rsidR="004A51C9">
        <w:t xml:space="preserve">las </w:t>
      </w:r>
      <w:r>
        <w:t>investigaci</w:t>
      </w:r>
      <w:r w:rsidR="004A51C9">
        <w:t>o</w:t>
      </w:r>
      <w:r>
        <w:t>n</w:t>
      </w:r>
      <w:r w:rsidR="004A51C9">
        <w:t>es</w:t>
      </w:r>
      <w:r>
        <w:t xml:space="preserve"> </w:t>
      </w:r>
      <w:r w:rsidR="004A51C9">
        <w:t xml:space="preserve">llevadas a cabo referentes a </w:t>
      </w:r>
      <w:r>
        <w:t xml:space="preserve">la evolución tecnológica de las IMT. El </w:t>
      </w:r>
      <w:r w:rsidR="00715B5C">
        <w:t>S</w:t>
      </w:r>
      <w:r>
        <w:t xml:space="preserve">eminario puso en evidencia que se están produciendo desarrollos técnicos y de investigación </w:t>
      </w:r>
      <w:r w:rsidR="004A51C9">
        <w:t>e</w:t>
      </w:r>
      <w:r>
        <w:t>n</w:t>
      </w:r>
      <w:r w:rsidR="004A51C9">
        <w:t xml:space="preserve"> tecnologías de la</w:t>
      </w:r>
      <w:r w:rsidR="00715B5C">
        <w:t>s</w:t>
      </w:r>
      <w:r w:rsidR="004A51C9">
        <w:t xml:space="preserve"> IMT en áreas</w:t>
      </w:r>
      <w:r>
        <w:t xml:space="preserve"> tales como redes de alta densidad, comunicaciones m</w:t>
      </w:r>
      <w:r w:rsidR="00740060">
        <w:t>á</w:t>
      </w:r>
      <w:r>
        <w:t xml:space="preserve">quina a </w:t>
      </w:r>
      <w:r w:rsidR="00740060">
        <w:t>máquina</w:t>
      </w:r>
      <w:r>
        <w:t xml:space="preserve"> y dispositivo a dispositivo y conceptos basados en la nube. La reunión </w:t>
      </w:r>
      <w:r w:rsidR="004A51C9">
        <w:t>facilitó</w:t>
      </w:r>
      <w:r>
        <w:t xml:space="preserve"> una discusión abierta sobre temas e ideas entre los 200 participantes que apreciaron la iniciativa.</w:t>
      </w:r>
    </w:p>
    <w:p w:rsidR="0071432C" w:rsidRDefault="0071432C" w:rsidP="002F5F67">
      <w:pPr>
        <w:pStyle w:val="Heading2"/>
      </w:pPr>
      <w:r>
        <w:t>5.5</w:t>
      </w:r>
      <w:r>
        <w:tab/>
      </w:r>
      <w:r w:rsidR="000B7FF4">
        <w:t>Comisión de Estudio 6</w:t>
      </w:r>
    </w:p>
    <w:p w:rsidR="00DF73AF" w:rsidRDefault="00DF73AF" w:rsidP="002F5F67">
      <w:r>
        <w:t>La CE 6 aprob</w:t>
      </w:r>
      <w:r w:rsidR="004A51C9">
        <w:t>ó</w:t>
      </w:r>
      <w:r>
        <w:t xml:space="preserve"> </w:t>
      </w:r>
      <w:r w:rsidR="004A51C9">
        <w:t xml:space="preserve">Recomendaciones </w:t>
      </w:r>
      <w:r>
        <w:t>fundamentales sobre la producción de programas 3DTV y el intercambio internacional, sobre las interfaces digita</w:t>
      </w:r>
      <w:r w:rsidR="004A51C9">
        <w:t>l</w:t>
      </w:r>
      <w:r>
        <w:t>es empleadas en los estudios para la producción de programas 3DTV, sobre los requisitos generales de la 3DTV y sobre los métodos para evaluar la calidad de las imágenes 3DTV. También se aprobó una nueva Recomendación sobre los detalles técnicos para la pr</w:t>
      </w:r>
      <w:r w:rsidR="004A51C9">
        <w:t>o</w:t>
      </w:r>
      <w:r>
        <w:t>ducci</w:t>
      </w:r>
      <w:r w:rsidR="004A51C9">
        <w:t>ó</w:t>
      </w:r>
      <w:r>
        <w:t>n y el intercambio internacional de programas de TV</w:t>
      </w:r>
      <w:r w:rsidR="004A51C9">
        <w:t>E</w:t>
      </w:r>
      <w:r>
        <w:t xml:space="preserve">AD. La </w:t>
      </w:r>
      <w:r w:rsidR="004A51C9">
        <w:t xml:space="preserve">Comisión </w:t>
      </w:r>
      <w:r>
        <w:t xml:space="preserve">de Estudio </w:t>
      </w:r>
      <w:r w:rsidR="004A51C9">
        <w:t>t</w:t>
      </w:r>
      <w:r>
        <w:t>ambi</w:t>
      </w:r>
      <w:r w:rsidR="004A51C9">
        <w:t>é</w:t>
      </w:r>
      <w:r>
        <w:t>n elabor</w:t>
      </w:r>
      <w:r w:rsidR="004A51C9">
        <w:t xml:space="preserve">ó una </w:t>
      </w:r>
      <w:r>
        <w:t>Recomendaci</w:t>
      </w:r>
      <w:r w:rsidR="004A51C9">
        <w:t>ó</w:t>
      </w:r>
      <w:r>
        <w:t>n sobre criterios de planificación para la segunda generación de sistemas DTTB y satisfizo sus obligaciones respecto a proporcionar al GMTE 4-5-6-7 las características técnicas y los requisitos de espectro para el servicio de radiodifusión en conexión con los estudios llevados a cabo bajo los puntos 1.1 y 1.2 del orden del d</w:t>
      </w:r>
      <w:r w:rsidR="004A51C9">
        <w:t>í</w:t>
      </w:r>
      <w:r>
        <w:t>a de la CMR-15.</w:t>
      </w:r>
    </w:p>
    <w:p w:rsidR="0071432C" w:rsidRDefault="00DF73AF" w:rsidP="002F5F67">
      <w:r>
        <w:t>La CE 6</w:t>
      </w:r>
      <w:r w:rsidR="004A51C9">
        <w:t xml:space="preserve"> </w:t>
      </w:r>
      <w:r>
        <w:t>ta</w:t>
      </w:r>
      <w:r w:rsidR="004A51C9">
        <w:t>m</w:t>
      </w:r>
      <w:r>
        <w:t>bi</w:t>
      </w:r>
      <w:r w:rsidR="004A51C9">
        <w:t>é</w:t>
      </w:r>
      <w:r>
        <w:t>n celebr</w:t>
      </w:r>
      <w:r w:rsidR="004A51C9">
        <w:t>ó</w:t>
      </w:r>
      <w:r>
        <w:t xml:space="preserve"> </w:t>
      </w:r>
      <w:r w:rsidR="004A51C9">
        <w:t>«40 años de avances en la tel</w:t>
      </w:r>
      <w:r>
        <w:t>evisi</w:t>
      </w:r>
      <w:r w:rsidR="004A51C9">
        <w:t>ó</w:t>
      </w:r>
      <w:r>
        <w:t>n digital</w:t>
      </w:r>
      <w:r w:rsidR="004A51C9">
        <w:t>»</w:t>
      </w:r>
      <w:r>
        <w:t xml:space="preserve"> con una ceremonia </w:t>
      </w:r>
      <w:r w:rsidR="004A51C9">
        <w:t xml:space="preserve">que tuvo lugar </w:t>
      </w:r>
      <w:r>
        <w:t xml:space="preserve">el 30 de octubre de 2012 en la que </w:t>
      </w:r>
      <w:r w:rsidR="004A51C9">
        <w:t>se concedió al</w:t>
      </w:r>
      <w:r>
        <w:t xml:space="preserve"> UIT-R un</w:t>
      </w:r>
      <w:r w:rsidR="004A51C9">
        <w:t>a placa conmemorativa de esto</w:t>
      </w:r>
      <w:r>
        <w:t xml:space="preserve">s logros. En dicha ceremonia, </w:t>
      </w:r>
      <w:r w:rsidR="004A51C9">
        <w:t>se felicitó al</w:t>
      </w:r>
      <w:r>
        <w:t xml:space="preserve"> </w:t>
      </w:r>
      <w:r w:rsidR="00715B5C">
        <w:t>P</w:t>
      </w:r>
      <w:r>
        <w:t xml:space="preserve">rofesor Krivocheev, </w:t>
      </w:r>
      <w:r w:rsidR="00715B5C">
        <w:t>P</w:t>
      </w:r>
      <w:r>
        <w:t>residente Honorario de la CE 6, por su 90º cumpleaños y su continuo compromiso con todos estos logros de la CE 6.</w:t>
      </w:r>
    </w:p>
    <w:p w:rsidR="0071432C" w:rsidRDefault="0071432C" w:rsidP="002F5F67">
      <w:pPr>
        <w:pStyle w:val="Heading2"/>
      </w:pPr>
      <w:r>
        <w:t>5.6</w:t>
      </w:r>
      <w:r>
        <w:tab/>
      </w:r>
      <w:r w:rsidR="000B7FF4" w:rsidRPr="000B7FF4">
        <w:t>Comisi</w:t>
      </w:r>
      <w:r w:rsidR="000B7FF4">
        <w:t>ón de Estudio 7</w:t>
      </w:r>
    </w:p>
    <w:p w:rsidR="0071432C" w:rsidRDefault="00DF73AF" w:rsidP="002F5F67">
      <w:r w:rsidRPr="00DF73AF">
        <w:t>Los días 20 y 21 de septiembre de 2012 se celebr</w:t>
      </w:r>
      <w:r w:rsidR="004A51C9">
        <w:t>ó</w:t>
      </w:r>
      <w:r w:rsidRPr="00DF73AF">
        <w:t xml:space="preserve"> en </w:t>
      </w:r>
      <w:r w:rsidR="004A51C9" w:rsidRPr="00DF73AF">
        <w:t>Manta</w:t>
      </w:r>
      <w:r w:rsidRPr="00DF73AF">
        <w:t xml:space="preserve">, Ecuador, un </w:t>
      </w:r>
      <w:r w:rsidR="004A51C9" w:rsidRPr="00DF73AF">
        <w:t xml:space="preserve">Seminario </w:t>
      </w:r>
      <w:r w:rsidRPr="00DF73AF">
        <w:t>de dos días de duración para la Reg</w:t>
      </w:r>
      <w:r w:rsidR="004A51C9">
        <w:t>ió</w:t>
      </w:r>
      <w:r w:rsidRPr="00DF73AF">
        <w:t>n de las Am</w:t>
      </w:r>
      <w:r w:rsidR="004A51C9">
        <w:t>é</w:t>
      </w:r>
      <w:r w:rsidRPr="00DF73AF">
        <w:t xml:space="preserve">ricas sobre </w:t>
      </w:r>
      <w:r w:rsidR="004A51C9">
        <w:t>«</w:t>
      </w:r>
      <w:r w:rsidRPr="00DF73AF">
        <w:t xml:space="preserve">Servicios científicos: </w:t>
      </w:r>
      <w:r w:rsidR="00291EB9" w:rsidRPr="00DF73AF">
        <w:t xml:space="preserve">Implicaciones </w:t>
      </w:r>
      <w:r w:rsidRPr="00DF73AF">
        <w:t>reg</w:t>
      </w:r>
      <w:r w:rsidR="00291EB9">
        <w:t>l</w:t>
      </w:r>
      <w:r w:rsidRPr="00DF73AF">
        <w:t>amentarias, técnicas y pr</w:t>
      </w:r>
      <w:r w:rsidR="00291EB9">
        <w:t>á</w:t>
      </w:r>
      <w:r w:rsidRPr="00DF73AF">
        <w:t>cticas</w:t>
      </w:r>
      <w:r w:rsidR="004A51C9">
        <w:t>»</w:t>
      </w:r>
      <w:r w:rsidRPr="00DF73AF">
        <w:t>. Este seminario de la UIT</w:t>
      </w:r>
      <w:r w:rsidR="00740060">
        <w:t xml:space="preserve"> </w:t>
      </w:r>
      <w:r w:rsidRPr="00DF73AF">
        <w:t>proporci</w:t>
      </w:r>
      <w:r w:rsidR="00291EB9">
        <w:t>o</w:t>
      </w:r>
      <w:r w:rsidRPr="00DF73AF">
        <w:t>n</w:t>
      </w:r>
      <w:r w:rsidR="00291EB9">
        <w:t>ó a los participantes u</w:t>
      </w:r>
      <w:r w:rsidRPr="00DF73AF">
        <w:t>n</w:t>
      </w:r>
      <w:r w:rsidR="00291EB9">
        <w:t>a</w:t>
      </w:r>
      <w:r w:rsidRPr="00DF73AF">
        <w:t xml:space="preserve"> informaci</w:t>
      </w:r>
      <w:r w:rsidR="00291EB9">
        <w:t>ó</w:t>
      </w:r>
      <w:r w:rsidRPr="00DF73AF">
        <w:t>n completa y general sobre el desarrollo de los ser</w:t>
      </w:r>
      <w:r w:rsidR="00291EB9">
        <w:t>v</w:t>
      </w:r>
      <w:r w:rsidRPr="00DF73AF">
        <w:t>icios cient</w:t>
      </w:r>
      <w:r w:rsidR="00291EB9">
        <w:t>í</w:t>
      </w:r>
      <w:r w:rsidRPr="00DF73AF">
        <w:t>ficos, centrándose en los estudios m</w:t>
      </w:r>
      <w:r w:rsidR="00291EB9">
        <w:t>ás recientes llevados</w:t>
      </w:r>
      <w:r w:rsidRPr="00DF73AF">
        <w:t xml:space="preserve"> a cabo por la CE 7. En el evento participaron unos 180 delegados. Para m</w:t>
      </w:r>
      <w:r w:rsidR="00291EB9">
        <w:t>á</w:t>
      </w:r>
      <w:r w:rsidRPr="00DF73AF">
        <w:t>s informaci</w:t>
      </w:r>
      <w:r w:rsidR="00291EB9">
        <w:t>ó</w:t>
      </w:r>
      <w:r w:rsidRPr="00DF73AF">
        <w:t>n cons</w:t>
      </w:r>
      <w:r w:rsidR="00291EB9">
        <w:t>ú</w:t>
      </w:r>
      <w:r w:rsidRPr="00DF73AF">
        <w:t>ltese</w:t>
      </w:r>
      <w:r w:rsidR="00291EB9">
        <w:t xml:space="preserve"> </w:t>
      </w:r>
      <w:hyperlink r:id="rId11" w:history="1">
        <w:r w:rsidR="00291EB9" w:rsidRPr="00715B5C">
          <w:rPr>
            <w:rStyle w:val="Hyperlink"/>
            <w:szCs w:val="24"/>
          </w:rPr>
          <w:t>http://www.itu.int/ITU-R/go/itu-sem-americas</w:t>
        </w:r>
      </w:hyperlink>
      <w:r w:rsidR="00291EB9" w:rsidRPr="00715B5C">
        <w:rPr>
          <w:szCs w:val="24"/>
        </w:rPr>
        <w:t>.</w:t>
      </w:r>
    </w:p>
    <w:p w:rsidR="0071432C" w:rsidRDefault="0071432C" w:rsidP="002F5F67">
      <w:pPr>
        <w:pStyle w:val="Heading1"/>
      </w:pPr>
      <w:r>
        <w:t>6</w:t>
      </w:r>
      <w:r>
        <w:tab/>
        <w:t>Coordinación y colaboración con el UIT-D y el UIT-T y con otros programas</w:t>
      </w:r>
    </w:p>
    <w:p w:rsidR="0071432C" w:rsidRDefault="0071432C" w:rsidP="002F5F67">
      <w:r>
        <w:t>Las actividades intersectoriales han sido muy evidentes durante el periodo, centrándose especialmente en los temas prioritarios del cambio climático, las comunicaciones de emergencia y la accesibilidad.</w:t>
      </w:r>
    </w:p>
    <w:p w:rsidR="0071432C" w:rsidRDefault="0071432C" w:rsidP="002F5F67">
      <w:r w:rsidRPr="0092766A">
        <w:rPr>
          <w:i/>
          <w:iCs/>
        </w:rPr>
        <w:t>Con respecto al UIT-D</w:t>
      </w:r>
      <w:r>
        <w:t xml:space="preserve">: La BR </w:t>
      </w:r>
      <w:r w:rsidR="00740060">
        <w:t>continúa</w:t>
      </w:r>
      <w:r>
        <w:t xml:space="preserve"> contribuyendo en los diversos Foros de Desarrollo de la BDT. Estos eventos ofrecen la oportunidad de presentar las actividades de normalización de la BR y, a su vez, demostrar su contribución a la Resolución 123 (Rev. </w:t>
      </w:r>
      <w:r w:rsidR="00740060">
        <w:t>Guadalajara</w:t>
      </w:r>
      <w:r>
        <w:t>, 20</w:t>
      </w:r>
      <w:r w:rsidR="00740060">
        <w:t>10</w:t>
      </w:r>
      <w:r>
        <w:t>) para reducir la disparidad en materia de normalización.</w:t>
      </w:r>
    </w:p>
    <w:p w:rsidR="0071432C" w:rsidRDefault="0071432C" w:rsidP="002F5F67">
      <w:r>
        <w:lastRenderedPageBreak/>
        <w:t>Los expertos de la CE 1 del UIT-R seguirán colaborando, si así se solicita, en el desarrollo de la aplicación de software SMS4DC, de conformidad con la Resolución UIT-R 11-4.</w:t>
      </w:r>
    </w:p>
    <w:p w:rsidR="0071432C" w:rsidRDefault="0071432C" w:rsidP="002F5F67">
      <w:r>
        <w:t>En relación con las actividades de las Comisiones de Estudio del UIT-D:</w:t>
      </w:r>
    </w:p>
    <w:p w:rsidR="0071432C" w:rsidRDefault="0071432C" w:rsidP="002F5F67">
      <w:pPr>
        <w:pStyle w:val="enumlev1"/>
      </w:pPr>
      <w:r>
        <w:t>•</w:t>
      </w:r>
      <w:r>
        <w:tab/>
        <w:t xml:space="preserve">La BR ha contribuido a la reunión del Grupo de Relator 9-3/2 </w:t>
      </w:r>
      <w:r w:rsidR="00332AA0">
        <w:t>abordando los estudios del UIT-R</w:t>
      </w:r>
      <w:r>
        <w:t xml:space="preserve"> de especial interés para los países en desarrollo.</w:t>
      </w:r>
    </w:p>
    <w:p w:rsidR="0071432C" w:rsidRDefault="0071432C" w:rsidP="002F5F67">
      <w:pPr>
        <w:pStyle w:val="enumlev1"/>
      </w:pPr>
      <w:r>
        <w:t>•</w:t>
      </w:r>
      <w:r>
        <w:tab/>
      </w:r>
      <w:r w:rsidR="00332AA0">
        <w:t>La BR también apoyó la elaboración de un cuestionario como parte de las actividades del UIT</w:t>
      </w:r>
      <w:r w:rsidR="00332AA0">
        <w:noBreakHyphen/>
        <w:t>D sobre El ojo en las TIC.</w:t>
      </w:r>
    </w:p>
    <w:p w:rsidR="0071432C" w:rsidRDefault="0071432C" w:rsidP="002F5F67">
      <w:pPr>
        <w:pStyle w:val="enumlev1"/>
      </w:pPr>
      <w:r>
        <w:t>•</w:t>
      </w:r>
      <w:r>
        <w:tab/>
        <w:t>El GT 7C del UIT-R ha presentado información al Grupo de Relator sobre la Cuestión 22/2 del UIT-D sobre la utilización de la teledetección por ondas radioeléctricas en la predicción, detección y reducción de los efectos de las catástrofes.</w:t>
      </w:r>
    </w:p>
    <w:p w:rsidR="0071432C" w:rsidRDefault="0071432C" w:rsidP="00715B5C">
      <w:pPr>
        <w:pStyle w:val="enumlev1"/>
      </w:pPr>
      <w:r>
        <w:t>•</w:t>
      </w:r>
      <w:r>
        <w:tab/>
        <w:t>La CE 1 del UIT-R sigue colaborando activamente con la Comisión de Estudio 2 del UIT-D en el análisis de los resultados de la nueva fase de estudios encargados por la Resolución</w:t>
      </w:r>
      <w:r w:rsidR="00715B5C">
        <w:t> </w:t>
      </w:r>
      <w:r>
        <w:t xml:space="preserve">9 </w:t>
      </w:r>
      <w:r w:rsidR="00332AA0">
        <w:t>(Rev. Hyderabad, 2010)</w:t>
      </w:r>
      <w:r w:rsidR="00715B5C" w:rsidRPr="00715B5C">
        <w:t xml:space="preserve"> </w:t>
      </w:r>
      <w:r w:rsidR="00715B5C">
        <w:t>del UIT-D</w:t>
      </w:r>
      <w:r w:rsidR="00332AA0">
        <w:t xml:space="preserve">. La BR hizo una presentación en la reunión de septiembre de 2012 del </w:t>
      </w:r>
      <w:r w:rsidR="002F5F67">
        <w:t>Grupo</w:t>
      </w:r>
      <w:r w:rsidR="00332AA0">
        <w:t xml:space="preserve"> Mixto UIT-D/UIT-R sobre los resultados de la AR-12 y la CMR-12 y sobre las actividades en curso de la CE 1 del UIT-R. Además, el contacto del </w:t>
      </w:r>
      <w:r>
        <w:t>GT</w:t>
      </w:r>
      <w:r w:rsidR="00715B5C">
        <w:t> </w:t>
      </w:r>
      <w:r>
        <w:t>1C del UIT-R continúa facilitando información técnica sobre la comprobación técnica del espectro con el fin de ayudar en el estudio de la Cuestión UIT-D 23/1 sobre estrategias y políticas relativas a la exposición de las personas a los campos electromagnéticos.</w:t>
      </w:r>
    </w:p>
    <w:p w:rsidR="0071432C" w:rsidRDefault="0071432C" w:rsidP="002F5F67">
      <w:pPr>
        <w:pStyle w:val="enumlev1"/>
      </w:pPr>
      <w:r>
        <w:t>•</w:t>
      </w:r>
      <w:r>
        <w:tab/>
        <w:t>El Informe referente a la transición de la radiodifusión analógica a la digital, Informe UIT</w:t>
      </w:r>
      <w:r>
        <w:noBreakHyphen/>
        <w:t xml:space="preserve">R BT.2140, sigue actualizándose con la información recibida relativa a los distintos países. </w:t>
      </w:r>
      <w:r w:rsidR="00332AA0">
        <w:t>Continúan los trabajos relativos a</w:t>
      </w:r>
      <w:r>
        <w:t>l Manual sobre televisión digital (TVD) y se espera que esté finalizado este año. Este trabajo se considera especialmente importante para el UIT-D.</w:t>
      </w:r>
    </w:p>
    <w:p w:rsidR="0071432C" w:rsidRDefault="0071432C" w:rsidP="002F5F67">
      <w:pPr>
        <w:pStyle w:val="enumlev1"/>
      </w:pPr>
      <w:r>
        <w:t>•</w:t>
      </w:r>
      <w:r>
        <w:tab/>
        <w:t>El GT 4</w:t>
      </w:r>
      <w:r w:rsidR="00332AA0">
        <w:t>B</w:t>
      </w:r>
      <w:r>
        <w:t xml:space="preserve"> del UIT-R proporcionó información a la CE 2 del UIT-D sobre </w:t>
      </w:r>
      <w:r w:rsidR="00332AA0">
        <w:t>tecnologías de acceso a la banda ancha del satélite y sobre la componente de satélite de las IMT</w:t>
      </w:r>
      <w:r>
        <w:t>.</w:t>
      </w:r>
    </w:p>
    <w:p w:rsidR="0071432C" w:rsidRDefault="0071432C" w:rsidP="002F5F67">
      <w:r w:rsidRPr="008A1CE3">
        <w:rPr>
          <w:i/>
          <w:iCs/>
        </w:rPr>
        <w:t>Con respecto al UIT-T</w:t>
      </w:r>
      <w:r>
        <w:t>: Además del cambio climático y las comunicaciones de emergencia, los temas de interés tanto para el UIT-R como para el UIT-T son los siguientes:</w:t>
      </w:r>
    </w:p>
    <w:p w:rsidR="0071432C" w:rsidRDefault="0071432C" w:rsidP="002F5F67">
      <w:pPr>
        <w:pStyle w:val="enumlev1"/>
      </w:pPr>
      <w:r>
        <w:t>•</w:t>
      </w:r>
      <w:r>
        <w:tab/>
        <w:t>La Resolución 72 del UIT-T sobre los efectos de la exposición de las personas a las frecuencias radioeléctricas, cuyos estudios realiza la CE 5 del UIT-T y han sido seguidos</w:t>
      </w:r>
      <w:r w:rsidR="00332AA0">
        <w:t>, junto con los estudios del UIT-D en respuesta a la Cuestión UIT-D 23/1 (véase más arriba),</w:t>
      </w:r>
      <w:r>
        <w:t xml:space="preserve"> con gran interés por la CE 1 del UIT-R en lo que respecta a la comprobación técnica y la medición de los campos electromagnéticos.</w:t>
      </w:r>
    </w:p>
    <w:p w:rsidR="0071432C" w:rsidRDefault="0071432C" w:rsidP="002F5F67">
      <w:pPr>
        <w:pStyle w:val="enumlev1"/>
      </w:pPr>
      <w:r>
        <w:t>•</w:t>
      </w:r>
      <w:r>
        <w:tab/>
      </w:r>
      <w:r w:rsidR="00332AA0">
        <w:t>Tras</w:t>
      </w:r>
      <w:r>
        <w:t xml:space="preserve"> la aprobación de la Recomendación UIT-R SM.1879</w:t>
      </w:r>
      <w:r w:rsidR="00332AA0">
        <w:t>-1</w:t>
      </w:r>
      <w:r>
        <w:t xml:space="preserve"> y de los Informes UIT-R SM.2157, SM.2158</w:t>
      </w:r>
      <w:r w:rsidR="00332AA0">
        <w:t>-2</w:t>
      </w:r>
      <w:r>
        <w:t xml:space="preserve"> y SM.2212</w:t>
      </w:r>
      <w:r w:rsidR="00332AA0">
        <w:t>-1</w:t>
      </w:r>
      <w:r>
        <w:t>, relativos a la repercusión de los sistemas PLT sobre los servicios de radiocomunicaciones en las bandas de frecuencia de interés</w:t>
      </w:r>
      <w:r w:rsidR="00BA0A1F">
        <w:t>, la CE 1 del UIT</w:t>
      </w:r>
      <w:r w:rsidR="00BA0A1F">
        <w:noBreakHyphen/>
        <w:t>R continúa su</w:t>
      </w:r>
      <w:r>
        <w:t xml:space="preserve"> estrecha </w:t>
      </w:r>
      <w:r w:rsidR="00BA0A1F">
        <w:t xml:space="preserve">y fructífera </w:t>
      </w:r>
      <w:r>
        <w:t xml:space="preserve">cooperación con la CE 15 del UIT-T para supervisar los desarrollos de los sistemas PLT y otras actividades de normalización relacionadas, </w:t>
      </w:r>
      <w:r w:rsidR="00BA0A1F">
        <w:t>relativas a la coexistencia de las telecomunicaciones alámbricas con los sistemas de radiocomunicaciones, especialmente en lo que respecta a las metodologías para analizar las estrechas interacciones en las bandas de frecuencia de hasta 3 GHz entre los sistemas alámbricos e inalámbricos que probablemente se utilizarán en los edificios y los hogares</w:t>
      </w:r>
      <w:r>
        <w:t>.</w:t>
      </w:r>
    </w:p>
    <w:p w:rsidR="0071432C" w:rsidRDefault="0071432C" w:rsidP="002F5F67">
      <w:pPr>
        <w:pStyle w:val="enumlev1"/>
      </w:pPr>
      <w:r>
        <w:t>•</w:t>
      </w:r>
      <w:r>
        <w:tab/>
        <w:t>Las actividades de la CE 13 del UIT-T sobre la normalización de las redes futuras y las redes de la próxima generación, así como de la gestión de la movilidad y la convergencia fijo</w:t>
      </w:r>
      <w:r>
        <w:noBreakHyphen/>
        <w:t>móvil, teniendo presentes los estudios que llevan a cabo las Comisiones de Estudio 4 y 5 del UIT-R.</w:t>
      </w:r>
    </w:p>
    <w:p w:rsidR="0071432C" w:rsidRDefault="0071432C" w:rsidP="00715B5C">
      <w:pPr>
        <w:pStyle w:val="enumlev1"/>
      </w:pPr>
      <w:r>
        <w:lastRenderedPageBreak/>
        <w:t>•</w:t>
      </w:r>
      <w:r>
        <w:tab/>
      </w:r>
      <w:r w:rsidR="00BA0A1F">
        <w:t xml:space="preserve">Las actividades referentes a </w:t>
      </w:r>
      <w:r w:rsidR="00715B5C">
        <w:t>s</w:t>
      </w:r>
      <w:r w:rsidR="00BA0A1F">
        <w:t>istemas de transporte inteligentes siguen llevándose a cabo por la CE</w:t>
      </w:r>
      <w:r w:rsidR="002F5F67">
        <w:t> </w:t>
      </w:r>
      <w:r w:rsidR="00BA0A1F">
        <w:t>5 del UIT-R y por el UIT-T.</w:t>
      </w:r>
    </w:p>
    <w:p w:rsidR="0071432C" w:rsidRDefault="0071432C" w:rsidP="00807C71">
      <w:pPr>
        <w:pStyle w:val="enumlev1"/>
      </w:pPr>
      <w:r>
        <w:t>•</w:t>
      </w:r>
      <w:r>
        <w:tab/>
        <w:t xml:space="preserve">Los debates colaborativos que han mantenido recientemente el UIT-T, la ISO y la CEI en relación con los DPI (derechos de propiedad intelectual) han comprendido </w:t>
      </w:r>
      <w:r w:rsidR="00BA0A1F">
        <w:t>el examen de las posibles áreas de mejora de la política común de patentes para la UIT-T/UIT-R/ISO/CE</w:t>
      </w:r>
      <w:r w:rsidR="00715B5C">
        <w:t>I</w:t>
      </w:r>
      <w:r w:rsidR="00BA0A1F">
        <w:t xml:space="preserve"> y las </w:t>
      </w:r>
      <w:r w:rsidR="00715B5C">
        <w:t>d</w:t>
      </w:r>
      <w:r w:rsidR="00BA0A1F">
        <w:t xml:space="preserve">irectrices correspondientes relativas a la disponibilidad </w:t>
      </w:r>
      <w:r w:rsidR="00807C71">
        <w:t>de c</w:t>
      </w:r>
      <w:r w:rsidR="002F5F67">
        <w:t>ompensaciones en un contexto razonable y no discriminatorio (RAND), y el significado de «razonable» en RAND.</w:t>
      </w:r>
    </w:p>
    <w:p w:rsidR="0071432C" w:rsidRDefault="0071432C" w:rsidP="002F5F67">
      <w:pPr>
        <w:pStyle w:val="enumlev1"/>
      </w:pPr>
      <w:r>
        <w:t>•</w:t>
      </w:r>
      <w:r>
        <w:tab/>
        <w:t>Actividades en el Grupo Temático del UIT-T sobre accesibilidad a los medios audiovisuales (FGAVA) en el marco de las actividades de la CE 16 del UIT-T y las actividades</w:t>
      </w:r>
      <w:r w:rsidRPr="00FB5CDE">
        <w:t xml:space="preserve"> </w:t>
      </w:r>
      <w:r>
        <w:t>conjuntas de coordinación del UIT-T sobre accesibilidad y factores humanos (JCA-AHF), que abordan nuevas normas técnicas para ayuda a las personas con discapacidades;</w:t>
      </w:r>
    </w:p>
    <w:p w:rsidR="0071432C" w:rsidRDefault="0071432C" w:rsidP="002F5F67">
      <w:pPr>
        <w:pStyle w:val="enumlev1"/>
      </w:pPr>
      <w:r>
        <w:t>•</w:t>
      </w:r>
      <w:r>
        <w:tab/>
        <w:t>La BR contribuyó a los estudios de la CE 5 del UIT-T sobre el cambio climático y también elaboro un folleto titulado «Radiocomunicaciones y cambio climático» que proporciona una visión general sobre la utilización de los sistemas de radiocomunicaciones para supervisar las diversas manifestaciones del cambio climático y su influencia, así como la aplicación de las TIC y las radiocomunicaciones como una solución para contribuir a la reducción global del consumo energético.</w:t>
      </w:r>
    </w:p>
    <w:p w:rsidR="0071432C" w:rsidRDefault="0071432C" w:rsidP="002F5F67">
      <w:r>
        <w:t>Sigue siendo necesaria una estrecha coordinación sobre diversos temas que estudia el UIT-T que tienen que ver con las radiocomunicaciones, a efectos de reducir así las posibilidades de solapamiento, duplicación y conflicto entre los trabajos de los dos Sectores.</w:t>
      </w:r>
    </w:p>
    <w:p w:rsidR="0071432C" w:rsidRDefault="0071432C" w:rsidP="002F5F67">
      <w:r>
        <w:rPr>
          <w:i/>
          <w:iCs/>
        </w:rPr>
        <w:t>En lo que respecta a otras organizaciones</w:t>
      </w:r>
      <w:r>
        <w:t>, ha continuado la colaboración activa entre las Comisiones de Estudio del UIT-R y otras organizaciones, haciendo la correspondiente referencia, cuando ha sido necesario, a la Resolución UIT R 9-3. Los representantes del UIT-R y la BR siguen participando activamente en el GSC (</w:t>
      </w:r>
      <w:r>
        <w:rPr>
          <w:i/>
          <w:iCs/>
        </w:rPr>
        <w:t>Global Standards Collaboration</w:t>
      </w:r>
      <w:r>
        <w:t>). También se ha consolidado la coordinación con los organismos y agencias de las Naciones Unidas en diversos campos, como, por ejemplo, la meteorología espacial, el cambio climático y la supervisión del clima (OMM, CMNUCC, Foro Mundial Humanitario, GEO, SFCG, NASA, ESA, JAXA) y la exposición a campos electromagnéticos (OMS).</w:t>
      </w:r>
    </w:p>
    <w:p w:rsidR="00A50751" w:rsidRDefault="00A50751" w:rsidP="002F5F67">
      <w:pPr>
        <w:pStyle w:val="Heading1"/>
      </w:pPr>
      <w:r>
        <w:t>7</w:t>
      </w:r>
      <w:r>
        <w:tab/>
        <w:t>Otras actividades intersectoriales</w:t>
      </w:r>
    </w:p>
    <w:p w:rsidR="00A50751" w:rsidRDefault="00A50751" w:rsidP="002F5F67">
      <w:r>
        <w:t>La BR ha participado activamente en otras actividades intersectoriales referentes a los trabajos de las Comisiones de Estudio del UIT-R, a saber:</w:t>
      </w:r>
    </w:p>
    <w:p w:rsidR="00A50751" w:rsidRDefault="00A50751" w:rsidP="002F5F67">
      <w:pPr>
        <w:pStyle w:val="enumlev1"/>
      </w:pPr>
      <w:r>
        <w:t>•</w:t>
      </w:r>
      <w:r>
        <w:tab/>
      </w:r>
      <w:r w:rsidRPr="00832F9A">
        <w:rPr>
          <w:i/>
          <w:iCs/>
        </w:rPr>
        <w:t>Cumbre Mundial sobre la Sociedad de la Información</w:t>
      </w:r>
      <w:r>
        <w:t>: Se han llevado a cabo varias actividades de conformidad con la Resolución UIT-R 61 (Contribución del UIT-R a la puesta en práctica de los resultados de la CMSI), en particular para cubrir las Líneas de Acción C2 y C6. Además de la participación en el Grupo Especial CMSI de la UIT, estas actividades incluyen la provisión GT</w:t>
      </w:r>
      <w:r>
        <w:noBreakHyphen/>
        <w:t xml:space="preserve">CMSI del Consejo con resúmenes de las actividades del UIT-R relativas a la aplicación de los resultados de la CMSI y la Resolución 140 (Rev. Guadalajara, 2010). También cabe destacar la participación </w:t>
      </w:r>
      <w:r w:rsidR="002F5F67">
        <w:t>de la BR en la preparación del</w:t>
      </w:r>
      <w:r>
        <w:t xml:space="preserve"> </w:t>
      </w:r>
      <w:hyperlink r:id="rId12" w:history="1">
        <w:r>
          <w:rPr>
            <w:rStyle w:val="Hyperlink"/>
            <w:szCs w:val="24"/>
          </w:rPr>
          <w:t>Foro de la CMSI</w:t>
        </w:r>
      </w:hyperlink>
      <w:r>
        <w:t xml:space="preserve"> (Ginebra, 1</w:t>
      </w:r>
      <w:r w:rsidR="002F5F67">
        <w:t>3</w:t>
      </w:r>
      <w:r>
        <w:t>-1</w:t>
      </w:r>
      <w:r w:rsidR="002F5F67">
        <w:t>7</w:t>
      </w:r>
      <w:r>
        <w:t xml:space="preserve"> de mayo de 201</w:t>
      </w:r>
      <w:r w:rsidR="002F5F67">
        <w:t>3</w:t>
      </w:r>
      <w:r>
        <w:t>), especialmente para tratar los temas referente a la Línea de Acción C2, como «</w:t>
      </w:r>
      <w:r>
        <w:rPr>
          <w:szCs w:val="24"/>
        </w:rPr>
        <w:t>Innovative Technologies and New Opportunities providing Access to ICT: Transition from Analogue to Digital Terrestrial TV and Digital Dividend</w:t>
      </w:r>
      <w:r>
        <w:t>» y la Línea de Acción C7 sobre ciberentorno con una presentación conjunta UIT/OMM relativa a la supervisión del cambio climático y a la reducción de los riesgos de las catástrofes.</w:t>
      </w:r>
    </w:p>
    <w:p w:rsidR="00A50751" w:rsidRDefault="00A50751" w:rsidP="00715B5C">
      <w:pPr>
        <w:pStyle w:val="enumlev1"/>
      </w:pPr>
      <w:r>
        <w:lastRenderedPageBreak/>
        <w:t>•</w:t>
      </w:r>
      <w:r>
        <w:tab/>
      </w:r>
      <w:r w:rsidRPr="00832F9A">
        <w:rPr>
          <w:i/>
          <w:iCs/>
        </w:rPr>
        <w:t xml:space="preserve">Cambio </w:t>
      </w:r>
      <w:r>
        <w:rPr>
          <w:i/>
          <w:iCs/>
        </w:rPr>
        <w:t>climático</w:t>
      </w:r>
      <w:r w:rsidRPr="00832F9A">
        <w:rPr>
          <w:i/>
          <w:iCs/>
        </w:rPr>
        <w:t xml:space="preserve"> y comunicaciones de emergencia</w:t>
      </w:r>
      <w:r>
        <w:t>: Las actividades intersectoriales siguen siendo coordinadas por el Grupo Especial sobre Cambio Climático y Telecomunicaciones de Emergencia de la UIT relativo a la aplicación de la Resolución 136 (Rev. Guadalajara, 2010), en el que la BR toma parte activamente, incluso en relación con la participación de la UIT en la Conferencia de las Naciones Unidas sobre Desarrollo Sostenible (</w:t>
      </w:r>
      <w:hyperlink r:id="rId13" w:history="1">
        <w:r>
          <w:rPr>
            <w:rStyle w:val="Hyperlink"/>
            <w:szCs w:val="24"/>
          </w:rPr>
          <w:t>Rio+20</w:t>
        </w:r>
      </w:hyperlink>
      <w:r>
        <w:t xml:space="preserve">). La AR-12 adoptó la Resolución UIT-R 60 (Reducción del consumo de energía para la protección del medio ambiente y la reducción del cambio climático mediante la utilización de tecnologías y sistemas de TIC/radiocomunicaciones), que </w:t>
      </w:r>
      <w:r w:rsidR="002F5F67">
        <w:t>está dando</w:t>
      </w:r>
      <w:r>
        <w:t xml:space="preserve"> lugar a actividades adicionales. El UIT-R está llevando a cabo actividades vinculadas a la aplicación de las Resoluciones UIT-R 53</w:t>
      </w:r>
      <w:r w:rsidR="002F5F67">
        <w:t>-1</w:t>
      </w:r>
      <w:r>
        <w:t xml:space="preserve"> (Utilización de las radiocomunicaciones para la respuesta y las operaciones de socoro en caso de catástrofe) y 55</w:t>
      </w:r>
      <w:r w:rsidR="002F5F67">
        <w:t>-1</w:t>
      </w:r>
      <w:r>
        <w:t xml:space="preserve"> (Estudios de la</w:t>
      </w:r>
      <w:r w:rsidR="00715B5C">
        <w:t> </w:t>
      </w:r>
      <w:r>
        <w:t>UIT sobre predicción, detección, mitigación de los efectos de las catástrofes y operaciones de socorro).</w:t>
      </w:r>
    </w:p>
    <w:p w:rsidR="00A50751" w:rsidRDefault="00A50751" w:rsidP="002F5F67">
      <w:pPr>
        <w:pStyle w:val="enumlev1"/>
      </w:pPr>
      <w:r>
        <w:t>•</w:t>
      </w:r>
      <w:r>
        <w:tab/>
      </w:r>
      <w:r w:rsidRPr="00832F9A">
        <w:rPr>
          <w:i/>
          <w:iCs/>
        </w:rPr>
        <w:t>Comisión de Banda Ancha</w:t>
      </w:r>
      <w:r>
        <w:t xml:space="preserve">: El Grupo Intersectorial de la Comisión de Banda Ancha de la UIT se estableció para dar apoyo a las actividades de la </w:t>
      </w:r>
      <w:hyperlink r:id="rId14" w:history="1">
        <w:r>
          <w:rPr>
            <w:rStyle w:val="Hyperlink"/>
            <w:szCs w:val="24"/>
          </w:rPr>
          <w:t>Comisión de Banda Ancha</w:t>
        </w:r>
      </w:hyperlink>
      <w:r>
        <w:t xml:space="preserve">. El cometido de las radiocomunicaciones, </w:t>
      </w:r>
      <w:r w:rsidR="002F5F67">
        <w:t>particularmente</w:t>
      </w:r>
      <w:r>
        <w:t xml:space="preserve"> la banda ancha móvil, incluidos los sistemas IMT, se ha destacado como ejemplo de sistemas TIC que pueden proporcionar acceso oportuno y eficaz a las aplicaciones de banda ancha.</w:t>
      </w:r>
    </w:p>
    <w:p w:rsidR="00A50751" w:rsidRDefault="00A50751" w:rsidP="002F5F67">
      <w:pPr>
        <w:pStyle w:val="enumlev1"/>
      </w:pPr>
      <w:r>
        <w:t>•</w:t>
      </w:r>
      <w:r>
        <w:tab/>
      </w:r>
      <w:r w:rsidRPr="00832F9A">
        <w:rPr>
          <w:i/>
          <w:iCs/>
        </w:rPr>
        <w:t>Preparación de las reuniones de la UIT</w:t>
      </w:r>
      <w:r>
        <w:t xml:space="preserve">: La BR ha participado en las actividades referentes a los </w:t>
      </w:r>
      <w:r w:rsidR="002F5F67">
        <w:t xml:space="preserve">próximos </w:t>
      </w:r>
      <w:r>
        <w:t>eventos, conferencias y reuniones de la UIT, incluido Telecom World 201</w:t>
      </w:r>
      <w:r w:rsidR="002F5F67">
        <w:t>3</w:t>
      </w:r>
      <w:r>
        <w:t>, FMPT-13</w:t>
      </w:r>
      <w:r w:rsidR="002F5F67">
        <w:t>, CMDT-14 y PP-14</w:t>
      </w:r>
      <w:r>
        <w:t>.</w:t>
      </w:r>
    </w:p>
    <w:p w:rsidR="00A50751" w:rsidRDefault="00A50751" w:rsidP="002F5F67">
      <w:pPr>
        <w:pStyle w:val="Reasons"/>
        <w:rPr>
          <w:lang w:val="es-ES_tradnl"/>
        </w:rPr>
      </w:pPr>
    </w:p>
    <w:p w:rsidR="00715B5C" w:rsidRDefault="00715B5C">
      <w:pPr>
        <w:jc w:val="center"/>
      </w:pPr>
      <w:r>
        <w:t>______________</w:t>
      </w:r>
    </w:p>
    <w:p w:rsidR="00715B5C" w:rsidRPr="005005CE" w:rsidRDefault="00715B5C" w:rsidP="00715B5C"/>
    <w:sectPr w:rsidR="00715B5C" w:rsidRPr="005005CE" w:rsidSect="004D6C09">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D0" w:rsidRDefault="000661D0">
      <w:r>
        <w:separator/>
      </w:r>
    </w:p>
  </w:endnote>
  <w:endnote w:type="continuationSeparator" w:id="0">
    <w:p w:rsidR="000661D0" w:rsidRDefault="0006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6" w:rsidRPr="00FA3926" w:rsidRDefault="00FA3926">
    <w:pPr>
      <w:pStyle w:val="Footer"/>
      <w:rPr>
        <w:lang w:val="en-US"/>
      </w:rPr>
    </w:pPr>
    <w:r>
      <w:fldChar w:fldCharType="begin"/>
    </w:r>
    <w:r w:rsidRPr="00FA3926">
      <w:rPr>
        <w:lang w:val="en-US"/>
      </w:rPr>
      <w:instrText xml:space="preserve"> FILENAME \p  \* MERGEFORMAT </w:instrText>
    </w:r>
    <w:r>
      <w:fldChar w:fldCharType="separate"/>
    </w:r>
    <w:r w:rsidR="003E5150">
      <w:rPr>
        <w:lang w:val="en-US"/>
      </w:rPr>
      <w:t>P:\ESP\ITU-R\AG\RAG13\RAG-1\000\001ADD1S.docx</w:t>
    </w:r>
    <w:r>
      <w:fldChar w:fldCharType="end"/>
    </w:r>
    <w:r w:rsidRPr="00FA3926">
      <w:rPr>
        <w:lang w:val="en-US"/>
      </w:rPr>
      <w:t xml:space="preserve"> (342317)</w:t>
    </w:r>
    <w:r w:rsidRPr="00FA3926">
      <w:rPr>
        <w:lang w:val="en-US"/>
      </w:rPr>
      <w:tab/>
    </w:r>
    <w:r>
      <w:fldChar w:fldCharType="begin"/>
    </w:r>
    <w:r>
      <w:instrText xml:space="preserve"> SAVEDATE \@ DD.MM.YY </w:instrText>
    </w:r>
    <w:r>
      <w:fldChar w:fldCharType="separate"/>
    </w:r>
    <w:r w:rsidR="003E5150">
      <w:t>29.04.13</w:t>
    </w:r>
    <w:r>
      <w:fldChar w:fldCharType="end"/>
    </w:r>
    <w:r w:rsidRPr="00FA3926">
      <w:rPr>
        <w:lang w:val="en-US"/>
      </w:rPr>
      <w:tab/>
    </w:r>
    <w:r>
      <w:fldChar w:fldCharType="begin"/>
    </w:r>
    <w:r>
      <w:instrText xml:space="preserve"> PRINTDATE \@ DD.MM.YY </w:instrText>
    </w:r>
    <w:r>
      <w:fldChar w:fldCharType="separate"/>
    </w:r>
    <w:r w:rsidR="003E5150">
      <w:t>29.04.13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6" w:rsidRPr="00FA3926" w:rsidRDefault="00FA3926" w:rsidP="00FA3926">
    <w:pPr>
      <w:pStyle w:val="Footer"/>
      <w:rPr>
        <w:lang w:val="en-US"/>
      </w:rPr>
    </w:pPr>
    <w:r>
      <w:fldChar w:fldCharType="begin"/>
    </w:r>
    <w:r w:rsidRPr="00FA3926">
      <w:rPr>
        <w:lang w:val="en-US"/>
      </w:rPr>
      <w:instrText xml:space="preserve"> FILENAME \p  \* MERGEFORMAT </w:instrText>
    </w:r>
    <w:r>
      <w:fldChar w:fldCharType="separate"/>
    </w:r>
    <w:r w:rsidR="003E5150">
      <w:rPr>
        <w:lang w:val="en-US"/>
      </w:rPr>
      <w:t>P:\ESP\ITU-R\AG\RAG13\RAG-1\000\001ADD1S.docx</w:t>
    </w:r>
    <w:r>
      <w:fldChar w:fldCharType="end"/>
    </w:r>
    <w:r w:rsidRPr="00FA3926">
      <w:rPr>
        <w:lang w:val="en-US"/>
      </w:rPr>
      <w:t xml:space="preserve"> (342317)</w:t>
    </w:r>
    <w:r w:rsidRPr="00FA3926">
      <w:rPr>
        <w:lang w:val="en-US"/>
      </w:rPr>
      <w:tab/>
    </w:r>
    <w:r>
      <w:fldChar w:fldCharType="begin"/>
    </w:r>
    <w:r>
      <w:instrText xml:space="preserve"> SAVEDATE \@ DD.MM.YY </w:instrText>
    </w:r>
    <w:r>
      <w:fldChar w:fldCharType="separate"/>
    </w:r>
    <w:r w:rsidR="003E5150">
      <w:t>29.04.13</w:t>
    </w:r>
    <w:r>
      <w:fldChar w:fldCharType="end"/>
    </w:r>
    <w:r w:rsidRPr="00FA3926">
      <w:rPr>
        <w:lang w:val="en-US"/>
      </w:rPr>
      <w:tab/>
    </w:r>
    <w:r>
      <w:fldChar w:fldCharType="begin"/>
    </w:r>
    <w:r>
      <w:instrText xml:space="preserve"> PRINTDATE \@ DD.MM.YY </w:instrText>
    </w:r>
    <w:r>
      <w:fldChar w:fldCharType="separate"/>
    </w:r>
    <w:r w:rsidR="003E5150">
      <w:t>29.04.13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D0" w:rsidRDefault="000661D0">
      <w:r>
        <w:t>____________________</w:t>
      </w:r>
    </w:p>
  </w:footnote>
  <w:footnote w:type="continuationSeparator" w:id="0">
    <w:p w:rsidR="000661D0" w:rsidRDefault="00066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3E5150">
      <w:rPr>
        <w:rStyle w:val="PageNumber"/>
        <w:noProof/>
      </w:rPr>
      <w:t>3</w:t>
    </w:r>
    <w:r>
      <w:rPr>
        <w:rStyle w:val="PageNumber"/>
      </w:rPr>
      <w:fldChar w:fldCharType="end"/>
    </w:r>
  </w:p>
  <w:p w:rsidR="00616601" w:rsidRDefault="0034043B" w:rsidP="00FA3926">
    <w:pPr>
      <w:pStyle w:val="Header"/>
      <w:rPr>
        <w:lang w:val="es-ES"/>
      </w:rPr>
    </w:pPr>
    <w:r>
      <w:rPr>
        <w:lang w:val="es-ES"/>
      </w:rPr>
      <w:t>RAG</w:t>
    </w:r>
    <w:r w:rsidR="005D3E02">
      <w:rPr>
        <w:lang w:val="es-ES"/>
      </w:rPr>
      <w:t>1</w:t>
    </w:r>
    <w:r w:rsidR="0031432E">
      <w:rPr>
        <w:lang w:val="es-ES"/>
      </w:rPr>
      <w:t>3</w:t>
    </w:r>
    <w:r w:rsidR="00616601">
      <w:rPr>
        <w:lang w:val="es-ES"/>
      </w:rPr>
      <w:t>-1/</w:t>
    </w:r>
    <w:r w:rsidR="00A50751">
      <w:rPr>
        <w:lang w:val="es-ES"/>
      </w:rPr>
      <w:t>1(Add.</w:t>
    </w:r>
    <w:r w:rsidR="00FA3926">
      <w:rPr>
        <w:lang w:val="es-ES"/>
      </w:rPr>
      <w:t>1</w:t>
    </w:r>
    <w:r w:rsidR="00A50751">
      <w:rPr>
        <w:lang w:val="es-ES"/>
      </w:rPr>
      <w:t>)</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D0"/>
    <w:rsid w:val="000661D0"/>
    <w:rsid w:val="000B7FF4"/>
    <w:rsid w:val="000D2B30"/>
    <w:rsid w:val="0012592F"/>
    <w:rsid w:val="001304A4"/>
    <w:rsid w:val="00135849"/>
    <w:rsid w:val="001E08FC"/>
    <w:rsid w:val="00233E93"/>
    <w:rsid w:val="00291EB9"/>
    <w:rsid w:val="002F4CB4"/>
    <w:rsid w:val="002F5F67"/>
    <w:rsid w:val="0031432E"/>
    <w:rsid w:val="00332AA0"/>
    <w:rsid w:val="0034043B"/>
    <w:rsid w:val="003E5150"/>
    <w:rsid w:val="00414D8B"/>
    <w:rsid w:val="00482905"/>
    <w:rsid w:val="004A51C9"/>
    <w:rsid w:val="004D6C09"/>
    <w:rsid w:val="005005CE"/>
    <w:rsid w:val="00576A2D"/>
    <w:rsid w:val="005D3E02"/>
    <w:rsid w:val="00610642"/>
    <w:rsid w:val="0061077B"/>
    <w:rsid w:val="00616601"/>
    <w:rsid w:val="006A24D4"/>
    <w:rsid w:val="006A27FB"/>
    <w:rsid w:val="006A42AB"/>
    <w:rsid w:val="006E291F"/>
    <w:rsid w:val="0071432C"/>
    <w:rsid w:val="00715B5C"/>
    <w:rsid w:val="00740060"/>
    <w:rsid w:val="00807C71"/>
    <w:rsid w:val="00822538"/>
    <w:rsid w:val="00917825"/>
    <w:rsid w:val="00A36CA9"/>
    <w:rsid w:val="00A50751"/>
    <w:rsid w:val="00A67E82"/>
    <w:rsid w:val="00AE237C"/>
    <w:rsid w:val="00B32E51"/>
    <w:rsid w:val="00B403A5"/>
    <w:rsid w:val="00BA0A1F"/>
    <w:rsid w:val="00CB7A43"/>
    <w:rsid w:val="00CE3BDE"/>
    <w:rsid w:val="00DF73AF"/>
    <w:rsid w:val="00E72EA7"/>
    <w:rsid w:val="00FA3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unhideWhenUsed/>
    <w:rsid w:val="00A50751"/>
    <w:rPr>
      <w:color w:val="0000FF"/>
      <w:u w:val="single"/>
    </w:rPr>
  </w:style>
  <w:style w:type="paragraph" w:customStyle="1" w:styleId="Reasons">
    <w:name w:val="Reasons"/>
    <w:basedOn w:val="Normal"/>
    <w:qFormat/>
    <w:rsid w:val="00A50751"/>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unhideWhenUsed/>
    <w:rsid w:val="00A50751"/>
    <w:rPr>
      <w:color w:val="0000FF"/>
      <w:u w:val="single"/>
    </w:rPr>
  </w:style>
  <w:style w:type="paragraph" w:customStyle="1" w:styleId="Reasons">
    <w:name w:val="Reasons"/>
    <w:basedOn w:val="Normal"/>
    <w:qFormat/>
    <w:rsid w:val="00A5075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csd2012.org/rio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oups.itu.int/Default.aspx?alias=groups.itu.int/wsis-forum20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itu-sem-americ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dms_pub/itu-r/oth/0A/06/R0A060000540001PDF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R/conferences/rag/Pages/default.aspx" TargetMode="External"/><Relationship Id="rId14" Type="http://schemas.openxmlformats.org/officeDocument/2006/relationships/hyperlink" Target="http://www.broadbandcommiss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7B5F-3431-4857-B5A5-AE56B075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PS_RAG13.dotm</Template>
  <TotalTime>203</TotalTime>
  <Pages>8</Pages>
  <Words>3872</Words>
  <Characters>20825</Characters>
  <Application>Microsoft Office Word</Application>
  <DocSecurity>0</DocSecurity>
  <Lines>341</Lines>
  <Paragraphs>120</Paragraphs>
  <ScaleCrop>false</ScaleCrop>
  <HeadingPairs>
    <vt:vector size="2" baseType="variant">
      <vt:variant>
        <vt:lpstr>Title</vt:lpstr>
      </vt:variant>
      <vt:variant>
        <vt:i4>1</vt:i4>
      </vt:variant>
    </vt:vector>
  </HeadingPairs>
  <TitlesOfParts>
    <vt:vector size="1" baseType="lpstr">
      <vt:lpstr>INFORME A LA VIGÉSIMA REUNIÓN DEL GRUPO ASESOR DE RADIOCOMUNICACIONES</vt:lpstr>
    </vt:vector>
  </TitlesOfParts>
  <Manager>General Secretariat - Pool</Manager>
  <Company>International Telecommunication Union (ITU)</Company>
  <LinksUpToDate>false</LinksUpToDate>
  <CharactersWithSpaces>24577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REUNIÓN DEL GRUPO ASESOR DE RADIOCOMUNICACIONES</dc:title>
  <dc:subject>GRUPO ASESOR DE RADIOCOMUNICACIONES</dc:subject>
  <dc:creator>Director de la Oficina de Radiocomunicaciones</dc:creator>
  <cp:keywords>RAG03-1</cp:keywords>
  <dc:description>Addéndum 1 al Documento RAG13-1/1-S  For: _x000d_Document date: _x000d_Saved by ITU51007802 at 12:13:39 on 29/04/2013</dc:description>
  <cp:lastModifiedBy>tello</cp:lastModifiedBy>
  <cp:revision>13</cp:revision>
  <cp:lastPrinted>2013-04-29T12:50:00Z</cp:lastPrinted>
  <dcterms:created xsi:type="dcterms:W3CDTF">2013-04-29T08:13:00Z</dcterms:created>
  <dcterms:modified xsi:type="dcterms:W3CDTF">2013-04-29T12:50:00Z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RAG13-1/1-S</vt:lpwstr>
  </property>
  <property fmtid="{D5CDD505-2E9C-101B-9397-08002B2CF9AE}" pid="3" name="Docdate">
    <vt:lpwstr/>
  </property>
  <property fmtid="{D5CDD505-2E9C-101B-9397-08002B2CF9AE}" pid="4" name="Docorlang">
    <vt:lpwstr>Original: inglés</vt:lpwstr>
  </property>
  <property fmtid="{D5CDD505-2E9C-101B-9397-08002B2CF9AE}" pid="5" name="Docauthor">
    <vt:lpwstr>Director de la Oficina de Radiocomunicaciones</vt:lpwstr>
  </property>
</Properties>
</file>