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7A5B2E">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B41DCB" w:rsidRPr="00B41DCB">
              <w:rPr>
                <w:rFonts w:ascii="Verdana" w:hAnsi="Verdana" w:cs="Times New Roman Bold"/>
                <w:b/>
                <w:bCs/>
                <w:sz w:val="20"/>
                <w:lang w:eastAsia="zh-CN"/>
              </w:rPr>
              <w:t>2013</w:t>
            </w:r>
            <w:r w:rsidR="00B41DCB" w:rsidRPr="00B41DCB">
              <w:rPr>
                <w:rFonts w:ascii="Verdana" w:hAnsi="Verdana" w:cs="Times New Roman Bold" w:hint="eastAsia"/>
                <w:b/>
                <w:bCs/>
                <w:sz w:val="20"/>
                <w:lang w:eastAsia="zh-CN"/>
              </w:rPr>
              <w:t>年</w:t>
            </w:r>
            <w:r w:rsidR="00B41DCB" w:rsidRPr="00B41DCB">
              <w:rPr>
                <w:rFonts w:ascii="Verdana" w:hAnsi="Verdana" w:cs="Times New Roman Bold"/>
                <w:b/>
                <w:bCs/>
                <w:sz w:val="20"/>
                <w:lang w:eastAsia="zh-CN"/>
              </w:rPr>
              <w:t>5</w:t>
            </w:r>
            <w:r w:rsidR="00B41DCB" w:rsidRPr="00B41DCB">
              <w:rPr>
                <w:rFonts w:ascii="Verdana" w:hAnsi="Verdana" w:cs="Times New Roman Bold" w:hint="eastAsia"/>
                <w:b/>
                <w:bCs/>
                <w:sz w:val="20"/>
                <w:lang w:eastAsia="zh-CN"/>
              </w:rPr>
              <w:t>月</w:t>
            </w:r>
            <w:r w:rsidR="00B41DCB" w:rsidRPr="00B41DCB">
              <w:rPr>
                <w:rFonts w:ascii="Verdana" w:hAnsi="Verdana" w:cs="Times New Roman Bold"/>
                <w:b/>
                <w:bCs/>
                <w:sz w:val="20"/>
                <w:lang w:eastAsia="zh-CN"/>
              </w:rPr>
              <w:t>22-24</w:t>
            </w:r>
            <w:r w:rsidR="00B41DCB" w:rsidRPr="00B41DCB">
              <w:rPr>
                <w:rFonts w:ascii="Verdana" w:hAnsi="Verdana" w:cs="Times New Roman Bold" w:hint="eastAsia"/>
                <w:b/>
                <w:bCs/>
                <w:sz w:val="20"/>
                <w:lang w:eastAsia="zh-CN"/>
              </w:rPr>
              <w:t>日，日内瓦</w:t>
            </w:r>
          </w:p>
        </w:tc>
        <w:tc>
          <w:tcPr>
            <w:tcW w:w="3118" w:type="dxa"/>
          </w:tcPr>
          <w:p w:rsidR="0051782D" w:rsidRPr="00432D7F" w:rsidRDefault="000A0059" w:rsidP="007A5B2E">
            <w:pPr>
              <w:shd w:val="solid" w:color="FFFFFF" w:fill="FFFFFF"/>
              <w:spacing w:before="0"/>
              <w:rPr>
                <w:lang w:val="en-US"/>
              </w:rPr>
            </w:pPr>
            <w:r>
              <w:rPr>
                <w:b/>
                <w:bCs/>
                <w:noProof/>
                <w:lang w:val="en-US" w:eastAsia="zh-CN"/>
              </w:rPr>
              <w:drawing>
                <wp:inline distT="0" distB="0" distL="0" distR="0" wp14:anchorId="220FADEE" wp14:editId="4E904373">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7A5B2E">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7A5B2E">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7A5B2E">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7A5B2E">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7A5B2E">
            <w:pPr>
              <w:shd w:val="solid" w:color="FFFFFF" w:fill="FFFFFF"/>
              <w:spacing w:after="240"/>
              <w:rPr>
                <w:sz w:val="20"/>
              </w:rPr>
            </w:pPr>
            <w:bookmarkStart w:id="0" w:name="dnum" w:colFirst="1" w:colLast="1"/>
          </w:p>
        </w:tc>
        <w:tc>
          <w:tcPr>
            <w:tcW w:w="3118" w:type="dxa"/>
          </w:tcPr>
          <w:p w:rsidR="0051782D" w:rsidRPr="000A4F34" w:rsidRDefault="006A7022" w:rsidP="009B1F12">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B41DCB">
              <w:rPr>
                <w:rFonts w:ascii="Verdana" w:hAnsi="Verdana"/>
                <w:b/>
                <w:sz w:val="20"/>
                <w:lang w:eastAsia="zh-CN"/>
              </w:rPr>
              <w:t>3</w:t>
            </w:r>
            <w:r w:rsidR="00BD7223" w:rsidRPr="000A4F34">
              <w:rPr>
                <w:rFonts w:ascii="Verdana" w:hAnsi="Verdana"/>
                <w:b/>
                <w:sz w:val="20"/>
                <w:lang w:eastAsia="zh-CN"/>
              </w:rPr>
              <w:t>-1/</w:t>
            </w:r>
            <w:r w:rsidR="00491DFC">
              <w:rPr>
                <w:rFonts w:ascii="Verdana" w:hAnsi="Verdana" w:hint="eastAsia"/>
                <w:b/>
                <w:sz w:val="20"/>
                <w:lang w:eastAsia="zh-CN"/>
              </w:rPr>
              <w:t>1</w:t>
            </w:r>
            <w:r w:rsidR="009B1F12">
              <w:rPr>
                <w:rFonts w:ascii="Verdana" w:hAnsi="Verdana" w:hint="eastAsia"/>
                <w:b/>
                <w:sz w:val="20"/>
                <w:lang w:eastAsia="zh-CN"/>
              </w:rPr>
              <w:t>(</w:t>
            </w:r>
            <w:r w:rsidR="00491DFC">
              <w:rPr>
                <w:rFonts w:ascii="Verdana" w:hAnsi="Verdana" w:hint="eastAsia"/>
                <w:b/>
                <w:sz w:val="20"/>
                <w:lang w:eastAsia="zh-CN"/>
              </w:rPr>
              <w:t>Add.1</w:t>
            </w:r>
            <w:r w:rsidR="009B1F12">
              <w:rPr>
                <w:rFonts w:ascii="Verdana" w:hAnsi="Verdana" w:hint="eastAsia"/>
                <w:b/>
                <w:sz w:val="20"/>
                <w:lang w:eastAsia="zh-CN"/>
              </w:rPr>
              <w:t>)</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7A5B2E">
            <w:pPr>
              <w:spacing w:before="60"/>
              <w:jc w:val="center"/>
              <w:rPr>
                <w:b/>
                <w:smallCaps/>
                <w:sz w:val="32"/>
                <w:lang w:eastAsia="zh-CN"/>
              </w:rPr>
            </w:pPr>
            <w:bookmarkStart w:id="1" w:name="ddate" w:colFirst="1" w:colLast="1"/>
            <w:bookmarkEnd w:id="0"/>
          </w:p>
        </w:tc>
        <w:tc>
          <w:tcPr>
            <w:tcW w:w="3118" w:type="dxa"/>
          </w:tcPr>
          <w:p w:rsidR="0051782D" w:rsidRPr="000A4F34" w:rsidRDefault="0051782D" w:rsidP="007A5B2E">
            <w:pPr>
              <w:shd w:val="solid" w:color="FFFFFF" w:fill="FFFFFF"/>
              <w:spacing w:before="0"/>
              <w:rPr>
                <w:rFonts w:ascii="Verdana" w:hAnsi="Verdana"/>
                <w:sz w:val="20"/>
                <w:lang w:eastAsia="zh-CN"/>
              </w:rPr>
            </w:pPr>
          </w:p>
        </w:tc>
      </w:tr>
      <w:tr w:rsidR="0051782D" w:rsidRPr="00D872CB" w:rsidTr="000A4F34">
        <w:trPr>
          <w:cantSplit/>
        </w:trPr>
        <w:tc>
          <w:tcPr>
            <w:tcW w:w="6771" w:type="dxa"/>
            <w:vMerge/>
          </w:tcPr>
          <w:p w:rsidR="0051782D" w:rsidRPr="00D872CB" w:rsidRDefault="0051782D" w:rsidP="007A5B2E">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7A5B2E">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2B6B81" w:rsidP="007A5B2E">
            <w:pPr>
              <w:pStyle w:val="Source"/>
              <w:rPr>
                <w:lang w:eastAsia="zh-CN"/>
              </w:rPr>
            </w:pPr>
            <w:bookmarkStart w:id="3" w:name="dsource" w:colFirst="0" w:colLast="0"/>
            <w:bookmarkEnd w:id="2"/>
            <w:r w:rsidRPr="002B6B81">
              <w:rPr>
                <w:rFonts w:hint="eastAsia"/>
                <w:lang w:eastAsia="zh-CN"/>
              </w:rPr>
              <w:t>无线电通信局主任</w:t>
            </w:r>
          </w:p>
        </w:tc>
      </w:tr>
      <w:tr w:rsidR="00BC195C" w:rsidRPr="00D872CB" w:rsidTr="000A4F34">
        <w:trPr>
          <w:cantSplit/>
        </w:trPr>
        <w:tc>
          <w:tcPr>
            <w:tcW w:w="9889" w:type="dxa"/>
            <w:gridSpan w:val="2"/>
          </w:tcPr>
          <w:p w:rsidR="00E130B3" w:rsidRPr="00E130B3" w:rsidRDefault="002B6B81" w:rsidP="007A5B2E">
            <w:pPr>
              <w:tabs>
                <w:tab w:val="left" w:pos="851"/>
                <w:tab w:val="left" w:pos="5670"/>
              </w:tabs>
              <w:spacing w:before="240" w:after="240"/>
              <w:jc w:val="center"/>
              <w:rPr>
                <w:sz w:val="28"/>
                <w:szCs w:val="28"/>
                <w:lang w:eastAsia="zh-CN"/>
              </w:rPr>
            </w:pPr>
            <w:bookmarkStart w:id="4" w:name="dtitle1" w:colFirst="0" w:colLast="0"/>
            <w:bookmarkEnd w:id="3"/>
            <w:r w:rsidRPr="002B6B81">
              <w:rPr>
                <w:rFonts w:hint="eastAsia"/>
                <w:sz w:val="28"/>
                <w:szCs w:val="28"/>
                <w:lang w:eastAsia="zh-CN"/>
              </w:rPr>
              <w:t>提交无线电通信顾问组第</w:t>
            </w:r>
            <w:r w:rsidR="00D922A2">
              <w:rPr>
                <w:rFonts w:hint="eastAsia"/>
                <w:sz w:val="28"/>
                <w:szCs w:val="28"/>
                <w:lang w:val="en-US" w:eastAsia="zh-CN"/>
              </w:rPr>
              <w:t>二十</w:t>
            </w:r>
            <w:r w:rsidRPr="002B6B81">
              <w:rPr>
                <w:rFonts w:hint="eastAsia"/>
                <w:sz w:val="28"/>
                <w:szCs w:val="28"/>
                <w:lang w:eastAsia="zh-CN"/>
              </w:rPr>
              <w:t>次会议的报告</w:t>
            </w:r>
          </w:p>
        </w:tc>
      </w:tr>
      <w:tr w:rsidR="002B6B81" w:rsidRPr="00D872CB" w:rsidTr="000A4F34">
        <w:trPr>
          <w:cantSplit/>
        </w:trPr>
        <w:tc>
          <w:tcPr>
            <w:tcW w:w="9889" w:type="dxa"/>
            <w:gridSpan w:val="2"/>
          </w:tcPr>
          <w:p w:rsidR="002B6B81" w:rsidRPr="002B6B81" w:rsidRDefault="002B6B81" w:rsidP="007A5B2E">
            <w:pPr>
              <w:tabs>
                <w:tab w:val="left" w:pos="851"/>
                <w:tab w:val="left" w:pos="5670"/>
              </w:tabs>
              <w:spacing w:before="240" w:after="240"/>
              <w:jc w:val="center"/>
              <w:rPr>
                <w:sz w:val="28"/>
                <w:szCs w:val="28"/>
                <w:lang w:eastAsia="zh-CN"/>
              </w:rPr>
            </w:pPr>
            <w:r w:rsidRPr="002B6B81">
              <w:rPr>
                <w:rFonts w:hint="eastAsia"/>
                <w:sz w:val="28"/>
                <w:szCs w:val="28"/>
                <w:lang w:eastAsia="zh-CN"/>
              </w:rPr>
              <w:t>研究组活动</w:t>
            </w:r>
          </w:p>
        </w:tc>
      </w:tr>
    </w:tbl>
    <w:bookmarkEnd w:id="4"/>
    <w:p w:rsidR="007300C8" w:rsidRPr="007300C8" w:rsidRDefault="007300C8" w:rsidP="007A5B2E">
      <w:pPr>
        <w:pStyle w:val="Heading1"/>
        <w:rPr>
          <w:lang w:eastAsia="zh-CN"/>
        </w:rPr>
      </w:pPr>
      <w:r w:rsidRPr="007300C8">
        <w:rPr>
          <w:lang w:eastAsia="zh-CN"/>
        </w:rPr>
        <w:t>1</w:t>
      </w:r>
      <w:r w:rsidRPr="007300C8">
        <w:rPr>
          <w:lang w:eastAsia="zh-CN"/>
        </w:rPr>
        <w:tab/>
      </w:r>
      <w:r w:rsidRPr="007300C8">
        <w:rPr>
          <w:lang w:eastAsia="zh-CN"/>
        </w:rPr>
        <w:t>工作方法</w:t>
      </w:r>
    </w:p>
    <w:p w:rsidR="007300C8" w:rsidRPr="007300C8" w:rsidRDefault="007300C8" w:rsidP="007D2EED">
      <w:pPr>
        <w:ind w:firstLineChars="200" w:firstLine="480"/>
        <w:rPr>
          <w:lang w:eastAsia="zh-CN"/>
        </w:rPr>
      </w:pPr>
      <w:r w:rsidRPr="007300C8">
        <w:rPr>
          <w:lang w:eastAsia="zh-CN"/>
        </w:rPr>
        <w:t>研究组的活动是根据</w:t>
      </w:r>
      <w:r w:rsidRPr="007300C8">
        <w:rPr>
          <w:lang w:eastAsia="zh-CN"/>
        </w:rPr>
        <w:t>ITU-R</w:t>
      </w:r>
      <w:r w:rsidRPr="007300C8">
        <w:rPr>
          <w:lang w:eastAsia="zh-CN"/>
        </w:rPr>
        <w:t>《运作规划》规定的工作计划、在稳定的研究组</w:t>
      </w:r>
      <w:r w:rsidR="00A70017">
        <w:rPr>
          <w:lang w:eastAsia="zh-CN"/>
        </w:rPr>
        <w:t>（</w:t>
      </w:r>
      <w:r w:rsidRPr="007300C8">
        <w:rPr>
          <w:lang w:eastAsia="zh-CN"/>
        </w:rPr>
        <w:t>SG</w:t>
      </w:r>
      <w:r w:rsidR="00A70017">
        <w:rPr>
          <w:lang w:eastAsia="zh-CN"/>
        </w:rPr>
        <w:t>）</w:t>
      </w:r>
      <w:r w:rsidRPr="007300C8">
        <w:rPr>
          <w:lang w:eastAsia="zh-CN"/>
        </w:rPr>
        <w:t>和工作组</w:t>
      </w:r>
      <w:r w:rsidR="00A70017">
        <w:rPr>
          <w:lang w:eastAsia="zh-CN"/>
        </w:rPr>
        <w:t>（</w:t>
      </w:r>
      <w:r w:rsidRPr="007300C8">
        <w:rPr>
          <w:lang w:eastAsia="zh-CN"/>
        </w:rPr>
        <w:t>WP</w:t>
      </w:r>
      <w:r w:rsidR="00A70017">
        <w:rPr>
          <w:lang w:eastAsia="zh-CN"/>
        </w:rPr>
        <w:t>）</w:t>
      </w:r>
      <w:r w:rsidRPr="007300C8">
        <w:rPr>
          <w:lang w:eastAsia="zh-CN"/>
        </w:rPr>
        <w:t>架构内进行的。工作方法根据</w:t>
      </w:r>
      <w:r w:rsidRPr="007300C8">
        <w:rPr>
          <w:lang w:eastAsia="zh-CN"/>
        </w:rPr>
        <w:t>ITU-R</w:t>
      </w:r>
      <w:r w:rsidRPr="007300C8">
        <w:rPr>
          <w:lang w:eastAsia="zh-CN"/>
        </w:rPr>
        <w:t>第</w:t>
      </w:r>
      <w:r w:rsidRPr="007300C8">
        <w:rPr>
          <w:lang w:eastAsia="zh-CN"/>
        </w:rPr>
        <w:t>1-6</w:t>
      </w:r>
      <w:r w:rsidRPr="007300C8">
        <w:rPr>
          <w:lang w:eastAsia="zh-CN"/>
        </w:rPr>
        <w:t>号决议</w:t>
      </w:r>
      <w:r w:rsidR="00A70017">
        <w:rPr>
          <w:lang w:eastAsia="zh-CN"/>
        </w:rPr>
        <w:t>（</w:t>
      </w:r>
      <w:r w:rsidRPr="007300C8">
        <w:rPr>
          <w:lang w:eastAsia="zh-CN"/>
        </w:rPr>
        <w:t>及相关</w:t>
      </w:r>
      <w:r w:rsidR="007D2EED">
        <w:rPr>
          <w:rFonts w:hint="eastAsia"/>
          <w:lang w:eastAsia="zh-CN"/>
        </w:rPr>
        <w:t>工作</w:t>
      </w:r>
      <w:r w:rsidRPr="007300C8">
        <w:rPr>
          <w:lang w:eastAsia="zh-CN"/>
        </w:rPr>
        <w:t>指南</w:t>
      </w:r>
      <w:r w:rsidR="00A70017">
        <w:rPr>
          <w:lang w:eastAsia="zh-CN"/>
        </w:rPr>
        <w:t>）</w:t>
      </w:r>
      <w:r w:rsidRPr="007300C8">
        <w:rPr>
          <w:lang w:eastAsia="zh-CN"/>
        </w:rPr>
        <w:t>得到了圆满采用。</w:t>
      </w:r>
    </w:p>
    <w:p w:rsidR="007300C8" w:rsidRPr="007300C8" w:rsidRDefault="007D2EED" w:rsidP="00EB23E1">
      <w:pPr>
        <w:ind w:firstLineChars="200" w:firstLine="480"/>
        <w:rPr>
          <w:lang w:eastAsia="zh-CN"/>
        </w:rPr>
      </w:pPr>
      <w:r>
        <w:rPr>
          <w:rFonts w:hint="eastAsia"/>
          <w:lang w:eastAsia="zh-CN"/>
        </w:rPr>
        <w:t>工作指南修订草案</w:t>
      </w:r>
      <w:r w:rsidR="00EB23E1">
        <w:rPr>
          <w:rFonts w:hint="eastAsia"/>
          <w:lang w:eastAsia="zh-CN"/>
        </w:rPr>
        <w:t>现</w:t>
      </w:r>
      <w:r>
        <w:rPr>
          <w:rFonts w:hint="eastAsia"/>
          <w:lang w:eastAsia="zh-CN"/>
        </w:rPr>
        <w:t>提交</w:t>
      </w:r>
      <w:r>
        <w:rPr>
          <w:rFonts w:hint="eastAsia"/>
          <w:lang w:eastAsia="zh-CN"/>
        </w:rPr>
        <w:t>RAG</w:t>
      </w:r>
      <w:r>
        <w:rPr>
          <w:rFonts w:hint="eastAsia"/>
          <w:lang w:eastAsia="zh-CN"/>
        </w:rPr>
        <w:t>审议</w:t>
      </w:r>
      <w:r w:rsidR="00EB23E1">
        <w:rPr>
          <w:rFonts w:hint="eastAsia"/>
          <w:lang w:eastAsia="zh-CN"/>
        </w:rPr>
        <w:t>以便将</w:t>
      </w:r>
      <w:r w:rsidR="00EB23E1">
        <w:rPr>
          <w:lang w:eastAsia="zh-CN"/>
        </w:rPr>
        <w:t>RA-12</w:t>
      </w:r>
      <w:r w:rsidR="00EB23E1">
        <w:rPr>
          <w:rFonts w:hint="eastAsia"/>
          <w:lang w:eastAsia="zh-CN"/>
        </w:rPr>
        <w:t>对</w:t>
      </w:r>
      <w:r w:rsidR="00EB23E1">
        <w:rPr>
          <w:lang w:eastAsia="zh-CN"/>
        </w:rPr>
        <w:t>ITU-R</w:t>
      </w:r>
      <w:r w:rsidR="00EB23E1">
        <w:rPr>
          <w:rFonts w:hint="eastAsia"/>
          <w:lang w:eastAsia="zh-CN"/>
        </w:rPr>
        <w:t>第</w:t>
      </w:r>
      <w:r w:rsidR="00EB23E1">
        <w:rPr>
          <w:rFonts w:hint="eastAsia"/>
          <w:lang w:eastAsia="zh-CN"/>
        </w:rPr>
        <w:t>1</w:t>
      </w:r>
      <w:r w:rsidR="00EB23E1">
        <w:rPr>
          <w:rFonts w:hint="eastAsia"/>
          <w:lang w:eastAsia="zh-CN"/>
        </w:rPr>
        <w:t>号决议的修改和电子工作方法</w:t>
      </w:r>
      <w:r w:rsidR="00EB23E1">
        <w:rPr>
          <w:rFonts w:hint="eastAsia"/>
          <w:lang w:val="en-US" w:eastAsia="zh-CN"/>
        </w:rPr>
        <w:t>的</w:t>
      </w:r>
      <w:r w:rsidR="00EB23E1">
        <w:rPr>
          <w:rFonts w:hint="eastAsia"/>
          <w:lang w:eastAsia="zh-CN"/>
        </w:rPr>
        <w:t>最新进展考虑在内</w:t>
      </w:r>
      <w:r>
        <w:rPr>
          <w:rFonts w:hint="eastAsia"/>
          <w:lang w:eastAsia="zh-CN"/>
        </w:rPr>
        <w:t>。该修订草案是作为单独一份</w:t>
      </w:r>
      <w:r>
        <w:rPr>
          <w:rFonts w:hint="eastAsia"/>
          <w:lang w:eastAsia="zh-CN"/>
        </w:rPr>
        <w:t>RAG</w:t>
      </w:r>
      <w:r>
        <w:rPr>
          <w:rFonts w:hint="eastAsia"/>
          <w:lang w:eastAsia="zh-CN"/>
        </w:rPr>
        <w:t>文件拟定的。</w:t>
      </w:r>
    </w:p>
    <w:p w:rsidR="007300C8" w:rsidRPr="007300C8" w:rsidRDefault="007300C8" w:rsidP="00EB23E1">
      <w:pPr>
        <w:pStyle w:val="Heading1"/>
        <w:rPr>
          <w:lang w:eastAsia="zh-CN"/>
        </w:rPr>
      </w:pPr>
      <w:r w:rsidRPr="007300C8">
        <w:rPr>
          <w:lang w:eastAsia="zh-CN"/>
        </w:rPr>
        <w:t>2</w:t>
      </w:r>
      <w:r w:rsidRPr="007300C8">
        <w:rPr>
          <w:lang w:eastAsia="zh-CN"/>
        </w:rPr>
        <w:tab/>
      </w:r>
      <w:r w:rsidRPr="007300C8">
        <w:rPr>
          <w:lang w:eastAsia="zh-CN"/>
        </w:rPr>
        <w:t>会议文件</w:t>
      </w:r>
      <w:r w:rsidR="00EB23E1">
        <w:rPr>
          <w:rFonts w:hint="eastAsia"/>
          <w:lang w:eastAsia="zh-CN"/>
        </w:rPr>
        <w:t>的获取</w:t>
      </w:r>
    </w:p>
    <w:p w:rsidR="007300C8" w:rsidRPr="007300C8" w:rsidRDefault="007300C8" w:rsidP="00EB23E1">
      <w:pPr>
        <w:ind w:firstLineChars="200" w:firstLine="480"/>
        <w:rPr>
          <w:lang w:eastAsia="zh-CN"/>
        </w:rPr>
      </w:pPr>
      <w:r w:rsidRPr="007300C8">
        <w:rPr>
          <w:lang w:eastAsia="zh-CN"/>
        </w:rPr>
        <w:t>根据</w:t>
      </w:r>
      <w:r w:rsidRPr="007300C8">
        <w:rPr>
          <w:lang w:eastAsia="zh-CN"/>
        </w:rPr>
        <w:t>2012</w:t>
      </w:r>
      <w:r w:rsidRPr="007300C8">
        <w:rPr>
          <w:lang w:eastAsia="zh-CN"/>
        </w:rPr>
        <w:t>年无线电通信全会</w:t>
      </w:r>
      <w:r w:rsidR="00A70017">
        <w:rPr>
          <w:lang w:eastAsia="zh-CN"/>
        </w:rPr>
        <w:t>（</w:t>
      </w:r>
      <w:r w:rsidRPr="007300C8">
        <w:rPr>
          <w:lang w:eastAsia="zh-CN"/>
        </w:rPr>
        <w:t>RA-12</w:t>
      </w:r>
      <w:r w:rsidR="00A70017">
        <w:rPr>
          <w:lang w:eastAsia="zh-CN"/>
        </w:rPr>
        <w:t>）</w:t>
      </w:r>
      <w:r w:rsidRPr="007300C8">
        <w:rPr>
          <w:lang w:eastAsia="zh-CN"/>
        </w:rPr>
        <w:t>对</w:t>
      </w:r>
      <w:r w:rsidRPr="007300C8">
        <w:rPr>
          <w:lang w:eastAsia="zh-CN"/>
        </w:rPr>
        <w:t>ITU-R</w:t>
      </w:r>
      <w:r w:rsidRPr="007300C8">
        <w:rPr>
          <w:lang w:eastAsia="zh-CN"/>
        </w:rPr>
        <w:t>第</w:t>
      </w:r>
      <w:r w:rsidRPr="007300C8">
        <w:rPr>
          <w:lang w:eastAsia="zh-CN"/>
        </w:rPr>
        <w:t>1</w:t>
      </w:r>
      <w:r w:rsidRPr="007300C8">
        <w:rPr>
          <w:lang w:eastAsia="zh-CN"/>
        </w:rPr>
        <w:t>号决议做出的修订，目前会议文件由研究组工作人员在一个工作日之内在会议文件网页上作为</w:t>
      </w:r>
      <w:r w:rsidR="00EB23E1">
        <w:rPr>
          <w:rFonts w:eastAsiaTheme="majorEastAsia" w:hint="eastAsia"/>
          <w:lang w:eastAsia="zh-CN"/>
        </w:rPr>
        <w:t>“</w:t>
      </w:r>
      <w:r w:rsidRPr="007300C8">
        <w:rPr>
          <w:rFonts w:eastAsiaTheme="majorEastAsia"/>
          <w:lang w:eastAsia="zh-CN"/>
        </w:rPr>
        <w:t>已收到</w:t>
      </w:r>
      <w:r w:rsidR="00EB23E1">
        <w:rPr>
          <w:rFonts w:eastAsiaTheme="minorEastAsia" w:hint="eastAsia"/>
          <w:lang w:eastAsia="zh-CN"/>
        </w:rPr>
        <w:t>”</w:t>
      </w:r>
      <w:r w:rsidRPr="007300C8">
        <w:rPr>
          <w:lang w:eastAsia="zh-CN"/>
        </w:rPr>
        <w:t>文件发布，正式版本在三个工作日之内在网站上发布。</w:t>
      </w:r>
    </w:p>
    <w:p w:rsidR="007300C8" w:rsidRPr="007300C8" w:rsidRDefault="007300C8" w:rsidP="00E72817">
      <w:pPr>
        <w:pStyle w:val="Heading1"/>
        <w:rPr>
          <w:lang w:eastAsia="zh-CN"/>
        </w:rPr>
      </w:pPr>
      <w:r w:rsidRPr="007300C8">
        <w:rPr>
          <w:lang w:eastAsia="zh-CN"/>
        </w:rPr>
        <w:t>3</w:t>
      </w:r>
      <w:r w:rsidRPr="007300C8">
        <w:rPr>
          <w:lang w:eastAsia="zh-CN"/>
        </w:rPr>
        <w:tab/>
      </w:r>
      <w:r w:rsidR="007D2EED">
        <w:rPr>
          <w:rFonts w:hint="eastAsia"/>
          <w:lang w:eastAsia="zh-CN"/>
        </w:rPr>
        <w:t>电子工作设施</w:t>
      </w:r>
    </w:p>
    <w:p w:rsidR="007300C8" w:rsidRPr="007300C8" w:rsidRDefault="007300C8" w:rsidP="007A5B2E">
      <w:pPr>
        <w:ind w:firstLineChars="200" w:firstLine="480"/>
        <w:rPr>
          <w:lang w:eastAsia="zh-CN"/>
        </w:rPr>
      </w:pPr>
      <w:r w:rsidRPr="007300C8">
        <w:rPr>
          <w:lang w:eastAsia="zh-CN"/>
        </w:rPr>
        <w:t>目前的工作重点依然是采用已为代表带来诸多益处且大大节省了纸张的电子设施。</w:t>
      </w:r>
    </w:p>
    <w:p w:rsidR="007300C8" w:rsidRPr="007300C8" w:rsidRDefault="007300C8" w:rsidP="007D2EED">
      <w:pPr>
        <w:pStyle w:val="Heading2"/>
        <w:rPr>
          <w:lang w:eastAsia="zh-CN"/>
        </w:rPr>
      </w:pPr>
      <w:r w:rsidRPr="007300C8">
        <w:rPr>
          <w:lang w:eastAsia="zh-CN"/>
        </w:rPr>
        <w:t>3.1</w:t>
      </w:r>
      <w:r w:rsidRPr="007300C8">
        <w:rPr>
          <w:lang w:eastAsia="zh-CN"/>
        </w:rPr>
        <w:tab/>
      </w:r>
      <w:r w:rsidR="007D2EED">
        <w:rPr>
          <w:rFonts w:hint="eastAsia"/>
          <w:lang w:eastAsia="zh-CN"/>
        </w:rPr>
        <w:t>在线文件提交</w:t>
      </w:r>
    </w:p>
    <w:p w:rsidR="007300C8" w:rsidRPr="007300C8" w:rsidRDefault="007300C8" w:rsidP="00EB23E1">
      <w:pPr>
        <w:ind w:firstLineChars="200" w:firstLine="480"/>
        <w:rPr>
          <w:lang w:eastAsia="zh-CN"/>
        </w:rPr>
      </w:pPr>
      <w:r w:rsidRPr="007300C8">
        <w:rPr>
          <w:lang w:eastAsia="zh-CN"/>
        </w:rPr>
        <w:t>方便文稿提供人直接将其文稿上传至</w:t>
      </w:r>
      <w:r w:rsidR="00EB23E1">
        <w:rPr>
          <w:rFonts w:hint="eastAsia"/>
          <w:lang w:eastAsia="zh-CN"/>
        </w:rPr>
        <w:t>“</w:t>
      </w:r>
      <w:r w:rsidRPr="007300C8">
        <w:rPr>
          <w:lang w:eastAsia="zh-CN"/>
        </w:rPr>
        <w:t>已收到</w:t>
      </w:r>
      <w:r w:rsidR="00EB23E1">
        <w:rPr>
          <w:rFonts w:hint="eastAsia"/>
          <w:lang w:eastAsia="zh-CN"/>
        </w:rPr>
        <w:t>”</w:t>
      </w:r>
      <w:r w:rsidR="007D2EED">
        <w:rPr>
          <w:rFonts w:hint="eastAsia"/>
          <w:lang w:eastAsia="zh-CN"/>
        </w:rPr>
        <w:t>网页</w:t>
      </w:r>
      <w:r w:rsidR="00EB23E1">
        <w:rPr>
          <w:rFonts w:hint="eastAsia"/>
          <w:lang w:eastAsia="zh-CN"/>
        </w:rPr>
        <w:t>的系统</w:t>
      </w:r>
      <w:r w:rsidR="007D2EED">
        <w:rPr>
          <w:rFonts w:hint="eastAsia"/>
          <w:lang w:eastAsia="zh-CN"/>
        </w:rPr>
        <w:t>将在今年晚些时候</w:t>
      </w:r>
      <w:r w:rsidR="00EB23E1">
        <w:rPr>
          <w:rFonts w:hint="eastAsia"/>
          <w:lang w:eastAsia="zh-CN"/>
        </w:rPr>
        <w:t>投入使用</w:t>
      </w:r>
      <w:r w:rsidR="007D2EED">
        <w:rPr>
          <w:rFonts w:hint="eastAsia"/>
          <w:lang w:eastAsia="zh-CN"/>
        </w:rPr>
        <w:t>。</w:t>
      </w:r>
    </w:p>
    <w:p w:rsidR="007300C8" w:rsidRPr="007300C8" w:rsidRDefault="00CD3943" w:rsidP="007D2EED">
      <w:pPr>
        <w:pStyle w:val="Heading2"/>
        <w:rPr>
          <w:lang w:eastAsia="zh-CN"/>
        </w:rPr>
      </w:pPr>
      <w:r>
        <w:rPr>
          <w:lang w:eastAsia="zh-CN"/>
        </w:rPr>
        <w:t>3.2</w:t>
      </w:r>
      <w:r>
        <w:rPr>
          <w:lang w:eastAsia="zh-CN"/>
        </w:rPr>
        <w:tab/>
        <w:t>Sharepoint</w:t>
      </w:r>
      <w:r w:rsidR="007D2EED">
        <w:rPr>
          <w:rFonts w:hint="eastAsia"/>
          <w:lang w:eastAsia="zh-CN"/>
        </w:rPr>
        <w:t>网站</w:t>
      </w:r>
    </w:p>
    <w:p w:rsidR="007300C8" w:rsidRPr="007300C8" w:rsidRDefault="007300C8" w:rsidP="007A5B2E">
      <w:pPr>
        <w:ind w:firstLineChars="200" w:firstLine="480"/>
        <w:rPr>
          <w:lang w:eastAsia="zh-CN"/>
        </w:rPr>
      </w:pPr>
      <w:r w:rsidRPr="007300C8">
        <w:rPr>
          <w:lang w:eastAsia="zh-CN"/>
        </w:rPr>
        <w:t>在会议期间获得文件的标准做法是通过专门的共享点</w:t>
      </w:r>
      <w:r w:rsidR="00A70017">
        <w:rPr>
          <w:lang w:eastAsia="zh-CN"/>
        </w:rPr>
        <w:t>（</w:t>
      </w:r>
      <w:r w:rsidRPr="007300C8">
        <w:rPr>
          <w:lang w:eastAsia="zh-CN"/>
        </w:rPr>
        <w:t>Sharepoint</w:t>
      </w:r>
      <w:r w:rsidR="00A70017">
        <w:rPr>
          <w:lang w:eastAsia="zh-CN"/>
        </w:rPr>
        <w:t>）</w:t>
      </w:r>
      <w:r w:rsidRPr="007300C8">
        <w:rPr>
          <w:lang w:eastAsia="zh-CN"/>
        </w:rPr>
        <w:t>网站获得文件，所有的研究组和工作组会议现在完全是无纸会议。</w:t>
      </w:r>
    </w:p>
    <w:p w:rsidR="007300C8" w:rsidRPr="007300C8" w:rsidRDefault="007300C8" w:rsidP="00CD3943">
      <w:pPr>
        <w:pStyle w:val="Heading2"/>
        <w:rPr>
          <w:lang w:eastAsia="zh-CN"/>
        </w:rPr>
      </w:pPr>
      <w:r w:rsidRPr="007300C8">
        <w:rPr>
          <w:lang w:eastAsia="zh-CN"/>
        </w:rPr>
        <w:lastRenderedPageBreak/>
        <w:t>3.3</w:t>
      </w:r>
      <w:r w:rsidRPr="007300C8">
        <w:rPr>
          <w:lang w:eastAsia="zh-CN"/>
        </w:rPr>
        <w:tab/>
      </w:r>
      <w:r w:rsidR="007D2EED">
        <w:rPr>
          <w:rFonts w:hint="eastAsia"/>
          <w:lang w:eastAsia="zh-CN"/>
        </w:rPr>
        <w:t>文</w:t>
      </w:r>
      <w:r w:rsidR="00CD3943">
        <w:rPr>
          <w:rFonts w:hint="eastAsia"/>
          <w:lang w:eastAsia="zh-CN"/>
        </w:rPr>
        <w:t>档</w:t>
      </w:r>
      <w:r w:rsidR="007D2EED">
        <w:rPr>
          <w:rFonts w:hint="eastAsia"/>
          <w:lang w:eastAsia="zh-CN"/>
        </w:rPr>
        <w:t>同步</w:t>
      </w:r>
    </w:p>
    <w:p w:rsidR="007300C8" w:rsidRPr="007300C8" w:rsidRDefault="007300C8" w:rsidP="007D2EED">
      <w:pPr>
        <w:ind w:firstLineChars="200" w:firstLine="480"/>
        <w:rPr>
          <w:lang w:eastAsia="zh-CN"/>
        </w:rPr>
      </w:pPr>
      <w:r w:rsidRPr="007300C8">
        <w:rPr>
          <w:lang w:eastAsia="zh-CN"/>
        </w:rPr>
        <w:t>已为所有研究组</w:t>
      </w:r>
      <w:r w:rsidRPr="007300C8">
        <w:rPr>
          <w:lang w:eastAsia="zh-CN"/>
        </w:rPr>
        <w:t>/</w:t>
      </w:r>
      <w:r w:rsidRPr="007300C8">
        <w:rPr>
          <w:lang w:eastAsia="zh-CN"/>
        </w:rPr>
        <w:t>工作组会议实施了文档同步设施，以方便代表在会议期间得到最新版本文件。</w:t>
      </w:r>
      <w:r w:rsidR="007D2EED">
        <w:rPr>
          <w:rFonts w:hint="eastAsia"/>
          <w:lang w:eastAsia="zh-CN"/>
        </w:rPr>
        <w:t>更加完善的同步手段正在调研之中。</w:t>
      </w:r>
    </w:p>
    <w:p w:rsidR="007300C8" w:rsidRPr="007300C8" w:rsidRDefault="007300C8" w:rsidP="007A5B2E">
      <w:pPr>
        <w:pStyle w:val="Heading2"/>
        <w:rPr>
          <w:lang w:eastAsia="zh-CN"/>
        </w:rPr>
      </w:pPr>
      <w:r w:rsidRPr="007300C8">
        <w:rPr>
          <w:lang w:eastAsia="zh-CN"/>
        </w:rPr>
        <w:t>3.4</w:t>
      </w:r>
      <w:r w:rsidRPr="007300C8">
        <w:rPr>
          <w:lang w:eastAsia="zh-CN"/>
        </w:rPr>
        <w:tab/>
      </w:r>
      <w:r w:rsidRPr="007300C8">
        <w:rPr>
          <w:lang w:eastAsia="zh-CN"/>
        </w:rPr>
        <w:t>在线与会者名单</w:t>
      </w:r>
    </w:p>
    <w:p w:rsidR="007300C8" w:rsidRPr="007300C8" w:rsidRDefault="007300C8" w:rsidP="00CD3943">
      <w:pPr>
        <w:ind w:firstLineChars="200" w:firstLine="480"/>
        <w:rPr>
          <w:lang w:eastAsia="zh-CN"/>
        </w:rPr>
      </w:pPr>
      <w:r w:rsidRPr="007300C8">
        <w:rPr>
          <w:lang w:eastAsia="zh-CN"/>
        </w:rPr>
        <w:t>2013</w:t>
      </w:r>
      <w:r w:rsidRPr="007300C8">
        <w:rPr>
          <w:lang w:eastAsia="zh-CN"/>
        </w:rPr>
        <w:t>年</w:t>
      </w:r>
      <w:r w:rsidRPr="007300C8">
        <w:rPr>
          <w:lang w:eastAsia="zh-CN"/>
        </w:rPr>
        <w:t>5</w:t>
      </w:r>
      <w:r w:rsidRPr="007300C8">
        <w:rPr>
          <w:lang w:eastAsia="zh-CN"/>
        </w:rPr>
        <w:t>月</w:t>
      </w:r>
      <w:r w:rsidR="00CD3943">
        <w:rPr>
          <w:rFonts w:hint="eastAsia"/>
          <w:lang w:eastAsia="zh-CN"/>
        </w:rPr>
        <w:t>初将推出</w:t>
      </w:r>
      <w:r w:rsidRPr="007300C8">
        <w:rPr>
          <w:lang w:eastAsia="zh-CN"/>
        </w:rPr>
        <w:t>RAG-13</w:t>
      </w:r>
      <w:r w:rsidR="00CD3943">
        <w:rPr>
          <w:lang w:eastAsia="zh-CN"/>
        </w:rPr>
        <w:t>在线版</w:t>
      </w:r>
      <w:r w:rsidRPr="007300C8">
        <w:rPr>
          <w:lang w:eastAsia="zh-CN"/>
        </w:rPr>
        <w:t>与会者名单，该版本的获取仅限于</w:t>
      </w:r>
      <w:r w:rsidRPr="007300C8">
        <w:rPr>
          <w:lang w:eastAsia="zh-CN"/>
        </w:rPr>
        <w:t>TIES</w:t>
      </w:r>
      <w:r w:rsidRPr="007300C8">
        <w:rPr>
          <w:lang w:eastAsia="zh-CN"/>
        </w:rPr>
        <w:t>用户。根据姓名、代表团成员和职务等参数可搜索该随时可能变化的名单。</w:t>
      </w:r>
      <w:r w:rsidR="00CD3943">
        <w:rPr>
          <w:lang w:eastAsia="zh-CN"/>
        </w:rPr>
        <w:t>RAG-13</w:t>
      </w:r>
      <w:r w:rsidR="007D2EED">
        <w:rPr>
          <w:rFonts w:hint="eastAsia"/>
          <w:lang w:eastAsia="zh-CN"/>
        </w:rPr>
        <w:t>与会者名单在线版可从</w:t>
      </w:r>
      <w:hyperlink r:id="rId10" w:history="1">
        <w:r w:rsidRPr="007300C8">
          <w:rPr>
            <w:rStyle w:val="Hyperlink"/>
            <w:lang w:eastAsia="zh-CN"/>
          </w:rPr>
          <w:t>RAG-13</w:t>
        </w:r>
        <w:r w:rsidR="007D2EED">
          <w:rPr>
            <w:rStyle w:val="Hyperlink"/>
            <w:rFonts w:hint="eastAsia"/>
            <w:lang w:eastAsia="zh-CN"/>
          </w:rPr>
          <w:t>网页</w:t>
        </w:r>
      </w:hyperlink>
      <w:r w:rsidR="007D2EED">
        <w:rPr>
          <w:rFonts w:hint="eastAsia"/>
          <w:lang w:eastAsia="zh-CN"/>
        </w:rPr>
        <w:t>获取。所有</w:t>
      </w:r>
      <w:r w:rsidR="00CD3943">
        <w:rPr>
          <w:lang w:eastAsia="zh-CN"/>
        </w:rPr>
        <w:t>ITU-R</w:t>
      </w:r>
      <w:r w:rsidR="007D2EED">
        <w:rPr>
          <w:rFonts w:hint="eastAsia"/>
          <w:lang w:eastAsia="zh-CN"/>
        </w:rPr>
        <w:t>研究组活动都计划引入在线与会者名单。</w:t>
      </w:r>
    </w:p>
    <w:p w:rsidR="007300C8" w:rsidRPr="007300C8" w:rsidRDefault="007300C8" w:rsidP="007A5B2E">
      <w:pPr>
        <w:pStyle w:val="Heading2"/>
        <w:rPr>
          <w:lang w:eastAsia="zh-CN"/>
        </w:rPr>
      </w:pPr>
      <w:r w:rsidRPr="007300C8">
        <w:rPr>
          <w:lang w:eastAsia="zh-CN"/>
        </w:rPr>
        <w:t>3.5</w:t>
      </w:r>
      <w:r w:rsidRPr="007300C8">
        <w:rPr>
          <w:lang w:eastAsia="zh-CN"/>
        </w:rPr>
        <w:tab/>
      </w:r>
      <w:r w:rsidRPr="007300C8">
        <w:rPr>
          <w:lang w:eastAsia="zh-CN"/>
        </w:rPr>
        <w:t>远程与会</w:t>
      </w:r>
    </w:p>
    <w:p w:rsidR="007300C8" w:rsidRPr="007300C8" w:rsidRDefault="007300C8" w:rsidP="007A5B2E">
      <w:pPr>
        <w:ind w:firstLineChars="200" w:firstLine="480"/>
        <w:rPr>
          <w:lang w:eastAsia="zh-CN"/>
        </w:rPr>
      </w:pPr>
      <w:r w:rsidRPr="007300C8">
        <w:rPr>
          <w:lang w:eastAsia="zh-CN"/>
        </w:rPr>
        <w:t>第</w:t>
      </w:r>
      <w:r w:rsidRPr="007300C8">
        <w:rPr>
          <w:lang w:eastAsia="zh-CN"/>
        </w:rPr>
        <w:t>167</w:t>
      </w:r>
      <w:r w:rsidRPr="007300C8">
        <w:rPr>
          <w:lang w:eastAsia="zh-CN"/>
        </w:rPr>
        <w:t>号决议</w:t>
      </w:r>
      <w:r w:rsidR="00A70017">
        <w:rPr>
          <w:lang w:eastAsia="zh-CN"/>
        </w:rPr>
        <w:t>（</w:t>
      </w:r>
      <w:r w:rsidRPr="007300C8">
        <w:rPr>
          <w:lang w:eastAsia="zh-CN"/>
        </w:rPr>
        <w:t>2010</w:t>
      </w:r>
      <w:r w:rsidRPr="007300C8">
        <w:rPr>
          <w:lang w:eastAsia="zh-CN"/>
        </w:rPr>
        <w:t>年，瓜达拉哈拉</w:t>
      </w:r>
      <w:r w:rsidR="00A70017">
        <w:rPr>
          <w:lang w:eastAsia="zh-CN"/>
        </w:rPr>
        <w:t>）</w:t>
      </w:r>
      <w:r w:rsidRPr="007300C8">
        <w:rPr>
          <w:lang w:eastAsia="zh-CN"/>
        </w:rPr>
        <w:t>责成无线电通信局主任在与部门顾问组磋商的基础上采取行动，为不能出席面对面会议的代表参与部门会议提供适当的电子参与手段或观察设施。</w:t>
      </w:r>
    </w:p>
    <w:p w:rsidR="000667EB" w:rsidRDefault="00D91D90" w:rsidP="00CD3943">
      <w:pPr>
        <w:ind w:firstLineChars="200" w:firstLine="480"/>
        <w:rPr>
          <w:lang w:eastAsia="zh-CN"/>
        </w:rPr>
      </w:pPr>
      <w:r>
        <w:rPr>
          <w:rFonts w:hint="eastAsia"/>
          <w:lang w:eastAsia="zh-CN"/>
        </w:rPr>
        <w:t>自</w:t>
      </w:r>
      <w:r w:rsidR="007300C8" w:rsidRPr="007300C8">
        <w:rPr>
          <w:lang w:eastAsia="zh-CN"/>
        </w:rPr>
        <w:t>RAG</w:t>
      </w:r>
      <w:r>
        <w:rPr>
          <w:rFonts w:hint="eastAsia"/>
          <w:lang w:eastAsia="zh-CN"/>
        </w:rPr>
        <w:t>上次会议以来</w:t>
      </w:r>
      <w:r w:rsidR="00CD3943">
        <w:rPr>
          <w:rFonts w:hint="eastAsia"/>
          <w:lang w:eastAsia="zh-CN"/>
        </w:rPr>
        <w:t>，所有在日内瓦召开</w:t>
      </w:r>
      <w:r w:rsidR="007300C8" w:rsidRPr="007300C8">
        <w:rPr>
          <w:lang w:eastAsia="zh-CN"/>
        </w:rPr>
        <w:t>的研究组全体会议</w:t>
      </w:r>
      <w:r w:rsidR="00CD3943">
        <w:rPr>
          <w:rFonts w:hint="eastAsia"/>
          <w:lang w:eastAsia="zh-CN"/>
        </w:rPr>
        <w:t>和工作组都</w:t>
      </w:r>
      <w:r w:rsidR="007300C8" w:rsidRPr="007300C8">
        <w:rPr>
          <w:lang w:eastAsia="zh-CN"/>
        </w:rPr>
        <w:t>将所有可用语言</w:t>
      </w:r>
      <w:r w:rsidR="00CD3943">
        <w:rPr>
          <w:rFonts w:hint="eastAsia"/>
          <w:lang w:eastAsia="zh-CN"/>
        </w:rPr>
        <w:t>提供音频网播</w:t>
      </w:r>
      <w:r w:rsidR="007300C8" w:rsidRPr="007300C8">
        <w:rPr>
          <w:lang w:eastAsia="zh-CN"/>
        </w:rPr>
        <w:t>。</w:t>
      </w:r>
    </w:p>
    <w:p w:rsidR="007300C8" w:rsidRPr="007300C8" w:rsidRDefault="00CD3943" w:rsidP="00FA1100">
      <w:pPr>
        <w:ind w:firstLineChars="200" w:firstLine="480"/>
        <w:rPr>
          <w:lang w:eastAsia="zh-CN"/>
        </w:rPr>
      </w:pPr>
      <w:r>
        <w:rPr>
          <w:rFonts w:hint="eastAsia"/>
          <w:lang w:eastAsia="zh-CN"/>
        </w:rPr>
        <w:t>在</w:t>
      </w:r>
      <w:r w:rsidR="007300C8" w:rsidRPr="007300C8">
        <w:rPr>
          <w:lang w:eastAsia="zh-CN"/>
        </w:rPr>
        <w:t>工作组会议</w:t>
      </w:r>
      <w:r>
        <w:rPr>
          <w:rFonts w:hint="eastAsia"/>
          <w:lang w:eastAsia="zh-CN"/>
        </w:rPr>
        <w:t>期间</w:t>
      </w:r>
      <w:r w:rsidR="007300C8" w:rsidRPr="007300C8">
        <w:rPr>
          <w:lang w:eastAsia="zh-CN"/>
        </w:rPr>
        <w:t>，也将仅以英文提供</w:t>
      </w:r>
      <w:r w:rsidR="007300C8" w:rsidRPr="007300C8">
        <w:rPr>
          <w:lang w:eastAsia="zh-CN"/>
        </w:rPr>
        <w:t>Adobe</w:t>
      </w:r>
      <w:r w:rsidR="007300C8" w:rsidRPr="007300C8">
        <w:rPr>
          <w:lang w:eastAsia="zh-CN"/>
        </w:rPr>
        <w:t>连接设施</w:t>
      </w:r>
      <w:r>
        <w:rPr>
          <w:rFonts w:hint="eastAsia"/>
          <w:lang w:eastAsia="zh-CN"/>
        </w:rPr>
        <w:t>以提供远程参会的可能性</w:t>
      </w:r>
      <w:r w:rsidR="007300C8" w:rsidRPr="007300C8">
        <w:rPr>
          <w:lang w:eastAsia="zh-CN"/>
        </w:rPr>
        <w:t>。希望积极进行远程参与</w:t>
      </w:r>
      <w:r w:rsidR="00A70017">
        <w:rPr>
          <w:lang w:eastAsia="zh-CN"/>
        </w:rPr>
        <w:t>（</w:t>
      </w:r>
      <w:r w:rsidR="007300C8" w:rsidRPr="007300C8">
        <w:rPr>
          <w:lang w:eastAsia="zh-CN"/>
        </w:rPr>
        <w:t>如介绍文稿</w:t>
      </w:r>
      <w:r w:rsidR="00A70017">
        <w:rPr>
          <w:lang w:eastAsia="zh-CN"/>
        </w:rPr>
        <w:t>）</w:t>
      </w:r>
      <w:r w:rsidR="007300C8" w:rsidRPr="007300C8">
        <w:rPr>
          <w:lang w:eastAsia="zh-CN"/>
        </w:rPr>
        <w:t>的与会者需要事先进行会议注册并与负责具体工作的顾问进行协调。</w:t>
      </w:r>
    </w:p>
    <w:p w:rsidR="007300C8" w:rsidRPr="007300C8" w:rsidRDefault="00D91D90" w:rsidP="00D91D90">
      <w:pPr>
        <w:ind w:firstLineChars="200" w:firstLine="480"/>
        <w:rPr>
          <w:lang w:eastAsia="zh-CN"/>
        </w:rPr>
      </w:pPr>
      <w:r>
        <w:rPr>
          <w:rFonts w:hint="eastAsia"/>
          <w:lang w:eastAsia="zh-CN"/>
        </w:rPr>
        <w:t>去年曾有</w:t>
      </w:r>
      <w:r>
        <w:rPr>
          <w:rFonts w:hint="eastAsia"/>
          <w:lang w:eastAsia="zh-CN"/>
        </w:rPr>
        <w:t>10</w:t>
      </w:r>
      <w:r>
        <w:rPr>
          <w:rFonts w:hint="eastAsia"/>
          <w:lang w:eastAsia="zh-CN"/>
        </w:rPr>
        <w:t>个工作组提供了远程参会，方便与会者介绍文稿。一般情况下，一场会议只能有</w:t>
      </w:r>
      <w:r>
        <w:rPr>
          <w:rFonts w:hint="eastAsia"/>
          <w:lang w:eastAsia="zh-CN"/>
        </w:rPr>
        <w:t>1-2</w:t>
      </w:r>
      <w:r>
        <w:rPr>
          <w:rFonts w:hint="eastAsia"/>
          <w:lang w:eastAsia="zh-CN"/>
        </w:rPr>
        <w:t>个在线远程与会者。从收到的反馈看，普遍认为这种参会手段很有益，但难以安排时间并拖延会议。</w:t>
      </w:r>
    </w:p>
    <w:p w:rsidR="007300C8" w:rsidRPr="007300C8" w:rsidRDefault="00D91D90" w:rsidP="00D91D90">
      <w:pPr>
        <w:ind w:firstLineChars="200" w:firstLine="480"/>
        <w:rPr>
          <w:lang w:eastAsia="zh-CN"/>
        </w:rPr>
      </w:pPr>
      <w:r w:rsidRPr="007300C8">
        <w:rPr>
          <w:lang w:eastAsia="zh-CN"/>
        </w:rPr>
        <w:t>2012</w:t>
      </w:r>
      <w:r>
        <w:rPr>
          <w:rFonts w:hint="eastAsia"/>
          <w:lang w:eastAsia="zh-CN"/>
        </w:rPr>
        <w:t>年</w:t>
      </w:r>
      <w:r>
        <w:rPr>
          <w:rFonts w:hint="eastAsia"/>
          <w:lang w:eastAsia="zh-CN"/>
        </w:rPr>
        <w:t>12</w:t>
      </w:r>
      <w:r>
        <w:rPr>
          <w:rFonts w:hint="eastAsia"/>
          <w:lang w:eastAsia="zh-CN"/>
        </w:rPr>
        <w:t>月</w:t>
      </w:r>
      <w:r>
        <w:rPr>
          <w:rFonts w:hint="eastAsia"/>
          <w:lang w:eastAsia="zh-CN"/>
        </w:rPr>
        <w:t>18</w:t>
      </w:r>
      <w:r>
        <w:rPr>
          <w:rFonts w:hint="eastAsia"/>
          <w:lang w:eastAsia="zh-CN"/>
        </w:rPr>
        <w:t>日的</w:t>
      </w:r>
      <w:r w:rsidRPr="007300C8">
        <w:rPr>
          <w:lang w:eastAsia="zh-CN"/>
        </w:rPr>
        <w:t>CPM-15</w:t>
      </w:r>
      <w:r>
        <w:rPr>
          <w:rFonts w:hint="eastAsia"/>
          <w:lang w:eastAsia="zh-CN"/>
        </w:rPr>
        <w:t>指导委员会会议提供了远程参会，以审议向</w:t>
      </w:r>
      <w:r w:rsidRPr="007300C8">
        <w:rPr>
          <w:lang w:eastAsia="zh-CN"/>
        </w:rPr>
        <w:t>WRC-15</w:t>
      </w:r>
      <w:r>
        <w:rPr>
          <w:rFonts w:hint="eastAsia"/>
          <w:lang w:eastAsia="zh-CN"/>
        </w:rPr>
        <w:t>提交的</w:t>
      </w:r>
      <w:r w:rsidR="00CD3943">
        <w:rPr>
          <w:lang w:eastAsia="zh-CN"/>
        </w:rPr>
        <w:t>CPM</w:t>
      </w:r>
      <w:r>
        <w:rPr>
          <w:rFonts w:hint="eastAsia"/>
          <w:lang w:eastAsia="zh-CN"/>
        </w:rPr>
        <w:t>报告草案的拟定</w:t>
      </w:r>
      <w:r w:rsidR="001B451C">
        <w:rPr>
          <w:rFonts w:hint="eastAsia"/>
          <w:lang w:eastAsia="zh-CN"/>
        </w:rPr>
        <w:t>工作</w:t>
      </w:r>
      <w:r>
        <w:rPr>
          <w:rFonts w:hint="eastAsia"/>
          <w:lang w:eastAsia="zh-CN"/>
        </w:rPr>
        <w:t>。</w:t>
      </w:r>
      <w:r w:rsidRPr="007300C8">
        <w:rPr>
          <w:lang w:eastAsia="zh-CN"/>
        </w:rPr>
        <w:t>ITU-R</w:t>
      </w:r>
      <w:r>
        <w:rPr>
          <w:rFonts w:hint="eastAsia"/>
          <w:lang w:eastAsia="zh-CN"/>
        </w:rPr>
        <w:t>各研究组和负责小组主席也应邀参加了会议。远程参会设施发挥了良好作用。</w:t>
      </w:r>
    </w:p>
    <w:p w:rsidR="007300C8" w:rsidRPr="007300C8" w:rsidRDefault="00D91D90" w:rsidP="00BC20E6">
      <w:pPr>
        <w:ind w:firstLineChars="200" w:firstLine="480"/>
        <w:rPr>
          <w:lang w:eastAsia="zh-CN"/>
        </w:rPr>
      </w:pPr>
      <w:r>
        <w:rPr>
          <w:rFonts w:hint="eastAsia"/>
          <w:lang w:eastAsia="zh-CN"/>
        </w:rPr>
        <w:t>词汇协调委员会</w:t>
      </w:r>
      <w:r w:rsidR="00A70017">
        <w:rPr>
          <w:lang w:eastAsia="zh-CN"/>
        </w:rPr>
        <w:t>（</w:t>
      </w:r>
      <w:r w:rsidR="007300C8" w:rsidRPr="007300C8">
        <w:rPr>
          <w:lang w:eastAsia="zh-CN"/>
        </w:rPr>
        <w:t>CCV</w:t>
      </w:r>
      <w:r w:rsidR="00A70017">
        <w:rPr>
          <w:lang w:eastAsia="zh-CN"/>
        </w:rPr>
        <w:t>）</w:t>
      </w:r>
      <w:r>
        <w:rPr>
          <w:rFonts w:hint="eastAsia"/>
          <w:lang w:eastAsia="zh-CN"/>
        </w:rPr>
        <w:t>在</w:t>
      </w:r>
      <w:r w:rsidR="001B451C">
        <w:rPr>
          <w:rFonts w:hint="eastAsia"/>
          <w:lang w:eastAsia="zh-CN"/>
        </w:rPr>
        <w:t>将采用远程参会后收效良好。</w:t>
      </w:r>
      <w:r w:rsidR="00BC20E6">
        <w:rPr>
          <w:rFonts w:hint="eastAsia"/>
          <w:lang w:eastAsia="zh-CN"/>
        </w:rPr>
        <w:t>2012</w:t>
      </w:r>
      <w:r w:rsidR="00BC20E6">
        <w:rPr>
          <w:rFonts w:hint="eastAsia"/>
          <w:lang w:eastAsia="zh-CN"/>
        </w:rPr>
        <w:t>年</w:t>
      </w:r>
      <w:r w:rsidR="00BC20E6">
        <w:rPr>
          <w:rFonts w:hint="eastAsia"/>
          <w:lang w:eastAsia="zh-CN"/>
        </w:rPr>
        <w:t>6</w:t>
      </w:r>
      <w:r w:rsidR="00BC20E6">
        <w:rPr>
          <w:rFonts w:hint="eastAsia"/>
          <w:lang w:eastAsia="zh-CN"/>
        </w:rPr>
        <w:t>月</w:t>
      </w:r>
      <w:r w:rsidR="00BC20E6">
        <w:rPr>
          <w:rFonts w:hint="eastAsia"/>
          <w:lang w:eastAsia="zh-CN"/>
        </w:rPr>
        <w:t>27</w:t>
      </w:r>
      <w:r w:rsidR="00BC20E6">
        <w:rPr>
          <w:rFonts w:hint="eastAsia"/>
          <w:lang w:eastAsia="zh-CN"/>
        </w:rPr>
        <w:t>日的会议上，</w:t>
      </w:r>
      <w:r w:rsidR="001B451C">
        <w:rPr>
          <w:rFonts w:hint="eastAsia"/>
          <w:lang w:eastAsia="zh-CN"/>
        </w:rPr>
        <w:t>在</w:t>
      </w:r>
      <w:r w:rsidR="001B451C">
        <w:rPr>
          <w:rFonts w:hint="eastAsia"/>
          <w:lang w:eastAsia="zh-CN"/>
        </w:rPr>
        <w:t>11</w:t>
      </w:r>
      <w:r w:rsidR="001B451C">
        <w:rPr>
          <w:rFonts w:hint="eastAsia"/>
          <w:lang w:eastAsia="zh-CN"/>
        </w:rPr>
        <w:t>位与会者中的</w:t>
      </w:r>
      <w:r w:rsidR="001B451C">
        <w:rPr>
          <w:rFonts w:hint="eastAsia"/>
          <w:lang w:eastAsia="zh-CN"/>
        </w:rPr>
        <w:t>3</w:t>
      </w:r>
      <w:r w:rsidR="001B451C">
        <w:rPr>
          <w:rFonts w:hint="eastAsia"/>
          <w:lang w:eastAsia="zh-CN"/>
        </w:rPr>
        <w:t>位采用了远程参会设施。</w:t>
      </w:r>
      <w:r w:rsidR="001B451C">
        <w:rPr>
          <w:rFonts w:hint="eastAsia"/>
          <w:lang w:eastAsia="zh-CN"/>
        </w:rPr>
        <w:t>2012</w:t>
      </w:r>
      <w:r w:rsidR="001B451C">
        <w:rPr>
          <w:rFonts w:hint="eastAsia"/>
          <w:lang w:eastAsia="zh-CN"/>
        </w:rPr>
        <w:t>年</w:t>
      </w:r>
      <w:r w:rsidR="001B451C">
        <w:rPr>
          <w:rFonts w:hint="eastAsia"/>
          <w:lang w:eastAsia="zh-CN"/>
        </w:rPr>
        <w:t>11</w:t>
      </w:r>
      <w:r w:rsidR="001B451C">
        <w:rPr>
          <w:rFonts w:hint="eastAsia"/>
          <w:lang w:eastAsia="zh-CN"/>
        </w:rPr>
        <w:t>月</w:t>
      </w:r>
      <w:r w:rsidR="001B451C">
        <w:rPr>
          <w:rFonts w:hint="eastAsia"/>
          <w:lang w:eastAsia="zh-CN"/>
        </w:rPr>
        <w:t>16</w:t>
      </w:r>
      <w:r w:rsidR="001B451C">
        <w:rPr>
          <w:rFonts w:hint="eastAsia"/>
          <w:lang w:eastAsia="zh-CN"/>
        </w:rPr>
        <w:t>日，</w:t>
      </w:r>
      <w:r w:rsidR="001B451C">
        <w:rPr>
          <w:rFonts w:hint="eastAsia"/>
          <w:lang w:eastAsia="zh-CN"/>
        </w:rPr>
        <w:t>10</w:t>
      </w:r>
      <w:r w:rsidR="001B451C">
        <w:rPr>
          <w:rFonts w:hint="eastAsia"/>
          <w:lang w:eastAsia="zh-CN"/>
        </w:rPr>
        <w:t>位与会者中，</w:t>
      </w:r>
      <w:r w:rsidR="001B451C">
        <w:rPr>
          <w:rFonts w:hint="eastAsia"/>
          <w:lang w:eastAsia="zh-CN"/>
        </w:rPr>
        <w:t>5</w:t>
      </w:r>
      <w:r w:rsidR="001B451C">
        <w:rPr>
          <w:rFonts w:hint="eastAsia"/>
          <w:lang w:eastAsia="zh-CN"/>
        </w:rPr>
        <w:t>位得到远程连接。</w:t>
      </w:r>
    </w:p>
    <w:p w:rsidR="007300C8" w:rsidRPr="007300C8" w:rsidRDefault="00E9205A" w:rsidP="00BB7A2B">
      <w:pPr>
        <w:ind w:firstLineChars="200" w:firstLine="480"/>
        <w:rPr>
          <w:lang w:eastAsia="zh-CN"/>
        </w:rPr>
      </w:pPr>
      <w:r>
        <w:rPr>
          <w:rFonts w:hint="eastAsia"/>
          <w:lang w:eastAsia="zh-CN"/>
        </w:rPr>
        <w:t>为支持信函通信小组的活动，该设施特别有助于在线讨论。在</w:t>
      </w:r>
      <w:r>
        <w:rPr>
          <w:rFonts w:hint="eastAsia"/>
          <w:lang w:eastAsia="zh-CN"/>
        </w:rPr>
        <w:t>2012</w:t>
      </w:r>
      <w:r>
        <w:rPr>
          <w:rFonts w:hint="eastAsia"/>
          <w:lang w:eastAsia="zh-CN"/>
        </w:rPr>
        <w:t>年开展了五次在线讨论，</w:t>
      </w:r>
      <w:r w:rsidR="00BB7A2B">
        <w:rPr>
          <w:rFonts w:hint="eastAsia"/>
          <w:lang w:eastAsia="zh-CN"/>
        </w:rPr>
        <w:t>每次通常有</w:t>
      </w:r>
      <w:r>
        <w:rPr>
          <w:rFonts w:hint="eastAsia"/>
          <w:lang w:eastAsia="zh-CN"/>
        </w:rPr>
        <w:t>10-20</w:t>
      </w:r>
      <w:r>
        <w:rPr>
          <w:rFonts w:hint="eastAsia"/>
          <w:lang w:eastAsia="zh-CN"/>
        </w:rPr>
        <w:t>位与会者。</w:t>
      </w:r>
    </w:p>
    <w:p w:rsidR="007300C8" w:rsidRPr="007300C8" w:rsidRDefault="007300C8" w:rsidP="007A5B2E">
      <w:pPr>
        <w:ind w:firstLineChars="200" w:firstLine="480"/>
        <w:rPr>
          <w:lang w:eastAsia="zh-CN"/>
        </w:rPr>
      </w:pPr>
      <w:r w:rsidRPr="007300C8">
        <w:rPr>
          <w:lang w:eastAsia="zh-CN"/>
        </w:rPr>
        <w:t>虽然秘书处将尽一切努力为此种积极远程参与提供便利，但应当认识到在某些情况下，由于下列因素可能难以做到这一点：并非所有会议厅都配备有适当设备；支撑人员数量有限且并行会议众多；远程与会者需要具备高质量的互联网和电话连接。</w:t>
      </w:r>
    </w:p>
    <w:p w:rsidR="007300C8" w:rsidRPr="007300C8" w:rsidRDefault="007300C8" w:rsidP="00156A65">
      <w:pPr>
        <w:pStyle w:val="Heading2"/>
        <w:rPr>
          <w:lang w:eastAsia="zh-CN"/>
        </w:rPr>
      </w:pPr>
      <w:r w:rsidRPr="007300C8">
        <w:rPr>
          <w:lang w:eastAsia="zh-CN"/>
        </w:rPr>
        <w:t>3.6</w:t>
      </w:r>
      <w:r w:rsidRPr="007300C8">
        <w:rPr>
          <w:lang w:eastAsia="zh-CN"/>
        </w:rPr>
        <w:tab/>
      </w:r>
      <w:r w:rsidRPr="007300C8">
        <w:rPr>
          <w:lang w:eastAsia="zh-CN"/>
        </w:rPr>
        <w:t>研究组</w:t>
      </w:r>
      <w:r w:rsidR="00156A65">
        <w:rPr>
          <w:rFonts w:hint="eastAsia"/>
          <w:lang w:eastAsia="zh-CN"/>
        </w:rPr>
        <w:t>网页</w:t>
      </w:r>
    </w:p>
    <w:p w:rsidR="007300C8" w:rsidRPr="007300C8" w:rsidRDefault="00FE44D6" w:rsidP="00C3049B">
      <w:pPr>
        <w:ind w:firstLineChars="200" w:firstLine="480"/>
        <w:rPr>
          <w:lang w:eastAsia="zh-CN"/>
        </w:rPr>
      </w:pPr>
      <w:r>
        <w:rPr>
          <w:rFonts w:hint="eastAsia"/>
          <w:lang w:eastAsia="zh-CN"/>
        </w:rPr>
        <w:t>国际电联正在更改网页面貌</w:t>
      </w:r>
      <w:r w:rsidR="00A1743E">
        <w:rPr>
          <w:rFonts w:hint="eastAsia"/>
          <w:lang w:eastAsia="zh-CN"/>
        </w:rPr>
        <w:t>，以便使所有国际电联网站获得更新并保持一致。</w:t>
      </w:r>
      <w:r w:rsidR="00A1743E">
        <w:rPr>
          <w:rFonts w:hint="eastAsia"/>
          <w:lang w:eastAsia="zh-CN"/>
        </w:rPr>
        <w:t xml:space="preserve"> </w:t>
      </w:r>
      <w:r w:rsidR="00A1743E">
        <w:rPr>
          <w:rFonts w:hint="eastAsia"/>
          <w:lang w:eastAsia="zh-CN"/>
        </w:rPr>
        <w:t>研究组通用网页的形式已焕然一新，各研究组的网页将在研究组集中开会后逐步更换，以避免对会议造成影响</w:t>
      </w:r>
      <w:r w:rsidR="00C3049B">
        <w:rPr>
          <w:rFonts w:hint="eastAsia"/>
          <w:lang w:eastAsia="zh-CN"/>
        </w:rPr>
        <w:t>。</w:t>
      </w:r>
      <w:r w:rsidR="00C3049B">
        <w:rPr>
          <w:rFonts w:hint="eastAsia"/>
          <w:lang w:eastAsia="zh-CN"/>
        </w:rPr>
        <w:t xml:space="preserve"> </w:t>
      </w:r>
    </w:p>
    <w:p w:rsidR="007300C8" w:rsidRPr="007300C8" w:rsidRDefault="007300C8" w:rsidP="00156A65">
      <w:pPr>
        <w:pStyle w:val="Heading2"/>
        <w:rPr>
          <w:lang w:eastAsia="zh-CN"/>
        </w:rPr>
      </w:pPr>
      <w:r w:rsidRPr="007300C8">
        <w:rPr>
          <w:lang w:eastAsia="zh-CN"/>
        </w:rPr>
        <w:t>3.7</w:t>
      </w:r>
      <w:r w:rsidRPr="007300C8">
        <w:rPr>
          <w:lang w:eastAsia="zh-CN"/>
        </w:rPr>
        <w:tab/>
      </w:r>
      <w:r w:rsidR="0003564E">
        <w:rPr>
          <w:rFonts w:hint="eastAsia"/>
          <w:lang w:eastAsia="zh-CN"/>
        </w:rPr>
        <w:t>建议书数据库和</w:t>
      </w:r>
      <w:r w:rsidR="00156A65">
        <w:rPr>
          <w:rFonts w:hint="eastAsia"/>
          <w:lang w:eastAsia="zh-CN"/>
        </w:rPr>
        <w:t>搜索</w:t>
      </w:r>
      <w:r w:rsidR="0003564E">
        <w:rPr>
          <w:rFonts w:hint="eastAsia"/>
          <w:lang w:eastAsia="zh-CN"/>
        </w:rPr>
        <w:t>设施</w:t>
      </w:r>
      <w:r w:rsidR="0003564E">
        <w:rPr>
          <w:rFonts w:hint="eastAsia"/>
          <w:lang w:eastAsia="zh-CN"/>
        </w:rPr>
        <w:t xml:space="preserve"> </w:t>
      </w:r>
    </w:p>
    <w:p w:rsidR="007300C8" w:rsidRPr="007300C8" w:rsidRDefault="0003564E" w:rsidP="00156A65">
      <w:pPr>
        <w:ind w:firstLineChars="200" w:firstLine="480"/>
        <w:rPr>
          <w:lang w:eastAsia="zh-CN"/>
        </w:rPr>
      </w:pPr>
      <w:r>
        <w:rPr>
          <w:rFonts w:hint="eastAsia"/>
          <w:lang w:eastAsia="zh-CN"/>
        </w:rPr>
        <w:t>正在为</w:t>
      </w:r>
      <w:r w:rsidRPr="007300C8">
        <w:rPr>
          <w:lang w:eastAsia="zh-CN"/>
        </w:rPr>
        <w:t>ITU-R</w:t>
      </w:r>
      <w:r>
        <w:rPr>
          <w:rFonts w:hint="eastAsia"/>
          <w:lang w:eastAsia="zh-CN"/>
        </w:rPr>
        <w:t>建议书开发的数据库具有先进的搜索设施，可以</w:t>
      </w:r>
      <w:r w:rsidR="00AD4CF9">
        <w:rPr>
          <w:rFonts w:hint="eastAsia"/>
          <w:lang w:eastAsia="zh-CN"/>
        </w:rPr>
        <w:t>通过</w:t>
      </w:r>
      <w:r w:rsidR="00156A65">
        <w:rPr>
          <w:rFonts w:hint="eastAsia"/>
          <w:lang w:eastAsia="zh-CN"/>
        </w:rPr>
        <w:t>无线电通信业务、无线电系统类型和适用频段等类别进行搜索和过滤。</w:t>
      </w:r>
      <w:r w:rsidR="00AD4CF9">
        <w:rPr>
          <w:rFonts w:hint="eastAsia"/>
          <w:lang w:eastAsia="zh-CN"/>
        </w:rPr>
        <w:t>一份</w:t>
      </w:r>
      <w:r w:rsidR="00AD4CF9">
        <w:rPr>
          <w:rFonts w:hint="eastAsia"/>
          <w:lang w:eastAsia="zh-CN"/>
        </w:rPr>
        <w:t>RAG</w:t>
      </w:r>
      <w:r w:rsidR="00AD4CF9">
        <w:rPr>
          <w:rFonts w:hint="eastAsia"/>
          <w:lang w:eastAsia="zh-CN"/>
        </w:rPr>
        <w:t>文件专门介绍该设施。</w:t>
      </w:r>
      <w:r w:rsidR="00AD4CF9">
        <w:rPr>
          <w:rFonts w:hint="eastAsia"/>
          <w:lang w:eastAsia="zh-CN"/>
        </w:rPr>
        <w:t xml:space="preserve"> </w:t>
      </w:r>
    </w:p>
    <w:p w:rsidR="007300C8" w:rsidRPr="007300C8" w:rsidRDefault="007300C8" w:rsidP="00AD4CF9">
      <w:pPr>
        <w:pStyle w:val="Heading2"/>
        <w:rPr>
          <w:lang w:eastAsia="zh-CN"/>
        </w:rPr>
      </w:pPr>
      <w:r w:rsidRPr="007300C8">
        <w:rPr>
          <w:lang w:eastAsia="zh-CN"/>
        </w:rPr>
        <w:lastRenderedPageBreak/>
        <w:t>3.8</w:t>
      </w:r>
      <w:r w:rsidRPr="007300C8">
        <w:rPr>
          <w:lang w:eastAsia="zh-CN"/>
        </w:rPr>
        <w:tab/>
      </w:r>
      <w:r w:rsidR="00AD4CF9">
        <w:rPr>
          <w:rFonts w:hint="eastAsia"/>
          <w:lang w:eastAsia="zh-CN"/>
        </w:rPr>
        <w:t>增强的信函通信小组工具</w:t>
      </w:r>
    </w:p>
    <w:p w:rsidR="007300C8" w:rsidRPr="007300C8" w:rsidRDefault="00C3049B" w:rsidP="00C3049B">
      <w:pPr>
        <w:ind w:firstLineChars="200" w:firstLine="480"/>
        <w:rPr>
          <w:lang w:eastAsia="zh-CN"/>
        </w:rPr>
      </w:pPr>
      <w:r>
        <w:rPr>
          <w:rFonts w:hint="eastAsia"/>
          <w:lang w:eastAsia="zh-CN"/>
        </w:rPr>
        <w:t>取代现有电子邮件通信录和</w:t>
      </w:r>
      <w:r w:rsidRPr="007300C8">
        <w:rPr>
          <w:lang w:eastAsia="zh-CN"/>
        </w:rPr>
        <w:t>ftp</w:t>
      </w:r>
      <w:r>
        <w:rPr>
          <w:rFonts w:hint="eastAsia"/>
          <w:lang w:eastAsia="zh-CN"/>
        </w:rPr>
        <w:t>服务器的增强型工具正在测试之中。测试结果将提交下次</w:t>
      </w:r>
      <w:r w:rsidRPr="007300C8">
        <w:rPr>
          <w:lang w:eastAsia="zh-CN"/>
        </w:rPr>
        <w:t>RAG</w:t>
      </w:r>
      <w:r>
        <w:rPr>
          <w:rFonts w:hint="eastAsia"/>
          <w:lang w:eastAsia="zh-CN"/>
        </w:rPr>
        <w:t>会议。</w:t>
      </w:r>
    </w:p>
    <w:p w:rsidR="007300C8" w:rsidRPr="007300C8" w:rsidRDefault="007300C8" w:rsidP="007A5B2E">
      <w:pPr>
        <w:pStyle w:val="Heading1"/>
        <w:rPr>
          <w:lang w:eastAsia="zh-CN"/>
        </w:rPr>
      </w:pPr>
      <w:r w:rsidRPr="007300C8">
        <w:rPr>
          <w:lang w:eastAsia="zh-CN"/>
        </w:rPr>
        <w:t>4</w:t>
      </w:r>
      <w:r w:rsidRPr="007300C8">
        <w:rPr>
          <w:lang w:eastAsia="zh-CN"/>
        </w:rPr>
        <w:tab/>
      </w:r>
      <w:r w:rsidRPr="007300C8">
        <w:rPr>
          <w:lang w:eastAsia="zh-CN"/>
        </w:rPr>
        <w:t>会议厅</w:t>
      </w:r>
    </w:p>
    <w:p w:rsidR="007300C8" w:rsidRPr="007300C8" w:rsidRDefault="007300C8" w:rsidP="00156A65">
      <w:pPr>
        <w:ind w:firstLineChars="200" w:firstLine="480"/>
        <w:rPr>
          <w:lang w:eastAsia="zh-CN"/>
        </w:rPr>
      </w:pPr>
      <w:r w:rsidRPr="007300C8">
        <w:rPr>
          <w:lang w:eastAsia="zh-CN"/>
        </w:rPr>
        <w:t>在越来越多的情况下，国际电联总部会议室不足的情况严重阻碍了会议的有效规划。</w:t>
      </w:r>
      <w:r w:rsidR="00156A65">
        <w:rPr>
          <w:rFonts w:hint="eastAsia"/>
          <w:lang w:eastAsia="zh-CN"/>
        </w:rPr>
        <w:t>以下</w:t>
      </w:r>
      <w:r w:rsidRPr="007300C8">
        <w:rPr>
          <w:lang w:eastAsia="zh-CN"/>
        </w:rPr>
        <w:t>因素使这一问题愈演愈烈：</w:t>
      </w:r>
    </w:p>
    <w:p w:rsidR="007300C8" w:rsidRPr="007300C8" w:rsidRDefault="007300C8" w:rsidP="00FA1100">
      <w:pPr>
        <w:pStyle w:val="enumlev1"/>
        <w:rPr>
          <w:lang w:eastAsia="zh-CN"/>
        </w:rPr>
      </w:pPr>
      <w:r w:rsidRPr="007300C8">
        <w:rPr>
          <w:lang w:eastAsia="zh-CN"/>
        </w:rPr>
        <w:t>i</w:t>
      </w:r>
      <w:r w:rsidR="00FA1100">
        <w:rPr>
          <w:rFonts w:hint="eastAsia"/>
          <w:lang w:eastAsia="zh-CN"/>
        </w:rPr>
        <w:t>)</w:t>
      </w:r>
      <w:r w:rsidRPr="007300C8">
        <w:rPr>
          <w:lang w:eastAsia="zh-CN"/>
        </w:rPr>
        <w:tab/>
      </w:r>
      <w:r w:rsidRPr="007300C8">
        <w:rPr>
          <w:lang w:eastAsia="zh-CN"/>
        </w:rPr>
        <w:t>三个部门和总秘书处安排的会议不断增加；</w:t>
      </w:r>
    </w:p>
    <w:p w:rsidR="007300C8" w:rsidRPr="007300C8" w:rsidRDefault="007300C8" w:rsidP="00FA1100">
      <w:pPr>
        <w:pStyle w:val="enumlev1"/>
        <w:rPr>
          <w:lang w:eastAsia="zh-CN"/>
        </w:rPr>
      </w:pPr>
      <w:r w:rsidRPr="007300C8">
        <w:rPr>
          <w:lang w:eastAsia="zh-CN"/>
        </w:rPr>
        <w:t>ii</w:t>
      </w:r>
      <w:r w:rsidR="00FA1100">
        <w:rPr>
          <w:rFonts w:hint="eastAsia"/>
          <w:lang w:eastAsia="zh-CN"/>
        </w:rPr>
        <w:t>)</w:t>
      </w:r>
      <w:r w:rsidRPr="007300C8">
        <w:rPr>
          <w:lang w:eastAsia="zh-CN"/>
        </w:rPr>
        <w:tab/>
      </w:r>
      <w:r w:rsidRPr="007300C8">
        <w:rPr>
          <w:lang w:eastAsia="zh-CN"/>
        </w:rPr>
        <w:t>缺少可容纳</w:t>
      </w:r>
      <w:r w:rsidRPr="007300C8">
        <w:rPr>
          <w:lang w:eastAsia="zh-CN"/>
        </w:rPr>
        <w:t>150</w:t>
      </w:r>
      <w:r w:rsidR="00156A65">
        <w:rPr>
          <w:rFonts w:hint="eastAsia"/>
          <w:lang w:eastAsia="zh-CN"/>
        </w:rPr>
        <w:t>多位</w:t>
      </w:r>
      <w:r w:rsidRPr="007300C8">
        <w:rPr>
          <w:lang w:eastAsia="zh-CN"/>
        </w:rPr>
        <w:t>与会者的会议厅；</w:t>
      </w:r>
    </w:p>
    <w:p w:rsidR="007300C8" w:rsidRPr="007300C8" w:rsidRDefault="007300C8" w:rsidP="00FA1100">
      <w:pPr>
        <w:pStyle w:val="enumlev1"/>
        <w:rPr>
          <w:lang w:eastAsia="zh-CN"/>
        </w:rPr>
      </w:pPr>
      <w:r w:rsidRPr="007300C8">
        <w:rPr>
          <w:lang w:eastAsia="zh-CN"/>
        </w:rPr>
        <w:t>iii</w:t>
      </w:r>
      <w:r w:rsidR="00FA1100">
        <w:rPr>
          <w:rFonts w:hint="eastAsia"/>
          <w:lang w:eastAsia="zh-CN"/>
        </w:rPr>
        <w:t>)</w:t>
      </w:r>
      <w:r w:rsidRPr="007300C8">
        <w:rPr>
          <w:lang w:eastAsia="zh-CN"/>
        </w:rPr>
        <w:tab/>
      </w:r>
      <w:r w:rsidRPr="007300C8">
        <w:rPr>
          <w:lang w:eastAsia="zh-CN"/>
        </w:rPr>
        <w:t>需要避免会议日期的重叠与冲突；</w:t>
      </w:r>
    </w:p>
    <w:p w:rsidR="007300C8" w:rsidRPr="007300C8" w:rsidRDefault="007300C8" w:rsidP="00FA1100">
      <w:pPr>
        <w:pStyle w:val="enumlev1"/>
        <w:rPr>
          <w:lang w:eastAsia="zh-CN"/>
        </w:rPr>
      </w:pPr>
      <w:r w:rsidRPr="007300C8">
        <w:rPr>
          <w:lang w:eastAsia="zh-CN"/>
        </w:rPr>
        <w:t>iv</w:t>
      </w:r>
      <w:r w:rsidR="00FA1100">
        <w:rPr>
          <w:rFonts w:hint="eastAsia"/>
          <w:lang w:eastAsia="zh-CN"/>
        </w:rPr>
        <w:t>)</w:t>
      </w:r>
      <w:bookmarkStart w:id="5" w:name="_GoBack"/>
      <w:bookmarkEnd w:id="5"/>
      <w:r w:rsidRPr="007300C8">
        <w:rPr>
          <w:lang w:eastAsia="zh-CN"/>
        </w:rPr>
        <w:tab/>
        <w:t>CICG</w:t>
      </w:r>
      <w:r w:rsidRPr="007300C8">
        <w:rPr>
          <w:lang w:eastAsia="zh-CN"/>
        </w:rPr>
        <w:t>等可用的备选设施有限</w:t>
      </w:r>
      <w:r w:rsidR="00065FB5">
        <w:rPr>
          <w:rFonts w:hint="eastAsia"/>
          <w:lang w:eastAsia="zh-CN"/>
        </w:rPr>
        <w:t>，</w:t>
      </w:r>
      <w:r w:rsidR="00065FB5" w:rsidRPr="007300C8">
        <w:rPr>
          <w:lang w:eastAsia="zh-CN"/>
        </w:rPr>
        <w:t>预订需要极大的提前量</w:t>
      </w:r>
      <w:r w:rsidRPr="007300C8">
        <w:rPr>
          <w:lang w:eastAsia="zh-CN"/>
        </w:rPr>
        <w:t>。</w:t>
      </w:r>
    </w:p>
    <w:p w:rsidR="007300C8" w:rsidRPr="007300C8" w:rsidRDefault="007300C8" w:rsidP="007A5B2E">
      <w:pPr>
        <w:pStyle w:val="Heading1"/>
        <w:rPr>
          <w:lang w:eastAsia="zh-CN"/>
        </w:rPr>
      </w:pPr>
      <w:r w:rsidRPr="007300C8">
        <w:rPr>
          <w:lang w:eastAsia="zh-CN"/>
        </w:rPr>
        <w:t>5</w:t>
      </w:r>
      <w:r w:rsidRPr="007300C8">
        <w:rPr>
          <w:lang w:eastAsia="zh-CN"/>
        </w:rPr>
        <w:tab/>
      </w:r>
      <w:r w:rsidRPr="007300C8">
        <w:rPr>
          <w:lang w:eastAsia="zh-CN"/>
        </w:rPr>
        <w:t>研究组的主要活动</w:t>
      </w:r>
    </w:p>
    <w:p w:rsidR="007300C8" w:rsidRPr="007300C8" w:rsidRDefault="007300C8" w:rsidP="00C032F5">
      <w:pPr>
        <w:ind w:firstLineChars="200" w:firstLine="480"/>
        <w:rPr>
          <w:lang w:eastAsia="zh-CN"/>
        </w:rPr>
      </w:pPr>
      <w:r w:rsidRPr="007300C8">
        <w:rPr>
          <w:lang w:eastAsia="zh-CN"/>
        </w:rPr>
        <w:t>自无线电通信顾问组上一次会议以来，各研究组活动侧重于持续不断对无线电通信系统进行标准化</w:t>
      </w:r>
      <w:r w:rsidR="00065FB5">
        <w:rPr>
          <w:rFonts w:hint="eastAsia"/>
          <w:lang w:eastAsia="zh-CN"/>
        </w:rPr>
        <w:t>并推进</w:t>
      </w:r>
      <w:r w:rsidRPr="007300C8">
        <w:rPr>
          <w:lang w:eastAsia="zh-CN"/>
        </w:rPr>
        <w:t>201</w:t>
      </w:r>
      <w:r w:rsidR="00065FB5">
        <w:rPr>
          <w:rFonts w:hint="eastAsia"/>
          <w:lang w:eastAsia="zh-CN"/>
        </w:rPr>
        <w:t>5</w:t>
      </w:r>
      <w:r w:rsidRPr="007300C8">
        <w:rPr>
          <w:lang w:eastAsia="zh-CN"/>
        </w:rPr>
        <w:t>年</w:t>
      </w:r>
      <w:r w:rsidR="00065FB5">
        <w:rPr>
          <w:rFonts w:hint="eastAsia"/>
          <w:lang w:eastAsia="zh-CN"/>
        </w:rPr>
        <w:t>无线电通信全会</w:t>
      </w:r>
      <w:r w:rsidR="00A70017">
        <w:rPr>
          <w:rFonts w:hint="eastAsia"/>
          <w:lang w:eastAsia="zh-CN"/>
        </w:rPr>
        <w:t>（</w:t>
      </w:r>
      <w:r w:rsidR="00065FB5">
        <w:rPr>
          <w:rFonts w:hint="eastAsia"/>
          <w:lang w:eastAsia="zh-CN"/>
        </w:rPr>
        <w:t>RA-15</w:t>
      </w:r>
      <w:r w:rsidR="00A70017">
        <w:rPr>
          <w:rFonts w:hint="eastAsia"/>
          <w:lang w:eastAsia="zh-CN"/>
        </w:rPr>
        <w:t>）</w:t>
      </w:r>
      <w:r w:rsidR="00065FB5">
        <w:rPr>
          <w:rFonts w:hint="eastAsia"/>
          <w:lang w:eastAsia="zh-CN"/>
        </w:rPr>
        <w:t>和</w:t>
      </w:r>
      <w:r w:rsidR="00065FB5">
        <w:rPr>
          <w:rFonts w:hint="eastAsia"/>
          <w:lang w:eastAsia="zh-CN"/>
        </w:rPr>
        <w:t>2015</w:t>
      </w:r>
      <w:r w:rsidR="00065FB5">
        <w:rPr>
          <w:rFonts w:hint="eastAsia"/>
          <w:lang w:eastAsia="zh-CN"/>
        </w:rPr>
        <w:t>年</w:t>
      </w:r>
      <w:r w:rsidRPr="007300C8">
        <w:rPr>
          <w:lang w:eastAsia="zh-CN"/>
        </w:rPr>
        <w:t>世界无线电通信大会</w:t>
      </w:r>
      <w:r w:rsidR="00A70017">
        <w:rPr>
          <w:lang w:eastAsia="zh-CN"/>
        </w:rPr>
        <w:t>（</w:t>
      </w:r>
      <w:r w:rsidRPr="007300C8">
        <w:rPr>
          <w:lang w:eastAsia="zh-CN"/>
        </w:rPr>
        <w:t>WRC-1</w:t>
      </w:r>
      <w:r w:rsidR="00065FB5">
        <w:rPr>
          <w:rFonts w:hint="eastAsia"/>
          <w:lang w:eastAsia="zh-CN"/>
        </w:rPr>
        <w:t>5</w:t>
      </w:r>
      <w:r w:rsidR="00A70017">
        <w:rPr>
          <w:lang w:eastAsia="zh-CN"/>
        </w:rPr>
        <w:t>）</w:t>
      </w:r>
      <w:r w:rsidR="00065FB5">
        <w:rPr>
          <w:rFonts w:hint="eastAsia"/>
          <w:lang w:eastAsia="zh-CN"/>
        </w:rPr>
        <w:t>要求开展的研究</w:t>
      </w:r>
      <w:r w:rsidRPr="007300C8">
        <w:rPr>
          <w:lang w:eastAsia="zh-CN"/>
        </w:rPr>
        <w:t>。以下重点介绍</w:t>
      </w:r>
      <w:r w:rsidR="00ED63E3">
        <w:rPr>
          <w:rFonts w:hint="eastAsia"/>
          <w:lang w:eastAsia="zh-CN"/>
        </w:rPr>
        <w:t>各</w:t>
      </w:r>
      <w:r w:rsidRPr="007300C8">
        <w:rPr>
          <w:lang w:eastAsia="zh-CN"/>
        </w:rPr>
        <w:t>研究组开展的一些主要活动</w:t>
      </w:r>
      <w:r w:rsidR="00C032F5">
        <w:rPr>
          <w:rFonts w:hint="eastAsia"/>
          <w:lang w:eastAsia="zh-CN"/>
        </w:rPr>
        <w:t>。</w:t>
      </w:r>
    </w:p>
    <w:p w:rsidR="007300C8" w:rsidRPr="007300C8" w:rsidRDefault="007300C8" w:rsidP="007A5B2E">
      <w:pPr>
        <w:pStyle w:val="Heading2"/>
        <w:rPr>
          <w:lang w:eastAsia="zh-CN"/>
        </w:rPr>
      </w:pPr>
      <w:r w:rsidRPr="007300C8">
        <w:rPr>
          <w:lang w:eastAsia="zh-CN"/>
        </w:rPr>
        <w:t>5.1</w:t>
      </w:r>
      <w:r w:rsidRPr="007300C8">
        <w:rPr>
          <w:lang w:eastAsia="zh-CN"/>
        </w:rPr>
        <w:tab/>
      </w:r>
      <w:r w:rsidRPr="007300C8">
        <w:rPr>
          <w:lang w:eastAsia="zh-CN"/>
        </w:rPr>
        <w:t>第</w:t>
      </w:r>
      <w:r w:rsidRPr="007300C8">
        <w:rPr>
          <w:bCs/>
          <w:lang w:eastAsia="zh-CN"/>
        </w:rPr>
        <w:t>1</w:t>
      </w:r>
      <w:r w:rsidRPr="007300C8">
        <w:rPr>
          <w:lang w:eastAsia="zh-CN"/>
        </w:rPr>
        <w:t>研究组</w:t>
      </w:r>
    </w:p>
    <w:p w:rsidR="007300C8" w:rsidRPr="007300C8" w:rsidRDefault="00826E8E" w:rsidP="00ED63E3">
      <w:pPr>
        <w:ind w:firstLineChars="200" w:firstLine="480"/>
        <w:rPr>
          <w:lang w:eastAsia="zh-CN"/>
        </w:rPr>
      </w:pPr>
      <w:r>
        <w:rPr>
          <w:rFonts w:hint="eastAsia"/>
          <w:lang w:eastAsia="zh-CN"/>
        </w:rPr>
        <w:t>第</w:t>
      </w:r>
      <w:r>
        <w:rPr>
          <w:rFonts w:hint="eastAsia"/>
          <w:lang w:eastAsia="zh-CN"/>
        </w:rPr>
        <w:t>1</w:t>
      </w:r>
      <w:r>
        <w:rPr>
          <w:rFonts w:hint="eastAsia"/>
          <w:lang w:eastAsia="zh-CN"/>
        </w:rPr>
        <w:t>研究组在批准了</w:t>
      </w:r>
      <w:r w:rsidR="007300C8" w:rsidRPr="007300C8">
        <w:rPr>
          <w:lang w:eastAsia="zh-CN"/>
        </w:rPr>
        <w:t>ITU-R SM.2028</w:t>
      </w:r>
      <w:r w:rsidR="007300C8" w:rsidRPr="007300C8">
        <w:rPr>
          <w:lang w:eastAsia="zh-CN"/>
        </w:rPr>
        <w:t>建议书</w:t>
      </w:r>
      <w:r>
        <w:rPr>
          <w:rFonts w:hint="eastAsia"/>
          <w:lang w:eastAsia="zh-CN"/>
        </w:rPr>
        <w:t>以及有关</w:t>
      </w:r>
      <w:r w:rsidRPr="007300C8">
        <w:rPr>
          <w:lang w:eastAsia="zh-CN"/>
        </w:rPr>
        <w:t>RFID</w:t>
      </w:r>
      <w:r>
        <w:rPr>
          <w:rFonts w:hint="eastAsia"/>
          <w:lang w:eastAsia="zh-CN"/>
        </w:rPr>
        <w:t>系统的</w:t>
      </w:r>
      <w:r w:rsidR="007300C8" w:rsidRPr="007300C8">
        <w:rPr>
          <w:lang w:eastAsia="zh-CN"/>
        </w:rPr>
        <w:t>ITU-R SM.2255</w:t>
      </w:r>
      <w:r w:rsidR="007300C8" w:rsidRPr="007300C8">
        <w:rPr>
          <w:lang w:eastAsia="zh-CN"/>
        </w:rPr>
        <w:t>号报告</w:t>
      </w:r>
      <w:r>
        <w:rPr>
          <w:rFonts w:hint="eastAsia"/>
          <w:lang w:eastAsia="zh-CN"/>
        </w:rPr>
        <w:t>和有关电力线电信</w:t>
      </w:r>
      <w:r w:rsidR="00A70017">
        <w:rPr>
          <w:lang w:eastAsia="zh-CN"/>
        </w:rPr>
        <w:t>（</w:t>
      </w:r>
      <w:r w:rsidRPr="007300C8">
        <w:rPr>
          <w:lang w:eastAsia="zh-CN"/>
        </w:rPr>
        <w:t>PLT</w:t>
      </w:r>
      <w:r w:rsidR="00A70017">
        <w:rPr>
          <w:lang w:eastAsia="zh-CN"/>
        </w:rPr>
        <w:t>）</w:t>
      </w:r>
      <w:r>
        <w:rPr>
          <w:rFonts w:hint="eastAsia"/>
          <w:lang w:eastAsia="zh-CN"/>
        </w:rPr>
        <w:t>系统的</w:t>
      </w:r>
      <w:r w:rsidR="007300C8" w:rsidRPr="007300C8">
        <w:rPr>
          <w:lang w:eastAsia="zh-CN"/>
        </w:rPr>
        <w:t>ITU-R SM.2212-1</w:t>
      </w:r>
      <w:r w:rsidR="007300C8" w:rsidRPr="007300C8">
        <w:rPr>
          <w:lang w:eastAsia="zh-CN"/>
        </w:rPr>
        <w:t>号报告</w:t>
      </w:r>
      <w:r>
        <w:rPr>
          <w:rFonts w:hint="eastAsia"/>
          <w:lang w:eastAsia="zh-CN"/>
        </w:rPr>
        <w:t>后，继续按照</w:t>
      </w:r>
      <w:r w:rsidRPr="007300C8">
        <w:rPr>
          <w:lang w:eastAsia="zh-CN"/>
        </w:rPr>
        <w:t>ITU-R</w:t>
      </w:r>
      <w:r>
        <w:rPr>
          <w:rFonts w:hint="eastAsia"/>
          <w:lang w:eastAsia="zh-CN"/>
        </w:rPr>
        <w:t>第</w:t>
      </w:r>
      <w:r w:rsidRPr="007300C8">
        <w:rPr>
          <w:lang w:eastAsia="zh-CN"/>
        </w:rPr>
        <w:t>54-1</w:t>
      </w:r>
      <w:r>
        <w:rPr>
          <w:rFonts w:hint="eastAsia"/>
          <w:lang w:eastAsia="zh-CN"/>
        </w:rPr>
        <w:t>号决议努力统一短程设备，按照</w:t>
      </w:r>
      <w:r w:rsidRPr="007300C8">
        <w:rPr>
          <w:lang w:eastAsia="zh-CN"/>
        </w:rPr>
        <w:t>第</w:t>
      </w:r>
      <w:r w:rsidRPr="007300C8">
        <w:rPr>
          <w:lang w:eastAsia="zh-CN"/>
        </w:rPr>
        <w:t>63</w:t>
      </w:r>
      <w:r w:rsidRPr="007300C8">
        <w:rPr>
          <w:lang w:eastAsia="zh-CN"/>
        </w:rPr>
        <w:t>号决议</w:t>
      </w:r>
      <w:r w:rsidR="00A70017">
        <w:rPr>
          <w:lang w:eastAsia="zh-CN"/>
        </w:rPr>
        <w:t>（</w:t>
      </w:r>
      <w:r w:rsidRPr="007300C8">
        <w:rPr>
          <w:lang w:eastAsia="zh-CN"/>
        </w:rPr>
        <w:t>WRC-12</w:t>
      </w:r>
      <w:r w:rsidRPr="007300C8">
        <w:rPr>
          <w:lang w:eastAsia="zh-CN"/>
        </w:rPr>
        <w:t>，修订版</w:t>
      </w:r>
      <w:r w:rsidR="00A70017">
        <w:rPr>
          <w:lang w:eastAsia="zh-CN"/>
        </w:rPr>
        <w:t>）</w:t>
      </w:r>
      <w:r>
        <w:rPr>
          <w:rFonts w:hint="eastAsia"/>
          <w:lang w:eastAsia="zh-CN"/>
        </w:rPr>
        <w:t>保护无线电通信服务不受</w:t>
      </w:r>
      <w:r w:rsidRPr="007300C8">
        <w:rPr>
          <w:lang w:eastAsia="zh-CN"/>
        </w:rPr>
        <w:t>ISM</w:t>
      </w:r>
      <w:r>
        <w:rPr>
          <w:rFonts w:hint="eastAsia"/>
          <w:lang w:eastAsia="zh-CN"/>
        </w:rPr>
        <w:t>辐射造成的干扰并按照</w:t>
      </w:r>
      <w:r w:rsidRPr="007300C8">
        <w:rPr>
          <w:lang w:eastAsia="zh-CN"/>
        </w:rPr>
        <w:t>ITU-R</w:t>
      </w:r>
      <w:r>
        <w:rPr>
          <w:rFonts w:hint="eastAsia"/>
          <w:lang w:eastAsia="zh-CN"/>
        </w:rPr>
        <w:t>第</w:t>
      </w:r>
      <w:r w:rsidRPr="007300C8">
        <w:rPr>
          <w:lang w:eastAsia="zh-CN"/>
        </w:rPr>
        <w:t>221-2/1</w:t>
      </w:r>
      <w:r>
        <w:rPr>
          <w:rFonts w:hint="eastAsia"/>
          <w:lang w:eastAsia="zh-CN"/>
        </w:rPr>
        <w:t>号课题要求免受</w:t>
      </w:r>
      <w:r w:rsidRPr="007300C8">
        <w:rPr>
          <w:lang w:eastAsia="zh-CN"/>
        </w:rPr>
        <w:t>PLT</w:t>
      </w:r>
      <w:r>
        <w:rPr>
          <w:rFonts w:hint="eastAsia"/>
          <w:lang w:eastAsia="zh-CN"/>
        </w:rPr>
        <w:t>系统的影响。第</w:t>
      </w:r>
      <w:r>
        <w:rPr>
          <w:rFonts w:hint="eastAsia"/>
          <w:lang w:eastAsia="zh-CN"/>
        </w:rPr>
        <w:t>1</w:t>
      </w:r>
      <w:r>
        <w:rPr>
          <w:rFonts w:hint="eastAsia"/>
          <w:lang w:eastAsia="zh-CN"/>
        </w:rPr>
        <w:t>研究组还继续开展其他</w:t>
      </w:r>
      <w:r w:rsidR="00ED63E3">
        <w:rPr>
          <w:rFonts w:hint="eastAsia"/>
          <w:lang w:eastAsia="zh-CN"/>
        </w:rPr>
        <w:t>核心</w:t>
      </w:r>
      <w:r>
        <w:rPr>
          <w:rFonts w:hint="eastAsia"/>
          <w:lang w:eastAsia="zh-CN"/>
        </w:rPr>
        <w:t>活动，特别是有关频谱监测演进的研究和有关国家频谱管理和计算机辅助频谱管理技术手册的修订。</w:t>
      </w:r>
    </w:p>
    <w:p w:rsidR="007300C8" w:rsidRPr="007300C8" w:rsidRDefault="007300C8" w:rsidP="007A5B2E">
      <w:pPr>
        <w:pStyle w:val="Heading2"/>
        <w:rPr>
          <w:lang w:eastAsia="zh-CN"/>
        </w:rPr>
      </w:pPr>
      <w:r w:rsidRPr="007300C8">
        <w:rPr>
          <w:lang w:eastAsia="zh-CN"/>
        </w:rPr>
        <w:t>5.2</w:t>
      </w:r>
      <w:r w:rsidRPr="007300C8">
        <w:rPr>
          <w:lang w:eastAsia="zh-CN"/>
        </w:rPr>
        <w:tab/>
      </w:r>
      <w:r w:rsidRPr="007300C8">
        <w:rPr>
          <w:lang w:eastAsia="zh-CN"/>
        </w:rPr>
        <w:t>第</w:t>
      </w:r>
      <w:r w:rsidRPr="007300C8">
        <w:rPr>
          <w:bCs/>
          <w:lang w:eastAsia="zh-CN"/>
        </w:rPr>
        <w:t>3</w:t>
      </w:r>
      <w:r w:rsidRPr="007300C8">
        <w:rPr>
          <w:lang w:eastAsia="zh-CN"/>
        </w:rPr>
        <w:t>研究组</w:t>
      </w:r>
    </w:p>
    <w:p w:rsidR="007300C8" w:rsidRPr="007300C8" w:rsidRDefault="00F9244E" w:rsidP="00660304">
      <w:pPr>
        <w:ind w:firstLineChars="200" w:firstLine="480"/>
        <w:rPr>
          <w:lang w:eastAsia="zh-CN"/>
        </w:rPr>
      </w:pPr>
      <w:r>
        <w:rPr>
          <w:rFonts w:hint="eastAsia"/>
          <w:lang w:eastAsia="zh-CN"/>
        </w:rPr>
        <w:t>第</w:t>
      </w:r>
      <w:r w:rsidR="00156A65">
        <w:rPr>
          <w:lang w:eastAsia="zh-CN"/>
        </w:rPr>
        <w:t>3</w:t>
      </w:r>
      <w:r>
        <w:rPr>
          <w:rFonts w:hint="eastAsia"/>
          <w:lang w:eastAsia="zh-CN"/>
        </w:rPr>
        <w:t>研究组</w:t>
      </w:r>
      <w:r w:rsidR="00E41BD3">
        <w:rPr>
          <w:rFonts w:hint="eastAsia"/>
          <w:lang w:eastAsia="zh-CN"/>
        </w:rPr>
        <w:t>在</w:t>
      </w:r>
      <w:r w:rsidR="00E41BD3" w:rsidRPr="007300C8">
        <w:rPr>
          <w:lang w:eastAsia="zh-CN"/>
        </w:rPr>
        <w:t>ITU-R P.526-12</w:t>
      </w:r>
      <w:r w:rsidR="00E41BD3" w:rsidRPr="007300C8">
        <w:rPr>
          <w:lang w:eastAsia="zh-CN"/>
        </w:rPr>
        <w:t>建议书</w:t>
      </w:r>
      <w:r w:rsidR="00E41BD3">
        <w:rPr>
          <w:rFonts w:hint="eastAsia"/>
          <w:lang w:eastAsia="zh-CN"/>
        </w:rPr>
        <w:t>中引入了不断减少纠正的</w:t>
      </w:r>
      <w:r w:rsidR="007300C8" w:rsidRPr="007300C8">
        <w:rPr>
          <w:lang w:eastAsia="zh-CN"/>
        </w:rPr>
        <w:t>Bullington</w:t>
      </w:r>
      <w:r w:rsidR="00E41BD3">
        <w:rPr>
          <w:rFonts w:hint="eastAsia"/>
          <w:lang w:eastAsia="zh-CN"/>
        </w:rPr>
        <w:t>绕射方法，确保视距和超视距路径之间的平滑过渡，同时，决定将此模型作为对</w:t>
      </w:r>
      <w:r w:rsidR="00E41BD3" w:rsidRPr="007300C8">
        <w:rPr>
          <w:lang w:eastAsia="zh-CN"/>
        </w:rPr>
        <w:t>ITU</w:t>
      </w:r>
      <w:r w:rsidR="00660304">
        <w:rPr>
          <w:rFonts w:hint="eastAsia"/>
          <w:lang w:eastAsia="zh-CN"/>
        </w:rPr>
        <w:t>-</w:t>
      </w:r>
      <w:r w:rsidR="00E41BD3" w:rsidRPr="007300C8">
        <w:rPr>
          <w:lang w:eastAsia="zh-CN"/>
        </w:rPr>
        <w:t>R P.452-14</w:t>
      </w:r>
      <w:r w:rsidR="00E41BD3" w:rsidRPr="007300C8">
        <w:rPr>
          <w:lang w:eastAsia="zh-CN"/>
        </w:rPr>
        <w:t>建议书</w:t>
      </w:r>
      <w:r w:rsidR="00A70017">
        <w:rPr>
          <w:rFonts w:hint="eastAsia"/>
          <w:lang w:eastAsia="zh-CN"/>
        </w:rPr>
        <w:t>（</w:t>
      </w:r>
      <w:r w:rsidR="00E41BD3">
        <w:rPr>
          <w:rFonts w:hint="eastAsia"/>
          <w:lang w:eastAsia="zh-CN"/>
        </w:rPr>
        <w:t>正在审议中</w:t>
      </w:r>
      <w:r w:rsidR="00A70017">
        <w:rPr>
          <w:rFonts w:hint="eastAsia"/>
          <w:lang w:eastAsia="zh-CN"/>
        </w:rPr>
        <w:t>）</w:t>
      </w:r>
      <w:r w:rsidR="00E41BD3">
        <w:rPr>
          <w:rFonts w:hint="eastAsia"/>
          <w:lang w:eastAsia="zh-CN"/>
        </w:rPr>
        <w:t>和</w:t>
      </w:r>
      <w:r w:rsidR="00E41BD3" w:rsidRPr="007300C8">
        <w:rPr>
          <w:lang w:eastAsia="zh-CN"/>
        </w:rPr>
        <w:t>P.1812-2</w:t>
      </w:r>
      <w:r w:rsidR="00E41BD3">
        <w:rPr>
          <w:rFonts w:hint="eastAsia"/>
          <w:lang w:eastAsia="zh-CN"/>
        </w:rPr>
        <w:t>以及</w:t>
      </w:r>
      <w:r w:rsidR="00E41BD3" w:rsidRPr="007300C8">
        <w:rPr>
          <w:lang w:eastAsia="zh-CN"/>
        </w:rPr>
        <w:t>P.2001</w:t>
      </w:r>
      <w:r w:rsidR="00E41BD3">
        <w:rPr>
          <w:rFonts w:hint="eastAsia"/>
          <w:lang w:eastAsia="zh-CN"/>
        </w:rPr>
        <w:t>建议书的修改。后者为新建议书，为</w:t>
      </w:r>
      <w:r w:rsidR="00E41BD3" w:rsidRPr="007300C8">
        <w:rPr>
          <w:lang w:eastAsia="zh-CN"/>
        </w:rPr>
        <w:t>30</w:t>
      </w:r>
      <w:r w:rsidR="00E41BD3" w:rsidRPr="007300C8">
        <w:rPr>
          <w:lang w:val="en-US" w:eastAsia="zh-CN"/>
        </w:rPr>
        <w:t> </w:t>
      </w:r>
      <w:r w:rsidR="00E41BD3">
        <w:rPr>
          <w:lang w:eastAsia="zh-CN"/>
        </w:rPr>
        <w:t>MHz</w:t>
      </w:r>
      <w:r w:rsidR="00E41BD3">
        <w:rPr>
          <w:rFonts w:hint="eastAsia"/>
          <w:lang w:eastAsia="zh-CN"/>
        </w:rPr>
        <w:t>至</w:t>
      </w:r>
      <w:r w:rsidR="00E41BD3" w:rsidRPr="007300C8">
        <w:rPr>
          <w:lang w:eastAsia="zh-CN"/>
        </w:rPr>
        <w:t>50</w:t>
      </w:r>
      <w:r w:rsidR="00E41BD3" w:rsidRPr="007300C8">
        <w:rPr>
          <w:lang w:val="en-US" w:eastAsia="zh-CN"/>
        </w:rPr>
        <w:t> </w:t>
      </w:r>
      <w:r w:rsidR="00156A65">
        <w:rPr>
          <w:lang w:eastAsia="zh-CN"/>
        </w:rPr>
        <w:t>GHz</w:t>
      </w:r>
      <w:r w:rsidR="00E41BD3">
        <w:rPr>
          <w:rFonts w:hint="eastAsia"/>
          <w:lang w:eastAsia="zh-CN"/>
        </w:rPr>
        <w:t>范围提供了广泛的地面无线电波传播模型。</w:t>
      </w:r>
    </w:p>
    <w:p w:rsidR="007300C8" w:rsidRPr="007300C8" w:rsidRDefault="00E41BD3" w:rsidP="00D549A8">
      <w:pPr>
        <w:ind w:firstLineChars="200" w:firstLine="480"/>
        <w:rPr>
          <w:lang w:eastAsia="zh-CN"/>
        </w:rPr>
      </w:pPr>
      <w:r>
        <w:rPr>
          <w:rFonts w:hint="eastAsia"/>
          <w:lang w:eastAsia="zh-CN"/>
        </w:rPr>
        <w:t>根据</w:t>
      </w:r>
      <w:r w:rsidR="009566CE">
        <w:rPr>
          <w:lang w:eastAsia="zh-CN"/>
        </w:rPr>
        <w:t>ITU-R</w:t>
      </w:r>
      <w:r>
        <w:rPr>
          <w:rFonts w:hint="eastAsia"/>
          <w:lang w:eastAsia="zh-CN"/>
        </w:rPr>
        <w:t>第</w:t>
      </w:r>
      <w:r w:rsidRPr="007300C8">
        <w:rPr>
          <w:lang w:eastAsia="zh-CN"/>
        </w:rPr>
        <w:t>25-3</w:t>
      </w:r>
      <w:r>
        <w:rPr>
          <w:rFonts w:hint="eastAsia"/>
          <w:lang w:eastAsia="zh-CN"/>
        </w:rPr>
        <w:t>号决议的新规定，第</w:t>
      </w:r>
      <w:r>
        <w:rPr>
          <w:rFonts w:hint="eastAsia"/>
          <w:lang w:eastAsia="zh-CN"/>
        </w:rPr>
        <w:t>3</w:t>
      </w:r>
      <w:r>
        <w:rPr>
          <w:rFonts w:hint="eastAsia"/>
          <w:lang w:eastAsia="zh-CN"/>
        </w:rPr>
        <w:t>研究组修订了四份</w:t>
      </w:r>
      <w:r w:rsidRPr="007300C8">
        <w:rPr>
          <w:lang w:eastAsia="zh-CN"/>
        </w:rPr>
        <w:t>ITU-R</w:t>
      </w:r>
      <w:r>
        <w:rPr>
          <w:rFonts w:hint="eastAsia"/>
          <w:lang w:eastAsia="zh-CN"/>
        </w:rPr>
        <w:t>建议书</w:t>
      </w:r>
      <w:r w:rsidR="00A70017">
        <w:rPr>
          <w:lang w:eastAsia="zh-CN"/>
        </w:rPr>
        <w:t>（</w:t>
      </w:r>
      <w:r w:rsidRPr="007300C8">
        <w:rPr>
          <w:lang w:eastAsia="zh-CN"/>
        </w:rPr>
        <w:t>P.528-3</w:t>
      </w:r>
      <w:r>
        <w:rPr>
          <w:rFonts w:hint="eastAsia"/>
          <w:lang w:eastAsia="zh-CN"/>
        </w:rPr>
        <w:t>、</w:t>
      </w:r>
      <w:r w:rsidRPr="007300C8">
        <w:rPr>
          <w:lang w:eastAsia="zh-CN"/>
        </w:rPr>
        <w:t>P.617-2</w:t>
      </w:r>
      <w:r>
        <w:rPr>
          <w:rFonts w:hint="eastAsia"/>
          <w:lang w:eastAsia="zh-CN"/>
        </w:rPr>
        <w:t>、</w:t>
      </w:r>
      <w:r w:rsidR="00156A65">
        <w:rPr>
          <w:lang w:eastAsia="zh-CN"/>
        </w:rPr>
        <w:t>P.837-6</w:t>
      </w:r>
      <w:r>
        <w:rPr>
          <w:rFonts w:hint="eastAsia"/>
          <w:lang w:eastAsia="zh-CN"/>
        </w:rPr>
        <w:t>和</w:t>
      </w:r>
      <w:r w:rsidR="00156A65">
        <w:rPr>
          <w:lang w:eastAsia="zh-CN"/>
        </w:rPr>
        <w:t>P.2001</w:t>
      </w:r>
      <w:r w:rsidR="00A70017">
        <w:rPr>
          <w:lang w:eastAsia="zh-CN"/>
        </w:rPr>
        <w:t>）</w:t>
      </w:r>
      <w:r w:rsidR="00D549A8">
        <w:rPr>
          <w:rFonts w:hint="eastAsia"/>
          <w:lang w:eastAsia="zh-CN"/>
        </w:rPr>
        <w:t>，将被视为建议书组成部分的数据集或软件包含在内。</w:t>
      </w:r>
    </w:p>
    <w:p w:rsidR="007300C8" w:rsidRPr="007300C8" w:rsidRDefault="007300C8" w:rsidP="007A5B2E">
      <w:pPr>
        <w:pStyle w:val="Heading2"/>
        <w:rPr>
          <w:lang w:eastAsia="zh-CN"/>
        </w:rPr>
      </w:pPr>
      <w:r w:rsidRPr="007300C8">
        <w:rPr>
          <w:lang w:eastAsia="zh-CN"/>
        </w:rPr>
        <w:t>5.3</w:t>
      </w:r>
      <w:r w:rsidRPr="007300C8">
        <w:rPr>
          <w:lang w:eastAsia="zh-CN"/>
        </w:rPr>
        <w:tab/>
      </w:r>
      <w:r w:rsidRPr="007300C8">
        <w:rPr>
          <w:lang w:eastAsia="zh-CN"/>
        </w:rPr>
        <w:t>第</w:t>
      </w:r>
      <w:r w:rsidRPr="007300C8">
        <w:rPr>
          <w:lang w:eastAsia="zh-CN"/>
        </w:rPr>
        <w:t>4</w:t>
      </w:r>
      <w:r w:rsidRPr="007300C8">
        <w:rPr>
          <w:lang w:eastAsia="zh-CN"/>
        </w:rPr>
        <w:t>研究组</w:t>
      </w:r>
    </w:p>
    <w:p w:rsidR="007300C8" w:rsidRPr="007300C8" w:rsidRDefault="00D549A8" w:rsidP="00ED63E3">
      <w:pPr>
        <w:ind w:firstLineChars="200" w:firstLine="480"/>
        <w:rPr>
          <w:lang w:eastAsia="zh-CN"/>
        </w:rPr>
      </w:pPr>
      <w:r>
        <w:rPr>
          <w:rFonts w:hint="eastAsia"/>
          <w:lang w:eastAsia="zh-CN"/>
        </w:rPr>
        <w:t>与第</w:t>
      </w:r>
      <w:r>
        <w:rPr>
          <w:rFonts w:hint="eastAsia"/>
          <w:lang w:eastAsia="zh-CN"/>
        </w:rPr>
        <w:t>4</w:t>
      </w:r>
      <w:r>
        <w:rPr>
          <w:rFonts w:hint="eastAsia"/>
          <w:lang w:eastAsia="zh-CN"/>
        </w:rPr>
        <w:t>研究组活动相关的新的和经修订的建议书和报告获得批准，特别是有关</w:t>
      </w:r>
      <w:r w:rsidR="00ED63E3">
        <w:rPr>
          <w:rFonts w:hint="eastAsia"/>
          <w:lang w:eastAsia="zh-CN"/>
        </w:rPr>
        <w:t>“</w:t>
      </w:r>
      <w:r w:rsidRPr="007300C8">
        <w:rPr>
          <w:lang w:eastAsia="zh-CN"/>
        </w:rPr>
        <w:t>5 010-5</w:t>
      </w:r>
      <w:r w:rsidR="00ED63E3">
        <w:rPr>
          <w:lang w:val="en-US" w:eastAsia="zh-CN"/>
        </w:rPr>
        <w:t> </w:t>
      </w:r>
      <w:r w:rsidRPr="007300C8">
        <w:rPr>
          <w:lang w:eastAsia="zh-CN"/>
        </w:rPr>
        <w:t>030</w:t>
      </w:r>
      <w:r w:rsidR="00ED63E3">
        <w:rPr>
          <w:lang w:val="en-US" w:eastAsia="zh-CN"/>
        </w:rPr>
        <w:t> </w:t>
      </w:r>
      <w:r w:rsidRPr="007300C8">
        <w:rPr>
          <w:lang w:eastAsia="zh-CN"/>
        </w:rPr>
        <w:t>MHz</w:t>
      </w:r>
      <w:r w:rsidRPr="007300C8">
        <w:rPr>
          <w:lang w:eastAsia="zh-CN"/>
        </w:rPr>
        <w:t>频段卫星无线电导航业务</w:t>
      </w:r>
      <w:r w:rsidR="00A70017">
        <w:rPr>
          <w:lang w:eastAsia="zh-CN"/>
        </w:rPr>
        <w:t>（</w:t>
      </w:r>
      <w:r w:rsidRPr="007300C8">
        <w:rPr>
          <w:lang w:eastAsia="zh-CN"/>
        </w:rPr>
        <w:t>空对地</w:t>
      </w:r>
      <w:r w:rsidR="00A70017">
        <w:rPr>
          <w:lang w:eastAsia="zh-CN"/>
        </w:rPr>
        <w:t>）</w:t>
      </w:r>
      <w:r w:rsidRPr="007300C8">
        <w:rPr>
          <w:lang w:eastAsia="zh-CN"/>
        </w:rPr>
        <w:t>接收地球站的特性和保护标准以及发射空间电台的特性</w:t>
      </w:r>
      <w:r w:rsidR="00ED63E3">
        <w:rPr>
          <w:rFonts w:hint="eastAsia"/>
          <w:lang w:eastAsia="zh-CN"/>
        </w:rPr>
        <w:t>”</w:t>
      </w:r>
      <w:r>
        <w:rPr>
          <w:rFonts w:hint="eastAsia"/>
          <w:lang w:eastAsia="zh-CN"/>
        </w:rPr>
        <w:t>的</w:t>
      </w:r>
      <w:r w:rsidRPr="007300C8">
        <w:rPr>
          <w:lang w:eastAsia="zh-CN"/>
        </w:rPr>
        <w:t>ITU-R M.2031</w:t>
      </w:r>
      <w:r w:rsidRPr="007300C8">
        <w:rPr>
          <w:lang w:eastAsia="zh-CN"/>
        </w:rPr>
        <w:t>建议书</w:t>
      </w:r>
      <w:r>
        <w:rPr>
          <w:rFonts w:hint="eastAsia"/>
          <w:lang w:eastAsia="zh-CN"/>
        </w:rPr>
        <w:t>。有关</w:t>
      </w:r>
      <w:r w:rsidR="00ED63E3">
        <w:rPr>
          <w:rFonts w:hint="eastAsia"/>
          <w:lang w:eastAsia="zh-CN"/>
        </w:rPr>
        <w:t>“</w:t>
      </w:r>
      <w:r>
        <w:rPr>
          <w:rFonts w:hint="eastAsia"/>
          <w:lang w:eastAsia="zh-CN"/>
        </w:rPr>
        <w:t>工作在</w:t>
      </w:r>
      <w:r w:rsidR="00ED63E3">
        <w:rPr>
          <w:lang w:eastAsia="zh-CN"/>
        </w:rPr>
        <w:t>17.3</w:t>
      </w:r>
      <w:r>
        <w:rPr>
          <w:rFonts w:hint="eastAsia"/>
          <w:lang w:eastAsia="zh-CN"/>
        </w:rPr>
        <w:t>至</w:t>
      </w:r>
      <w:r w:rsidRPr="007300C8">
        <w:rPr>
          <w:lang w:eastAsia="zh-CN"/>
        </w:rPr>
        <w:t>19.3</w:t>
      </w:r>
      <w:r>
        <w:rPr>
          <w:rFonts w:hint="eastAsia"/>
          <w:lang w:eastAsia="zh-CN"/>
        </w:rPr>
        <w:t>、</w:t>
      </w:r>
      <w:r w:rsidR="00ED63E3">
        <w:rPr>
          <w:lang w:eastAsia="zh-CN"/>
        </w:rPr>
        <w:t>19.7</w:t>
      </w:r>
      <w:r>
        <w:rPr>
          <w:rFonts w:hint="eastAsia"/>
          <w:lang w:eastAsia="zh-CN"/>
        </w:rPr>
        <w:t>至</w:t>
      </w:r>
      <w:r w:rsidRPr="007300C8">
        <w:rPr>
          <w:lang w:eastAsia="zh-CN"/>
        </w:rPr>
        <w:t>20.2</w:t>
      </w:r>
      <w:r>
        <w:rPr>
          <w:rFonts w:hint="eastAsia"/>
          <w:lang w:eastAsia="zh-CN"/>
        </w:rPr>
        <w:t>、</w:t>
      </w:r>
      <w:r w:rsidR="00ED63E3">
        <w:rPr>
          <w:lang w:eastAsia="zh-CN"/>
        </w:rPr>
        <w:t>27</w:t>
      </w:r>
      <w:r>
        <w:rPr>
          <w:rFonts w:hint="eastAsia"/>
          <w:lang w:eastAsia="zh-CN"/>
        </w:rPr>
        <w:t>至</w:t>
      </w:r>
      <w:r w:rsidR="00ED63E3">
        <w:rPr>
          <w:lang w:eastAsia="zh-CN"/>
        </w:rPr>
        <w:t>29.1</w:t>
      </w:r>
      <w:r>
        <w:rPr>
          <w:rFonts w:hint="eastAsia"/>
          <w:lang w:eastAsia="zh-CN"/>
        </w:rPr>
        <w:t>和</w:t>
      </w:r>
      <w:r>
        <w:rPr>
          <w:lang w:eastAsia="zh-CN"/>
        </w:rPr>
        <w:t>29.5</w:t>
      </w:r>
      <w:r>
        <w:rPr>
          <w:rFonts w:hint="eastAsia"/>
          <w:lang w:eastAsia="zh-CN"/>
        </w:rPr>
        <w:t>至</w:t>
      </w:r>
      <w:r w:rsidRPr="007300C8">
        <w:rPr>
          <w:lang w:eastAsia="zh-CN"/>
        </w:rPr>
        <w:t>30.0 GHz</w:t>
      </w:r>
      <w:r>
        <w:rPr>
          <w:rFonts w:hint="eastAsia"/>
          <w:lang w:eastAsia="zh-CN"/>
        </w:rPr>
        <w:t>频段的非</w:t>
      </w:r>
      <w:r w:rsidRPr="007300C8">
        <w:rPr>
          <w:lang w:eastAsia="zh-CN"/>
        </w:rPr>
        <w:t>GSO</w:t>
      </w:r>
      <w:r>
        <w:rPr>
          <w:rFonts w:hint="eastAsia"/>
          <w:lang w:eastAsia="zh-CN"/>
        </w:rPr>
        <w:t xml:space="preserve"> FSS</w:t>
      </w:r>
      <w:r>
        <w:rPr>
          <w:rFonts w:hint="eastAsia"/>
          <w:lang w:eastAsia="zh-CN"/>
        </w:rPr>
        <w:t>系统的移动平台地球站的技术和操作要求</w:t>
      </w:r>
      <w:r w:rsidR="00ED63E3">
        <w:rPr>
          <w:rFonts w:hint="eastAsia"/>
          <w:lang w:eastAsia="zh-CN"/>
        </w:rPr>
        <w:t>”</w:t>
      </w:r>
      <w:r>
        <w:rPr>
          <w:rFonts w:hint="eastAsia"/>
          <w:lang w:eastAsia="zh-CN"/>
        </w:rPr>
        <w:t>的</w:t>
      </w:r>
      <w:r w:rsidRPr="007300C8">
        <w:rPr>
          <w:lang w:eastAsia="zh-CN"/>
        </w:rPr>
        <w:t>ITU-R S.2261</w:t>
      </w:r>
      <w:r>
        <w:rPr>
          <w:rFonts w:hint="eastAsia"/>
          <w:lang w:eastAsia="zh-CN"/>
        </w:rPr>
        <w:t>号报告和有关“在自然灾害和类似紧急情况下用于告警和赈灾作业的卫星固定业务系统的使用和示例”的</w:t>
      </w:r>
      <w:r w:rsidRPr="007300C8">
        <w:rPr>
          <w:lang w:eastAsia="zh-CN"/>
        </w:rPr>
        <w:t>ITU-R S.2151-1</w:t>
      </w:r>
      <w:r w:rsidRPr="007300C8">
        <w:rPr>
          <w:lang w:eastAsia="zh-CN"/>
        </w:rPr>
        <w:t>号报告</w:t>
      </w:r>
      <w:r>
        <w:rPr>
          <w:rFonts w:hint="eastAsia"/>
          <w:lang w:eastAsia="zh-CN"/>
        </w:rPr>
        <w:t>。</w:t>
      </w:r>
    </w:p>
    <w:p w:rsidR="007300C8" w:rsidRPr="007300C8" w:rsidRDefault="00554449" w:rsidP="00455075">
      <w:pPr>
        <w:ind w:firstLineChars="200" w:firstLine="480"/>
        <w:rPr>
          <w:lang w:eastAsia="zh-CN"/>
        </w:rPr>
      </w:pPr>
      <w:r>
        <w:rPr>
          <w:rFonts w:hint="eastAsia"/>
          <w:lang w:eastAsia="zh-CN"/>
        </w:rPr>
        <w:lastRenderedPageBreak/>
        <w:t>第</w:t>
      </w:r>
      <w:r>
        <w:rPr>
          <w:rFonts w:hint="eastAsia"/>
          <w:lang w:eastAsia="zh-CN"/>
        </w:rPr>
        <w:t>4</w:t>
      </w:r>
      <w:r>
        <w:rPr>
          <w:rFonts w:hint="eastAsia"/>
          <w:lang w:eastAsia="zh-CN"/>
        </w:rPr>
        <w:t>研究组在批准了有关</w:t>
      </w:r>
      <w:r w:rsidR="005A4958">
        <w:rPr>
          <w:rFonts w:hint="eastAsia"/>
          <w:lang w:eastAsia="zh-CN"/>
        </w:rPr>
        <w:t>“</w:t>
      </w:r>
      <w:r w:rsidR="007300C8" w:rsidRPr="007300C8">
        <w:rPr>
          <w:lang w:eastAsia="zh-CN"/>
        </w:rPr>
        <w:t>超级</w:t>
      </w:r>
      <w:r w:rsidR="007300C8" w:rsidRPr="007300C8">
        <w:rPr>
          <w:lang w:eastAsia="zh-CN"/>
        </w:rPr>
        <w:t>IMT</w:t>
      </w:r>
      <w:r w:rsidR="007300C8" w:rsidRPr="007300C8">
        <w:rPr>
          <w:lang w:eastAsia="zh-CN"/>
        </w:rPr>
        <w:t>系统的卫星无线电接口的愿景和要求</w:t>
      </w:r>
      <w:r w:rsidR="005A4958">
        <w:rPr>
          <w:rFonts w:hint="eastAsia"/>
          <w:lang w:eastAsia="zh-CN"/>
        </w:rPr>
        <w:t>”</w:t>
      </w:r>
      <w:r w:rsidR="007300C8" w:rsidRPr="007300C8">
        <w:rPr>
          <w:lang w:eastAsia="zh-CN"/>
        </w:rPr>
        <w:t>的</w:t>
      </w:r>
      <w:r w:rsidR="007300C8" w:rsidRPr="007300C8">
        <w:rPr>
          <w:lang w:eastAsia="zh-CN"/>
        </w:rPr>
        <w:t>ITU-R M.2176</w:t>
      </w:r>
      <w:r w:rsidR="003B06F5">
        <w:rPr>
          <w:rFonts w:hint="eastAsia"/>
          <w:lang w:eastAsia="zh-CN"/>
        </w:rPr>
        <w:t>-1</w:t>
      </w:r>
      <w:r w:rsidR="007300C8" w:rsidRPr="007300C8">
        <w:rPr>
          <w:lang w:eastAsia="zh-CN"/>
        </w:rPr>
        <w:t>号报告</w:t>
      </w:r>
      <w:r>
        <w:rPr>
          <w:rFonts w:hint="eastAsia"/>
          <w:lang w:eastAsia="zh-CN"/>
        </w:rPr>
        <w:t>和制定了有关超</w:t>
      </w:r>
      <w:r w:rsidR="005A4958">
        <w:rPr>
          <w:rFonts w:hint="eastAsia"/>
          <w:lang w:eastAsia="zh-CN"/>
        </w:rPr>
        <w:t>级</w:t>
      </w:r>
      <w:r>
        <w:rPr>
          <w:rFonts w:hint="eastAsia"/>
          <w:lang w:eastAsia="zh-CN"/>
        </w:rPr>
        <w:t>IMT</w:t>
      </w:r>
      <w:r>
        <w:rPr>
          <w:rFonts w:hint="eastAsia"/>
          <w:lang w:eastAsia="zh-CN"/>
        </w:rPr>
        <w:t>卫星部分无线电</w:t>
      </w:r>
      <w:r w:rsidR="00AE55D8">
        <w:rPr>
          <w:rFonts w:hint="eastAsia"/>
          <w:lang w:eastAsia="zh-CN"/>
        </w:rPr>
        <w:t>接口详细规范的</w:t>
      </w:r>
      <w:r w:rsidR="00AE55D8" w:rsidRPr="007300C8">
        <w:rPr>
          <w:lang w:eastAsia="zh-CN"/>
        </w:rPr>
        <w:t>ITU-R</w:t>
      </w:r>
      <w:r w:rsidR="00AE55D8">
        <w:rPr>
          <w:rFonts w:hint="eastAsia"/>
          <w:lang w:eastAsia="zh-CN"/>
        </w:rPr>
        <w:t>新建议书后使有关超</w:t>
      </w:r>
      <w:r w:rsidR="005A4958">
        <w:rPr>
          <w:rFonts w:hint="eastAsia"/>
          <w:lang w:eastAsia="zh-CN"/>
        </w:rPr>
        <w:t>级</w:t>
      </w:r>
      <w:r w:rsidR="00AE55D8">
        <w:rPr>
          <w:rFonts w:hint="eastAsia"/>
          <w:lang w:eastAsia="zh-CN"/>
        </w:rPr>
        <w:t>IMT</w:t>
      </w:r>
      <w:r w:rsidR="00AE55D8">
        <w:rPr>
          <w:rFonts w:hint="eastAsia"/>
          <w:lang w:eastAsia="zh-CN"/>
        </w:rPr>
        <w:t>的卫星部分研究获得进展。这项工作是在</w:t>
      </w:r>
      <w:r w:rsidR="00AE55D8" w:rsidRPr="007300C8">
        <w:rPr>
          <w:lang w:eastAsia="zh-CN"/>
        </w:rPr>
        <w:t>ITU-R</w:t>
      </w:r>
      <w:r w:rsidR="00AE55D8">
        <w:rPr>
          <w:rFonts w:hint="eastAsia"/>
          <w:lang w:eastAsia="zh-CN"/>
        </w:rPr>
        <w:t>第</w:t>
      </w:r>
      <w:r w:rsidR="00AE55D8" w:rsidRPr="007300C8">
        <w:rPr>
          <w:lang w:eastAsia="zh-CN"/>
        </w:rPr>
        <w:t>57-1</w:t>
      </w:r>
      <w:r w:rsidR="00AE55D8">
        <w:rPr>
          <w:rFonts w:hint="eastAsia"/>
          <w:lang w:eastAsia="zh-CN"/>
        </w:rPr>
        <w:t>号决议</w:t>
      </w:r>
      <w:r w:rsidR="00455075">
        <w:rPr>
          <w:rFonts w:hint="eastAsia"/>
          <w:lang w:eastAsia="zh-CN"/>
        </w:rPr>
        <w:t>指导</w:t>
      </w:r>
      <w:r w:rsidR="00AE55D8">
        <w:rPr>
          <w:rFonts w:hint="eastAsia"/>
          <w:lang w:eastAsia="zh-CN"/>
        </w:rPr>
        <w:t>下进行的。</w:t>
      </w:r>
    </w:p>
    <w:p w:rsidR="007300C8" w:rsidRPr="007300C8" w:rsidRDefault="007300C8" w:rsidP="007A5B2E">
      <w:pPr>
        <w:pStyle w:val="Heading2"/>
        <w:rPr>
          <w:lang w:eastAsia="zh-CN"/>
        </w:rPr>
      </w:pPr>
      <w:r w:rsidRPr="007300C8">
        <w:rPr>
          <w:lang w:eastAsia="zh-CN"/>
        </w:rPr>
        <w:t>5.4</w:t>
      </w:r>
      <w:r w:rsidRPr="007300C8">
        <w:rPr>
          <w:lang w:eastAsia="zh-CN"/>
        </w:rPr>
        <w:tab/>
      </w:r>
      <w:r w:rsidRPr="007300C8">
        <w:rPr>
          <w:lang w:eastAsia="zh-CN"/>
        </w:rPr>
        <w:t>第</w:t>
      </w:r>
      <w:r w:rsidRPr="007300C8">
        <w:rPr>
          <w:bCs/>
          <w:lang w:eastAsia="zh-CN"/>
        </w:rPr>
        <w:t>5</w:t>
      </w:r>
      <w:r w:rsidRPr="007300C8">
        <w:rPr>
          <w:lang w:eastAsia="zh-CN"/>
        </w:rPr>
        <w:t>研究组</w:t>
      </w:r>
    </w:p>
    <w:p w:rsidR="007300C8" w:rsidRPr="007300C8" w:rsidRDefault="008931E1" w:rsidP="008931E1">
      <w:pPr>
        <w:ind w:firstLineChars="200" w:firstLine="480"/>
        <w:rPr>
          <w:lang w:eastAsia="zh-CN"/>
        </w:rPr>
      </w:pPr>
      <w:r>
        <w:rPr>
          <w:rFonts w:hint="eastAsia"/>
          <w:lang w:eastAsia="zh-CN"/>
        </w:rPr>
        <w:t>有关第</w:t>
      </w:r>
      <w:r>
        <w:rPr>
          <w:rFonts w:hint="eastAsia"/>
          <w:lang w:eastAsia="zh-CN"/>
        </w:rPr>
        <w:t>5</w:t>
      </w:r>
      <w:r>
        <w:rPr>
          <w:rFonts w:hint="eastAsia"/>
          <w:lang w:eastAsia="zh-CN"/>
        </w:rPr>
        <w:t>研究组活动的</w:t>
      </w:r>
      <w:r w:rsidR="007300C8" w:rsidRPr="007300C8">
        <w:rPr>
          <w:lang w:eastAsia="zh-CN"/>
        </w:rPr>
        <w:t>17</w:t>
      </w:r>
      <w:r>
        <w:rPr>
          <w:rFonts w:hint="eastAsia"/>
          <w:lang w:eastAsia="zh-CN"/>
        </w:rPr>
        <w:t>份建议书和</w:t>
      </w:r>
      <w:r>
        <w:rPr>
          <w:rFonts w:hint="eastAsia"/>
          <w:lang w:eastAsia="zh-CN"/>
        </w:rPr>
        <w:t>4</w:t>
      </w:r>
      <w:r>
        <w:rPr>
          <w:rFonts w:hint="eastAsia"/>
          <w:lang w:eastAsia="zh-CN"/>
        </w:rPr>
        <w:t>份报告获得批准，其中包括对第</w:t>
      </w:r>
      <w:r>
        <w:rPr>
          <w:rFonts w:hint="eastAsia"/>
          <w:lang w:eastAsia="zh-CN"/>
        </w:rPr>
        <w:t>5</w:t>
      </w:r>
      <w:r>
        <w:rPr>
          <w:rFonts w:hint="eastAsia"/>
          <w:lang w:eastAsia="zh-CN"/>
        </w:rPr>
        <w:t>研究组开展的有关</w:t>
      </w:r>
      <w:r w:rsidRPr="007300C8">
        <w:rPr>
          <w:lang w:eastAsia="zh-CN"/>
        </w:rPr>
        <w:t>WRC-15</w:t>
      </w:r>
      <w:r>
        <w:rPr>
          <w:rFonts w:hint="eastAsia"/>
          <w:lang w:eastAsia="zh-CN"/>
        </w:rPr>
        <w:t>议项活动的支持。</w:t>
      </w:r>
    </w:p>
    <w:p w:rsidR="007300C8" w:rsidRPr="007300C8" w:rsidRDefault="008931E1" w:rsidP="008931E1">
      <w:pPr>
        <w:ind w:firstLineChars="200" w:firstLine="480"/>
        <w:rPr>
          <w:lang w:eastAsia="zh-CN"/>
        </w:rPr>
      </w:pPr>
      <w:r>
        <w:rPr>
          <w:lang w:eastAsia="zh-CN"/>
        </w:rPr>
        <w:t>5B</w:t>
      </w:r>
      <w:r w:rsidR="009E7E4F">
        <w:rPr>
          <w:rFonts w:hint="eastAsia"/>
          <w:lang w:eastAsia="zh-CN"/>
        </w:rPr>
        <w:t>工作组本研究周期的第一次会议</w:t>
      </w:r>
      <w:r>
        <w:rPr>
          <w:rFonts w:hint="eastAsia"/>
          <w:lang w:eastAsia="zh-CN"/>
        </w:rPr>
        <w:t>为筹备</w:t>
      </w:r>
      <w:r w:rsidRPr="007300C8">
        <w:rPr>
          <w:lang w:eastAsia="zh-CN"/>
        </w:rPr>
        <w:t>WRC-15</w:t>
      </w:r>
      <w:r>
        <w:rPr>
          <w:rFonts w:hint="eastAsia"/>
          <w:lang w:eastAsia="zh-CN"/>
        </w:rPr>
        <w:t>，特别是议项</w:t>
      </w:r>
      <w:r w:rsidRPr="007300C8">
        <w:rPr>
          <w:lang w:eastAsia="zh-CN"/>
        </w:rPr>
        <w:t>1.18</w:t>
      </w:r>
      <w:r>
        <w:rPr>
          <w:rFonts w:hint="eastAsia"/>
          <w:lang w:eastAsia="zh-CN"/>
        </w:rPr>
        <w:t>，与欧洲</w:t>
      </w:r>
      <w:r w:rsidRPr="007300C8">
        <w:rPr>
          <w:lang w:eastAsia="zh-CN"/>
        </w:rPr>
        <w:t>ERTICO</w:t>
      </w:r>
      <w:r>
        <w:rPr>
          <w:rFonts w:hint="eastAsia"/>
          <w:lang w:eastAsia="zh-CN"/>
        </w:rPr>
        <w:t>-</w:t>
      </w:r>
      <w:r w:rsidRPr="007300C8">
        <w:rPr>
          <w:lang w:eastAsia="zh-CN"/>
        </w:rPr>
        <w:t>ITS</w:t>
      </w:r>
      <w:r>
        <w:rPr>
          <w:rFonts w:hint="eastAsia"/>
          <w:lang w:eastAsia="zh-CN"/>
        </w:rPr>
        <w:t>组织了为期半天的</w:t>
      </w:r>
      <w:r w:rsidR="009E7E4F">
        <w:rPr>
          <w:lang w:eastAsia="zh-CN"/>
        </w:rPr>
        <w:t>79 GHz</w:t>
      </w:r>
      <w:r>
        <w:rPr>
          <w:rFonts w:hint="eastAsia"/>
          <w:lang w:eastAsia="zh-CN"/>
        </w:rPr>
        <w:t>汽车雷达讲习班。演讲人向</w:t>
      </w:r>
      <w:r>
        <w:rPr>
          <w:rFonts w:hint="eastAsia"/>
          <w:lang w:eastAsia="zh-CN"/>
        </w:rPr>
        <w:t>80</w:t>
      </w:r>
      <w:r>
        <w:rPr>
          <w:rFonts w:hint="eastAsia"/>
          <w:lang w:eastAsia="zh-CN"/>
        </w:rPr>
        <w:t>位与会者介绍了</w:t>
      </w:r>
      <w:r w:rsidRPr="007300C8">
        <w:rPr>
          <w:lang w:eastAsia="zh-CN"/>
        </w:rPr>
        <w:t>79 GHz</w:t>
      </w:r>
      <w:r>
        <w:rPr>
          <w:rFonts w:hint="eastAsia"/>
          <w:lang w:eastAsia="zh-CN"/>
        </w:rPr>
        <w:t>频段短程高分辨率汽车雷达系统在过去几年内取得的进展。这将有助于提高交通效率和道路安全。更多信息，请查询以下网站</w:t>
      </w:r>
      <w:r w:rsidR="009E7E4F">
        <w:rPr>
          <w:rFonts w:hint="eastAsia"/>
          <w:lang w:eastAsia="zh-CN"/>
        </w:rPr>
        <w:t>：</w:t>
      </w:r>
      <w:hyperlink r:id="rId11" w:history="1">
        <w:r w:rsidR="00FA1100" w:rsidRPr="008D363A">
          <w:rPr>
            <w:rStyle w:val="Hyperlink"/>
            <w:lang w:eastAsia="zh-CN"/>
          </w:rPr>
          <w:t>http://www.itu.int/dms_pub/itu-r/oth/0A/06/</w:t>
        </w:r>
        <w:r w:rsidR="00FA1100" w:rsidRPr="008D363A">
          <w:rPr>
            <w:rStyle w:val="Hyperlink"/>
            <w:rFonts w:hint="eastAsia"/>
            <w:lang w:eastAsia="zh-CN"/>
          </w:rPr>
          <w:br/>
        </w:r>
        <w:r w:rsidR="00FA1100" w:rsidRPr="008D363A">
          <w:rPr>
            <w:rStyle w:val="Hyperlink"/>
            <w:lang w:eastAsia="zh-CN"/>
          </w:rPr>
          <w:t>R0A060000540001PDFE.pdf</w:t>
        </w:r>
      </w:hyperlink>
      <w:r w:rsidR="009E7E4F">
        <w:rPr>
          <w:rFonts w:hint="eastAsia"/>
          <w:lang w:eastAsia="zh-CN"/>
        </w:rPr>
        <w:t>。</w:t>
      </w:r>
    </w:p>
    <w:p w:rsidR="007300C8" w:rsidRPr="007300C8" w:rsidRDefault="008931E1" w:rsidP="00483DCA">
      <w:pPr>
        <w:ind w:firstLineChars="200" w:firstLine="480"/>
        <w:rPr>
          <w:lang w:eastAsia="zh-CN"/>
        </w:rPr>
      </w:pPr>
      <w:r>
        <w:rPr>
          <w:lang w:eastAsia="zh-CN"/>
        </w:rPr>
        <w:t>5D</w:t>
      </w:r>
      <w:r>
        <w:rPr>
          <w:rFonts w:hint="eastAsia"/>
          <w:lang w:eastAsia="zh-CN"/>
        </w:rPr>
        <w:t>工作组</w:t>
      </w:r>
      <w:r w:rsidR="00483DCA">
        <w:rPr>
          <w:rFonts w:hint="eastAsia"/>
          <w:lang w:eastAsia="zh-CN"/>
        </w:rPr>
        <w:t>在</w:t>
      </w:r>
      <w:r>
        <w:rPr>
          <w:rFonts w:hint="eastAsia"/>
          <w:lang w:eastAsia="zh-CN"/>
        </w:rPr>
        <w:t>本研究期的第一次</w:t>
      </w:r>
      <w:r w:rsidR="00483DCA">
        <w:rPr>
          <w:rFonts w:hint="eastAsia"/>
          <w:lang w:eastAsia="zh-CN"/>
        </w:rPr>
        <w:t>会议上组织了有关</w:t>
      </w:r>
      <w:r w:rsidR="00483DCA" w:rsidRPr="007300C8">
        <w:rPr>
          <w:lang w:eastAsia="zh-CN"/>
        </w:rPr>
        <w:t>IMT</w:t>
      </w:r>
      <w:r w:rsidR="00483DCA">
        <w:rPr>
          <w:rFonts w:hint="eastAsia"/>
          <w:lang w:eastAsia="zh-CN"/>
        </w:rPr>
        <w:t>技术演进研究观点讲习班。讲习班显示，</w:t>
      </w:r>
      <w:r w:rsidR="00F438D4">
        <w:rPr>
          <w:rFonts w:hint="eastAsia"/>
          <w:lang w:eastAsia="zh-CN"/>
        </w:rPr>
        <w:t>高密度网络、机器与机器和设备与设备通信以及基于云</w:t>
      </w:r>
      <w:r w:rsidR="00483DCA">
        <w:rPr>
          <w:rFonts w:hint="eastAsia"/>
          <w:lang w:eastAsia="zh-CN"/>
        </w:rPr>
        <w:t>理念的技术和研究开发与</w:t>
      </w:r>
      <w:r w:rsidR="00483DCA">
        <w:rPr>
          <w:rFonts w:hint="eastAsia"/>
          <w:lang w:eastAsia="zh-CN"/>
        </w:rPr>
        <w:t>IMT</w:t>
      </w:r>
      <w:r w:rsidR="00483DCA">
        <w:rPr>
          <w:rFonts w:hint="eastAsia"/>
          <w:lang w:eastAsia="zh-CN"/>
        </w:rPr>
        <w:t>技术有着千丝万缕的联系。</w:t>
      </w:r>
      <w:r w:rsidR="00483DCA">
        <w:rPr>
          <w:rFonts w:hint="eastAsia"/>
          <w:lang w:eastAsia="zh-CN"/>
        </w:rPr>
        <w:t>200</w:t>
      </w:r>
      <w:r w:rsidR="00483DCA">
        <w:rPr>
          <w:rFonts w:hint="eastAsia"/>
          <w:lang w:eastAsia="zh-CN"/>
        </w:rPr>
        <w:t>名与会者对此举措表示赞赏，对各种问题和想法进行了开诚布公的讨论。</w:t>
      </w:r>
    </w:p>
    <w:p w:rsidR="007300C8" w:rsidRPr="007300C8" w:rsidRDefault="007300C8" w:rsidP="007A5B2E">
      <w:pPr>
        <w:pStyle w:val="Heading2"/>
        <w:rPr>
          <w:lang w:eastAsia="zh-CN"/>
        </w:rPr>
      </w:pPr>
      <w:r w:rsidRPr="007300C8">
        <w:rPr>
          <w:lang w:eastAsia="zh-CN"/>
        </w:rPr>
        <w:t>5.5</w:t>
      </w:r>
      <w:r w:rsidRPr="007300C8">
        <w:rPr>
          <w:lang w:eastAsia="zh-CN"/>
        </w:rPr>
        <w:tab/>
      </w:r>
      <w:r w:rsidRPr="007300C8">
        <w:rPr>
          <w:lang w:eastAsia="zh-CN"/>
        </w:rPr>
        <w:t>第</w:t>
      </w:r>
      <w:r w:rsidRPr="007300C8">
        <w:rPr>
          <w:lang w:eastAsia="zh-CN"/>
        </w:rPr>
        <w:t>6</w:t>
      </w:r>
      <w:r w:rsidRPr="007300C8">
        <w:rPr>
          <w:lang w:eastAsia="zh-CN"/>
        </w:rPr>
        <w:t>研究组</w:t>
      </w:r>
    </w:p>
    <w:p w:rsidR="007300C8" w:rsidRPr="007300C8" w:rsidRDefault="00B21AE6" w:rsidP="00B21AE6">
      <w:pPr>
        <w:ind w:firstLineChars="200" w:firstLine="480"/>
        <w:rPr>
          <w:lang w:eastAsia="zh-CN"/>
        </w:rPr>
      </w:pPr>
      <w:r>
        <w:rPr>
          <w:rFonts w:hint="eastAsia"/>
          <w:lang w:eastAsia="zh-CN"/>
        </w:rPr>
        <w:t>第</w:t>
      </w:r>
      <w:r>
        <w:rPr>
          <w:rFonts w:hint="eastAsia"/>
          <w:lang w:eastAsia="zh-CN"/>
        </w:rPr>
        <w:t>6</w:t>
      </w:r>
      <w:r>
        <w:rPr>
          <w:rFonts w:hint="eastAsia"/>
          <w:lang w:eastAsia="zh-CN"/>
        </w:rPr>
        <w:t>研究组</w:t>
      </w:r>
      <w:r w:rsidR="000815A9">
        <w:rPr>
          <w:rFonts w:hint="eastAsia"/>
          <w:lang w:eastAsia="zh-CN"/>
        </w:rPr>
        <w:t>批准了有关</w:t>
      </w:r>
      <w:r w:rsidR="000815A9" w:rsidRPr="007300C8">
        <w:rPr>
          <w:lang w:eastAsia="zh-CN"/>
        </w:rPr>
        <w:t>3DTV</w:t>
      </w:r>
      <w:r w:rsidR="000815A9">
        <w:rPr>
          <w:rFonts w:hint="eastAsia"/>
          <w:lang w:eastAsia="zh-CN"/>
        </w:rPr>
        <w:t>节目制作和国际交换的主要建议书，涉及</w:t>
      </w:r>
      <w:r w:rsidR="000815A9" w:rsidRPr="007300C8">
        <w:rPr>
          <w:lang w:eastAsia="zh-CN"/>
        </w:rPr>
        <w:t>3DTV</w:t>
      </w:r>
      <w:r w:rsidR="000815A9">
        <w:rPr>
          <w:rFonts w:hint="eastAsia"/>
          <w:lang w:eastAsia="zh-CN"/>
        </w:rPr>
        <w:t>节目制作工作室使用的数字界面、</w:t>
      </w:r>
      <w:r w:rsidR="000815A9" w:rsidRPr="007300C8">
        <w:rPr>
          <w:lang w:eastAsia="zh-CN"/>
        </w:rPr>
        <w:t>3DTV</w:t>
      </w:r>
      <w:r w:rsidR="000815A9">
        <w:rPr>
          <w:rFonts w:hint="eastAsia"/>
          <w:lang w:eastAsia="zh-CN"/>
        </w:rPr>
        <w:t>的一般性要求和评估</w:t>
      </w:r>
      <w:r w:rsidR="000815A9" w:rsidRPr="007300C8">
        <w:rPr>
          <w:lang w:eastAsia="zh-CN"/>
        </w:rPr>
        <w:t>3DTV</w:t>
      </w:r>
      <w:r w:rsidR="000815A9">
        <w:rPr>
          <w:rFonts w:hint="eastAsia"/>
          <w:lang w:eastAsia="zh-CN"/>
        </w:rPr>
        <w:t>图像质量的方法。有关节目制作和国际节目交换的</w:t>
      </w:r>
      <w:r w:rsidR="000815A9" w:rsidRPr="007300C8">
        <w:rPr>
          <w:lang w:eastAsia="zh-CN"/>
        </w:rPr>
        <w:t>UHDTV</w:t>
      </w:r>
      <w:r>
        <w:rPr>
          <w:rFonts w:hint="eastAsia"/>
          <w:lang w:eastAsia="zh-CN"/>
        </w:rPr>
        <w:t>技术详情的新建议书亦获得批准。研究组还制定了有关第二代</w:t>
      </w:r>
      <w:r w:rsidRPr="007300C8">
        <w:rPr>
          <w:lang w:eastAsia="zh-CN"/>
        </w:rPr>
        <w:t>DTTB</w:t>
      </w:r>
      <w:r>
        <w:rPr>
          <w:rFonts w:hint="eastAsia"/>
          <w:lang w:eastAsia="zh-CN"/>
        </w:rPr>
        <w:t>系统规划标准的建议书，完成了向</w:t>
      </w:r>
      <w:r w:rsidR="00F438D4">
        <w:rPr>
          <w:lang w:eastAsia="zh-CN"/>
        </w:rPr>
        <w:t>JTG 4-5-6-7</w:t>
      </w:r>
      <w:r>
        <w:rPr>
          <w:rFonts w:hint="eastAsia"/>
          <w:lang w:eastAsia="zh-CN"/>
        </w:rPr>
        <w:t>提供与</w:t>
      </w:r>
      <w:r w:rsidR="000815A9" w:rsidRPr="007300C8">
        <w:rPr>
          <w:lang w:eastAsia="zh-CN"/>
        </w:rPr>
        <w:t>WRC-15</w:t>
      </w:r>
      <w:r w:rsidR="000815A9">
        <w:rPr>
          <w:rFonts w:hint="eastAsia"/>
          <w:lang w:eastAsia="zh-CN"/>
        </w:rPr>
        <w:t>议项</w:t>
      </w:r>
      <w:r w:rsidR="000815A9" w:rsidRPr="007300C8">
        <w:rPr>
          <w:lang w:eastAsia="zh-CN"/>
        </w:rPr>
        <w:t>1.1</w:t>
      </w:r>
      <w:r w:rsidR="000815A9">
        <w:rPr>
          <w:rFonts w:hint="eastAsia"/>
          <w:lang w:eastAsia="zh-CN"/>
        </w:rPr>
        <w:t>和</w:t>
      </w:r>
      <w:r w:rsidR="000815A9" w:rsidRPr="007300C8">
        <w:rPr>
          <w:lang w:eastAsia="zh-CN"/>
        </w:rPr>
        <w:t>1.2</w:t>
      </w:r>
      <w:r>
        <w:rPr>
          <w:rFonts w:hint="eastAsia"/>
          <w:lang w:eastAsia="zh-CN"/>
        </w:rPr>
        <w:t>要求开展的研究相关的广播业务技术特性和频谱要求的任务。</w:t>
      </w:r>
      <w:r>
        <w:rPr>
          <w:rFonts w:hint="eastAsia"/>
          <w:lang w:eastAsia="zh-CN"/>
        </w:rPr>
        <w:t xml:space="preserve"> </w:t>
      </w:r>
    </w:p>
    <w:p w:rsidR="007300C8" w:rsidRPr="007300C8" w:rsidRDefault="00B21AE6" w:rsidP="00F438D4">
      <w:pPr>
        <w:ind w:firstLineChars="200" w:firstLine="480"/>
        <w:rPr>
          <w:lang w:eastAsia="zh-CN"/>
        </w:rPr>
      </w:pPr>
      <w:r>
        <w:rPr>
          <w:rFonts w:hint="eastAsia"/>
          <w:lang w:eastAsia="zh-CN"/>
        </w:rPr>
        <w:t>第</w:t>
      </w:r>
      <w:r w:rsidR="00F438D4">
        <w:rPr>
          <w:lang w:eastAsia="zh-CN"/>
        </w:rPr>
        <w:t>6</w:t>
      </w:r>
      <w:r>
        <w:rPr>
          <w:rFonts w:hint="eastAsia"/>
          <w:lang w:eastAsia="zh-CN"/>
        </w:rPr>
        <w:t>研究组还于</w:t>
      </w:r>
      <w:r>
        <w:rPr>
          <w:rFonts w:hint="eastAsia"/>
          <w:lang w:eastAsia="zh-CN"/>
        </w:rPr>
        <w:t>2012</w:t>
      </w:r>
      <w:r>
        <w:rPr>
          <w:rFonts w:hint="eastAsia"/>
          <w:lang w:eastAsia="zh-CN"/>
        </w:rPr>
        <w:t>年</w:t>
      </w:r>
      <w:r>
        <w:rPr>
          <w:rFonts w:hint="eastAsia"/>
          <w:lang w:eastAsia="zh-CN"/>
        </w:rPr>
        <w:t>10</w:t>
      </w:r>
      <w:r>
        <w:rPr>
          <w:rFonts w:hint="eastAsia"/>
          <w:lang w:eastAsia="zh-CN"/>
        </w:rPr>
        <w:t>月</w:t>
      </w:r>
      <w:r>
        <w:rPr>
          <w:rFonts w:hint="eastAsia"/>
          <w:lang w:eastAsia="zh-CN"/>
        </w:rPr>
        <w:t>30</w:t>
      </w:r>
      <w:r>
        <w:rPr>
          <w:rFonts w:hint="eastAsia"/>
          <w:lang w:eastAsia="zh-CN"/>
        </w:rPr>
        <w:t>日举办庆典，庆祝“数字电视发展</w:t>
      </w:r>
      <w:r>
        <w:rPr>
          <w:rFonts w:hint="eastAsia"/>
          <w:lang w:eastAsia="zh-CN"/>
        </w:rPr>
        <w:t>40</w:t>
      </w:r>
      <w:r>
        <w:rPr>
          <w:rFonts w:hint="eastAsia"/>
          <w:lang w:eastAsia="zh-CN"/>
        </w:rPr>
        <w:t>周年”。</w:t>
      </w:r>
      <w:r w:rsidRPr="007300C8">
        <w:rPr>
          <w:lang w:eastAsia="zh-CN"/>
        </w:rPr>
        <w:t>ITU-R</w:t>
      </w:r>
      <w:r>
        <w:rPr>
          <w:rFonts w:hint="eastAsia"/>
          <w:lang w:eastAsia="zh-CN"/>
        </w:rPr>
        <w:t>荣获成就奖牌。庆祝仪式对第</w:t>
      </w:r>
      <w:r>
        <w:rPr>
          <w:rFonts w:hint="eastAsia"/>
          <w:lang w:eastAsia="zh-CN"/>
        </w:rPr>
        <w:t>6</w:t>
      </w:r>
      <w:r>
        <w:rPr>
          <w:rFonts w:hint="eastAsia"/>
          <w:lang w:eastAsia="zh-CN"/>
        </w:rPr>
        <w:t>研究组荣誉主席</w:t>
      </w:r>
      <w:r w:rsidR="00F438D4">
        <w:rPr>
          <w:lang w:eastAsia="zh-CN"/>
        </w:rPr>
        <w:t>M. Krivocheev</w:t>
      </w:r>
      <w:r>
        <w:rPr>
          <w:rFonts w:hint="eastAsia"/>
          <w:lang w:eastAsia="zh-CN"/>
        </w:rPr>
        <w:t>教授的</w:t>
      </w:r>
      <w:r>
        <w:rPr>
          <w:rFonts w:hint="eastAsia"/>
          <w:lang w:eastAsia="zh-CN"/>
        </w:rPr>
        <w:t>90</w:t>
      </w:r>
      <w:r>
        <w:rPr>
          <w:rFonts w:hint="eastAsia"/>
          <w:lang w:eastAsia="zh-CN"/>
        </w:rPr>
        <w:t>岁华诞和</w:t>
      </w:r>
      <w:r w:rsidR="00F438D4">
        <w:rPr>
          <w:rFonts w:hint="eastAsia"/>
          <w:lang w:eastAsia="zh-CN"/>
        </w:rPr>
        <w:t>其对</w:t>
      </w:r>
      <w:r>
        <w:rPr>
          <w:rFonts w:hint="eastAsia"/>
          <w:lang w:eastAsia="zh-CN"/>
        </w:rPr>
        <w:t>第</w:t>
      </w:r>
      <w:r>
        <w:rPr>
          <w:rFonts w:hint="eastAsia"/>
          <w:lang w:eastAsia="zh-CN"/>
        </w:rPr>
        <w:t>6</w:t>
      </w:r>
      <w:r>
        <w:rPr>
          <w:rFonts w:hint="eastAsia"/>
          <w:lang w:eastAsia="zh-CN"/>
        </w:rPr>
        <w:t>研究组所取得的成就中的参与表示祝贺。</w:t>
      </w:r>
    </w:p>
    <w:p w:rsidR="007300C8" w:rsidRPr="007300C8" w:rsidRDefault="007300C8" w:rsidP="007A5B2E">
      <w:pPr>
        <w:pStyle w:val="Heading2"/>
        <w:rPr>
          <w:lang w:eastAsia="zh-CN"/>
        </w:rPr>
      </w:pPr>
      <w:r w:rsidRPr="007300C8">
        <w:rPr>
          <w:lang w:eastAsia="zh-CN"/>
        </w:rPr>
        <w:t>5.6</w:t>
      </w:r>
      <w:r w:rsidRPr="007300C8">
        <w:rPr>
          <w:lang w:eastAsia="zh-CN"/>
        </w:rPr>
        <w:tab/>
      </w:r>
      <w:r w:rsidRPr="007300C8">
        <w:rPr>
          <w:lang w:eastAsia="zh-CN"/>
        </w:rPr>
        <w:t>第</w:t>
      </w:r>
      <w:r w:rsidRPr="007300C8">
        <w:rPr>
          <w:lang w:eastAsia="zh-CN"/>
        </w:rPr>
        <w:t>7</w:t>
      </w:r>
      <w:r w:rsidRPr="007300C8">
        <w:rPr>
          <w:lang w:eastAsia="zh-CN"/>
        </w:rPr>
        <w:t>研究组</w:t>
      </w:r>
    </w:p>
    <w:p w:rsidR="007300C8" w:rsidRPr="007300C8" w:rsidRDefault="006E3D8A" w:rsidP="000C19C4">
      <w:pPr>
        <w:ind w:firstLineChars="200" w:firstLine="480"/>
        <w:rPr>
          <w:lang w:eastAsia="zh-CN"/>
        </w:rPr>
      </w:pPr>
      <w:r>
        <w:rPr>
          <w:rFonts w:hint="eastAsia"/>
          <w:lang w:eastAsia="zh-CN"/>
        </w:rPr>
        <w:t>为期两天的美洲区有关“科技服务：监管、技术和实际影响”</w:t>
      </w:r>
      <w:r w:rsidR="000C19C4">
        <w:rPr>
          <w:rFonts w:hint="eastAsia"/>
          <w:lang w:eastAsia="zh-CN"/>
        </w:rPr>
        <w:t>的</w:t>
      </w:r>
      <w:r>
        <w:rPr>
          <w:rFonts w:hint="eastAsia"/>
          <w:lang w:eastAsia="zh-CN"/>
        </w:rPr>
        <w:t>研讨会</w:t>
      </w:r>
      <w:r w:rsidR="000C19C4">
        <w:rPr>
          <w:rFonts w:hint="eastAsia"/>
          <w:lang w:eastAsia="zh-CN"/>
        </w:rPr>
        <w:t>于</w:t>
      </w:r>
      <w:r>
        <w:rPr>
          <w:rFonts w:hint="eastAsia"/>
          <w:lang w:eastAsia="zh-CN"/>
        </w:rPr>
        <w:t>2012</w:t>
      </w:r>
      <w:r>
        <w:rPr>
          <w:rFonts w:hint="eastAsia"/>
          <w:lang w:eastAsia="zh-CN"/>
        </w:rPr>
        <w:t>年</w:t>
      </w:r>
      <w:r>
        <w:rPr>
          <w:rFonts w:hint="eastAsia"/>
          <w:lang w:eastAsia="zh-CN"/>
        </w:rPr>
        <w:t>9</w:t>
      </w:r>
      <w:r>
        <w:rPr>
          <w:rFonts w:hint="eastAsia"/>
          <w:lang w:eastAsia="zh-CN"/>
        </w:rPr>
        <w:t>月</w:t>
      </w:r>
      <w:r w:rsidRPr="007300C8">
        <w:rPr>
          <w:lang w:eastAsia="zh-CN"/>
        </w:rPr>
        <w:t>20-21</w:t>
      </w:r>
      <w:r>
        <w:rPr>
          <w:rFonts w:hint="eastAsia"/>
          <w:lang w:eastAsia="zh-CN"/>
        </w:rPr>
        <w:t>日在厄瓜多尔</w:t>
      </w:r>
      <w:r w:rsidRPr="007300C8">
        <w:rPr>
          <w:lang w:eastAsia="zh-CN"/>
        </w:rPr>
        <w:t>Manta</w:t>
      </w:r>
      <w:r>
        <w:rPr>
          <w:rFonts w:hint="eastAsia"/>
          <w:lang w:eastAsia="zh-CN"/>
        </w:rPr>
        <w:t>举行。国际电联为此次研讨会的与会者全面提供了有关科学发展的信息，侧重于第</w:t>
      </w:r>
      <w:r>
        <w:rPr>
          <w:rFonts w:hint="eastAsia"/>
          <w:lang w:eastAsia="zh-CN"/>
        </w:rPr>
        <w:t>7</w:t>
      </w:r>
      <w:r>
        <w:rPr>
          <w:rFonts w:hint="eastAsia"/>
          <w:lang w:eastAsia="zh-CN"/>
        </w:rPr>
        <w:t>研究组最近开展的研究。约</w:t>
      </w:r>
      <w:r>
        <w:rPr>
          <w:rFonts w:hint="eastAsia"/>
          <w:lang w:eastAsia="zh-CN"/>
        </w:rPr>
        <w:t>180</w:t>
      </w:r>
      <w:r w:rsidR="008A7EC6">
        <w:rPr>
          <w:rFonts w:hint="eastAsia"/>
          <w:lang w:eastAsia="zh-CN"/>
        </w:rPr>
        <w:t>位</w:t>
      </w:r>
      <w:r>
        <w:rPr>
          <w:rFonts w:hint="eastAsia"/>
          <w:lang w:eastAsia="zh-CN"/>
        </w:rPr>
        <w:t>代表参加</w:t>
      </w:r>
      <w:r w:rsidR="008A7EC6">
        <w:rPr>
          <w:rFonts w:hint="eastAsia"/>
          <w:lang w:eastAsia="zh-CN"/>
        </w:rPr>
        <w:t>了</w:t>
      </w:r>
      <w:r>
        <w:rPr>
          <w:rFonts w:hint="eastAsia"/>
          <w:lang w:eastAsia="zh-CN"/>
        </w:rPr>
        <w:t>此次活动。更多信息，请查询以下网站：</w:t>
      </w:r>
      <w:hyperlink r:id="rId12" w:history="1">
        <w:r w:rsidR="007300C8" w:rsidRPr="007300C8">
          <w:rPr>
            <w:rStyle w:val="Hyperlink"/>
            <w:lang w:eastAsia="zh-CN"/>
          </w:rPr>
          <w:t>http://www.itu.int/ITU-R/go/itu-sem-americas</w:t>
        </w:r>
      </w:hyperlink>
      <w:r w:rsidR="007300C8" w:rsidRPr="007300C8">
        <w:rPr>
          <w:lang w:eastAsia="zh-CN"/>
        </w:rPr>
        <w:t>。</w:t>
      </w:r>
    </w:p>
    <w:p w:rsidR="007300C8" w:rsidRPr="007300C8" w:rsidRDefault="007300C8" w:rsidP="007A5B2E">
      <w:pPr>
        <w:pStyle w:val="Heading1"/>
        <w:rPr>
          <w:bCs/>
          <w:lang w:eastAsia="zh-CN"/>
        </w:rPr>
      </w:pPr>
      <w:r w:rsidRPr="007300C8">
        <w:rPr>
          <w:lang w:eastAsia="zh-CN"/>
        </w:rPr>
        <w:t>6</w:t>
      </w:r>
      <w:r w:rsidRPr="007300C8">
        <w:rPr>
          <w:lang w:eastAsia="zh-CN"/>
        </w:rPr>
        <w:tab/>
      </w:r>
      <w:r w:rsidRPr="007300C8">
        <w:rPr>
          <w:lang w:eastAsia="zh-CN"/>
        </w:rPr>
        <w:t>与</w:t>
      </w:r>
      <w:r w:rsidRPr="007300C8">
        <w:rPr>
          <w:lang w:eastAsia="zh-CN"/>
        </w:rPr>
        <w:t>ITU-D</w:t>
      </w:r>
      <w:r w:rsidRPr="007300C8">
        <w:rPr>
          <w:lang w:eastAsia="zh-CN"/>
        </w:rPr>
        <w:t>和</w:t>
      </w:r>
      <w:r w:rsidRPr="007300C8">
        <w:rPr>
          <w:lang w:eastAsia="zh-CN"/>
        </w:rPr>
        <w:t>ITU-T</w:t>
      </w:r>
      <w:r w:rsidRPr="007300C8">
        <w:rPr>
          <w:lang w:eastAsia="zh-CN"/>
        </w:rPr>
        <w:t>及其它组织的联络和协作</w:t>
      </w:r>
    </w:p>
    <w:p w:rsidR="007300C8" w:rsidRPr="007300C8" w:rsidRDefault="007300C8" w:rsidP="007A5B2E">
      <w:pPr>
        <w:ind w:firstLineChars="200" w:firstLine="480"/>
        <w:rPr>
          <w:lang w:eastAsia="zh-CN"/>
        </w:rPr>
      </w:pPr>
      <w:r w:rsidRPr="007300C8">
        <w:rPr>
          <w:lang w:eastAsia="zh-CN"/>
        </w:rPr>
        <w:t>在整个研究期内，跨部门活动十分活跃，特别是涉及气候变化、应急通信和无障碍获取等国际电联重点话题。</w:t>
      </w:r>
    </w:p>
    <w:p w:rsidR="007300C8" w:rsidRPr="007300C8" w:rsidRDefault="007300C8" w:rsidP="007A5B2E">
      <w:pPr>
        <w:ind w:firstLineChars="200" w:firstLine="480"/>
        <w:rPr>
          <w:lang w:eastAsia="zh-CN"/>
        </w:rPr>
      </w:pPr>
      <w:r w:rsidRPr="008A7EC6">
        <w:rPr>
          <w:rFonts w:ascii="STKaiti" w:eastAsia="STKaiti" w:hAnsi="STKaiti"/>
          <w:lang w:eastAsia="zh-CN"/>
        </w:rPr>
        <w:t>关于ITU-D</w:t>
      </w:r>
      <w:r w:rsidRPr="007300C8">
        <w:rPr>
          <w:lang w:eastAsia="zh-CN"/>
        </w:rPr>
        <w:t>：无线电通信局继续为电信发展局发展论坛做出的贡献。这些活动为展示</w:t>
      </w:r>
      <w:r w:rsidRPr="007300C8">
        <w:rPr>
          <w:lang w:eastAsia="zh-CN"/>
        </w:rPr>
        <w:t>ITU-R</w:t>
      </w:r>
      <w:r w:rsidRPr="007300C8">
        <w:rPr>
          <w:lang w:eastAsia="zh-CN"/>
        </w:rPr>
        <w:t>的标准化活动提供了机会，反之又展现了他们在缩小标准化工作差距方面对第</w:t>
      </w:r>
      <w:r w:rsidRPr="007300C8">
        <w:rPr>
          <w:lang w:eastAsia="zh-CN"/>
        </w:rPr>
        <w:t>123</w:t>
      </w:r>
      <w:r w:rsidRPr="007300C8">
        <w:rPr>
          <w:lang w:eastAsia="zh-CN"/>
        </w:rPr>
        <w:t>号决议</w:t>
      </w:r>
      <w:r w:rsidR="00A70017">
        <w:rPr>
          <w:lang w:eastAsia="zh-CN"/>
        </w:rPr>
        <w:t>（</w:t>
      </w:r>
      <w:r w:rsidRPr="007300C8">
        <w:rPr>
          <w:lang w:eastAsia="zh-CN"/>
        </w:rPr>
        <w:t>2010</w:t>
      </w:r>
      <w:r w:rsidRPr="007300C8">
        <w:rPr>
          <w:lang w:eastAsia="zh-CN"/>
        </w:rPr>
        <w:t>年，瓜达拉哈拉，修订版</w:t>
      </w:r>
      <w:r w:rsidR="00A70017">
        <w:rPr>
          <w:lang w:eastAsia="zh-CN"/>
        </w:rPr>
        <w:t>）</w:t>
      </w:r>
      <w:r w:rsidRPr="007300C8">
        <w:rPr>
          <w:lang w:eastAsia="zh-CN"/>
        </w:rPr>
        <w:t>所做的贡献。</w:t>
      </w:r>
    </w:p>
    <w:p w:rsidR="007300C8" w:rsidRPr="007300C8" w:rsidRDefault="007300C8" w:rsidP="007A5B2E">
      <w:pPr>
        <w:ind w:firstLineChars="200" w:firstLine="480"/>
        <w:rPr>
          <w:lang w:eastAsia="zh-CN"/>
        </w:rPr>
      </w:pPr>
      <w:r w:rsidRPr="007300C8">
        <w:rPr>
          <w:lang w:eastAsia="zh-CN"/>
        </w:rPr>
        <w:t>ITU-R</w:t>
      </w:r>
      <w:r w:rsidRPr="007300C8">
        <w:rPr>
          <w:lang w:eastAsia="zh-CN"/>
        </w:rPr>
        <w:t>第</w:t>
      </w:r>
      <w:r w:rsidRPr="007300C8">
        <w:rPr>
          <w:lang w:eastAsia="zh-CN"/>
        </w:rPr>
        <w:t>1</w:t>
      </w:r>
      <w:r w:rsidRPr="007300C8">
        <w:rPr>
          <w:lang w:eastAsia="zh-CN"/>
        </w:rPr>
        <w:t>研究组的专家将继续根据</w:t>
      </w:r>
      <w:r w:rsidRPr="007300C8">
        <w:rPr>
          <w:lang w:eastAsia="zh-CN"/>
        </w:rPr>
        <w:t>ITU-R</w:t>
      </w:r>
      <w:r w:rsidRPr="007300C8">
        <w:rPr>
          <w:lang w:eastAsia="zh-CN"/>
        </w:rPr>
        <w:t>第</w:t>
      </w:r>
      <w:r w:rsidRPr="007300C8">
        <w:rPr>
          <w:lang w:eastAsia="zh-CN"/>
        </w:rPr>
        <w:t>11-4</w:t>
      </w:r>
      <w:r w:rsidRPr="007300C8">
        <w:rPr>
          <w:lang w:eastAsia="zh-CN"/>
        </w:rPr>
        <w:t>号决议，应要求协助开发</w:t>
      </w:r>
      <w:r w:rsidRPr="007300C8">
        <w:rPr>
          <w:lang w:eastAsia="zh-CN"/>
        </w:rPr>
        <w:t>SMS4DC</w:t>
      </w:r>
      <w:r w:rsidRPr="007300C8">
        <w:rPr>
          <w:lang w:eastAsia="zh-CN"/>
        </w:rPr>
        <w:t>软件应用。</w:t>
      </w:r>
    </w:p>
    <w:p w:rsidR="007300C8" w:rsidRPr="007300C8" w:rsidRDefault="007300C8" w:rsidP="007A5B2E">
      <w:pPr>
        <w:ind w:firstLineChars="200" w:firstLine="480"/>
        <w:rPr>
          <w:szCs w:val="24"/>
          <w:lang w:eastAsia="zh-CN"/>
        </w:rPr>
      </w:pPr>
      <w:r w:rsidRPr="007300C8">
        <w:rPr>
          <w:szCs w:val="24"/>
          <w:lang w:eastAsia="zh-CN"/>
        </w:rPr>
        <w:lastRenderedPageBreak/>
        <w:t>在</w:t>
      </w:r>
      <w:r w:rsidRPr="007300C8">
        <w:rPr>
          <w:szCs w:val="24"/>
          <w:lang w:eastAsia="zh-CN"/>
        </w:rPr>
        <w:t>ITU-D</w:t>
      </w:r>
      <w:r w:rsidRPr="007300C8">
        <w:rPr>
          <w:szCs w:val="24"/>
          <w:lang w:eastAsia="zh-CN"/>
        </w:rPr>
        <w:t>研究组活动方面：</w:t>
      </w:r>
    </w:p>
    <w:p w:rsidR="007300C8" w:rsidRPr="007300C8" w:rsidRDefault="007300C8" w:rsidP="008A7EC6">
      <w:pPr>
        <w:spacing w:before="80"/>
        <w:ind w:left="794" w:hanging="794"/>
        <w:rPr>
          <w:lang w:eastAsia="zh-CN"/>
        </w:rPr>
      </w:pPr>
      <w:r w:rsidRPr="007300C8">
        <w:rPr>
          <w:lang w:eastAsia="zh-CN"/>
        </w:rPr>
        <w:t>•</w:t>
      </w:r>
      <w:r w:rsidRPr="007300C8">
        <w:rPr>
          <w:lang w:eastAsia="zh-CN"/>
        </w:rPr>
        <w:tab/>
      </w:r>
      <w:r w:rsidRPr="007300C8">
        <w:rPr>
          <w:lang w:eastAsia="zh-CN"/>
        </w:rPr>
        <w:t>无线电通信局继续为第</w:t>
      </w:r>
      <w:r w:rsidRPr="007300C8">
        <w:rPr>
          <w:lang w:eastAsia="zh-CN"/>
        </w:rPr>
        <w:t>9-3/2</w:t>
      </w:r>
      <w:r w:rsidRPr="007300C8">
        <w:rPr>
          <w:lang w:eastAsia="zh-CN"/>
        </w:rPr>
        <w:t>号课题报告人组会议</w:t>
      </w:r>
      <w:r w:rsidR="008A7EC6">
        <w:rPr>
          <w:rFonts w:hint="eastAsia"/>
          <w:lang w:eastAsia="zh-CN"/>
        </w:rPr>
        <w:t>提交文稿</w:t>
      </w:r>
      <w:r w:rsidRPr="007300C8">
        <w:rPr>
          <w:lang w:eastAsia="zh-CN"/>
        </w:rPr>
        <w:t>，</w:t>
      </w:r>
      <w:r w:rsidR="008A7EC6">
        <w:rPr>
          <w:rFonts w:hint="eastAsia"/>
          <w:lang w:eastAsia="zh-CN"/>
        </w:rPr>
        <w:t>面向</w:t>
      </w:r>
      <w:r w:rsidRPr="007300C8">
        <w:rPr>
          <w:lang w:eastAsia="zh-CN"/>
        </w:rPr>
        <w:t>发展中国家特别</w:t>
      </w:r>
      <w:r w:rsidR="008A7EC6">
        <w:rPr>
          <w:rFonts w:hint="eastAsia"/>
          <w:lang w:eastAsia="zh-CN"/>
        </w:rPr>
        <w:t>关心的</w:t>
      </w:r>
      <w:r w:rsidR="008A7EC6">
        <w:rPr>
          <w:rFonts w:hint="eastAsia"/>
          <w:lang w:eastAsia="zh-CN"/>
        </w:rPr>
        <w:t>ITU-R</w:t>
      </w:r>
      <w:r w:rsidR="008A7EC6">
        <w:rPr>
          <w:rFonts w:hint="eastAsia"/>
          <w:lang w:eastAsia="zh-CN"/>
        </w:rPr>
        <w:t>研究；</w:t>
      </w:r>
    </w:p>
    <w:p w:rsidR="007300C8" w:rsidRPr="007300C8" w:rsidRDefault="006E3D8A" w:rsidP="006E3D8A">
      <w:pPr>
        <w:spacing w:before="80"/>
        <w:ind w:left="794" w:hanging="794"/>
        <w:rPr>
          <w:lang w:eastAsia="zh-CN"/>
        </w:rPr>
      </w:pPr>
      <w:r>
        <w:rPr>
          <w:lang w:eastAsia="zh-CN"/>
        </w:rPr>
        <w:t>•</w:t>
      </w:r>
      <w:r>
        <w:rPr>
          <w:lang w:eastAsia="zh-CN"/>
        </w:rPr>
        <w:tab/>
      </w:r>
      <w:r>
        <w:rPr>
          <w:rFonts w:hint="eastAsia"/>
          <w:lang w:eastAsia="zh-CN"/>
        </w:rPr>
        <w:t>无线电通信局还支持制定问卷调查表，作为</w:t>
      </w:r>
      <w:r w:rsidR="008A7EC6">
        <w:rPr>
          <w:lang w:eastAsia="zh-CN"/>
        </w:rPr>
        <w:t>ITU-D ICT</w:t>
      </w:r>
      <w:r>
        <w:rPr>
          <w:rFonts w:hint="eastAsia"/>
          <w:lang w:eastAsia="zh-CN"/>
        </w:rPr>
        <w:t>之窗活动的一部分；</w:t>
      </w:r>
    </w:p>
    <w:p w:rsidR="007300C8" w:rsidRPr="007300C8" w:rsidRDefault="007300C8" w:rsidP="007A5B2E">
      <w:pPr>
        <w:spacing w:before="80"/>
        <w:ind w:left="794" w:hanging="794"/>
        <w:rPr>
          <w:lang w:eastAsia="zh-CN"/>
        </w:rPr>
      </w:pPr>
      <w:r w:rsidRPr="007300C8">
        <w:rPr>
          <w:lang w:eastAsia="zh-CN"/>
        </w:rPr>
        <w:t>•</w:t>
      </w:r>
      <w:r w:rsidRPr="007300C8">
        <w:rPr>
          <w:lang w:eastAsia="zh-CN"/>
        </w:rPr>
        <w:tab/>
        <w:t>ITU-R 7C</w:t>
      </w:r>
      <w:r w:rsidRPr="007300C8">
        <w:rPr>
          <w:lang w:eastAsia="zh-CN"/>
        </w:rPr>
        <w:t>工作组就在灾害预测、发现和减灾工作中使用无线电遥感技术的</w:t>
      </w:r>
      <w:r w:rsidRPr="007300C8">
        <w:rPr>
          <w:lang w:eastAsia="zh-CN"/>
        </w:rPr>
        <w:t>ITU-D</w:t>
      </w:r>
      <w:r w:rsidRPr="007300C8">
        <w:rPr>
          <w:lang w:eastAsia="zh-CN"/>
        </w:rPr>
        <w:t>第</w:t>
      </w:r>
      <w:r w:rsidRPr="007300C8">
        <w:rPr>
          <w:lang w:eastAsia="zh-CN"/>
        </w:rPr>
        <w:t>22/2</w:t>
      </w:r>
      <w:r w:rsidRPr="007300C8">
        <w:rPr>
          <w:lang w:eastAsia="zh-CN"/>
        </w:rPr>
        <w:t>号课题向</w:t>
      </w:r>
      <w:r w:rsidRPr="007300C8">
        <w:rPr>
          <w:lang w:eastAsia="zh-CN"/>
        </w:rPr>
        <w:t>ITU-D</w:t>
      </w:r>
      <w:r w:rsidRPr="007300C8">
        <w:rPr>
          <w:lang w:eastAsia="zh-CN"/>
        </w:rPr>
        <w:t>该报告人组提供了资料；</w:t>
      </w:r>
    </w:p>
    <w:p w:rsidR="007300C8" w:rsidRPr="007300C8" w:rsidRDefault="007300C8" w:rsidP="00D91179">
      <w:pPr>
        <w:spacing w:before="80"/>
        <w:ind w:left="794" w:hanging="794"/>
        <w:rPr>
          <w:lang w:eastAsia="zh-CN"/>
        </w:rPr>
      </w:pPr>
      <w:r w:rsidRPr="007300C8">
        <w:rPr>
          <w:lang w:eastAsia="zh-CN"/>
        </w:rPr>
        <w:t>•</w:t>
      </w:r>
      <w:r w:rsidRPr="007300C8">
        <w:rPr>
          <w:lang w:eastAsia="zh-CN"/>
        </w:rPr>
        <w:tab/>
        <w:t>ITU-R</w:t>
      </w:r>
      <w:r w:rsidRPr="007300C8">
        <w:rPr>
          <w:lang w:eastAsia="zh-CN"/>
        </w:rPr>
        <w:t>第</w:t>
      </w:r>
      <w:r w:rsidRPr="007300C8">
        <w:rPr>
          <w:lang w:eastAsia="zh-CN"/>
        </w:rPr>
        <w:t>1</w:t>
      </w:r>
      <w:r w:rsidRPr="007300C8">
        <w:rPr>
          <w:lang w:eastAsia="zh-CN"/>
        </w:rPr>
        <w:t>研究组继续与</w:t>
      </w:r>
      <w:r w:rsidRPr="007300C8">
        <w:rPr>
          <w:lang w:eastAsia="zh-CN"/>
        </w:rPr>
        <w:t>ITU-D</w:t>
      </w:r>
      <w:r w:rsidRPr="007300C8">
        <w:rPr>
          <w:lang w:eastAsia="zh-CN"/>
        </w:rPr>
        <w:t>第</w:t>
      </w:r>
      <w:r w:rsidRPr="007300C8">
        <w:rPr>
          <w:lang w:eastAsia="zh-CN"/>
        </w:rPr>
        <w:t>2</w:t>
      </w:r>
      <w:r w:rsidRPr="007300C8">
        <w:rPr>
          <w:lang w:eastAsia="zh-CN"/>
        </w:rPr>
        <w:t>研究组积极合作，落实属于</w:t>
      </w:r>
      <w:r w:rsidRPr="007300C8">
        <w:rPr>
          <w:lang w:eastAsia="zh-CN"/>
        </w:rPr>
        <w:t>ITU-D</w:t>
      </w:r>
      <w:r w:rsidRPr="007300C8">
        <w:rPr>
          <w:lang w:eastAsia="zh-CN"/>
        </w:rPr>
        <w:t>第</w:t>
      </w:r>
      <w:r w:rsidRPr="007300C8">
        <w:rPr>
          <w:lang w:eastAsia="zh-CN"/>
        </w:rPr>
        <w:t>9</w:t>
      </w:r>
      <w:r w:rsidRPr="007300C8">
        <w:rPr>
          <w:lang w:eastAsia="zh-CN"/>
        </w:rPr>
        <w:t>号决议</w:t>
      </w:r>
      <w:r w:rsidR="00A70017">
        <w:rPr>
          <w:lang w:eastAsia="zh-CN"/>
        </w:rPr>
        <w:t>（</w:t>
      </w:r>
      <w:r w:rsidRPr="007300C8">
        <w:rPr>
          <w:lang w:eastAsia="zh-CN"/>
        </w:rPr>
        <w:t>2010</w:t>
      </w:r>
      <w:r w:rsidRPr="007300C8">
        <w:rPr>
          <w:lang w:eastAsia="zh-CN"/>
        </w:rPr>
        <w:t>年，海得拉巴，修订版</w:t>
      </w:r>
      <w:r w:rsidR="00A70017">
        <w:rPr>
          <w:lang w:eastAsia="zh-CN"/>
        </w:rPr>
        <w:t>）</w:t>
      </w:r>
      <w:r w:rsidRPr="007300C8">
        <w:rPr>
          <w:lang w:eastAsia="zh-CN"/>
        </w:rPr>
        <w:t>范围内的新阶段的研究工作。</w:t>
      </w:r>
      <w:r w:rsidR="006B287E">
        <w:rPr>
          <w:rFonts w:hint="eastAsia"/>
          <w:lang w:eastAsia="zh-CN"/>
        </w:rPr>
        <w:t>无线电通信局在</w:t>
      </w:r>
      <w:r w:rsidR="006B287E">
        <w:rPr>
          <w:rFonts w:hint="eastAsia"/>
          <w:lang w:eastAsia="zh-CN"/>
        </w:rPr>
        <w:t>2012</w:t>
      </w:r>
      <w:r w:rsidR="006B287E">
        <w:rPr>
          <w:rFonts w:hint="eastAsia"/>
          <w:lang w:eastAsia="zh-CN"/>
        </w:rPr>
        <w:t>年</w:t>
      </w:r>
      <w:r w:rsidR="006B287E">
        <w:rPr>
          <w:rFonts w:hint="eastAsia"/>
          <w:lang w:eastAsia="zh-CN"/>
        </w:rPr>
        <w:t>9</w:t>
      </w:r>
      <w:r w:rsidR="006B287E">
        <w:rPr>
          <w:rFonts w:hint="eastAsia"/>
          <w:lang w:eastAsia="zh-CN"/>
        </w:rPr>
        <w:t>月</w:t>
      </w:r>
      <w:r w:rsidR="006B287E">
        <w:rPr>
          <w:rFonts w:hint="eastAsia"/>
          <w:lang w:eastAsia="zh-CN"/>
        </w:rPr>
        <w:t>ITU-D/ITU-R</w:t>
      </w:r>
      <w:r w:rsidR="006B287E">
        <w:rPr>
          <w:rFonts w:hint="eastAsia"/>
          <w:lang w:eastAsia="zh-CN"/>
        </w:rPr>
        <w:t>联合小组会议上介绍了</w:t>
      </w:r>
      <w:r w:rsidR="006B287E">
        <w:rPr>
          <w:rFonts w:hint="eastAsia"/>
          <w:lang w:eastAsia="zh-CN"/>
        </w:rPr>
        <w:t>RA-12</w:t>
      </w:r>
      <w:r w:rsidR="006B287E">
        <w:rPr>
          <w:rFonts w:hint="eastAsia"/>
          <w:lang w:eastAsia="zh-CN"/>
        </w:rPr>
        <w:t>和</w:t>
      </w:r>
      <w:r w:rsidR="006B287E">
        <w:rPr>
          <w:rFonts w:hint="eastAsia"/>
          <w:lang w:eastAsia="zh-CN"/>
        </w:rPr>
        <w:t>WRC-1</w:t>
      </w:r>
      <w:r w:rsidR="00333224">
        <w:rPr>
          <w:lang w:eastAsia="zh-CN"/>
        </w:rPr>
        <w:t>2</w:t>
      </w:r>
      <w:r w:rsidR="006B287E">
        <w:rPr>
          <w:rFonts w:hint="eastAsia"/>
          <w:lang w:eastAsia="zh-CN"/>
        </w:rPr>
        <w:t>的成果以及</w:t>
      </w:r>
      <w:r w:rsidR="006B287E">
        <w:rPr>
          <w:rFonts w:hint="eastAsia"/>
          <w:lang w:eastAsia="zh-CN"/>
        </w:rPr>
        <w:t>ITU-R</w:t>
      </w:r>
      <w:r w:rsidR="006B287E">
        <w:rPr>
          <w:rFonts w:hint="eastAsia"/>
          <w:lang w:eastAsia="zh-CN"/>
        </w:rPr>
        <w:t>第</w:t>
      </w:r>
      <w:r w:rsidR="006B287E">
        <w:rPr>
          <w:rFonts w:hint="eastAsia"/>
          <w:lang w:eastAsia="zh-CN"/>
        </w:rPr>
        <w:t>1</w:t>
      </w:r>
      <w:r w:rsidR="006B287E">
        <w:rPr>
          <w:rFonts w:hint="eastAsia"/>
          <w:lang w:eastAsia="zh-CN"/>
        </w:rPr>
        <w:t>研究组正在开展的活动。</w:t>
      </w:r>
      <w:r w:rsidRPr="007300C8">
        <w:rPr>
          <w:szCs w:val="24"/>
          <w:lang w:eastAsia="zh-CN"/>
        </w:rPr>
        <w:t>ITU-R 1C</w:t>
      </w:r>
      <w:r w:rsidRPr="007300C8">
        <w:rPr>
          <w:szCs w:val="24"/>
          <w:lang w:eastAsia="zh-CN"/>
        </w:rPr>
        <w:t>工作组继续</w:t>
      </w:r>
      <w:r w:rsidRPr="007300C8">
        <w:rPr>
          <w:lang w:eastAsia="zh-CN"/>
        </w:rPr>
        <w:t>提供有关频谱监测的技术信息，以响应题为</w:t>
      </w:r>
      <w:r w:rsidR="008A7EC6">
        <w:rPr>
          <w:rFonts w:hint="eastAsia"/>
          <w:lang w:eastAsia="zh-CN"/>
        </w:rPr>
        <w:t>“</w:t>
      </w:r>
      <w:r w:rsidRPr="007300C8">
        <w:rPr>
          <w:lang w:eastAsia="zh-CN"/>
        </w:rPr>
        <w:t>与人体暴露于电磁场相关的策略和政策</w:t>
      </w:r>
      <w:r w:rsidR="008A7EC6">
        <w:rPr>
          <w:rFonts w:hint="eastAsia"/>
          <w:lang w:eastAsia="zh-CN"/>
        </w:rPr>
        <w:t>”</w:t>
      </w:r>
      <w:r w:rsidRPr="007300C8">
        <w:rPr>
          <w:lang w:eastAsia="zh-CN"/>
        </w:rPr>
        <w:t>的</w:t>
      </w:r>
      <w:r w:rsidRPr="007300C8">
        <w:rPr>
          <w:lang w:eastAsia="zh-CN"/>
        </w:rPr>
        <w:t>I</w:t>
      </w:r>
      <w:r w:rsidR="00D91179">
        <w:rPr>
          <w:lang w:eastAsia="zh-CN"/>
        </w:rPr>
        <w:t>TU-D</w:t>
      </w:r>
      <w:r w:rsidR="00D91179" w:rsidRPr="007300C8">
        <w:rPr>
          <w:lang w:eastAsia="zh-CN"/>
        </w:rPr>
        <w:t>第</w:t>
      </w:r>
      <w:r w:rsidRPr="007300C8">
        <w:rPr>
          <w:lang w:eastAsia="zh-CN"/>
        </w:rPr>
        <w:t>23/1</w:t>
      </w:r>
      <w:r w:rsidRPr="007300C8">
        <w:rPr>
          <w:lang w:eastAsia="zh-CN"/>
        </w:rPr>
        <w:t>号课题的要求，向研究工作提供支持；</w:t>
      </w:r>
    </w:p>
    <w:p w:rsidR="007300C8" w:rsidRPr="007300C8" w:rsidRDefault="007300C8" w:rsidP="00B446E5">
      <w:pPr>
        <w:spacing w:before="80"/>
        <w:ind w:left="794" w:hanging="794"/>
        <w:rPr>
          <w:lang w:eastAsia="zh-CN"/>
        </w:rPr>
      </w:pPr>
      <w:r w:rsidRPr="007300C8">
        <w:rPr>
          <w:lang w:eastAsia="zh-CN"/>
        </w:rPr>
        <w:t>•</w:t>
      </w:r>
      <w:r w:rsidRPr="007300C8">
        <w:rPr>
          <w:lang w:eastAsia="zh-CN"/>
        </w:rPr>
        <w:tab/>
      </w:r>
      <w:r w:rsidRPr="007300C8">
        <w:rPr>
          <w:lang w:eastAsia="zh-CN"/>
        </w:rPr>
        <w:t>有关从模拟向数字地面广播过渡的</w:t>
      </w:r>
      <w:r w:rsidRPr="007300C8">
        <w:rPr>
          <w:lang w:eastAsia="zh-CN"/>
        </w:rPr>
        <w:t>ITU-R BT.2140</w:t>
      </w:r>
      <w:r w:rsidRPr="007300C8">
        <w:rPr>
          <w:lang w:eastAsia="zh-CN"/>
        </w:rPr>
        <w:t>号报告通过更多的有关国家的信息得到更新。有关</w:t>
      </w:r>
      <w:r w:rsidR="00B446E5">
        <w:rPr>
          <w:rFonts w:hint="eastAsia"/>
          <w:lang w:eastAsia="zh-CN"/>
        </w:rPr>
        <w:t>“</w:t>
      </w:r>
      <w:r w:rsidRPr="007300C8">
        <w:rPr>
          <w:lang w:eastAsia="zh-CN"/>
        </w:rPr>
        <w:t>数字电视</w:t>
      </w:r>
      <w:r w:rsidR="00A70017">
        <w:rPr>
          <w:lang w:eastAsia="zh-CN"/>
        </w:rPr>
        <w:t>（</w:t>
      </w:r>
      <w:r w:rsidRPr="007300C8">
        <w:rPr>
          <w:lang w:eastAsia="zh-CN"/>
        </w:rPr>
        <w:t>DTV</w:t>
      </w:r>
      <w:r w:rsidR="00A70017">
        <w:rPr>
          <w:lang w:eastAsia="zh-CN"/>
        </w:rPr>
        <w:t>）</w:t>
      </w:r>
      <w:r w:rsidRPr="007300C8">
        <w:rPr>
          <w:lang w:eastAsia="zh-CN"/>
        </w:rPr>
        <w:t>实施手册</w:t>
      </w:r>
      <w:r w:rsidR="00B446E5">
        <w:rPr>
          <w:rFonts w:hint="eastAsia"/>
          <w:lang w:eastAsia="zh-CN"/>
        </w:rPr>
        <w:t>”</w:t>
      </w:r>
      <w:r w:rsidRPr="007300C8">
        <w:rPr>
          <w:lang w:eastAsia="zh-CN"/>
        </w:rPr>
        <w:t>的编写工作正在得到推进，并预计于今年最终完成。这项工作与</w:t>
      </w:r>
      <w:r w:rsidRPr="007300C8">
        <w:rPr>
          <w:lang w:eastAsia="zh-CN"/>
        </w:rPr>
        <w:t>ITU-D</w:t>
      </w:r>
      <w:r w:rsidRPr="007300C8">
        <w:rPr>
          <w:lang w:eastAsia="zh-CN"/>
        </w:rPr>
        <w:t>的关系尤为紧密；</w:t>
      </w:r>
    </w:p>
    <w:p w:rsidR="007300C8" w:rsidRPr="007300C8" w:rsidRDefault="007300C8" w:rsidP="005D7FF8">
      <w:pPr>
        <w:spacing w:before="80"/>
        <w:ind w:left="794" w:hanging="794"/>
        <w:rPr>
          <w:lang w:eastAsia="zh-CN"/>
        </w:rPr>
      </w:pPr>
      <w:r w:rsidRPr="007300C8">
        <w:rPr>
          <w:lang w:eastAsia="zh-CN"/>
        </w:rPr>
        <w:t>•</w:t>
      </w:r>
      <w:r w:rsidRPr="007300C8">
        <w:rPr>
          <w:lang w:eastAsia="zh-CN"/>
        </w:rPr>
        <w:tab/>
      </w:r>
      <w:r w:rsidR="009D2B25" w:rsidRPr="009D2B25">
        <w:rPr>
          <w:lang w:eastAsia="zh-CN"/>
        </w:rPr>
        <w:t>ITU-R 4B</w:t>
      </w:r>
      <w:r w:rsidRPr="007300C8">
        <w:rPr>
          <w:lang w:eastAsia="zh-CN"/>
        </w:rPr>
        <w:t>工作组进一步向</w:t>
      </w:r>
      <w:r w:rsidRPr="007300C8">
        <w:rPr>
          <w:lang w:eastAsia="zh-CN"/>
        </w:rPr>
        <w:t>ITU-D</w:t>
      </w:r>
      <w:r w:rsidRPr="007300C8">
        <w:rPr>
          <w:lang w:eastAsia="zh-CN"/>
        </w:rPr>
        <w:t>第</w:t>
      </w:r>
      <w:r w:rsidRPr="007300C8">
        <w:rPr>
          <w:lang w:eastAsia="zh-CN"/>
        </w:rPr>
        <w:t>2</w:t>
      </w:r>
      <w:r w:rsidR="005D7FF8">
        <w:rPr>
          <w:lang w:eastAsia="zh-CN"/>
        </w:rPr>
        <w:t>研究组提供了有关</w:t>
      </w:r>
      <w:r w:rsidR="005D7FF8">
        <w:rPr>
          <w:rFonts w:hint="eastAsia"/>
          <w:lang w:eastAsia="zh-CN"/>
        </w:rPr>
        <w:t>卫星宽带接入技术和</w:t>
      </w:r>
      <w:r w:rsidR="005D7FF8">
        <w:rPr>
          <w:rFonts w:hint="eastAsia"/>
          <w:lang w:eastAsia="zh-CN"/>
        </w:rPr>
        <w:t>IMT</w:t>
      </w:r>
      <w:r w:rsidR="005D7FF8">
        <w:rPr>
          <w:rFonts w:hint="eastAsia"/>
          <w:lang w:eastAsia="zh-CN"/>
        </w:rPr>
        <w:t>卫星部分的资料</w:t>
      </w:r>
      <w:r w:rsidRPr="007300C8">
        <w:rPr>
          <w:lang w:eastAsia="zh-CN"/>
        </w:rPr>
        <w:t>。</w:t>
      </w:r>
    </w:p>
    <w:p w:rsidR="007300C8" w:rsidRPr="007300C8" w:rsidRDefault="007300C8" w:rsidP="007A5B2E">
      <w:pPr>
        <w:ind w:firstLineChars="200" w:firstLine="480"/>
        <w:rPr>
          <w:lang w:eastAsia="zh-CN"/>
        </w:rPr>
      </w:pPr>
      <w:r w:rsidRPr="008A7EC6">
        <w:rPr>
          <w:rFonts w:ascii="STKaiti" w:eastAsia="STKaiti" w:hAnsi="STKaiti"/>
          <w:lang w:eastAsia="zh-CN"/>
        </w:rPr>
        <w:t>关于ITU-T</w:t>
      </w:r>
      <w:r w:rsidRPr="007300C8">
        <w:rPr>
          <w:lang w:eastAsia="zh-CN"/>
        </w:rPr>
        <w:t>：除气候变化和应急通信外，</w:t>
      </w:r>
      <w:r w:rsidRPr="007300C8">
        <w:rPr>
          <w:lang w:eastAsia="zh-CN"/>
        </w:rPr>
        <w:t>ITU-R</w:t>
      </w:r>
      <w:r w:rsidRPr="007300C8">
        <w:rPr>
          <w:lang w:eastAsia="zh-CN"/>
        </w:rPr>
        <w:t>和</w:t>
      </w:r>
      <w:r w:rsidRPr="007300C8">
        <w:rPr>
          <w:lang w:eastAsia="zh-CN"/>
        </w:rPr>
        <w:t>ITU-T</w:t>
      </w:r>
      <w:r w:rsidRPr="007300C8">
        <w:rPr>
          <w:lang w:eastAsia="zh-CN"/>
        </w:rPr>
        <w:t>共同关注的问题有：</w:t>
      </w:r>
    </w:p>
    <w:p w:rsidR="007300C8" w:rsidRPr="007300C8" w:rsidRDefault="007300C8" w:rsidP="007A5B2E">
      <w:pPr>
        <w:spacing w:before="80"/>
        <w:ind w:left="794" w:hanging="794"/>
        <w:rPr>
          <w:lang w:eastAsia="zh-CN"/>
        </w:rPr>
      </w:pPr>
      <w:r w:rsidRPr="007300C8">
        <w:rPr>
          <w:lang w:eastAsia="zh-CN"/>
        </w:rPr>
        <w:t>•</w:t>
      </w:r>
      <w:r w:rsidRPr="007300C8">
        <w:rPr>
          <w:lang w:eastAsia="zh-CN"/>
        </w:rPr>
        <w:tab/>
        <w:t>ITU-T</w:t>
      </w:r>
      <w:r w:rsidRPr="007300C8">
        <w:rPr>
          <w:lang w:eastAsia="zh-CN"/>
        </w:rPr>
        <w:t>第</w:t>
      </w:r>
      <w:r w:rsidRPr="007300C8">
        <w:rPr>
          <w:lang w:eastAsia="zh-CN"/>
        </w:rPr>
        <w:t>72</w:t>
      </w:r>
      <w:r w:rsidRPr="007300C8">
        <w:rPr>
          <w:lang w:eastAsia="zh-CN"/>
        </w:rPr>
        <w:t>号决议</w:t>
      </w:r>
      <w:r w:rsidRPr="007300C8">
        <w:rPr>
          <w:lang w:eastAsia="zh-CN"/>
        </w:rPr>
        <w:t xml:space="preserve"> – </w:t>
      </w:r>
      <w:r w:rsidRPr="007300C8">
        <w:rPr>
          <w:lang w:eastAsia="zh-CN"/>
        </w:rPr>
        <w:t>《有关人体暴露于无线电频率的问题》。</w:t>
      </w:r>
      <w:r w:rsidRPr="007300C8">
        <w:rPr>
          <w:lang w:eastAsia="zh-CN"/>
        </w:rPr>
        <w:t>ITU-R</w:t>
      </w:r>
      <w:r w:rsidRPr="007300C8">
        <w:rPr>
          <w:lang w:eastAsia="zh-CN"/>
        </w:rPr>
        <w:t>第</w:t>
      </w:r>
      <w:r w:rsidRPr="007300C8">
        <w:rPr>
          <w:lang w:eastAsia="zh-CN"/>
        </w:rPr>
        <w:t>1</w:t>
      </w:r>
      <w:r w:rsidRPr="007300C8">
        <w:rPr>
          <w:lang w:eastAsia="zh-CN"/>
        </w:rPr>
        <w:t>研究组</w:t>
      </w:r>
      <w:r w:rsidR="00614EC5">
        <w:rPr>
          <w:rFonts w:hint="eastAsia"/>
          <w:lang w:eastAsia="zh-CN"/>
        </w:rPr>
        <w:t>为响应</w:t>
      </w:r>
      <w:r w:rsidR="00614EC5">
        <w:rPr>
          <w:rFonts w:hint="eastAsia"/>
          <w:lang w:eastAsia="zh-CN"/>
        </w:rPr>
        <w:t>ITU-D</w:t>
      </w:r>
      <w:r w:rsidR="00614EC5">
        <w:rPr>
          <w:rFonts w:hint="eastAsia"/>
          <w:lang w:eastAsia="zh-CN"/>
        </w:rPr>
        <w:t>第</w:t>
      </w:r>
      <w:r w:rsidR="00614EC5">
        <w:rPr>
          <w:rFonts w:hint="eastAsia"/>
          <w:lang w:eastAsia="zh-CN"/>
        </w:rPr>
        <w:t>23/1</w:t>
      </w:r>
      <w:r w:rsidR="00614EC5">
        <w:rPr>
          <w:rFonts w:hint="eastAsia"/>
          <w:lang w:eastAsia="zh-CN"/>
        </w:rPr>
        <w:t>号课题（见上文），</w:t>
      </w:r>
      <w:r w:rsidRPr="007300C8">
        <w:rPr>
          <w:lang w:eastAsia="zh-CN"/>
        </w:rPr>
        <w:t>特别跟踪了</w:t>
      </w:r>
      <w:r w:rsidRPr="007300C8">
        <w:rPr>
          <w:lang w:eastAsia="zh-CN"/>
        </w:rPr>
        <w:t>ITU-T</w:t>
      </w:r>
      <w:r w:rsidRPr="007300C8">
        <w:rPr>
          <w:lang w:eastAsia="zh-CN"/>
        </w:rPr>
        <w:t>第</w:t>
      </w:r>
      <w:r w:rsidRPr="007300C8">
        <w:rPr>
          <w:lang w:eastAsia="zh-CN"/>
        </w:rPr>
        <w:t>5</w:t>
      </w:r>
      <w:r w:rsidRPr="007300C8">
        <w:rPr>
          <w:lang w:eastAsia="zh-CN"/>
        </w:rPr>
        <w:t>研究组有关电磁场监测和测量的研究；</w:t>
      </w:r>
    </w:p>
    <w:p w:rsidR="007300C8" w:rsidRPr="007300C8" w:rsidRDefault="007300C8" w:rsidP="008A7EC6">
      <w:pPr>
        <w:spacing w:before="80"/>
        <w:ind w:left="794" w:hanging="794"/>
        <w:rPr>
          <w:lang w:eastAsia="zh-CN"/>
        </w:rPr>
      </w:pPr>
      <w:r w:rsidRPr="007300C8">
        <w:rPr>
          <w:lang w:eastAsia="zh-CN"/>
        </w:rPr>
        <w:t>•</w:t>
      </w:r>
      <w:r w:rsidRPr="007300C8">
        <w:rPr>
          <w:lang w:eastAsia="zh-CN"/>
        </w:rPr>
        <w:tab/>
      </w:r>
      <w:r w:rsidR="008A7EC6">
        <w:rPr>
          <w:rFonts w:hint="eastAsia"/>
          <w:lang w:eastAsia="zh-CN"/>
        </w:rPr>
        <w:t>在</w:t>
      </w:r>
      <w:r w:rsidRPr="007300C8">
        <w:rPr>
          <w:lang w:eastAsia="zh-CN"/>
        </w:rPr>
        <w:t>批准了</w:t>
      </w:r>
      <w:r w:rsidRPr="007300C8">
        <w:rPr>
          <w:szCs w:val="24"/>
          <w:lang w:eastAsia="zh-CN"/>
        </w:rPr>
        <w:t>ITU-R SM.1879-1</w:t>
      </w:r>
      <w:r w:rsidRPr="007300C8">
        <w:rPr>
          <w:szCs w:val="24"/>
          <w:lang w:eastAsia="zh-CN"/>
        </w:rPr>
        <w:t>建议书和</w:t>
      </w:r>
      <w:r w:rsidRPr="007300C8">
        <w:rPr>
          <w:szCs w:val="24"/>
          <w:lang w:eastAsia="zh-CN"/>
        </w:rPr>
        <w:t>ITU-R SM.2157</w:t>
      </w:r>
      <w:r w:rsidRPr="007300C8">
        <w:rPr>
          <w:szCs w:val="24"/>
          <w:lang w:eastAsia="zh-CN"/>
        </w:rPr>
        <w:t>、</w:t>
      </w:r>
      <w:r w:rsidRPr="007300C8">
        <w:rPr>
          <w:szCs w:val="24"/>
          <w:lang w:eastAsia="zh-CN"/>
        </w:rPr>
        <w:t>SM.2158-2</w:t>
      </w:r>
      <w:r w:rsidRPr="007300C8">
        <w:rPr>
          <w:szCs w:val="24"/>
          <w:lang w:eastAsia="zh-CN"/>
        </w:rPr>
        <w:t>和</w:t>
      </w:r>
      <w:r w:rsidRPr="007300C8">
        <w:rPr>
          <w:szCs w:val="24"/>
          <w:lang w:eastAsia="zh-CN"/>
        </w:rPr>
        <w:t>SM.2212-1</w:t>
      </w:r>
      <w:r w:rsidRPr="007300C8">
        <w:rPr>
          <w:szCs w:val="24"/>
          <w:lang w:eastAsia="zh-CN"/>
        </w:rPr>
        <w:t>号报告</w:t>
      </w:r>
      <w:r w:rsidR="00A70017">
        <w:rPr>
          <w:szCs w:val="24"/>
          <w:lang w:eastAsia="zh-CN"/>
        </w:rPr>
        <w:t>（</w:t>
      </w:r>
      <w:r w:rsidRPr="007300C8">
        <w:rPr>
          <w:szCs w:val="24"/>
          <w:lang w:eastAsia="zh-CN"/>
        </w:rPr>
        <w:t>相关频段内</w:t>
      </w:r>
      <w:r w:rsidRPr="007300C8">
        <w:rPr>
          <w:szCs w:val="24"/>
          <w:lang w:eastAsia="zh-CN"/>
        </w:rPr>
        <w:t>PLT</w:t>
      </w:r>
      <w:r w:rsidRPr="007300C8">
        <w:rPr>
          <w:szCs w:val="24"/>
          <w:lang w:eastAsia="zh-CN"/>
        </w:rPr>
        <w:t>系统对无线电通信业务的影响</w:t>
      </w:r>
      <w:r w:rsidR="00A70017">
        <w:rPr>
          <w:szCs w:val="24"/>
          <w:lang w:eastAsia="zh-CN"/>
        </w:rPr>
        <w:t>）</w:t>
      </w:r>
      <w:r w:rsidR="008A7EC6">
        <w:rPr>
          <w:rFonts w:hint="eastAsia"/>
          <w:szCs w:val="24"/>
          <w:lang w:eastAsia="zh-CN"/>
        </w:rPr>
        <w:t>后，</w:t>
      </w:r>
      <w:r w:rsidRPr="007300C8">
        <w:rPr>
          <w:szCs w:val="24"/>
          <w:lang w:eastAsia="zh-CN"/>
        </w:rPr>
        <w:t xml:space="preserve">ITU-R </w:t>
      </w:r>
      <w:r w:rsidR="006E3D8A">
        <w:rPr>
          <w:rFonts w:hint="eastAsia"/>
          <w:szCs w:val="24"/>
          <w:lang w:eastAsia="zh-CN"/>
        </w:rPr>
        <w:t>第</w:t>
      </w:r>
      <w:r w:rsidR="006E3D8A">
        <w:rPr>
          <w:rFonts w:hint="eastAsia"/>
          <w:szCs w:val="24"/>
          <w:lang w:eastAsia="zh-CN"/>
        </w:rPr>
        <w:t>1</w:t>
      </w:r>
      <w:r w:rsidR="006E3D8A">
        <w:rPr>
          <w:rFonts w:hint="eastAsia"/>
          <w:szCs w:val="24"/>
          <w:lang w:eastAsia="zh-CN"/>
        </w:rPr>
        <w:t>研究组</w:t>
      </w:r>
      <w:r w:rsidRPr="007300C8">
        <w:rPr>
          <w:szCs w:val="24"/>
          <w:lang w:eastAsia="zh-CN"/>
        </w:rPr>
        <w:t>继续与</w:t>
      </w:r>
      <w:r w:rsidRPr="007300C8">
        <w:rPr>
          <w:lang w:eastAsia="zh-CN"/>
        </w:rPr>
        <w:t>ITU-T</w:t>
      </w:r>
      <w:r w:rsidRPr="007300C8">
        <w:rPr>
          <w:lang w:eastAsia="zh-CN"/>
        </w:rPr>
        <w:t>第</w:t>
      </w:r>
      <w:r w:rsidRPr="007300C8">
        <w:rPr>
          <w:lang w:eastAsia="zh-CN"/>
        </w:rPr>
        <w:t>15</w:t>
      </w:r>
      <w:r w:rsidRPr="007300C8">
        <w:rPr>
          <w:lang w:eastAsia="zh-CN"/>
        </w:rPr>
        <w:t>研究组开展密切</w:t>
      </w:r>
      <w:r w:rsidR="006E3D8A">
        <w:rPr>
          <w:rFonts w:hint="eastAsia"/>
          <w:lang w:eastAsia="zh-CN"/>
        </w:rPr>
        <w:t>而富有成效的</w:t>
      </w:r>
      <w:r w:rsidRPr="007300C8">
        <w:rPr>
          <w:lang w:eastAsia="zh-CN"/>
        </w:rPr>
        <w:t>合作，以监督</w:t>
      </w:r>
      <w:r w:rsidRPr="007300C8">
        <w:rPr>
          <w:lang w:eastAsia="zh-CN"/>
        </w:rPr>
        <w:t>PLT</w:t>
      </w:r>
      <w:r w:rsidRPr="007300C8">
        <w:rPr>
          <w:lang w:eastAsia="zh-CN"/>
        </w:rPr>
        <w:t>系统的发展情况和</w:t>
      </w:r>
      <w:r w:rsidR="008A7EC6">
        <w:rPr>
          <w:rFonts w:hint="eastAsia"/>
          <w:lang w:eastAsia="zh-CN"/>
        </w:rPr>
        <w:t>有</w:t>
      </w:r>
      <w:r w:rsidRPr="007300C8">
        <w:rPr>
          <w:lang w:eastAsia="zh-CN"/>
        </w:rPr>
        <w:t>关</w:t>
      </w:r>
      <w:r w:rsidR="008A7EC6">
        <w:rPr>
          <w:rFonts w:hint="eastAsia"/>
          <w:lang w:eastAsia="zh-CN"/>
        </w:rPr>
        <w:t>固网与无线电通信系统共存的</w:t>
      </w:r>
      <w:r w:rsidRPr="007300C8">
        <w:rPr>
          <w:lang w:eastAsia="zh-CN"/>
        </w:rPr>
        <w:t>标准化活动</w:t>
      </w:r>
      <w:r w:rsidR="006E3D8A">
        <w:rPr>
          <w:rFonts w:hint="eastAsia"/>
          <w:lang w:eastAsia="zh-CN"/>
        </w:rPr>
        <w:t>，特别是有关分析</w:t>
      </w:r>
      <w:r w:rsidR="006E3D8A" w:rsidRPr="007300C8">
        <w:rPr>
          <w:lang w:eastAsia="zh-CN"/>
        </w:rPr>
        <w:t>3 GHz</w:t>
      </w:r>
      <w:r w:rsidR="006E3D8A">
        <w:rPr>
          <w:rFonts w:hint="eastAsia"/>
          <w:lang w:eastAsia="zh-CN"/>
        </w:rPr>
        <w:t>频段下大楼和室内使用的固定和无线系统</w:t>
      </w:r>
      <w:r w:rsidR="008A7EC6">
        <w:rPr>
          <w:rFonts w:hint="eastAsia"/>
          <w:lang w:eastAsia="zh-CN"/>
        </w:rPr>
        <w:t>近距离</w:t>
      </w:r>
      <w:r w:rsidR="006E3D8A">
        <w:rPr>
          <w:rFonts w:hint="eastAsia"/>
          <w:lang w:eastAsia="zh-CN"/>
        </w:rPr>
        <w:t>互动分析方法；</w:t>
      </w:r>
    </w:p>
    <w:p w:rsidR="007300C8" w:rsidRPr="007300C8" w:rsidRDefault="007300C8" w:rsidP="007A5B2E">
      <w:pPr>
        <w:spacing w:before="80"/>
        <w:ind w:left="794" w:hanging="794"/>
        <w:rPr>
          <w:lang w:eastAsia="zh-CN"/>
        </w:rPr>
      </w:pPr>
      <w:r w:rsidRPr="007300C8">
        <w:rPr>
          <w:lang w:eastAsia="zh-CN"/>
        </w:rPr>
        <w:t>•</w:t>
      </w:r>
      <w:r w:rsidRPr="007300C8">
        <w:rPr>
          <w:lang w:eastAsia="zh-CN"/>
        </w:rPr>
        <w:tab/>
        <w:t>ITU-T</w:t>
      </w:r>
      <w:r w:rsidRPr="007300C8">
        <w:rPr>
          <w:lang w:eastAsia="zh-CN"/>
        </w:rPr>
        <w:t>第</w:t>
      </w:r>
      <w:r w:rsidRPr="007300C8">
        <w:rPr>
          <w:lang w:eastAsia="zh-CN"/>
        </w:rPr>
        <w:t>13</w:t>
      </w:r>
      <w:r w:rsidRPr="007300C8">
        <w:rPr>
          <w:lang w:eastAsia="zh-CN"/>
        </w:rPr>
        <w:t>研究组中与未来网络和下一代网络标准以及移动管理和固定</w:t>
      </w:r>
      <w:r w:rsidRPr="007300C8">
        <w:rPr>
          <w:lang w:eastAsia="zh-CN"/>
        </w:rPr>
        <w:t xml:space="preserve"> – </w:t>
      </w:r>
      <w:r w:rsidRPr="007300C8">
        <w:rPr>
          <w:lang w:eastAsia="zh-CN"/>
        </w:rPr>
        <w:t>移动融合有关的活动，并特别关注</w:t>
      </w:r>
      <w:r w:rsidRPr="007300C8">
        <w:rPr>
          <w:lang w:eastAsia="zh-CN"/>
        </w:rPr>
        <w:t>ITU-R</w:t>
      </w:r>
      <w:r w:rsidRPr="007300C8">
        <w:rPr>
          <w:lang w:eastAsia="zh-CN"/>
        </w:rPr>
        <w:t>第</w:t>
      </w:r>
      <w:r w:rsidRPr="007300C8">
        <w:rPr>
          <w:lang w:eastAsia="zh-CN"/>
        </w:rPr>
        <w:t>4</w:t>
      </w:r>
      <w:r w:rsidRPr="007300C8">
        <w:rPr>
          <w:lang w:eastAsia="zh-CN"/>
        </w:rPr>
        <w:t>和第</w:t>
      </w:r>
      <w:r w:rsidRPr="007300C8">
        <w:rPr>
          <w:lang w:eastAsia="zh-CN"/>
        </w:rPr>
        <w:t>5</w:t>
      </w:r>
      <w:r w:rsidRPr="007300C8">
        <w:rPr>
          <w:lang w:eastAsia="zh-CN"/>
        </w:rPr>
        <w:t>研究组目前的研究工作；</w:t>
      </w:r>
    </w:p>
    <w:p w:rsidR="007300C8" w:rsidRPr="007300C8" w:rsidRDefault="006E3D8A" w:rsidP="006E3D8A">
      <w:pPr>
        <w:spacing w:before="80"/>
        <w:ind w:left="794" w:hanging="794"/>
        <w:rPr>
          <w:lang w:eastAsia="zh-CN"/>
        </w:rPr>
      </w:pPr>
      <w:r>
        <w:rPr>
          <w:lang w:eastAsia="zh-CN"/>
        </w:rPr>
        <w:t>•</w:t>
      </w:r>
      <w:r>
        <w:rPr>
          <w:lang w:eastAsia="zh-CN"/>
        </w:rPr>
        <w:tab/>
      </w:r>
      <w:r w:rsidRPr="007300C8">
        <w:rPr>
          <w:lang w:eastAsia="zh-CN"/>
        </w:rPr>
        <w:t>ITU-R</w:t>
      </w:r>
      <w:r>
        <w:rPr>
          <w:rFonts w:hint="eastAsia"/>
          <w:lang w:eastAsia="zh-CN"/>
        </w:rPr>
        <w:t>第</w:t>
      </w:r>
      <w:r>
        <w:rPr>
          <w:rFonts w:hint="eastAsia"/>
          <w:lang w:eastAsia="zh-CN"/>
        </w:rPr>
        <w:t>5</w:t>
      </w:r>
      <w:r>
        <w:rPr>
          <w:rFonts w:hint="eastAsia"/>
          <w:lang w:eastAsia="zh-CN"/>
        </w:rPr>
        <w:t>研究组和</w:t>
      </w:r>
      <w:r w:rsidRPr="007300C8">
        <w:rPr>
          <w:lang w:eastAsia="zh-CN"/>
        </w:rPr>
        <w:t>ITU-T</w:t>
      </w:r>
      <w:r>
        <w:rPr>
          <w:rFonts w:hint="eastAsia"/>
          <w:lang w:eastAsia="zh-CN"/>
        </w:rPr>
        <w:t>继续开展与智能交通系统相关的活动；</w:t>
      </w:r>
    </w:p>
    <w:p w:rsidR="007300C8" w:rsidRPr="007300C8" w:rsidRDefault="007300C8" w:rsidP="00833A7A">
      <w:pPr>
        <w:pStyle w:val="enumlev1"/>
        <w:rPr>
          <w:lang w:eastAsia="zh-CN"/>
        </w:rPr>
      </w:pPr>
      <w:r w:rsidRPr="007300C8">
        <w:rPr>
          <w:lang w:eastAsia="zh-CN"/>
        </w:rPr>
        <w:t>•</w:t>
      </w:r>
      <w:r w:rsidRPr="007300C8">
        <w:rPr>
          <w:lang w:eastAsia="zh-CN"/>
        </w:rPr>
        <w:tab/>
      </w:r>
      <w:r w:rsidRPr="007300C8">
        <w:rPr>
          <w:lang w:eastAsia="zh-CN"/>
        </w:rPr>
        <w:t>最近与</w:t>
      </w:r>
      <w:r w:rsidRPr="007300C8">
        <w:rPr>
          <w:lang w:eastAsia="zh-CN"/>
        </w:rPr>
        <w:t>ITU-T</w:t>
      </w:r>
      <w:r w:rsidRPr="007300C8">
        <w:rPr>
          <w:lang w:eastAsia="zh-CN"/>
        </w:rPr>
        <w:t>、国际标准化组织</w:t>
      </w:r>
      <w:r w:rsidR="00A70017">
        <w:rPr>
          <w:lang w:eastAsia="zh-CN"/>
        </w:rPr>
        <w:t>（</w:t>
      </w:r>
      <w:r w:rsidRPr="007300C8">
        <w:rPr>
          <w:lang w:eastAsia="zh-CN"/>
        </w:rPr>
        <w:t>ISO</w:t>
      </w:r>
      <w:r w:rsidR="00A70017">
        <w:rPr>
          <w:lang w:eastAsia="zh-CN"/>
        </w:rPr>
        <w:t>）</w:t>
      </w:r>
      <w:r w:rsidRPr="007300C8">
        <w:rPr>
          <w:lang w:eastAsia="zh-CN"/>
        </w:rPr>
        <w:t>和国际电工技术委员会</w:t>
      </w:r>
      <w:r w:rsidR="00A70017">
        <w:rPr>
          <w:lang w:eastAsia="zh-CN"/>
        </w:rPr>
        <w:t>（</w:t>
      </w:r>
      <w:r w:rsidRPr="007300C8">
        <w:rPr>
          <w:lang w:eastAsia="zh-CN"/>
        </w:rPr>
        <w:t>IEC</w:t>
      </w:r>
      <w:r w:rsidR="00A70017">
        <w:rPr>
          <w:lang w:eastAsia="zh-CN"/>
        </w:rPr>
        <w:t>）</w:t>
      </w:r>
      <w:r w:rsidRPr="007300C8">
        <w:rPr>
          <w:lang w:eastAsia="zh-CN"/>
        </w:rPr>
        <w:t>就知识产权</w:t>
      </w:r>
      <w:r w:rsidR="00A70017">
        <w:rPr>
          <w:lang w:eastAsia="zh-CN"/>
        </w:rPr>
        <w:t>（</w:t>
      </w:r>
      <w:r w:rsidRPr="007300C8">
        <w:rPr>
          <w:lang w:eastAsia="zh-CN"/>
        </w:rPr>
        <w:t>IP</w:t>
      </w:r>
      <w:r w:rsidR="00833A7A">
        <w:rPr>
          <w:rFonts w:hint="eastAsia"/>
          <w:lang w:eastAsia="zh-CN"/>
        </w:rPr>
        <w:t>R</w:t>
      </w:r>
      <w:r w:rsidR="00A70017">
        <w:rPr>
          <w:lang w:eastAsia="zh-CN"/>
        </w:rPr>
        <w:t>）</w:t>
      </w:r>
      <w:r w:rsidRPr="007300C8">
        <w:rPr>
          <w:lang w:eastAsia="zh-CN"/>
        </w:rPr>
        <w:t>问题进行的协作讨论，涉及制定和批准</w:t>
      </w:r>
      <w:r w:rsidRPr="007300C8">
        <w:rPr>
          <w:lang w:eastAsia="zh-CN"/>
        </w:rPr>
        <w:t>ITU-T/ITU-R/ISO/IEC</w:t>
      </w:r>
      <w:r w:rsidRPr="007300C8">
        <w:rPr>
          <w:lang w:eastAsia="zh-CN"/>
        </w:rPr>
        <w:t>通用专利政策实施导则的修订草案</w:t>
      </w:r>
      <w:r w:rsidR="00704F1D">
        <w:rPr>
          <w:rFonts w:hint="eastAsia"/>
          <w:lang w:eastAsia="zh-CN"/>
        </w:rPr>
        <w:t>和有关在合理和非歧视条件</w:t>
      </w:r>
      <w:r w:rsidR="00A70017">
        <w:rPr>
          <w:lang w:eastAsia="zh-CN"/>
        </w:rPr>
        <w:t>（</w:t>
      </w:r>
      <w:r w:rsidR="00704F1D" w:rsidRPr="007300C8">
        <w:rPr>
          <w:lang w:eastAsia="zh-CN"/>
        </w:rPr>
        <w:t>RAND</w:t>
      </w:r>
      <w:r w:rsidR="00A70017">
        <w:rPr>
          <w:lang w:eastAsia="zh-CN"/>
        </w:rPr>
        <w:t>）</w:t>
      </w:r>
      <w:r w:rsidR="00704F1D">
        <w:rPr>
          <w:rFonts w:hint="eastAsia"/>
          <w:lang w:eastAsia="zh-CN"/>
        </w:rPr>
        <w:t>下法令救济可用性</w:t>
      </w:r>
      <w:r w:rsidR="00614EC5">
        <w:rPr>
          <w:rFonts w:hint="eastAsia"/>
          <w:lang w:eastAsia="zh-CN"/>
        </w:rPr>
        <w:t>和</w:t>
      </w:r>
      <w:r w:rsidR="00614EC5">
        <w:rPr>
          <w:rFonts w:hint="eastAsia"/>
          <w:lang w:eastAsia="zh-CN"/>
        </w:rPr>
        <w:t>RAND</w:t>
      </w:r>
      <w:r w:rsidR="00614EC5">
        <w:rPr>
          <w:rFonts w:hint="eastAsia"/>
          <w:lang w:eastAsia="zh-CN"/>
        </w:rPr>
        <w:t>中“合理”的含义</w:t>
      </w:r>
      <w:r w:rsidR="00704F1D">
        <w:rPr>
          <w:rFonts w:hint="eastAsia"/>
          <w:lang w:eastAsia="zh-CN"/>
        </w:rPr>
        <w:t>的相关指南；</w:t>
      </w:r>
    </w:p>
    <w:p w:rsidR="007300C8" w:rsidRPr="007300C8" w:rsidRDefault="007300C8" w:rsidP="007A5B2E">
      <w:pPr>
        <w:pStyle w:val="enumlev1"/>
        <w:rPr>
          <w:lang w:eastAsia="zh-CN"/>
        </w:rPr>
      </w:pPr>
      <w:r w:rsidRPr="007300C8">
        <w:rPr>
          <w:lang w:eastAsia="zh-CN"/>
        </w:rPr>
        <w:t>•</w:t>
      </w:r>
      <w:r w:rsidRPr="007300C8">
        <w:rPr>
          <w:lang w:eastAsia="zh-CN"/>
        </w:rPr>
        <w:tab/>
      </w:r>
      <w:r w:rsidRPr="007300C8">
        <w:rPr>
          <w:lang w:eastAsia="zh-CN"/>
        </w:rPr>
        <w:t>在</w:t>
      </w:r>
      <w:r w:rsidRPr="007300C8">
        <w:rPr>
          <w:szCs w:val="24"/>
          <w:lang w:eastAsia="zh-CN"/>
        </w:rPr>
        <w:t>ITU-T</w:t>
      </w:r>
      <w:r w:rsidRPr="007300C8">
        <w:rPr>
          <w:lang w:eastAsia="zh-CN"/>
        </w:rPr>
        <w:t>第</w:t>
      </w:r>
      <w:r w:rsidRPr="007300C8">
        <w:rPr>
          <w:lang w:eastAsia="zh-CN"/>
        </w:rPr>
        <w:t>16</w:t>
      </w:r>
      <w:r w:rsidRPr="007300C8">
        <w:rPr>
          <w:lang w:eastAsia="zh-CN"/>
        </w:rPr>
        <w:t>研究组总体框架下进行的</w:t>
      </w:r>
      <w:r w:rsidRPr="007300C8">
        <w:rPr>
          <w:szCs w:val="24"/>
          <w:lang w:eastAsia="zh-CN"/>
        </w:rPr>
        <w:t>ITU-T</w:t>
      </w:r>
      <w:r w:rsidRPr="007300C8">
        <w:rPr>
          <w:lang w:eastAsia="zh-CN"/>
        </w:rPr>
        <w:t>音像媒体无障碍获取焦点组</w:t>
      </w:r>
      <w:r w:rsidR="00A70017">
        <w:rPr>
          <w:lang w:eastAsia="zh-CN"/>
        </w:rPr>
        <w:t>（</w:t>
      </w:r>
      <w:r w:rsidRPr="007300C8">
        <w:rPr>
          <w:szCs w:val="24"/>
          <w:lang w:eastAsia="ja-JP"/>
        </w:rPr>
        <w:t>FG-AVA</w:t>
      </w:r>
      <w:r w:rsidR="00A70017">
        <w:rPr>
          <w:lang w:eastAsia="zh-CN"/>
        </w:rPr>
        <w:t>）</w:t>
      </w:r>
      <w:r w:rsidRPr="007300C8">
        <w:rPr>
          <w:lang w:eastAsia="zh-CN"/>
        </w:rPr>
        <w:t>活动，以及</w:t>
      </w:r>
      <w:r w:rsidRPr="007300C8">
        <w:rPr>
          <w:szCs w:val="24"/>
          <w:lang w:eastAsia="zh-CN"/>
        </w:rPr>
        <w:t>ITU-T</w:t>
      </w:r>
      <w:r w:rsidRPr="007300C8">
        <w:rPr>
          <w:lang w:eastAsia="zh-CN"/>
        </w:rPr>
        <w:t>无障碍获取和人为因素联合协调活动</w:t>
      </w:r>
      <w:r w:rsidR="00A70017">
        <w:rPr>
          <w:lang w:eastAsia="zh-CN"/>
        </w:rPr>
        <w:t>（</w:t>
      </w:r>
      <w:r w:rsidRPr="007300C8">
        <w:rPr>
          <w:szCs w:val="24"/>
          <w:lang w:eastAsia="ja-JP"/>
        </w:rPr>
        <w:t>JCA-AHF</w:t>
      </w:r>
      <w:r w:rsidR="00A70017">
        <w:rPr>
          <w:lang w:eastAsia="zh-CN"/>
        </w:rPr>
        <w:t>）</w:t>
      </w:r>
      <w:r w:rsidRPr="007300C8">
        <w:rPr>
          <w:lang w:eastAsia="zh-CN"/>
        </w:rPr>
        <w:t>，以研究制定为残疾人提供支持的新的技术标准；</w:t>
      </w:r>
    </w:p>
    <w:p w:rsidR="007300C8" w:rsidRPr="007300C8" w:rsidRDefault="007300C8" w:rsidP="007A5B2E">
      <w:pPr>
        <w:pStyle w:val="enumlev1"/>
        <w:rPr>
          <w:lang w:eastAsia="zh-CN"/>
        </w:rPr>
      </w:pPr>
      <w:r w:rsidRPr="007300C8">
        <w:rPr>
          <w:lang w:eastAsia="zh-CN"/>
        </w:rPr>
        <w:t>•</w:t>
      </w:r>
      <w:r w:rsidRPr="007300C8">
        <w:rPr>
          <w:lang w:eastAsia="zh-CN"/>
        </w:rPr>
        <w:tab/>
      </w:r>
      <w:r w:rsidRPr="007300C8">
        <w:rPr>
          <w:lang w:eastAsia="zh-CN"/>
        </w:rPr>
        <w:t>无线电通信局为</w:t>
      </w:r>
      <w:r w:rsidRPr="007300C8">
        <w:rPr>
          <w:szCs w:val="24"/>
          <w:lang w:eastAsia="zh-CN"/>
        </w:rPr>
        <w:t>ITU-T</w:t>
      </w:r>
      <w:r w:rsidRPr="007300C8">
        <w:rPr>
          <w:lang w:eastAsia="zh-CN"/>
        </w:rPr>
        <w:t>第</w:t>
      </w:r>
      <w:r w:rsidRPr="007300C8">
        <w:rPr>
          <w:lang w:eastAsia="zh-CN"/>
        </w:rPr>
        <w:t>5</w:t>
      </w:r>
      <w:r w:rsidRPr="007300C8">
        <w:rPr>
          <w:lang w:eastAsia="zh-CN"/>
        </w:rPr>
        <w:t>研究组有关</w:t>
      </w:r>
      <w:r w:rsidRPr="007300C8">
        <w:rPr>
          <w:szCs w:val="24"/>
          <w:lang w:eastAsia="zh-CN"/>
        </w:rPr>
        <w:t>ITU-R</w:t>
      </w:r>
      <w:r w:rsidRPr="007300C8">
        <w:rPr>
          <w:lang w:eastAsia="zh-CN"/>
        </w:rPr>
        <w:t>气候变化的研究做出了贡献，并制定了《无线电通信与气候变化》宣传册。该宣传册总体介绍如何利用无线电通信系统监测各种不同气候变化现象及其影响，以及将信息通信技术和无线电通信作为解决方案，帮助减少全球能源消耗的问题。</w:t>
      </w:r>
    </w:p>
    <w:p w:rsidR="007300C8" w:rsidRPr="007300C8" w:rsidRDefault="007300C8" w:rsidP="007A5B2E">
      <w:pPr>
        <w:ind w:firstLineChars="200" w:firstLine="480"/>
        <w:rPr>
          <w:lang w:eastAsia="zh-CN"/>
        </w:rPr>
      </w:pPr>
      <w:r w:rsidRPr="007300C8">
        <w:rPr>
          <w:lang w:eastAsia="zh-CN"/>
        </w:rPr>
        <w:lastRenderedPageBreak/>
        <w:t>不断有人提出就一系列</w:t>
      </w:r>
      <w:r w:rsidRPr="007300C8">
        <w:rPr>
          <w:lang w:eastAsia="zh-CN"/>
        </w:rPr>
        <w:t>ITU-T</w:t>
      </w:r>
      <w:r w:rsidRPr="007300C8">
        <w:rPr>
          <w:lang w:eastAsia="zh-CN"/>
        </w:rPr>
        <w:t>正在研究解决的对无线电通信问题产生影响的议题开展紧密协调的要求，以减少两个部门所做的工作之间可能出现的重叠、重复和冲突。</w:t>
      </w:r>
    </w:p>
    <w:p w:rsidR="007300C8" w:rsidRPr="007300C8" w:rsidRDefault="008A7EC6" w:rsidP="00704F1D">
      <w:pPr>
        <w:ind w:firstLineChars="200" w:firstLine="480"/>
        <w:rPr>
          <w:lang w:eastAsia="zh-CN"/>
        </w:rPr>
      </w:pPr>
      <w:r w:rsidRPr="008A7EC6">
        <w:rPr>
          <w:rFonts w:ascii="STKaiti" w:eastAsia="STKaiti" w:hAnsi="STKaiti" w:hint="eastAsia"/>
          <w:lang w:eastAsia="zh-CN"/>
        </w:rPr>
        <w:t>有关</w:t>
      </w:r>
      <w:r w:rsidR="007300C8" w:rsidRPr="008A7EC6">
        <w:rPr>
          <w:rFonts w:ascii="STKaiti" w:eastAsia="STKaiti" w:hAnsi="STKaiti"/>
          <w:lang w:eastAsia="zh-CN"/>
        </w:rPr>
        <w:t>其它组织</w:t>
      </w:r>
      <w:r w:rsidR="007300C8" w:rsidRPr="007300C8">
        <w:rPr>
          <w:lang w:eastAsia="zh-CN"/>
        </w:rPr>
        <w:t>：在必要时适当参考</w:t>
      </w:r>
      <w:r w:rsidR="007300C8" w:rsidRPr="007300C8">
        <w:rPr>
          <w:lang w:eastAsia="zh-CN"/>
        </w:rPr>
        <w:t>ITU-R</w:t>
      </w:r>
      <w:r w:rsidR="007300C8" w:rsidRPr="007300C8">
        <w:rPr>
          <w:lang w:eastAsia="zh-CN"/>
        </w:rPr>
        <w:t>第</w:t>
      </w:r>
      <w:r w:rsidR="007300C8" w:rsidRPr="007300C8">
        <w:rPr>
          <w:lang w:eastAsia="zh-CN"/>
        </w:rPr>
        <w:t>9-3</w:t>
      </w:r>
      <w:r w:rsidR="007300C8" w:rsidRPr="007300C8">
        <w:rPr>
          <w:lang w:eastAsia="zh-CN"/>
        </w:rPr>
        <w:t>号决议的情况下，在</w:t>
      </w:r>
      <w:r w:rsidR="007300C8" w:rsidRPr="007300C8">
        <w:rPr>
          <w:lang w:eastAsia="zh-CN"/>
        </w:rPr>
        <w:t>ITU-R</w:t>
      </w:r>
      <w:r w:rsidR="007300C8" w:rsidRPr="007300C8">
        <w:rPr>
          <w:lang w:eastAsia="zh-CN"/>
        </w:rPr>
        <w:t>各研究组和其它组织之间的联络继续保持通畅。</w:t>
      </w:r>
      <w:r w:rsidR="007300C8" w:rsidRPr="007300C8">
        <w:rPr>
          <w:lang w:eastAsia="zh-CN"/>
        </w:rPr>
        <w:t>ITU-R</w:t>
      </w:r>
      <w:r w:rsidR="007300C8" w:rsidRPr="007300C8">
        <w:rPr>
          <w:lang w:eastAsia="zh-CN"/>
        </w:rPr>
        <w:t>和无线电通信局的代表继续积极参与了全球标准协作</w:t>
      </w:r>
      <w:r w:rsidR="00A70017">
        <w:rPr>
          <w:lang w:eastAsia="zh-CN"/>
        </w:rPr>
        <w:t>（</w:t>
      </w:r>
      <w:r w:rsidR="007300C8" w:rsidRPr="007300C8">
        <w:rPr>
          <w:lang w:eastAsia="zh-CN"/>
        </w:rPr>
        <w:t>GSC</w:t>
      </w:r>
      <w:r w:rsidR="00A70017">
        <w:rPr>
          <w:lang w:eastAsia="zh-CN"/>
        </w:rPr>
        <w:t>）</w:t>
      </w:r>
      <w:r w:rsidR="007300C8" w:rsidRPr="007300C8">
        <w:rPr>
          <w:lang w:eastAsia="zh-CN"/>
        </w:rPr>
        <w:t>的活动。还在太空天气、气候变化和气候监测</w:t>
      </w:r>
      <w:r w:rsidR="00A70017">
        <w:rPr>
          <w:lang w:eastAsia="zh-CN"/>
        </w:rPr>
        <w:t>（</w:t>
      </w:r>
      <w:r w:rsidR="007300C8" w:rsidRPr="007300C8">
        <w:rPr>
          <w:lang w:eastAsia="zh-CN"/>
        </w:rPr>
        <w:t>世界气象组织</w:t>
      </w:r>
      <w:r w:rsidR="00A70017">
        <w:rPr>
          <w:lang w:eastAsia="zh-CN"/>
        </w:rPr>
        <w:t>（</w:t>
      </w:r>
      <w:r w:rsidR="007300C8" w:rsidRPr="007300C8">
        <w:rPr>
          <w:lang w:eastAsia="zh-CN"/>
        </w:rPr>
        <w:t>WMO</w:t>
      </w:r>
      <w:r w:rsidR="00A70017">
        <w:rPr>
          <w:lang w:eastAsia="zh-CN"/>
        </w:rPr>
        <w:t>）</w:t>
      </w:r>
      <w:r w:rsidR="007300C8" w:rsidRPr="007300C8">
        <w:rPr>
          <w:lang w:eastAsia="zh-CN"/>
        </w:rPr>
        <w:t>、联合国气候变化框架公约</w:t>
      </w:r>
      <w:r w:rsidR="00A70017">
        <w:rPr>
          <w:lang w:eastAsia="zh-CN"/>
        </w:rPr>
        <w:t>（</w:t>
      </w:r>
      <w:r w:rsidR="007300C8" w:rsidRPr="007300C8">
        <w:rPr>
          <w:lang w:eastAsia="zh-CN"/>
        </w:rPr>
        <w:t>UNFCCC</w:t>
      </w:r>
      <w:r w:rsidR="00A70017">
        <w:rPr>
          <w:lang w:eastAsia="zh-CN"/>
        </w:rPr>
        <w:t>）</w:t>
      </w:r>
      <w:r w:rsidR="007300C8" w:rsidRPr="007300C8">
        <w:rPr>
          <w:lang w:eastAsia="zh-CN"/>
        </w:rPr>
        <w:t>、全球人道主义论坛</w:t>
      </w:r>
      <w:r w:rsidR="00704F1D">
        <w:rPr>
          <w:rFonts w:hint="eastAsia"/>
          <w:lang w:eastAsia="zh-CN"/>
        </w:rPr>
        <w:t>、</w:t>
      </w:r>
      <w:r w:rsidR="007300C8" w:rsidRPr="007300C8">
        <w:rPr>
          <w:lang w:eastAsia="zh-CN"/>
        </w:rPr>
        <w:t>地球观测组织</w:t>
      </w:r>
      <w:r w:rsidR="00A70017">
        <w:rPr>
          <w:lang w:eastAsia="zh-CN"/>
        </w:rPr>
        <w:t>（</w:t>
      </w:r>
      <w:r w:rsidR="007300C8" w:rsidRPr="007300C8">
        <w:rPr>
          <w:lang w:eastAsia="zh-CN"/>
        </w:rPr>
        <w:t>GEO</w:t>
      </w:r>
      <w:r w:rsidR="00A70017">
        <w:rPr>
          <w:lang w:eastAsia="zh-CN"/>
        </w:rPr>
        <w:t>）</w:t>
      </w:r>
      <w:r w:rsidR="007300C8" w:rsidRPr="007300C8">
        <w:rPr>
          <w:lang w:eastAsia="zh-CN"/>
        </w:rPr>
        <w:t>、国际空间频率协调工作组</w:t>
      </w:r>
      <w:r w:rsidR="00A70017">
        <w:rPr>
          <w:lang w:eastAsia="zh-CN"/>
        </w:rPr>
        <w:t>（</w:t>
      </w:r>
      <w:r w:rsidR="007300C8" w:rsidRPr="007300C8">
        <w:rPr>
          <w:lang w:eastAsia="zh-CN"/>
        </w:rPr>
        <w:t>SFCG</w:t>
      </w:r>
      <w:r w:rsidR="00A70017">
        <w:rPr>
          <w:lang w:eastAsia="zh-CN"/>
        </w:rPr>
        <w:t>）</w:t>
      </w:r>
      <w:r w:rsidR="007300C8" w:rsidRPr="007300C8">
        <w:rPr>
          <w:lang w:eastAsia="zh-CN"/>
        </w:rPr>
        <w:t>、美国国家航空航天局</w:t>
      </w:r>
      <w:r w:rsidR="00A70017">
        <w:rPr>
          <w:lang w:eastAsia="zh-CN"/>
        </w:rPr>
        <w:t>（</w:t>
      </w:r>
      <w:r w:rsidR="007300C8" w:rsidRPr="007300C8">
        <w:rPr>
          <w:lang w:eastAsia="zh-CN"/>
        </w:rPr>
        <w:t>NASA</w:t>
      </w:r>
      <w:r w:rsidR="00A70017">
        <w:rPr>
          <w:lang w:eastAsia="zh-CN"/>
        </w:rPr>
        <w:t>）</w:t>
      </w:r>
      <w:r w:rsidR="007300C8" w:rsidRPr="007300C8">
        <w:rPr>
          <w:lang w:eastAsia="zh-CN"/>
        </w:rPr>
        <w:t>、欧洲空间局</w:t>
      </w:r>
      <w:r w:rsidR="00A70017">
        <w:rPr>
          <w:lang w:eastAsia="zh-CN"/>
        </w:rPr>
        <w:t>（</w:t>
      </w:r>
      <w:r w:rsidR="007300C8" w:rsidRPr="007300C8">
        <w:rPr>
          <w:lang w:eastAsia="zh-CN"/>
        </w:rPr>
        <w:t>ESA</w:t>
      </w:r>
      <w:r w:rsidR="00A70017">
        <w:rPr>
          <w:lang w:eastAsia="zh-CN"/>
        </w:rPr>
        <w:t>）</w:t>
      </w:r>
      <w:r w:rsidR="007300C8" w:rsidRPr="007300C8">
        <w:rPr>
          <w:lang w:eastAsia="zh-CN"/>
        </w:rPr>
        <w:t>、日本宇宙航空研究开发机构</w:t>
      </w:r>
      <w:r w:rsidR="00A70017">
        <w:rPr>
          <w:lang w:eastAsia="zh-CN"/>
        </w:rPr>
        <w:t>（</w:t>
      </w:r>
      <w:r w:rsidR="007300C8" w:rsidRPr="007300C8">
        <w:rPr>
          <w:lang w:eastAsia="zh-CN"/>
        </w:rPr>
        <w:t>JAXA</w:t>
      </w:r>
      <w:r w:rsidR="00A70017">
        <w:rPr>
          <w:lang w:eastAsia="zh-CN"/>
        </w:rPr>
        <w:t>））</w:t>
      </w:r>
      <w:r w:rsidR="007300C8" w:rsidRPr="007300C8">
        <w:rPr>
          <w:lang w:eastAsia="zh-CN"/>
        </w:rPr>
        <w:t>以及电磁场辐射</w:t>
      </w:r>
      <w:r w:rsidR="00A70017">
        <w:rPr>
          <w:lang w:eastAsia="zh-CN"/>
        </w:rPr>
        <w:t>（</w:t>
      </w:r>
      <w:r w:rsidR="007300C8" w:rsidRPr="007300C8">
        <w:rPr>
          <w:lang w:eastAsia="zh-CN"/>
        </w:rPr>
        <w:t>世界卫生组织</w:t>
      </w:r>
      <w:r w:rsidR="00A70017">
        <w:rPr>
          <w:lang w:eastAsia="zh-CN"/>
        </w:rPr>
        <w:t>（</w:t>
      </w:r>
      <w:r w:rsidR="007300C8" w:rsidRPr="007300C8">
        <w:rPr>
          <w:lang w:eastAsia="zh-CN"/>
        </w:rPr>
        <w:t>WHO</w:t>
      </w:r>
      <w:r w:rsidR="00A70017">
        <w:rPr>
          <w:lang w:eastAsia="zh-CN"/>
        </w:rPr>
        <w:t>））</w:t>
      </w:r>
      <w:r w:rsidR="007300C8" w:rsidRPr="007300C8">
        <w:rPr>
          <w:lang w:eastAsia="zh-CN"/>
        </w:rPr>
        <w:t>等各领域与联合国各组织和机构进行了联络。</w:t>
      </w:r>
    </w:p>
    <w:p w:rsidR="007300C8" w:rsidRPr="007300C8" w:rsidRDefault="007300C8" w:rsidP="007A5B2E">
      <w:pPr>
        <w:pStyle w:val="Heading1"/>
        <w:rPr>
          <w:lang w:eastAsia="zh-CN"/>
        </w:rPr>
      </w:pPr>
      <w:r w:rsidRPr="007300C8">
        <w:rPr>
          <w:lang w:eastAsia="zh-CN"/>
        </w:rPr>
        <w:t>7</w:t>
      </w:r>
      <w:r w:rsidRPr="007300C8">
        <w:rPr>
          <w:lang w:eastAsia="zh-CN"/>
        </w:rPr>
        <w:tab/>
      </w:r>
      <w:r w:rsidRPr="007300C8">
        <w:rPr>
          <w:lang w:eastAsia="zh-CN"/>
        </w:rPr>
        <w:t>其他跨部门活动</w:t>
      </w:r>
    </w:p>
    <w:p w:rsidR="007300C8" w:rsidRPr="007300C8" w:rsidRDefault="007300C8" w:rsidP="007A5B2E">
      <w:pPr>
        <w:ind w:firstLineChars="200" w:firstLine="480"/>
        <w:rPr>
          <w:lang w:eastAsia="zh-CN"/>
        </w:rPr>
      </w:pPr>
      <w:r w:rsidRPr="007300C8">
        <w:rPr>
          <w:lang w:eastAsia="zh-CN"/>
        </w:rPr>
        <w:t>无线电通信局积极参加了下述与</w:t>
      </w:r>
      <w:r w:rsidRPr="007300C8">
        <w:rPr>
          <w:lang w:eastAsia="zh-CN"/>
        </w:rPr>
        <w:t>ITU-R</w:t>
      </w:r>
      <w:r w:rsidRPr="007300C8">
        <w:rPr>
          <w:lang w:eastAsia="zh-CN"/>
        </w:rPr>
        <w:t>工作相关的其他跨部门活动。</w:t>
      </w:r>
    </w:p>
    <w:p w:rsidR="007300C8" w:rsidRPr="007300C8" w:rsidRDefault="007300C8" w:rsidP="007A5B2E">
      <w:pPr>
        <w:pStyle w:val="enumlev1"/>
        <w:rPr>
          <w:lang w:eastAsia="zh-CN"/>
        </w:rPr>
      </w:pPr>
      <w:r w:rsidRPr="007300C8">
        <w:rPr>
          <w:lang w:eastAsia="zh-CN"/>
        </w:rPr>
        <w:t>•</w:t>
      </w:r>
      <w:r w:rsidRPr="007300C8">
        <w:rPr>
          <w:lang w:eastAsia="zh-CN"/>
        </w:rPr>
        <w:tab/>
      </w:r>
      <w:r w:rsidRPr="008A7EC6">
        <w:rPr>
          <w:rFonts w:ascii="STKaiti" w:eastAsia="STKaiti" w:hAnsi="STKaiti"/>
          <w:lang w:eastAsia="zh-CN"/>
        </w:rPr>
        <w:t>信息社会世界高峰会议</w:t>
      </w:r>
      <w:r w:rsidRPr="007300C8">
        <w:rPr>
          <w:lang w:eastAsia="zh-CN"/>
        </w:rPr>
        <w:t>：</w:t>
      </w:r>
      <w:r w:rsidRPr="00F2431C">
        <w:rPr>
          <w:spacing w:val="4"/>
          <w:lang w:eastAsia="zh-CN"/>
        </w:rPr>
        <w:t>按照</w:t>
      </w:r>
      <w:r w:rsidRPr="00F2431C">
        <w:rPr>
          <w:spacing w:val="4"/>
          <w:lang w:eastAsia="zh-CN"/>
        </w:rPr>
        <w:t>ITU-R</w:t>
      </w:r>
      <w:r w:rsidRPr="00F2431C">
        <w:rPr>
          <w:spacing w:val="4"/>
          <w:lang w:eastAsia="zh-CN"/>
        </w:rPr>
        <w:t>第</w:t>
      </w:r>
      <w:r w:rsidRPr="00F2431C">
        <w:rPr>
          <w:spacing w:val="4"/>
          <w:lang w:eastAsia="zh-CN"/>
        </w:rPr>
        <w:t>61</w:t>
      </w:r>
      <w:r w:rsidRPr="00F2431C">
        <w:rPr>
          <w:spacing w:val="4"/>
          <w:lang w:eastAsia="zh-CN"/>
        </w:rPr>
        <w:t>号决议</w:t>
      </w:r>
      <w:r w:rsidR="00A70017" w:rsidRPr="00F2431C">
        <w:rPr>
          <w:spacing w:val="4"/>
          <w:lang w:eastAsia="zh-CN"/>
        </w:rPr>
        <w:t>（</w:t>
      </w:r>
      <w:r w:rsidRPr="00F2431C">
        <w:rPr>
          <w:spacing w:val="4"/>
          <w:lang w:eastAsia="zh-CN"/>
        </w:rPr>
        <w:t>ITU-R</w:t>
      </w:r>
      <w:r w:rsidRPr="00F2431C">
        <w:rPr>
          <w:spacing w:val="4"/>
          <w:lang w:eastAsia="zh-CN"/>
        </w:rPr>
        <w:t>为实施</w:t>
      </w:r>
      <w:r w:rsidRPr="00F2431C">
        <w:rPr>
          <w:spacing w:val="4"/>
          <w:lang w:eastAsia="zh-CN"/>
        </w:rPr>
        <w:t>WSIS</w:t>
      </w:r>
      <w:r w:rsidRPr="00F2431C">
        <w:rPr>
          <w:spacing w:val="4"/>
          <w:lang w:eastAsia="zh-CN"/>
        </w:rPr>
        <w:t>成果贡献力量</w:t>
      </w:r>
      <w:r w:rsidR="00A70017" w:rsidRPr="00F2431C">
        <w:rPr>
          <w:spacing w:val="4"/>
          <w:lang w:eastAsia="zh-CN"/>
        </w:rPr>
        <w:t>）</w:t>
      </w:r>
      <w:r w:rsidRPr="00F2431C">
        <w:rPr>
          <w:spacing w:val="4"/>
          <w:lang w:eastAsia="zh-CN"/>
        </w:rPr>
        <w:t>，特别是为实施</w:t>
      </w:r>
      <w:r w:rsidRPr="00F2431C">
        <w:rPr>
          <w:spacing w:val="4"/>
          <w:lang w:eastAsia="zh-CN"/>
        </w:rPr>
        <w:t>C2</w:t>
      </w:r>
      <w:r w:rsidRPr="00F2431C">
        <w:rPr>
          <w:spacing w:val="4"/>
          <w:lang w:eastAsia="zh-CN"/>
        </w:rPr>
        <w:t>和</w:t>
      </w:r>
      <w:r w:rsidRPr="00F2431C">
        <w:rPr>
          <w:spacing w:val="4"/>
          <w:lang w:eastAsia="zh-CN"/>
        </w:rPr>
        <w:t>C6</w:t>
      </w:r>
      <w:r w:rsidRPr="00F2431C">
        <w:rPr>
          <w:spacing w:val="4"/>
          <w:lang w:eastAsia="zh-CN"/>
        </w:rPr>
        <w:t>行动方面，开展了若干活动。除参加国际电联</w:t>
      </w:r>
      <w:r w:rsidRPr="00F2431C">
        <w:rPr>
          <w:spacing w:val="4"/>
          <w:lang w:eastAsia="zh-CN"/>
        </w:rPr>
        <w:t>WSIS</w:t>
      </w:r>
      <w:r w:rsidRPr="00F2431C">
        <w:rPr>
          <w:spacing w:val="4"/>
          <w:lang w:eastAsia="zh-CN"/>
        </w:rPr>
        <w:t>任务组外，这些活动还包括为理事会信息社会世界峰会工作组</w:t>
      </w:r>
      <w:r w:rsidR="00A70017" w:rsidRPr="00F2431C">
        <w:rPr>
          <w:spacing w:val="4"/>
          <w:lang w:eastAsia="zh-CN"/>
        </w:rPr>
        <w:t>（</w:t>
      </w:r>
      <w:r w:rsidRPr="00F2431C">
        <w:rPr>
          <w:spacing w:val="4"/>
          <w:szCs w:val="24"/>
          <w:lang w:eastAsia="zh-CN"/>
        </w:rPr>
        <w:t>WG</w:t>
      </w:r>
      <w:r w:rsidRPr="00F2431C">
        <w:rPr>
          <w:spacing w:val="4"/>
          <w:szCs w:val="24"/>
          <w:lang w:eastAsia="zh-CN"/>
        </w:rPr>
        <w:noBreakHyphen/>
        <w:t>WSIS</w:t>
      </w:r>
      <w:r w:rsidR="00A70017" w:rsidRPr="00F2431C">
        <w:rPr>
          <w:spacing w:val="4"/>
          <w:szCs w:val="24"/>
          <w:lang w:eastAsia="zh-CN"/>
        </w:rPr>
        <w:t>）</w:t>
      </w:r>
      <w:r w:rsidRPr="00F2431C">
        <w:rPr>
          <w:spacing w:val="4"/>
          <w:szCs w:val="24"/>
          <w:lang w:eastAsia="zh-CN"/>
        </w:rPr>
        <w:t>概要</w:t>
      </w:r>
      <w:r w:rsidRPr="00F2431C">
        <w:rPr>
          <w:spacing w:val="4"/>
          <w:lang w:eastAsia="zh-CN"/>
        </w:rPr>
        <w:t>介绍</w:t>
      </w:r>
      <w:r w:rsidRPr="00F2431C">
        <w:rPr>
          <w:spacing w:val="4"/>
          <w:lang w:eastAsia="zh-CN"/>
        </w:rPr>
        <w:t>ITU-R</w:t>
      </w:r>
      <w:r w:rsidRPr="00F2431C">
        <w:rPr>
          <w:spacing w:val="4"/>
          <w:lang w:eastAsia="zh-CN"/>
        </w:rPr>
        <w:t>在实施</w:t>
      </w:r>
      <w:r w:rsidRPr="00F2431C">
        <w:rPr>
          <w:spacing w:val="4"/>
          <w:lang w:eastAsia="zh-CN"/>
        </w:rPr>
        <w:t>WSIS</w:t>
      </w:r>
      <w:r w:rsidRPr="00F2431C">
        <w:rPr>
          <w:spacing w:val="4"/>
          <w:lang w:eastAsia="zh-CN"/>
        </w:rPr>
        <w:t>峰会成果和第</w:t>
      </w:r>
      <w:r w:rsidRPr="00F2431C">
        <w:rPr>
          <w:spacing w:val="4"/>
          <w:lang w:eastAsia="zh-CN"/>
        </w:rPr>
        <w:t>140</w:t>
      </w:r>
      <w:r w:rsidRPr="00F2431C">
        <w:rPr>
          <w:spacing w:val="4"/>
          <w:lang w:eastAsia="zh-CN"/>
        </w:rPr>
        <w:t>号决议</w:t>
      </w:r>
      <w:r w:rsidR="00A70017" w:rsidRPr="00F2431C">
        <w:rPr>
          <w:spacing w:val="4"/>
          <w:lang w:eastAsia="zh-CN"/>
        </w:rPr>
        <w:t>（</w:t>
      </w:r>
      <w:r w:rsidRPr="00F2431C">
        <w:rPr>
          <w:spacing w:val="4"/>
          <w:lang w:eastAsia="zh-CN"/>
        </w:rPr>
        <w:t>2010</w:t>
      </w:r>
      <w:r w:rsidRPr="00F2431C">
        <w:rPr>
          <w:spacing w:val="4"/>
          <w:lang w:eastAsia="zh-CN"/>
        </w:rPr>
        <w:t>年，瓜达拉哈拉，修订版</w:t>
      </w:r>
      <w:r w:rsidR="00A70017" w:rsidRPr="00F2431C">
        <w:rPr>
          <w:spacing w:val="4"/>
          <w:lang w:eastAsia="zh-CN"/>
        </w:rPr>
        <w:t>）</w:t>
      </w:r>
      <w:r w:rsidRPr="00F2431C">
        <w:rPr>
          <w:spacing w:val="4"/>
          <w:lang w:eastAsia="zh-CN"/>
        </w:rPr>
        <w:t>方面开展的活动。特别应当指出，无线电通信局有效参与了</w:t>
      </w:r>
      <w:hyperlink r:id="rId13" w:history="1">
        <w:r w:rsidRPr="007300C8">
          <w:rPr>
            <w:rStyle w:val="Hyperlink"/>
            <w:lang w:eastAsia="zh-CN"/>
          </w:rPr>
          <w:t>WSIS</w:t>
        </w:r>
        <w:r w:rsidRPr="007300C8">
          <w:rPr>
            <w:rStyle w:val="Hyperlink"/>
            <w:lang w:eastAsia="zh-CN"/>
          </w:rPr>
          <w:t>论坛</w:t>
        </w:r>
      </w:hyperlink>
      <w:r w:rsidR="00A70017">
        <w:rPr>
          <w:lang w:eastAsia="zh-CN"/>
        </w:rPr>
        <w:t>（</w:t>
      </w:r>
      <w:r w:rsidRPr="007300C8">
        <w:rPr>
          <w:lang w:eastAsia="zh-CN"/>
        </w:rPr>
        <w:t>2013</w:t>
      </w:r>
      <w:r w:rsidRPr="007300C8">
        <w:rPr>
          <w:lang w:eastAsia="zh-CN"/>
        </w:rPr>
        <w:t>年</w:t>
      </w:r>
      <w:r w:rsidRPr="007300C8">
        <w:rPr>
          <w:lang w:eastAsia="zh-CN"/>
        </w:rPr>
        <w:t>5</w:t>
      </w:r>
      <w:r w:rsidRPr="007300C8">
        <w:rPr>
          <w:lang w:eastAsia="zh-CN"/>
        </w:rPr>
        <w:t>月</w:t>
      </w:r>
      <w:r w:rsidRPr="007300C8">
        <w:rPr>
          <w:lang w:eastAsia="zh-CN"/>
        </w:rPr>
        <w:t>13-17</w:t>
      </w:r>
      <w:r w:rsidRPr="007300C8">
        <w:rPr>
          <w:lang w:eastAsia="zh-CN"/>
        </w:rPr>
        <w:t>日，日内瓦</w:t>
      </w:r>
      <w:r w:rsidR="00A70017">
        <w:rPr>
          <w:lang w:eastAsia="zh-CN"/>
        </w:rPr>
        <w:t>）</w:t>
      </w:r>
      <w:r w:rsidRPr="007300C8">
        <w:rPr>
          <w:lang w:eastAsia="zh-CN"/>
        </w:rPr>
        <w:t>，特别介绍了与</w:t>
      </w:r>
      <w:r w:rsidRPr="007300C8">
        <w:rPr>
          <w:lang w:eastAsia="zh-CN"/>
        </w:rPr>
        <w:t>C2</w:t>
      </w:r>
      <w:r w:rsidRPr="007300C8">
        <w:rPr>
          <w:lang w:eastAsia="zh-CN"/>
        </w:rPr>
        <w:t>行动方面有关的问题</w:t>
      </w:r>
      <w:r w:rsidRPr="007300C8">
        <w:rPr>
          <w:lang w:eastAsia="zh-CN"/>
        </w:rPr>
        <w:t xml:space="preserve"> – </w:t>
      </w:r>
      <w:r w:rsidRPr="007300C8">
        <w:rPr>
          <w:lang w:eastAsia="zh-CN"/>
        </w:rPr>
        <w:t>提供</w:t>
      </w:r>
      <w:r w:rsidRPr="007300C8">
        <w:rPr>
          <w:lang w:eastAsia="zh-CN"/>
        </w:rPr>
        <w:t>ICT</w:t>
      </w:r>
      <w:r w:rsidRPr="007300C8">
        <w:rPr>
          <w:lang w:eastAsia="zh-CN"/>
        </w:rPr>
        <w:t>接入的创新技术和新机遇：模拟地面电视向数字地面电视的过渡和数字红利，以及有关</w:t>
      </w:r>
      <w:r w:rsidR="00920B74">
        <w:rPr>
          <w:lang w:eastAsia="zh-CN"/>
        </w:rPr>
        <w:t>C7</w:t>
      </w:r>
      <w:r w:rsidRPr="007300C8">
        <w:rPr>
          <w:lang w:eastAsia="zh-CN"/>
        </w:rPr>
        <w:t>行动方面的问题</w:t>
      </w:r>
      <w:r w:rsidRPr="007300C8">
        <w:rPr>
          <w:lang w:eastAsia="zh-CN"/>
        </w:rPr>
        <w:t xml:space="preserve"> – </w:t>
      </w:r>
      <w:r w:rsidRPr="007300C8">
        <w:rPr>
          <w:lang w:eastAsia="zh-CN"/>
        </w:rPr>
        <w:t>电子环境，后者是国际电联</w:t>
      </w:r>
      <w:r w:rsidRPr="007300C8">
        <w:rPr>
          <w:lang w:eastAsia="zh-CN"/>
        </w:rPr>
        <w:t>/</w:t>
      </w:r>
      <w:r w:rsidRPr="007300C8">
        <w:rPr>
          <w:lang w:eastAsia="zh-CN"/>
        </w:rPr>
        <w:t>世界气象组织联合进行的有关气候变化监测和灾害风险降低的介绍；</w:t>
      </w:r>
    </w:p>
    <w:p w:rsidR="007300C8" w:rsidRPr="007300C8" w:rsidRDefault="007300C8" w:rsidP="007A5B2E">
      <w:pPr>
        <w:pStyle w:val="enumlev1"/>
        <w:rPr>
          <w:lang w:eastAsia="zh-CN"/>
        </w:rPr>
      </w:pPr>
      <w:r w:rsidRPr="007300C8">
        <w:rPr>
          <w:lang w:eastAsia="zh-CN"/>
        </w:rPr>
        <w:t>•</w:t>
      </w:r>
      <w:r w:rsidRPr="007300C8">
        <w:rPr>
          <w:lang w:eastAsia="zh-CN"/>
        </w:rPr>
        <w:tab/>
      </w:r>
      <w:r w:rsidRPr="008A7EC6">
        <w:rPr>
          <w:rFonts w:ascii="STKaiti" w:eastAsia="STKaiti" w:hAnsi="STKaiti"/>
          <w:lang w:eastAsia="zh-CN"/>
        </w:rPr>
        <w:t>气候变化和应急通信</w:t>
      </w:r>
      <w:r w:rsidRPr="007300C8">
        <w:rPr>
          <w:lang w:eastAsia="zh-CN"/>
        </w:rPr>
        <w:t>：为实施第</w:t>
      </w:r>
      <w:r w:rsidRPr="007300C8">
        <w:rPr>
          <w:lang w:eastAsia="zh-CN"/>
        </w:rPr>
        <w:t>136</w:t>
      </w:r>
      <w:r w:rsidRPr="007300C8">
        <w:rPr>
          <w:lang w:eastAsia="zh-CN"/>
        </w:rPr>
        <w:t>号决议</w:t>
      </w:r>
      <w:r w:rsidR="00A70017">
        <w:rPr>
          <w:lang w:eastAsia="zh-CN"/>
        </w:rPr>
        <w:t>（</w:t>
      </w:r>
      <w:r w:rsidRPr="007300C8">
        <w:rPr>
          <w:lang w:eastAsia="zh-CN"/>
        </w:rPr>
        <w:t>2010</w:t>
      </w:r>
      <w:r w:rsidRPr="007300C8">
        <w:rPr>
          <w:lang w:eastAsia="zh-CN"/>
        </w:rPr>
        <w:t>年，瓜达拉哈拉，修订版</w:t>
      </w:r>
      <w:r w:rsidR="00A70017">
        <w:rPr>
          <w:lang w:eastAsia="zh-CN"/>
        </w:rPr>
        <w:t>）</w:t>
      </w:r>
      <w:r w:rsidRPr="007300C8">
        <w:rPr>
          <w:lang w:eastAsia="zh-CN"/>
        </w:rPr>
        <w:t>，国际电联气候变化和应急通信任务组在继续协调跨部门活动，无线电通信局积极参与了该活动，包括国际电联为联合国可持续发展大会</w:t>
      </w:r>
      <w:r w:rsidR="00A70017">
        <w:rPr>
          <w:lang w:eastAsia="zh-CN"/>
        </w:rPr>
        <w:t>（</w:t>
      </w:r>
      <w:hyperlink r:id="rId14" w:history="1">
        <w:r w:rsidRPr="007300C8">
          <w:rPr>
            <w:rStyle w:val="Hyperlink"/>
            <w:szCs w:val="24"/>
            <w:lang w:eastAsia="zh-CN"/>
          </w:rPr>
          <w:t>Rio+20</w:t>
        </w:r>
      </w:hyperlink>
      <w:r w:rsidR="00A70017">
        <w:rPr>
          <w:lang w:eastAsia="zh-CN"/>
        </w:rPr>
        <w:t>）</w:t>
      </w:r>
      <w:r w:rsidRPr="007300C8">
        <w:rPr>
          <w:lang w:eastAsia="zh-CN"/>
        </w:rPr>
        <w:t>所做的筹备和参与工作。</w:t>
      </w:r>
      <w:r w:rsidRPr="007300C8">
        <w:rPr>
          <w:szCs w:val="24"/>
          <w:lang w:eastAsia="zh-CN"/>
        </w:rPr>
        <w:t>RA-12</w:t>
      </w:r>
      <w:r w:rsidRPr="007300C8">
        <w:rPr>
          <w:lang w:eastAsia="zh-CN"/>
        </w:rPr>
        <w:t>通过的</w:t>
      </w:r>
      <w:r w:rsidRPr="007300C8">
        <w:rPr>
          <w:szCs w:val="24"/>
          <w:lang w:eastAsia="zh-CN"/>
        </w:rPr>
        <w:t>ITU-R</w:t>
      </w:r>
      <w:r w:rsidRPr="007300C8">
        <w:rPr>
          <w:lang w:eastAsia="zh-CN"/>
        </w:rPr>
        <w:t>第</w:t>
      </w:r>
      <w:r w:rsidRPr="007300C8">
        <w:rPr>
          <w:lang w:eastAsia="zh-CN"/>
        </w:rPr>
        <w:t>60</w:t>
      </w:r>
      <w:r w:rsidRPr="007300C8">
        <w:rPr>
          <w:lang w:eastAsia="zh-CN"/>
        </w:rPr>
        <w:t>号决议</w:t>
      </w:r>
      <w:r w:rsidR="00A70017">
        <w:rPr>
          <w:lang w:eastAsia="zh-CN"/>
        </w:rPr>
        <w:t>（</w:t>
      </w:r>
      <w:r w:rsidRPr="007300C8">
        <w:rPr>
          <w:lang w:eastAsia="zh-CN"/>
        </w:rPr>
        <w:t>利用</w:t>
      </w:r>
      <w:r w:rsidRPr="007300C8">
        <w:rPr>
          <w:lang w:eastAsia="zh-CN"/>
        </w:rPr>
        <w:t>ICT/</w:t>
      </w:r>
      <w:r w:rsidRPr="007300C8">
        <w:rPr>
          <w:lang w:eastAsia="zh-CN"/>
        </w:rPr>
        <w:t>无线电通信技术和系统降低能耗，以保护环境并减缓气候变化影响</w:t>
      </w:r>
      <w:r w:rsidR="00A70017">
        <w:rPr>
          <w:lang w:eastAsia="zh-CN"/>
        </w:rPr>
        <w:t>）</w:t>
      </w:r>
      <w:r w:rsidRPr="007300C8">
        <w:rPr>
          <w:lang w:eastAsia="zh-CN"/>
        </w:rPr>
        <w:t>将继续推动更多活动的开展。目前</w:t>
      </w:r>
      <w:r w:rsidRPr="007300C8">
        <w:rPr>
          <w:lang w:eastAsia="zh-CN"/>
        </w:rPr>
        <w:t>ITU-R</w:t>
      </w:r>
      <w:r w:rsidRPr="007300C8">
        <w:rPr>
          <w:lang w:eastAsia="zh-CN"/>
        </w:rPr>
        <w:t>正在开展与实施</w:t>
      </w:r>
      <w:r w:rsidRPr="007300C8">
        <w:rPr>
          <w:lang w:eastAsia="zh-CN"/>
        </w:rPr>
        <w:t>ITU-R</w:t>
      </w:r>
      <w:r w:rsidRPr="007300C8">
        <w:rPr>
          <w:lang w:eastAsia="zh-CN"/>
        </w:rPr>
        <w:t>的</w:t>
      </w:r>
      <w:r w:rsidRPr="007300C8">
        <w:rPr>
          <w:lang w:eastAsia="zh-CN"/>
        </w:rPr>
        <w:t>53</w:t>
      </w:r>
      <w:r w:rsidRPr="00F97D94">
        <w:rPr>
          <w:lang w:eastAsia="zh-CN"/>
        </w:rPr>
        <w:t>-1</w:t>
      </w:r>
      <w:r w:rsidRPr="007300C8">
        <w:rPr>
          <w:lang w:eastAsia="zh-CN"/>
        </w:rPr>
        <w:t>号决议</w:t>
      </w:r>
      <w:r w:rsidR="00A70017">
        <w:rPr>
          <w:lang w:eastAsia="zh-CN"/>
        </w:rPr>
        <w:t>（</w:t>
      </w:r>
      <w:r w:rsidRPr="007300C8">
        <w:rPr>
          <w:lang w:eastAsia="zh-CN"/>
        </w:rPr>
        <w:t>无线电通信在灾害响应和赈灾中的使用</w:t>
      </w:r>
      <w:r w:rsidR="00A70017">
        <w:rPr>
          <w:lang w:eastAsia="zh-CN"/>
        </w:rPr>
        <w:t>）</w:t>
      </w:r>
      <w:r w:rsidRPr="007300C8">
        <w:rPr>
          <w:lang w:eastAsia="zh-CN"/>
        </w:rPr>
        <w:t>和第</w:t>
      </w:r>
      <w:r w:rsidRPr="007300C8">
        <w:rPr>
          <w:lang w:eastAsia="zh-CN"/>
        </w:rPr>
        <w:t>55</w:t>
      </w:r>
      <w:r w:rsidRPr="00C42ABA">
        <w:rPr>
          <w:lang w:eastAsia="zh-CN"/>
        </w:rPr>
        <w:t>-1</w:t>
      </w:r>
      <w:r w:rsidRPr="007300C8">
        <w:rPr>
          <w:lang w:eastAsia="zh-CN"/>
        </w:rPr>
        <w:t>号决议</w:t>
      </w:r>
      <w:r w:rsidR="00A70017">
        <w:rPr>
          <w:lang w:eastAsia="zh-CN"/>
        </w:rPr>
        <w:t>（</w:t>
      </w:r>
      <w:r w:rsidRPr="007300C8">
        <w:rPr>
          <w:lang w:eastAsia="zh-CN"/>
        </w:rPr>
        <w:t>国际电联有关灾害预测、发现、减缓和赈灾的研究</w:t>
      </w:r>
      <w:r w:rsidR="00A70017">
        <w:rPr>
          <w:lang w:eastAsia="zh-CN"/>
        </w:rPr>
        <w:t>）</w:t>
      </w:r>
      <w:r w:rsidRPr="007300C8">
        <w:rPr>
          <w:lang w:eastAsia="zh-CN"/>
        </w:rPr>
        <w:t>有关的活动；</w:t>
      </w:r>
    </w:p>
    <w:p w:rsidR="007300C8" w:rsidRPr="007300C8" w:rsidRDefault="007300C8" w:rsidP="007A5B2E">
      <w:pPr>
        <w:pStyle w:val="enumlev1"/>
        <w:rPr>
          <w:lang w:eastAsia="zh-CN"/>
        </w:rPr>
      </w:pPr>
      <w:r w:rsidRPr="007300C8">
        <w:rPr>
          <w:lang w:eastAsia="zh-CN"/>
        </w:rPr>
        <w:t>•</w:t>
      </w:r>
      <w:r w:rsidRPr="007300C8">
        <w:rPr>
          <w:lang w:eastAsia="zh-CN"/>
        </w:rPr>
        <w:tab/>
      </w:r>
      <w:r w:rsidRPr="008A7EC6">
        <w:rPr>
          <w:rFonts w:ascii="STKaiti" w:eastAsia="STKaiti" w:hAnsi="STKaiti"/>
          <w:lang w:eastAsia="zh-CN"/>
        </w:rPr>
        <w:t>宽带委员会</w:t>
      </w:r>
      <w:r w:rsidRPr="007300C8">
        <w:rPr>
          <w:lang w:eastAsia="zh-CN"/>
        </w:rPr>
        <w:t>：国际电联成立了</w:t>
      </w:r>
      <w:hyperlink r:id="rId15" w:history="1">
        <w:r w:rsidRPr="007300C8">
          <w:rPr>
            <w:rStyle w:val="Hyperlink"/>
            <w:szCs w:val="24"/>
            <w:lang w:eastAsia="zh-CN"/>
          </w:rPr>
          <w:t>宽带委员会</w:t>
        </w:r>
      </w:hyperlink>
      <w:r w:rsidRPr="007300C8">
        <w:rPr>
          <w:lang w:eastAsia="zh-CN"/>
        </w:rPr>
        <w:t>跨部门组，旨在为宽带委员会活动提供支持。无线电通信的作用</w:t>
      </w:r>
      <w:r w:rsidR="00A70017">
        <w:rPr>
          <w:lang w:eastAsia="zh-CN"/>
        </w:rPr>
        <w:t>（</w:t>
      </w:r>
      <w:r w:rsidRPr="007300C8">
        <w:rPr>
          <w:lang w:eastAsia="zh-CN"/>
        </w:rPr>
        <w:t>重点为移动宽带</w:t>
      </w:r>
      <w:r w:rsidR="00A70017">
        <w:rPr>
          <w:lang w:eastAsia="zh-CN"/>
        </w:rPr>
        <w:t>）</w:t>
      </w:r>
      <w:r w:rsidRPr="007300C8">
        <w:rPr>
          <w:lang w:eastAsia="zh-CN"/>
        </w:rPr>
        <w:t>包括国际移动通信系统</w:t>
      </w:r>
      <w:r w:rsidR="00A70017">
        <w:rPr>
          <w:lang w:eastAsia="zh-CN"/>
        </w:rPr>
        <w:t>（</w:t>
      </w:r>
      <w:r w:rsidRPr="007300C8">
        <w:rPr>
          <w:lang w:eastAsia="zh-CN"/>
        </w:rPr>
        <w:t>IMT</w:t>
      </w:r>
      <w:r w:rsidR="00A70017">
        <w:rPr>
          <w:lang w:eastAsia="zh-CN"/>
        </w:rPr>
        <w:t>）</w:t>
      </w:r>
      <w:r w:rsidRPr="007300C8">
        <w:rPr>
          <w:lang w:eastAsia="zh-CN"/>
        </w:rPr>
        <w:t>，是强调</w:t>
      </w:r>
      <w:r w:rsidRPr="007300C8">
        <w:rPr>
          <w:lang w:eastAsia="zh-CN"/>
        </w:rPr>
        <w:t>ICT</w:t>
      </w:r>
      <w:r w:rsidRPr="007300C8">
        <w:rPr>
          <w:lang w:eastAsia="zh-CN"/>
        </w:rPr>
        <w:t>系统如何能够及时和有效提供对宽带应用的接入；</w:t>
      </w:r>
    </w:p>
    <w:p w:rsidR="007300C8" w:rsidRPr="007300C8" w:rsidRDefault="007300C8" w:rsidP="00DA5C8D">
      <w:pPr>
        <w:pStyle w:val="enumlev1"/>
        <w:rPr>
          <w:lang w:eastAsia="zh-CN"/>
        </w:rPr>
      </w:pPr>
      <w:r w:rsidRPr="007300C8">
        <w:rPr>
          <w:lang w:eastAsia="zh-CN"/>
        </w:rPr>
        <w:t>•</w:t>
      </w:r>
      <w:r w:rsidRPr="007300C8">
        <w:rPr>
          <w:lang w:eastAsia="zh-CN"/>
        </w:rPr>
        <w:tab/>
      </w:r>
      <w:r w:rsidRPr="008A7EC6">
        <w:rPr>
          <w:rFonts w:ascii="STKaiti" w:eastAsia="STKaiti" w:hAnsi="STKaiti"/>
          <w:lang w:eastAsia="zh-CN"/>
        </w:rPr>
        <w:t>为国际电联会议做出筹备</w:t>
      </w:r>
      <w:r w:rsidRPr="007300C8">
        <w:rPr>
          <w:lang w:eastAsia="zh-CN"/>
        </w:rPr>
        <w:t>：无线电通信局一直在参与与国际电联重大活动、大会和会议相关的筹备活动，包括</w:t>
      </w:r>
      <w:r w:rsidRPr="007300C8">
        <w:rPr>
          <w:lang w:eastAsia="zh-CN"/>
        </w:rPr>
        <w:t>2013</w:t>
      </w:r>
      <w:r w:rsidRPr="007300C8">
        <w:rPr>
          <w:lang w:eastAsia="zh-CN"/>
        </w:rPr>
        <w:t>年世界电信展、</w:t>
      </w:r>
      <w:r w:rsidRPr="007300C8">
        <w:rPr>
          <w:lang w:eastAsia="zh-CN"/>
        </w:rPr>
        <w:t>2013</w:t>
      </w:r>
      <w:r w:rsidRPr="007300C8">
        <w:rPr>
          <w:lang w:eastAsia="zh-CN"/>
        </w:rPr>
        <w:t>年世界电信政策论坛</w:t>
      </w:r>
      <w:r w:rsidR="00A70017">
        <w:rPr>
          <w:rFonts w:hint="eastAsia"/>
          <w:lang w:eastAsia="zh-CN"/>
        </w:rPr>
        <w:t>（</w:t>
      </w:r>
      <w:r w:rsidRPr="007300C8">
        <w:rPr>
          <w:szCs w:val="24"/>
          <w:lang w:eastAsia="zh-CN"/>
        </w:rPr>
        <w:t>WTPF-13</w:t>
      </w:r>
      <w:r w:rsidR="00A70017">
        <w:rPr>
          <w:rFonts w:hint="eastAsia"/>
          <w:szCs w:val="24"/>
          <w:lang w:eastAsia="zh-CN"/>
        </w:rPr>
        <w:t>）</w:t>
      </w:r>
      <w:r w:rsidR="00614EC5">
        <w:rPr>
          <w:rFonts w:hint="eastAsia"/>
          <w:szCs w:val="24"/>
          <w:lang w:eastAsia="zh-CN"/>
        </w:rPr>
        <w:t>、</w:t>
      </w:r>
      <w:r w:rsidR="00614EC5">
        <w:rPr>
          <w:rFonts w:hint="eastAsia"/>
          <w:szCs w:val="24"/>
          <w:lang w:eastAsia="zh-CN"/>
        </w:rPr>
        <w:t>2014</w:t>
      </w:r>
      <w:r w:rsidR="00614EC5">
        <w:rPr>
          <w:rFonts w:hint="eastAsia"/>
          <w:szCs w:val="24"/>
          <w:lang w:eastAsia="zh-CN"/>
        </w:rPr>
        <w:t>年世界电信发展大会（</w:t>
      </w:r>
      <w:r w:rsidR="00614EC5">
        <w:rPr>
          <w:rFonts w:hint="eastAsia"/>
          <w:szCs w:val="24"/>
          <w:lang w:eastAsia="zh-CN"/>
        </w:rPr>
        <w:t>WTDC-14</w:t>
      </w:r>
      <w:r w:rsidR="00614EC5">
        <w:rPr>
          <w:rFonts w:hint="eastAsia"/>
          <w:szCs w:val="24"/>
          <w:lang w:eastAsia="zh-CN"/>
        </w:rPr>
        <w:t>）</w:t>
      </w:r>
      <w:r w:rsidR="00DA5C8D" w:rsidRPr="00F97D94">
        <w:rPr>
          <w:rFonts w:hint="eastAsia"/>
          <w:lang w:eastAsia="zh-CN"/>
        </w:rPr>
        <w:t>和</w:t>
      </w:r>
      <w:r w:rsidR="00DA5C8D" w:rsidRPr="00F97D94">
        <w:rPr>
          <w:rFonts w:hint="eastAsia"/>
          <w:lang w:eastAsia="zh-CN"/>
        </w:rPr>
        <w:t>2014</w:t>
      </w:r>
      <w:r w:rsidR="00DA5C8D" w:rsidRPr="00F97D94">
        <w:rPr>
          <w:rFonts w:hint="eastAsia"/>
          <w:lang w:eastAsia="zh-CN"/>
        </w:rPr>
        <w:t>年全权代表大会</w:t>
      </w:r>
      <w:r w:rsidR="00A70017">
        <w:rPr>
          <w:rFonts w:hint="eastAsia"/>
          <w:lang w:eastAsia="zh-CN"/>
        </w:rPr>
        <w:t>（</w:t>
      </w:r>
      <w:r w:rsidRPr="00F97D94">
        <w:rPr>
          <w:szCs w:val="24"/>
          <w:lang w:eastAsia="zh-CN"/>
        </w:rPr>
        <w:t>PP-14</w:t>
      </w:r>
      <w:r w:rsidR="00A70017">
        <w:rPr>
          <w:rFonts w:hint="eastAsia"/>
          <w:szCs w:val="24"/>
          <w:lang w:eastAsia="zh-CN"/>
        </w:rPr>
        <w:t>）</w:t>
      </w:r>
      <w:r w:rsidRPr="007300C8">
        <w:rPr>
          <w:lang w:eastAsia="zh-CN"/>
        </w:rPr>
        <w:t>。</w:t>
      </w:r>
    </w:p>
    <w:p w:rsidR="008A7EC6" w:rsidRDefault="008A7EC6" w:rsidP="0032202E">
      <w:pPr>
        <w:pStyle w:val="Reasons"/>
        <w:rPr>
          <w:lang w:eastAsia="zh-CN"/>
        </w:rPr>
      </w:pPr>
    </w:p>
    <w:p w:rsidR="008A7EC6" w:rsidRDefault="008A7EC6">
      <w:pPr>
        <w:jc w:val="center"/>
      </w:pPr>
      <w:r>
        <w:t>______________</w:t>
      </w:r>
    </w:p>
    <w:sectPr w:rsidR="008A7EC6" w:rsidSect="00A5181E">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5A9" w:rsidRDefault="000815A9">
      <w:r>
        <w:separator/>
      </w:r>
    </w:p>
  </w:endnote>
  <w:endnote w:type="continuationSeparator" w:id="0">
    <w:p w:rsidR="000815A9" w:rsidRDefault="0008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altName w:val="MS Mincho"/>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A9" w:rsidRPr="006F31AB" w:rsidRDefault="00D91179" w:rsidP="00491DFC">
    <w:pPr>
      <w:pStyle w:val="Footer"/>
      <w:rPr>
        <w:lang w:eastAsia="zh-CN"/>
      </w:rPr>
    </w:pPr>
    <w:fldSimple w:instr=" FILENAME \p  \* MERGEFORMAT ">
      <w:r w:rsidR="006B287E">
        <w:t>P:\CHI\ITU-R\AG\RAG13\RAG-1\000\001ADD1C.docx</w:t>
      </w:r>
    </w:fldSimple>
    <w:r w:rsidR="000815A9">
      <w:rPr>
        <w:rFonts w:hint="eastAsia"/>
        <w:lang w:eastAsia="zh-CN"/>
      </w:rPr>
      <w:t xml:space="preserve"> (342317)</w:t>
    </w:r>
    <w:r w:rsidR="000815A9">
      <w:tab/>
    </w:r>
    <w:r w:rsidR="000815A9">
      <w:fldChar w:fldCharType="begin"/>
    </w:r>
    <w:r w:rsidR="000815A9">
      <w:instrText xml:space="preserve"> SAVEDATE \@ DD.MM.YY </w:instrText>
    </w:r>
    <w:r w:rsidR="000815A9">
      <w:fldChar w:fldCharType="separate"/>
    </w:r>
    <w:r w:rsidR="00572121">
      <w:t>25.04.13</w:t>
    </w:r>
    <w:r w:rsidR="000815A9">
      <w:fldChar w:fldCharType="end"/>
    </w:r>
    <w:r w:rsidR="000815A9">
      <w:tab/>
    </w:r>
    <w:r w:rsidR="000815A9">
      <w:fldChar w:fldCharType="begin"/>
    </w:r>
    <w:r w:rsidR="000815A9">
      <w:instrText xml:space="preserve"> PRINTDATE \@ DD.MM.YY </w:instrText>
    </w:r>
    <w:r w:rsidR="000815A9">
      <w:fldChar w:fldCharType="separate"/>
    </w:r>
    <w:r w:rsidR="006B287E">
      <w:t>25.04.13</w:t>
    </w:r>
    <w:r w:rsidR="000815A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A9" w:rsidRDefault="00D91179" w:rsidP="00491DFC">
    <w:pPr>
      <w:pStyle w:val="Footer"/>
    </w:pPr>
    <w:fldSimple w:instr=" FILENAME \p  \* MERGEFORMAT ">
      <w:r w:rsidR="006B287E">
        <w:t>P:\CHI\ITU-R\AG\RAG13\RAG-1\000\001ADD1C.docx</w:t>
      </w:r>
    </w:fldSimple>
    <w:r w:rsidR="000815A9">
      <w:rPr>
        <w:rFonts w:hint="eastAsia"/>
        <w:lang w:eastAsia="zh-CN"/>
      </w:rPr>
      <w:t xml:space="preserve"> (342317)</w:t>
    </w:r>
    <w:r w:rsidR="000815A9">
      <w:tab/>
    </w:r>
    <w:r w:rsidR="000815A9">
      <w:fldChar w:fldCharType="begin"/>
    </w:r>
    <w:r w:rsidR="000815A9">
      <w:instrText xml:space="preserve"> SAVEDATE \@ DD.MM.YY </w:instrText>
    </w:r>
    <w:r w:rsidR="000815A9">
      <w:fldChar w:fldCharType="separate"/>
    </w:r>
    <w:r w:rsidR="00572121">
      <w:t>25.04.13</w:t>
    </w:r>
    <w:r w:rsidR="000815A9">
      <w:fldChar w:fldCharType="end"/>
    </w:r>
    <w:r w:rsidR="000815A9">
      <w:tab/>
    </w:r>
    <w:r w:rsidR="000815A9">
      <w:fldChar w:fldCharType="begin"/>
    </w:r>
    <w:r w:rsidR="000815A9">
      <w:instrText xml:space="preserve"> PRINTDATE \@ DD.MM.YY </w:instrText>
    </w:r>
    <w:r w:rsidR="000815A9">
      <w:fldChar w:fldCharType="separate"/>
    </w:r>
    <w:r w:rsidR="006B287E">
      <w:t>25.04.13</w:t>
    </w:r>
    <w:r w:rsidR="000815A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5A9" w:rsidRDefault="000815A9">
      <w:r>
        <w:t>____________________</w:t>
      </w:r>
    </w:p>
  </w:footnote>
  <w:footnote w:type="continuationSeparator" w:id="0">
    <w:p w:rsidR="000815A9" w:rsidRDefault="0008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5A9" w:rsidRPr="00AF0B82" w:rsidRDefault="000815A9" w:rsidP="000A4F34">
    <w:pPr>
      <w:pStyle w:val="Header"/>
    </w:pPr>
    <w:r>
      <w:fldChar w:fldCharType="begin"/>
    </w:r>
    <w:r>
      <w:instrText xml:space="preserve"> PAGE </w:instrText>
    </w:r>
    <w:r>
      <w:fldChar w:fldCharType="separate"/>
    </w:r>
    <w:r w:rsidR="00FA1100">
      <w:rPr>
        <w:noProof/>
      </w:rPr>
      <w:t>4</w:t>
    </w:r>
    <w:r>
      <w:fldChar w:fldCharType="end"/>
    </w:r>
  </w:p>
  <w:p w:rsidR="000815A9" w:rsidRPr="00AF0B82" w:rsidRDefault="000815A9" w:rsidP="00491DFC">
    <w:pPr>
      <w:pStyle w:val="Header"/>
      <w:rPr>
        <w:lang w:eastAsia="zh-CN"/>
      </w:rPr>
    </w:pPr>
    <w:r w:rsidRPr="00AF0B82">
      <w:t>RAG</w:t>
    </w:r>
    <w:r w:rsidRPr="00AF0B82">
      <w:rPr>
        <w:rFonts w:hint="eastAsia"/>
        <w:lang w:eastAsia="zh-CN"/>
      </w:rPr>
      <w:t>1</w:t>
    </w:r>
    <w:r>
      <w:rPr>
        <w:lang w:eastAsia="zh-CN"/>
      </w:rPr>
      <w:t>3</w:t>
    </w:r>
    <w:r w:rsidRPr="00AF0B82">
      <w:t>-1/</w:t>
    </w:r>
    <w:r>
      <w:rPr>
        <w:rFonts w:hint="eastAsia"/>
        <w:lang w:eastAsia="zh-CN"/>
      </w:rPr>
      <w:t>1(Add.1)</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3">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8">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6"/>
  </w:num>
  <w:num w:numId="14">
    <w:abstractNumId w:val="23"/>
  </w:num>
  <w:num w:numId="15">
    <w:abstractNumId w:val="20"/>
  </w:num>
  <w:num w:numId="16">
    <w:abstractNumId w:val="25"/>
  </w:num>
  <w:num w:numId="17">
    <w:abstractNumId w:val="19"/>
  </w:num>
  <w:num w:numId="18">
    <w:abstractNumId w:val="10"/>
  </w:num>
  <w:num w:numId="19">
    <w:abstractNumId w:val="13"/>
  </w:num>
  <w:num w:numId="20">
    <w:abstractNumId w:val="14"/>
  </w:num>
  <w:num w:numId="21">
    <w:abstractNumId w:val="17"/>
  </w:num>
  <w:num w:numId="22">
    <w:abstractNumId w:val="27"/>
  </w:num>
  <w:num w:numId="23">
    <w:abstractNumId w:val="21"/>
  </w:num>
  <w:num w:numId="24">
    <w:abstractNumId w:val="22"/>
  </w:num>
  <w:num w:numId="25">
    <w:abstractNumId w:val="11"/>
  </w:num>
  <w:num w:numId="26">
    <w:abstractNumId w:val="18"/>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B81"/>
    <w:rsid w:val="00020106"/>
    <w:rsid w:val="00021007"/>
    <w:rsid w:val="00022EEB"/>
    <w:rsid w:val="00032FAE"/>
    <w:rsid w:val="00034C59"/>
    <w:rsid w:val="0003564E"/>
    <w:rsid w:val="00062FA4"/>
    <w:rsid w:val="00065FB5"/>
    <w:rsid w:val="0006614B"/>
    <w:rsid w:val="000667EB"/>
    <w:rsid w:val="000815A9"/>
    <w:rsid w:val="00082FBE"/>
    <w:rsid w:val="00084871"/>
    <w:rsid w:val="00085541"/>
    <w:rsid w:val="00093C73"/>
    <w:rsid w:val="000A0059"/>
    <w:rsid w:val="000A1915"/>
    <w:rsid w:val="000A4F34"/>
    <w:rsid w:val="000A5F9E"/>
    <w:rsid w:val="000B0A4F"/>
    <w:rsid w:val="000B4D42"/>
    <w:rsid w:val="000C0FEC"/>
    <w:rsid w:val="000C19C4"/>
    <w:rsid w:val="000C4F1E"/>
    <w:rsid w:val="000F275A"/>
    <w:rsid w:val="000F3487"/>
    <w:rsid w:val="000F3718"/>
    <w:rsid w:val="000F49AA"/>
    <w:rsid w:val="00107E5A"/>
    <w:rsid w:val="001116DD"/>
    <w:rsid w:val="001225EE"/>
    <w:rsid w:val="00130A81"/>
    <w:rsid w:val="00130B50"/>
    <w:rsid w:val="0013473D"/>
    <w:rsid w:val="001368A7"/>
    <w:rsid w:val="00145997"/>
    <w:rsid w:val="00147382"/>
    <w:rsid w:val="00152B3F"/>
    <w:rsid w:val="001539C7"/>
    <w:rsid w:val="001551D2"/>
    <w:rsid w:val="00156A65"/>
    <w:rsid w:val="00164A74"/>
    <w:rsid w:val="00166041"/>
    <w:rsid w:val="001722B2"/>
    <w:rsid w:val="00175850"/>
    <w:rsid w:val="00193A09"/>
    <w:rsid w:val="00194AD3"/>
    <w:rsid w:val="0019729C"/>
    <w:rsid w:val="001A5A4C"/>
    <w:rsid w:val="001B032E"/>
    <w:rsid w:val="001B451C"/>
    <w:rsid w:val="001C56E1"/>
    <w:rsid w:val="001D2334"/>
    <w:rsid w:val="001D6E77"/>
    <w:rsid w:val="001E5A76"/>
    <w:rsid w:val="001E692F"/>
    <w:rsid w:val="001E7277"/>
    <w:rsid w:val="001F166F"/>
    <w:rsid w:val="001F6763"/>
    <w:rsid w:val="001F75CD"/>
    <w:rsid w:val="0020573C"/>
    <w:rsid w:val="00213AE0"/>
    <w:rsid w:val="00221367"/>
    <w:rsid w:val="00236FBE"/>
    <w:rsid w:val="00244613"/>
    <w:rsid w:val="0024732B"/>
    <w:rsid w:val="00252B08"/>
    <w:rsid w:val="00256854"/>
    <w:rsid w:val="00271619"/>
    <w:rsid w:val="00271C4F"/>
    <w:rsid w:val="00276D68"/>
    <w:rsid w:val="00281E82"/>
    <w:rsid w:val="0029544B"/>
    <w:rsid w:val="002A4523"/>
    <w:rsid w:val="002A6FC3"/>
    <w:rsid w:val="002B224F"/>
    <w:rsid w:val="002B6B81"/>
    <w:rsid w:val="002C5CAC"/>
    <w:rsid w:val="002C69A2"/>
    <w:rsid w:val="002D0FBC"/>
    <w:rsid w:val="002E2AB9"/>
    <w:rsid w:val="002E6592"/>
    <w:rsid w:val="002F340E"/>
    <w:rsid w:val="002F666E"/>
    <w:rsid w:val="002F6A4E"/>
    <w:rsid w:val="002F7978"/>
    <w:rsid w:val="00302A9B"/>
    <w:rsid w:val="00303349"/>
    <w:rsid w:val="0030424B"/>
    <w:rsid w:val="0030740E"/>
    <w:rsid w:val="00314477"/>
    <w:rsid w:val="0031787B"/>
    <w:rsid w:val="003221F3"/>
    <w:rsid w:val="00326970"/>
    <w:rsid w:val="0033041D"/>
    <w:rsid w:val="00333224"/>
    <w:rsid w:val="00333980"/>
    <w:rsid w:val="00342405"/>
    <w:rsid w:val="00342659"/>
    <w:rsid w:val="0034529C"/>
    <w:rsid w:val="00361609"/>
    <w:rsid w:val="00363AF1"/>
    <w:rsid w:val="00364117"/>
    <w:rsid w:val="00370DA9"/>
    <w:rsid w:val="00371A3D"/>
    <w:rsid w:val="003859B4"/>
    <w:rsid w:val="00392390"/>
    <w:rsid w:val="00396DF4"/>
    <w:rsid w:val="00397CD7"/>
    <w:rsid w:val="003A0B83"/>
    <w:rsid w:val="003A361A"/>
    <w:rsid w:val="003A71AC"/>
    <w:rsid w:val="003B06F5"/>
    <w:rsid w:val="003B0D63"/>
    <w:rsid w:val="003B317F"/>
    <w:rsid w:val="003B55F3"/>
    <w:rsid w:val="003C6377"/>
    <w:rsid w:val="003D0AB2"/>
    <w:rsid w:val="003D2EFD"/>
    <w:rsid w:val="003E4E3F"/>
    <w:rsid w:val="003F2683"/>
    <w:rsid w:val="003F5A64"/>
    <w:rsid w:val="00404B1A"/>
    <w:rsid w:val="00405539"/>
    <w:rsid w:val="00405F35"/>
    <w:rsid w:val="00406282"/>
    <w:rsid w:val="00411DE5"/>
    <w:rsid w:val="00415BEC"/>
    <w:rsid w:val="0042612F"/>
    <w:rsid w:val="00426448"/>
    <w:rsid w:val="00432D7F"/>
    <w:rsid w:val="0043586E"/>
    <w:rsid w:val="0045496A"/>
    <w:rsid w:val="00455075"/>
    <w:rsid w:val="004557A7"/>
    <w:rsid w:val="00460615"/>
    <w:rsid w:val="0046370D"/>
    <w:rsid w:val="00465D72"/>
    <w:rsid w:val="00474CCC"/>
    <w:rsid w:val="00483DCA"/>
    <w:rsid w:val="00491D13"/>
    <w:rsid w:val="00491DFC"/>
    <w:rsid w:val="00492483"/>
    <w:rsid w:val="004957B3"/>
    <w:rsid w:val="004974DE"/>
    <w:rsid w:val="004976C5"/>
    <w:rsid w:val="004A07A2"/>
    <w:rsid w:val="004B468C"/>
    <w:rsid w:val="004C1105"/>
    <w:rsid w:val="004D08EB"/>
    <w:rsid w:val="004E5C65"/>
    <w:rsid w:val="004F3435"/>
    <w:rsid w:val="00500567"/>
    <w:rsid w:val="00503448"/>
    <w:rsid w:val="0050528F"/>
    <w:rsid w:val="00507D0A"/>
    <w:rsid w:val="00513BEA"/>
    <w:rsid w:val="0051782D"/>
    <w:rsid w:val="005205CD"/>
    <w:rsid w:val="0053462E"/>
    <w:rsid w:val="00552474"/>
    <w:rsid w:val="00554449"/>
    <w:rsid w:val="0055452F"/>
    <w:rsid w:val="00561A8F"/>
    <w:rsid w:val="00562977"/>
    <w:rsid w:val="0057042F"/>
    <w:rsid w:val="00572121"/>
    <w:rsid w:val="00576A0F"/>
    <w:rsid w:val="00584584"/>
    <w:rsid w:val="00585978"/>
    <w:rsid w:val="00587D68"/>
    <w:rsid w:val="00591E9F"/>
    <w:rsid w:val="005A4958"/>
    <w:rsid w:val="005A7A9C"/>
    <w:rsid w:val="005B1147"/>
    <w:rsid w:val="005C0B5E"/>
    <w:rsid w:val="005C190E"/>
    <w:rsid w:val="005C6906"/>
    <w:rsid w:val="005C7EC8"/>
    <w:rsid w:val="005D06AB"/>
    <w:rsid w:val="005D4564"/>
    <w:rsid w:val="005D4F78"/>
    <w:rsid w:val="005D6EC1"/>
    <w:rsid w:val="005D7FF8"/>
    <w:rsid w:val="005E40CA"/>
    <w:rsid w:val="005E6891"/>
    <w:rsid w:val="005F0CAC"/>
    <w:rsid w:val="005F4A85"/>
    <w:rsid w:val="005F6610"/>
    <w:rsid w:val="00601FDA"/>
    <w:rsid w:val="0060404C"/>
    <w:rsid w:val="00605CA7"/>
    <w:rsid w:val="00606766"/>
    <w:rsid w:val="0060773B"/>
    <w:rsid w:val="00614DF9"/>
    <w:rsid w:val="00614EC5"/>
    <w:rsid w:val="00617963"/>
    <w:rsid w:val="006311E7"/>
    <w:rsid w:val="00634931"/>
    <w:rsid w:val="00641306"/>
    <w:rsid w:val="00642979"/>
    <w:rsid w:val="006476FF"/>
    <w:rsid w:val="00652764"/>
    <w:rsid w:val="00653323"/>
    <w:rsid w:val="0065517E"/>
    <w:rsid w:val="006556D9"/>
    <w:rsid w:val="00660304"/>
    <w:rsid w:val="00664647"/>
    <w:rsid w:val="00665AB9"/>
    <w:rsid w:val="00667F5B"/>
    <w:rsid w:val="00673A29"/>
    <w:rsid w:val="00683C7F"/>
    <w:rsid w:val="00690DAD"/>
    <w:rsid w:val="00693E5D"/>
    <w:rsid w:val="0069431F"/>
    <w:rsid w:val="00695C92"/>
    <w:rsid w:val="0069621F"/>
    <w:rsid w:val="006A3E35"/>
    <w:rsid w:val="006A3FBE"/>
    <w:rsid w:val="006A4BD4"/>
    <w:rsid w:val="006A7022"/>
    <w:rsid w:val="006B16EA"/>
    <w:rsid w:val="006B287E"/>
    <w:rsid w:val="006C19E1"/>
    <w:rsid w:val="006D0022"/>
    <w:rsid w:val="006D0CA1"/>
    <w:rsid w:val="006D36FE"/>
    <w:rsid w:val="006D3CED"/>
    <w:rsid w:val="006D43D7"/>
    <w:rsid w:val="006E2F55"/>
    <w:rsid w:val="006E3D8A"/>
    <w:rsid w:val="006E5B7C"/>
    <w:rsid w:val="006E6364"/>
    <w:rsid w:val="006F0D51"/>
    <w:rsid w:val="006F31AB"/>
    <w:rsid w:val="006F7D64"/>
    <w:rsid w:val="007029A5"/>
    <w:rsid w:val="00704F1D"/>
    <w:rsid w:val="00723E69"/>
    <w:rsid w:val="00725BEA"/>
    <w:rsid w:val="007300C8"/>
    <w:rsid w:val="00730A2A"/>
    <w:rsid w:val="00740255"/>
    <w:rsid w:val="00741EFB"/>
    <w:rsid w:val="00743D98"/>
    <w:rsid w:val="0074537E"/>
    <w:rsid w:val="0075704C"/>
    <w:rsid w:val="00757BB1"/>
    <w:rsid w:val="007669B2"/>
    <w:rsid w:val="007A299C"/>
    <w:rsid w:val="007A31FF"/>
    <w:rsid w:val="007A5B2E"/>
    <w:rsid w:val="007A6C4A"/>
    <w:rsid w:val="007B56C2"/>
    <w:rsid w:val="007B7525"/>
    <w:rsid w:val="007C0529"/>
    <w:rsid w:val="007C0CCC"/>
    <w:rsid w:val="007C4F8B"/>
    <w:rsid w:val="007D277F"/>
    <w:rsid w:val="007D2EED"/>
    <w:rsid w:val="007D5B11"/>
    <w:rsid w:val="007E466C"/>
    <w:rsid w:val="007F087F"/>
    <w:rsid w:val="007F1A81"/>
    <w:rsid w:val="007F28FE"/>
    <w:rsid w:val="007F7F05"/>
    <w:rsid w:val="008027FD"/>
    <w:rsid w:val="008051C9"/>
    <w:rsid w:val="008120DB"/>
    <w:rsid w:val="008127CF"/>
    <w:rsid w:val="00817317"/>
    <w:rsid w:val="00817FE6"/>
    <w:rsid w:val="00823553"/>
    <w:rsid w:val="008243CD"/>
    <w:rsid w:val="00824751"/>
    <w:rsid w:val="00824ADB"/>
    <w:rsid w:val="0082609B"/>
    <w:rsid w:val="008261D5"/>
    <w:rsid w:val="00826E8E"/>
    <w:rsid w:val="008278E0"/>
    <w:rsid w:val="00833A7A"/>
    <w:rsid w:val="00841C76"/>
    <w:rsid w:val="0084602B"/>
    <w:rsid w:val="00847E2F"/>
    <w:rsid w:val="008552AB"/>
    <w:rsid w:val="008558A1"/>
    <w:rsid w:val="00855B4C"/>
    <w:rsid w:val="00857695"/>
    <w:rsid w:val="00861C2D"/>
    <w:rsid w:val="0087115D"/>
    <w:rsid w:val="0088263F"/>
    <w:rsid w:val="0088755C"/>
    <w:rsid w:val="008931E1"/>
    <w:rsid w:val="008954AA"/>
    <w:rsid w:val="008A2921"/>
    <w:rsid w:val="008A56A5"/>
    <w:rsid w:val="008A7EC6"/>
    <w:rsid w:val="008B06FC"/>
    <w:rsid w:val="008C1346"/>
    <w:rsid w:val="008C34A4"/>
    <w:rsid w:val="008C7B07"/>
    <w:rsid w:val="008D06A4"/>
    <w:rsid w:val="008E11BE"/>
    <w:rsid w:val="008F1F07"/>
    <w:rsid w:val="008F50C1"/>
    <w:rsid w:val="0090093B"/>
    <w:rsid w:val="00903039"/>
    <w:rsid w:val="0091120B"/>
    <w:rsid w:val="00915949"/>
    <w:rsid w:val="00920B74"/>
    <w:rsid w:val="00920D5A"/>
    <w:rsid w:val="0092390D"/>
    <w:rsid w:val="00924B9F"/>
    <w:rsid w:val="009322FA"/>
    <w:rsid w:val="009345BB"/>
    <w:rsid w:val="009369E5"/>
    <w:rsid w:val="009456BE"/>
    <w:rsid w:val="00951886"/>
    <w:rsid w:val="009522DB"/>
    <w:rsid w:val="009540C3"/>
    <w:rsid w:val="00954917"/>
    <w:rsid w:val="009566CE"/>
    <w:rsid w:val="00964285"/>
    <w:rsid w:val="0097307C"/>
    <w:rsid w:val="0098015B"/>
    <w:rsid w:val="009A13C5"/>
    <w:rsid w:val="009A3FE6"/>
    <w:rsid w:val="009B1F12"/>
    <w:rsid w:val="009B51E5"/>
    <w:rsid w:val="009B54E4"/>
    <w:rsid w:val="009B5FCA"/>
    <w:rsid w:val="009C0DC9"/>
    <w:rsid w:val="009C16F8"/>
    <w:rsid w:val="009C3223"/>
    <w:rsid w:val="009C521B"/>
    <w:rsid w:val="009C5A2E"/>
    <w:rsid w:val="009D2B25"/>
    <w:rsid w:val="009E7E4F"/>
    <w:rsid w:val="009F6C40"/>
    <w:rsid w:val="009F7CE8"/>
    <w:rsid w:val="00A038FA"/>
    <w:rsid w:val="00A054E3"/>
    <w:rsid w:val="00A05E32"/>
    <w:rsid w:val="00A06654"/>
    <w:rsid w:val="00A07083"/>
    <w:rsid w:val="00A1538D"/>
    <w:rsid w:val="00A16CB2"/>
    <w:rsid w:val="00A1743E"/>
    <w:rsid w:val="00A177BA"/>
    <w:rsid w:val="00A20BC7"/>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017"/>
    <w:rsid w:val="00A70937"/>
    <w:rsid w:val="00A777D6"/>
    <w:rsid w:val="00A87C9B"/>
    <w:rsid w:val="00A941E2"/>
    <w:rsid w:val="00AA5CA5"/>
    <w:rsid w:val="00AB1F17"/>
    <w:rsid w:val="00AB5C70"/>
    <w:rsid w:val="00AB6919"/>
    <w:rsid w:val="00AB6D53"/>
    <w:rsid w:val="00AB7ADF"/>
    <w:rsid w:val="00AC2193"/>
    <w:rsid w:val="00AC76AF"/>
    <w:rsid w:val="00AD21E9"/>
    <w:rsid w:val="00AD4CF9"/>
    <w:rsid w:val="00AD5D1A"/>
    <w:rsid w:val="00AE3B65"/>
    <w:rsid w:val="00AE40E0"/>
    <w:rsid w:val="00AE55D8"/>
    <w:rsid w:val="00AF0B82"/>
    <w:rsid w:val="00B11BA5"/>
    <w:rsid w:val="00B1508A"/>
    <w:rsid w:val="00B21AE6"/>
    <w:rsid w:val="00B25A3A"/>
    <w:rsid w:val="00B41DCB"/>
    <w:rsid w:val="00B446E5"/>
    <w:rsid w:val="00B523C6"/>
    <w:rsid w:val="00B52992"/>
    <w:rsid w:val="00B5700A"/>
    <w:rsid w:val="00B57898"/>
    <w:rsid w:val="00B62CF3"/>
    <w:rsid w:val="00B76AE3"/>
    <w:rsid w:val="00B77421"/>
    <w:rsid w:val="00B865B8"/>
    <w:rsid w:val="00B9093E"/>
    <w:rsid w:val="00B90D98"/>
    <w:rsid w:val="00B925F8"/>
    <w:rsid w:val="00BA5299"/>
    <w:rsid w:val="00BB099B"/>
    <w:rsid w:val="00BB3DBA"/>
    <w:rsid w:val="00BB4ADA"/>
    <w:rsid w:val="00BB7A2B"/>
    <w:rsid w:val="00BC195C"/>
    <w:rsid w:val="00BC20E6"/>
    <w:rsid w:val="00BC3C94"/>
    <w:rsid w:val="00BC42EE"/>
    <w:rsid w:val="00BC72C9"/>
    <w:rsid w:val="00BD05A7"/>
    <w:rsid w:val="00BD2F5F"/>
    <w:rsid w:val="00BD41C7"/>
    <w:rsid w:val="00BD7223"/>
    <w:rsid w:val="00BE163D"/>
    <w:rsid w:val="00BE1942"/>
    <w:rsid w:val="00BE1F57"/>
    <w:rsid w:val="00BE5A75"/>
    <w:rsid w:val="00C0211F"/>
    <w:rsid w:val="00C032F5"/>
    <w:rsid w:val="00C061BD"/>
    <w:rsid w:val="00C1699B"/>
    <w:rsid w:val="00C226F4"/>
    <w:rsid w:val="00C25047"/>
    <w:rsid w:val="00C3049B"/>
    <w:rsid w:val="00C3076D"/>
    <w:rsid w:val="00C30A3C"/>
    <w:rsid w:val="00C32E4B"/>
    <w:rsid w:val="00C34A27"/>
    <w:rsid w:val="00C42ABA"/>
    <w:rsid w:val="00C46361"/>
    <w:rsid w:val="00C53641"/>
    <w:rsid w:val="00C60AC9"/>
    <w:rsid w:val="00C70FCB"/>
    <w:rsid w:val="00C77784"/>
    <w:rsid w:val="00C94697"/>
    <w:rsid w:val="00CB2BE8"/>
    <w:rsid w:val="00CB7F4E"/>
    <w:rsid w:val="00CC002F"/>
    <w:rsid w:val="00CC1C81"/>
    <w:rsid w:val="00CD07EE"/>
    <w:rsid w:val="00CD3943"/>
    <w:rsid w:val="00CE1DEC"/>
    <w:rsid w:val="00CE20C1"/>
    <w:rsid w:val="00CE6FDB"/>
    <w:rsid w:val="00CF38C3"/>
    <w:rsid w:val="00CF69C0"/>
    <w:rsid w:val="00CF6EFF"/>
    <w:rsid w:val="00D0037A"/>
    <w:rsid w:val="00D02852"/>
    <w:rsid w:val="00D05AA4"/>
    <w:rsid w:val="00D13424"/>
    <w:rsid w:val="00D22D5C"/>
    <w:rsid w:val="00D33A41"/>
    <w:rsid w:val="00D476FB"/>
    <w:rsid w:val="00D549A8"/>
    <w:rsid w:val="00D57861"/>
    <w:rsid w:val="00D6793C"/>
    <w:rsid w:val="00D72A39"/>
    <w:rsid w:val="00D769B3"/>
    <w:rsid w:val="00D77F6A"/>
    <w:rsid w:val="00D80A4C"/>
    <w:rsid w:val="00D8149F"/>
    <w:rsid w:val="00D83981"/>
    <w:rsid w:val="00D872CB"/>
    <w:rsid w:val="00D91179"/>
    <w:rsid w:val="00D91C7F"/>
    <w:rsid w:val="00D91D90"/>
    <w:rsid w:val="00D922A2"/>
    <w:rsid w:val="00DA5C8D"/>
    <w:rsid w:val="00DC75E8"/>
    <w:rsid w:val="00DD0F12"/>
    <w:rsid w:val="00DD7BC6"/>
    <w:rsid w:val="00DF0D07"/>
    <w:rsid w:val="00DF3D87"/>
    <w:rsid w:val="00DF44DA"/>
    <w:rsid w:val="00DF79E8"/>
    <w:rsid w:val="00E0336A"/>
    <w:rsid w:val="00E04C5D"/>
    <w:rsid w:val="00E130B3"/>
    <w:rsid w:val="00E134DF"/>
    <w:rsid w:val="00E14765"/>
    <w:rsid w:val="00E230BE"/>
    <w:rsid w:val="00E246AC"/>
    <w:rsid w:val="00E27750"/>
    <w:rsid w:val="00E301FE"/>
    <w:rsid w:val="00E310C8"/>
    <w:rsid w:val="00E32DE7"/>
    <w:rsid w:val="00E331B2"/>
    <w:rsid w:val="00E37220"/>
    <w:rsid w:val="00E37793"/>
    <w:rsid w:val="00E41BD3"/>
    <w:rsid w:val="00E55989"/>
    <w:rsid w:val="00E56657"/>
    <w:rsid w:val="00E62C6E"/>
    <w:rsid w:val="00E72817"/>
    <w:rsid w:val="00E7403C"/>
    <w:rsid w:val="00E77159"/>
    <w:rsid w:val="00E91301"/>
    <w:rsid w:val="00E9205A"/>
    <w:rsid w:val="00E96E00"/>
    <w:rsid w:val="00E979BD"/>
    <w:rsid w:val="00EA1892"/>
    <w:rsid w:val="00EB0ED5"/>
    <w:rsid w:val="00EB23E1"/>
    <w:rsid w:val="00EB52E8"/>
    <w:rsid w:val="00EC640E"/>
    <w:rsid w:val="00ED13A2"/>
    <w:rsid w:val="00ED5D07"/>
    <w:rsid w:val="00ED63E3"/>
    <w:rsid w:val="00ED670A"/>
    <w:rsid w:val="00ED70DA"/>
    <w:rsid w:val="00EE44D4"/>
    <w:rsid w:val="00EF0218"/>
    <w:rsid w:val="00EF42D3"/>
    <w:rsid w:val="00EF6A54"/>
    <w:rsid w:val="00F0608B"/>
    <w:rsid w:val="00F10479"/>
    <w:rsid w:val="00F1110E"/>
    <w:rsid w:val="00F23DC8"/>
    <w:rsid w:val="00F2431C"/>
    <w:rsid w:val="00F349E0"/>
    <w:rsid w:val="00F36311"/>
    <w:rsid w:val="00F36FFF"/>
    <w:rsid w:val="00F41BC0"/>
    <w:rsid w:val="00F438D4"/>
    <w:rsid w:val="00F502A8"/>
    <w:rsid w:val="00F50FD6"/>
    <w:rsid w:val="00F5472A"/>
    <w:rsid w:val="00F5795F"/>
    <w:rsid w:val="00F636FB"/>
    <w:rsid w:val="00F64817"/>
    <w:rsid w:val="00F659D0"/>
    <w:rsid w:val="00F725E1"/>
    <w:rsid w:val="00F9244E"/>
    <w:rsid w:val="00F9582A"/>
    <w:rsid w:val="00F97D94"/>
    <w:rsid w:val="00FA1100"/>
    <w:rsid w:val="00FA2A8D"/>
    <w:rsid w:val="00FB1E59"/>
    <w:rsid w:val="00FB29A3"/>
    <w:rsid w:val="00FB630E"/>
    <w:rsid w:val="00FC174F"/>
    <w:rsid w:val="00FC36D2"/>
    <w:rsid w:val="00FC3D94"/>
    <w:rsid w:val="00FD29F6"/>
    <w:rsid w:val="00FD4917"/>
    <w:rsid w:val="00FE44D6"/>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C56E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1C56E1"/>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roups.itu.int/Default.aspx?alias=groups.itu.int/wsis-forum2012"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ITU-R/go/itu-sem-americ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dms_pub/itu-r/oth/0A/06/R0A060000540001PDFE.pdf" TargetMode="External"/><Relationship Id="rId5" Type="http://schemas.openxmlformats.org/officeDocument/2006/relationships/settings" Target="settings.xml"/><Relationship Id="rId15" Type="http://schemas.openxmlformats.org/officeDocument/2006/relationships/hyperlink" Target="http://www.broadbandcommission.org/" TargetMode="External"/><Relationship Id="rId10" Type="http://schemas.openxmlformats.org/officeDocument/2006/relationships/hyperlink" Target="http://www.itu.int/en/ITU-R/conferences/rag/Pages/default.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uncsd2012.org/rio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RAG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1FD86-4841-44F0-9904-2D562FE6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PC_RAG13</Template>
  <TotalTime>502</TotalTime>
  <Pages>6</Pages>
  <Words>5320</Words>
  <Characters>1800</Characters>
  <Application>Microsoft Office Word</Application>
  <DocSecurity>0</DocSecurity>
  <Lines>15</Lines>
  <Paragraphs>14</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7106</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Cong, Cong</dc:creator>
  <cp:keywords>RAG03-1</cp:keywords>
  <dc:description>Document RAG08-1/1-E  For: _x000d_Document date: 12 December 2007_x000d_Saved by JJF44233 at 15:38:46 on 18/12/2007</dc:description>
  <cp:lastModifiedBy>byzheng</cp:lastModifiedBy>
  <cp:revision>220</cp:revision>
  <cp:lastPrinted>2013-04-25T12:41:00Z</cp:lastPrinted>
  <dcterms:created xsi:type="dcterms:W3CDTF">2013-04-15T09:50:00Z</dcterms:created>
  <dcterms:modified xsi:type="dcterms:W3CDTF">2013-04-26T08:51:00Z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