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22F71">
        <w:trPr>
          <w:cantSplit/>
        </w:trPr>
        <w:tc>
          <w:tcPr>
            <w:tcW w:w="6580" w:type="dxa"/>
            <w:vAlign w:val="center"/>
          </w:tcPr>
          <w:p w:rsidR="00322F71" w:rsidRDefault="00FD52C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322F71" w:rsidRDefault="00FD52C2">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22F71">
        <w:trPr>
          <w:cantSplit/>
        </w:trPr>
        <w:tc>
          <w:tcPr>
            <w:tcW w:w="6580" w:type="dxa"/>
            <w:tcBorders>
              <w:bottom w:val="single" w:sz="12" w:space="0" w:color="auto"/>
            </w:tcBorders>
          </w:tcPr>
          <w:p w:rsidR="00322F71" w:rsidRDefault="00322F71">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22F71" w:rsidRDefault="00322F71">
            <w:pPr>
              <w:shd w:val="solid" w:color="FFFFFF" w:fill="FFFFFF"/>
              <w:spacing w:before="0" w:after="48" w:line="240" w:lineRule="atLeast"/>
              <w:rPr>
                <w:sz w:val="22"/>
                <w:szCs w:val="22"/>
                <w:lang w:val="en-US"/>
              </w:rPr>
            </w:pPr>
          </w:p>
        </w:tc>
      </w:tr>
      <w:tr w:rsidR="00322F71">
        <w:trPr>
          <w:cantSplit/>
        </w:trPr>
        <w:tc>
          <w:tcPr>
            <w:tcW w:w="6580" w:type="dxa"/>
            <w:tcBorders>
              <w:top w:val="single" w:sz="12" w:space="0" w:color="auto"/>
            </w:tcBorders>
          </w:tcPr>
          <w:p w:rsidR="00322F71" w:rsidRDefault="00322F71">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22F71" w:rsidRDefault="00322F71">
            <w:pPr>
              <w:shd w:val="solid" w:color="FFFFFF" w:fill="FFFFFF"/>
              <w:spacing w:before="0" w:after="48" w:line="240" w:lineRule="atLeast"/>
              <w:rPr>
                <w:lang w:val="en-US"/>
              </w:rPr>
            </w:pPr>
          </w:p>
        </w:tc>
      </w:tr>
      <w:tr w:rsidR="00322F71">
        <w:trPr>
          <w:cantSplit/>
        </w:trPr>
        <w:tc>
          <w:tcPr>
            <w:tcW w:w="6580" w:type="dxa"/>
            <w:vMerge w:val="restart"/>
          </w:tcPr>
          <w:p w:rsidR="00322F71" w:rsidRDefault="00FD52C2">
            <w:pPr>
              <w:shd w:val="solid" w:color="FFFFFF" w:fill="FFFFFF"/>
              <w:tabs>
                <w:tab w:val="clear" w:pos="1134"/>
                <w:tab w:val="clear" w:pos="1871"/>
                <w:tab w:val="clear" w:pos="2268"/>
                <w:tab w:val="left" w:pos="720"/>
                <w:tab w:val="left" w:pos="1440"/>
                <w:tab w:val="left" w:pos="2160"/>
                <w:tab w:val="left" w:pos="2880"/>
                <w:tab w:val="left" w:pos="3600"/>
                <w:tab w:val="left" w:pos="4320"/>
                <w:tab w:val="left" w:pos="4950"/>
              </w:tabs>
              <w:spacing w:before="0" w:after="240"/>
              <w:ind w:left="1134" w:hanging="1134"/>
              <w:rPr>
                <w:rFonts w:ascii="Verdana" w:hAnsi="Verdana"/>
                <w:sz w:val="20"/>
                <w:lang w:val="fr-FR"/>
              </w:rPr>
            </w:pPr>
            <w:bookmarkStart w:id="1" w:name="recibido"/>
            <w:bookmarkStart w:id="2" w:name="dnum" w:colFirst="1" w:colLast="1"/>
            <w:bookmarkEnd w:id="1"/>
            <w:r>
              <w:rPr>
                <w:rFonts w:ascii="Verdana" w:hAnsi="Verdana"/>
                <w:sz w:val="20"/>
                <w:lang w:val="fr-FR"/>
              </w:rPr>
              <w:t>Source:</w:t>
            </w:r>
            <w:r>
              <w:rPr>
                <w:rFonts w:ascii="Verdana" w:hAnsi="Verdana"/>
                <w:sz w:val="20"/>
                <w:lang w:val="fr-FR"/>
              </w:rPr>
              <w:tab/>
              <w:t>Document 5A/TEMP/159 (Rev.1)</w:t>
            </w:r>
          </w:p>
        </w:tc>
        <w:tc>
          <w:tcPr>
            <w:tcW w:w="3451" w:type="dxa"/>
          </w:tcPr>
          <w:p w:rsidR="00322F71" w:rsidRDefault="00FD52C2">
            <w:pPr>
              <w:shd w:val="solid" w:color="FFFFFF" w:fill="FFFFFF"/>
              <w:spacing w:before="0" w:line="240" w:lineRule="atLeast"/>
              <w:rPr>
                <w:rFonts w:ascii="Verdana" w:hAnsi="Verdana"/>
                <w:sz w:val="20"/>
                <w:lang w:eastAsia="zh-CN"/>
              </w:rPr>
            </w:pPr>
            <w:r>
              <w:rPr>
                <w:rFonts w:ascii="Verdana" w:hAnsi="Verdana"/>
                <w:b/>
                <w:sz w:val="20"/>
                <w:lang w:eastAsia="zh-CN"/>
              </w:rPr>
              <w:t>Annex 15 to</w:t>
            </w:r>
            <w:r>
              <w:rPr>
                <w:rFonts w:ascii="Verdana" w:hAnsi="Verdana"/>
                <w:b/>
                <w:sz w:val="20"/>
                <w:lang w:eastAsia="zh-CN"/>
              </w:rPr>
              <w:br/>
              <w:t>Document 5A/421-E</w:t>
            </w:r>
          </w:p>
        </w:tc>
      </w:tr>
      <w:tr w:rsidR="00322F71">
        <w:trPr>
          <w:cantSplit/>
        </w:trPr>
        <w:tc>
          <w:tcPr>
            <w:tcW w:w="6580" w:type="dxa"/>
            <w:vMerge/>
          </w:tcPr>
          <w:p w:rsidR="00322F71" w:rsidRDefault="00322F71">
            <w:pPr>
              <w:spacing w:before="60"/>
              <w:jc w:val="center"/>
              <w:rPr>
                <w:b/>
                <w:smallCaps/>
                <w:sz w:val="32"/>
                <w:lang w:eastAsia="zh-CN"/>
              </w:rPr>
            </w:pPr>
            <w:bookmarkStart w:id="3" w:name="ddate" w:colFirst="1" w:colLast="1"/>
            <w:bookmarkEnd w:id="2"/>
          </w:p>
        </w:tc>
        <w:tc>
          <w:tcPr>
            <w:tcW w:w="3451" w:type="dxa"/>
          </w:tcPr>
          <w:p w:rsidR="00322F71" w:rsidRDefault="001062CB">
            <w:pPr>
              <w:shd w:val="solid" w:color="FFFFFF" w:fill="FFFFFF"/>
              <w:spacing w:before="0" w:line="240" w:lineRule="atLeast"/>
              <w:rPr>
                <w:rFonts w:ascii="Verdana" w:hAnsi="Verdana"/>
                <w:sz w:val="20"/>
                <w:lang w:eastAsia="zh-CN"/>
              </w:rPr>
            </w:pPr>
            <w:r>
              <w:rPr>
                <w:rFonts w:ascii="Verdana" w:hAnsi="Verdana"/>
                <w:b/>
                <w:sz w:val="20"/>
                <w:lang w:eastAsia="zh-CN"/>
              </w:rPr>
              <w:t>2 December 2013</w:t>
            </w:r>
          </w:p>
        </w:tc>
      </w:tr>
      <w:tr w:rsidR="00322F71">
        <w:trPr>
          <w:cantSplit/>
        </w:trPr>
        <w:tc>
          <w:tcPr>
            <w:tcW w:w="6580" w:type="dxa"/>
            <w:vMerge/>
          </w:tcPr>
          <w:p w:rsidR="00322F71" w:rsidRDefault="00322F71">
            <w:pPr>
              <w:spacing w:before="60"/>
              <w:jc w:val="center"/>
              <w:rPr>
                <w:b/>
                <w:smallCaps/>
                <w:sz w:val="32"/>
                <w:lang w:eastAsia="zh-CN"/>
              </w:rPr>
            </w:pPr>
            <w:bookmarkStart w:id="4" w:name="dorlang" w:colFirst="1" w:colLast="1"/>
            <w:bookmarkEnd w:id="3"/>
          </w:p>
        </w:tc>
        <w:tc>
          <w:tcPr>
            <w:tcW w:w="3451" w:type="dxa"/>
          </w:tcPr>
          <w:p w:rsidR="00322F71" w:rsidRDefault="00FD52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22F71">
        <w:trPr>
          <w:cantSplit/>
        </w:trPr>
        <w:tc>
          <w:tcPr>
            <w:tcW w:w="10031" w:type="dxa"/>
            <w:gridSpan w:val="2"/>
          </w:tcPr>
          <w:p w:rsidR="00322F71" w:rsidRDefault="00FD52C2">
            <w:pPr>
              <w:pStyle w:val="Source"/>
              <w:spacing w:before="480"/>
              <w:rPr>
                <w:lang w:eastAsia="zh-CN"/>
              </w:rPr>
            </w:pPr>
            <w:bookmarkStart w:id="5" w:name="dsource" w:colFirst="0" w:colLast="0"/>
            <w:bookmarkEnd w:id="4"/>
            <w:r>
              <w:rPr>
                <w:lang w:eastAsia="zh-CN"/>
              </w:rPr>
              <w:t xml:space="preserve">Annex 15 to Working Party 5A Chairman’s </w:t>
            </w:r>
            <w:r>
              <w:rPr>
                <w:lang w:eastAsia="zh-CN"/>
              </w:rPr>
              <w:t>Report</w:t>
            </w:r>
          </w:p>
        </w:tc>
      </w:tr>
      <w:tr w:rsidR="00322F71">
        <w:trPr>
          <w:cantSplit/>
        </w:trPr>
        <w:tc>
          <w:tcPr>
            <w:tcW w:w="10031" w:type="dxa"/>
            <w:gridSpan w:val="2"/>
          </w:tcPr>
          <w:p w:rsidR="00322F71" w:rsidRDefault="00FD52C2">
            <w:pPr>
              <w:pStyle w:val="RecNo"/>
            </w:pPr>
            <w:bookmarkStart w:id="6" w:name="drec" w:colFirst="0" w:colLast="0"/>
            <w:bookmarkEnd w:id="5"/>
            <w:r>
              <w:t xml:space="preserve">PRELIMINARY DRAFT REVISION OF RECOMMENDATION </w:t>
            </w:r>
            <w:r>
              <w:rPr>
                <w:rStyle w:val="href"/>
              </w:rPr>
              <w:t>ITU-R M.2009</w:t>
            </w:r>
          </w:p>
        </w:tc>
      </w:tr>
      <w:tr w:rsidR="00322F71">
        <w:trPr>
          <w:cantSplit/>
        </w:trPr>
        <w:tc>
          <w:tcPr>
            <w:tcW w:w="10031" w:type="dxa"/>
            <w:gridSpan w:val="2"/>
          </w:tcPr>
          <w:p w:rsidR="00322F71" w:rsidRDefault="00FD52C2">
            <w:pPr>
              <w:pStyle w:val="Rectitle"/>
              <w:rPr>
                <w:lang w:eastAsia="zh-CN"/>
              </w:rPr>
            </w:pPr>
            <w:bookmarkStart w:id="7" w:name="dtitle1" w:colFirst="0" w:colLast="0"/>
            <w:bookmarkEnd w:id="6"/>
            <w:r>
              <w:rPr>
                <w:lang w:val="en-US" w:eastAsia="zh-CN"/>
              </w:rPr>
              <w:t>Radio interface standards for use by public protection and disaster relief operations in some parts of the UHF band in accordance</w:t>
            </w:r>
            <w:r>
              <w:rPr>
                <w:lang w:val="en-US" w:eastAsia="zh-CN"/>
              </w:rPr>
              <w:br/>
              <w:t>with Resolution 646 (</w:t>
            </w:r>
            <w:ins w:id="8" w:author="Author">
              <w:r>
                <w:rPr>
                  <w:lang w:val="en-US" w:eastAsia="zh-CN"/>
                </w:rPr>
                <w:t>Rev.</w:t>
              </w:r>
            </w:ins>
            <w:r>
              <w:rPr>
                <w:lang w:val="en-US" w:eastAsia="zh-CN"/>
              </w:rPr>
              <w:t>WRC-</w:t>
            </w:r>
            <w:ins w:id="9" w:author="Author">
              <w:r>
                <w:rPr>
                  <w:lang w:val="en-US" w:eastAsia="zh-CN"/>
                </w:rPr>
                <w:t>12</w:t>
              </w:r>
            </w:ins>
            <w:del w:id="10" w:author="Author">
              <w:r>
                <w:rPr>
                  <w:lang w:val="en-US" w:eastAsia="zh-CN"/>
                </w:rPr>
                <w:delText>03</w:delText>
              </w:r>
            </w:del>
            <w:r>
              <w:rPr>
                <w:lang w:val="en-US" w:eastAsia="zh-CN"/>
              </w:rPr>
              <w:t>)</w:t>
            </w:r>
          </w:p>
        </w:tc>
      </w:tr>
    </w:tbl>
    <w:p w:rsidR="00322F71" w:rsidRDefault="00FD52C2">
      <w:pPr>
        <w:pStyle w:val="Normalaftertitle"/>
        <w:rPr>
          <w:i/>
          <w:lang w:val="en-US"/>
        </w:rPr>
      </w:pPr>
      <w:bookmarkStart w:id="11" w:name="dbreak"/>
      <w:bookmarkEnd w:id="7"/>
      <w:bookmarkEnd w:id="11"/>
      <w:ins w:id="12" w:author="Author">
        <w:r>
          <w:rPr>
            <w:i/>
            <w:lang w:val="en-US"/>
          </w:rPr>
          <w:t xml:space="preserve">[Editor’s Note:  Work </w:t>
        </w:r>
        <w:r>
          <w:rPr>
            <w:i/>
            <w:lang w:val="en-US"/>
          </w:rPr>
          <w:t>is ongoing within WG 3 on developing a new Report on PPDR, which will include material from Report ITU-R M.2033 and may impact this Recommendation.  Noting that references to Report ITU-R M.2033 can be retained until that document is superseded.]</w:t>
        </w:r>
      </w:ins>
    </w:p>
    <w:p w:rsidR="00322F71" w:rsidRDefault="00FD52C2">
      <w:pPr>
        <w:pStyle w:val="Headingb"/>
        <w:rPr>
          <w:ins w:id="13" w:author="Author"/>
          <w:lang w:val="en-US"/>
        </w:rPr>
      </w:pPr>
      <w:ins w:id="14" w:author="Author">
        <w:r>
          <w:rPr>
            <w:lang w:val="en-US"/>
          </w:rPr>
          <w:t>Summary o</w:t>
        </w:r>
        <w:r>
          <w:rPr>
            <w:lang w:val="en-US"/>
          </w:rPr>
          <w:t>f the revision</w:t>
        </w:r>
      </w:ins>
    </w:p>
    <w:p w:rsidR="00322F71" w:rsidRDefault="00FD52C2">
      <w:pPr>
        <w:rPr>
          <w:ins w:id="15" w:author="Author"/>
          <w:b/>
          <w:lang w:val="en-US"/>
        </w:rPr>
      </w:pPr>
      <w:ins w:id="16" w:author="Author">
        <w:r>
          <w:rPr>
            <w:lang w:val="en-US"/>
          </w:rPr>
          <w:t>The broadband radio interface standards LTE-Advanced and SCDMA have been added as part of this Recommendation, LTE-Advanced being part of the evolution of the Evolved Universal Terrestrial Radio Access (E-UTRA) also referred to as the Long-T</w:t>
        </w:r>
        <w:r>
          <w:rPr>
            <w:lang w:val="en-US"/>
          </w:rPr>
          <w:t>erm Evolution (LTE). Annex 3 has also been deleted and replaced with a reference to Report ITU-R M.2033. Other editorial improvements have also been made, such as adding relevant ITU-R Recommendations to the list of references and amending the titles of so</w:t>
        </w:r>
        <w:r>
          <w:rPr>
            <w:lang w:val="en-US"/>
          </w:rPr>
          <w:t>me sections to better reflect the contents.</w:t>
        </w:r>
      </w:ins>
    </w:p>
    <w:p w:rsidR="00322F71" w:rsidRDefault="00FD52C2">
      <w:pPr>
        <w:pStyle w:val="Heading1"/>
      </w:pPr>
      <w:r>
        <w:t>1</w:t>
      </w:r>
      <w:r>
        <w:tab/>
        <w:t>Scope</w:t>
      </w:r>
    </w:p>
    <w:p w:rsidR="00322F71" w:rsidRDefault="00FD52C2">
      <w:pPr>
        <w:rPr>
          <w:b/>
          <w:lang w:val="en-US"/>
        </w:rPr>
      </w:pPr>
      <w:r>
        <w:rPr>
          <w:lang w:val="en-US"/>
        </w:rPr>
        <w:t>This Recommendation identifies radio interface standards applicable for public protection and disaster relief (PPDR) operations in some parts of the UHF band. The broadband standards included in this Reco</w:t>
      </w:r>
      <w:r>
        <w:rPr>
          <w:lang w:val="en-US"/>
        </w:rPr>
        <w:t>mmendation are capable of supporting users at broadband data rates, taking into account the ITU-R definitions of “wireless access” and “broadband wireless access” found in Recommendation ITU-R F.1399.</w:t>
      </w:r>
    </w:p>
    <w:p w:rsidR="00322F71" w:rsidRDefault="00FD52C2">
      <w:pPr>
        <w:rPr>
          <w:lang w:val="en-US"/>
        </w:rPr>
      </w:pPr>
      <w:r>
        <w:rPr>
          <w:lang w:val="en-US"/>
        </w:rPr>
        <w:t xml:space="preserve">This Recommendation addresses the standards themselves </w:t>
      </w:r>
      <w:r>
        <w:rPr>
          <w:lang w:val="en-US"/>
        </w:rPr>
        <w:t>and does not deal with the frequency arrangements for PPDR systems, for which a separate Recommendation exists: Recommendation ITU-R M.2015.</w:t>
      </w:r>
    </w:p>
    <w:p w:rsidR="00322F71" w:rsidRDefault="00FD52C2">
      <w:pPr>
        <w:pStyle w:val="Heading1"/>
        <w:rPr>
          <w:szCs w:val="22"/>
          <w:lang w:val="en-US"/>
        </w:rPr>
      </w:pPr>
      <w:r>
        <w:rPr>
          <w:szCs w:val="22"/>
          <w:lang w:val="en-US"/>
        </w:rPr>
        <w:t>2</w:t>
      </w:r>
      <w:r>
        <w:rPr>
          <w:szCs w:val="22"/>
          <w:lang w:val="en-US"/>
        </w:rPr>
        <w:tab/>
        <w:t>Introduction</w:t>
      </w:r>
    </w:p>
    <w:p w:rsidR="00322F71" w:rsidRDefault="00FD52C2">
      <w:pPr>
        <w:rPr>
          <w:lang w:val="en-US" w:eastAsia="ja-JP"/>
        </w:rPr>
      </w:pPr>
      <w:r>
        <w:rPr>
          <w:lang w:val="en-US"/>
        </w:rPr>
        <w:t xml:space="preserve">This Recommendation addresses </w:t>
      </w:r>
      <w:r>
        <w:rPr>
          <w:lang w:val="en-US" w:eastAsia="ja-JP"/>
        </w:rPr>
        <w:t>radio interface standards for use for public protection and disaster r</w:t>
      </w:r>
      <w:r>
        <w:rPr>
          <w:lang w:val="en-US" w:eastAsia="ja-JP"/>
        </w:rPr>
        <w:t xml:space="preserve">elief operations. </w:t>
      </w:r>
      <w:r>
        <w:rPr>
          <w:lang w:val="en-US"/>
        </w:rPr>
        <w:t xml:space="preserve">These standards are </w:t>
      </w:r>
      <w:r>
        <w:rPr>
          <w:lang w:val="en-US" w:eastAsia="ja-JP"/>
        </w:rPr>
        <w:t xml:space="preserve">based on common </w:t>
      </w:r>
      <w:r>
        <w:rPr>
          <w:lang w:val="en-US"/>
        </w:rPr>
        <w:t xml:space="preserve">specifications developed by standards development organizations (SDOs). </w:t>
      </w:r>
      <w:r>
        <w:rPr>
          <w:lang w:val="en-US" w:eastAsia="ja-JP"/>
        </w:rPr>
        <w:t>Using this Recommendation, regulators, manufacturers and PPDR operators should be able to determine the most suitable standards fo</w:t>
      </w:r>
      <w:r>
        <w:rPr>
          <w:lang w:val="en-US" w:eastAsia="ja-JP"/>
        </w:rPr>
        <w:t>r their needs.</w:t>
      </w:r>
    </w:p>
    <w:p w:rsidR="00322F71" w:rsidRDefault="00FD52C2">
      <w:pPr>
        <w:pStyle w:val="Heading1"/>
        <w:rPr>
          <w:szCs w:val="22"/>
          <w:lang w:val="en-US"/>
        </w:rPr>
      </w:pPr>
      <w:r>
        <w:rPr>
          <w:szCs w:val="22"/>
          <w:lang w:val="en-US"/>
        </w:rPr>
        <w:lastRenderedPageBreak/>
        <w:t>3</w:t>
      </w:r>
      <w:r>
        <w:rPr>
          <w:szCs w:val="22"/>
          <w:lang w:val="en-US"/>
        </w:rPr>
        <w:tab/>
        <w:t>Relevant Recommendations and Reports</w:t>
      </w:r>
    </w:p>
    <w:p w:rsidR="00322F71" w:rsidRDefault="00FD52C2">
      <w:pPr>
        <w:rPr>
          <w:lang w:val="en-US"/>
        </w:rPr>
      </w:pPr>
      <w:r>
        <w:rPr>
          <w:lang w:val="en-US"/>
        </w:rPr>
        <w:t>The existing Recommendations and Reports that are considered to be of importance in the development of this particular Recommendation are as follows:</w:t>
      </w:r>
    </w:p>
    <w:p w:rsidR="00322F71" w:rsidRDefault="00FD52C2">
      <w:pPr>
        <w:pStyle w:val="enumlev1"/>
        <w:rPr>
          <w:ins w:id="17" w:author="Author"/>
          <w:lang w:val="en-US"/>
        </w:rPr>
      </w:pPr>
      <w:bookmarkStart w:id="18" w:name="OLE_LINK9"/>
      <w:bookmarkStart w:id="19" w:name="OLE_LINK10"/>
      <w:r>
        <w:rPr>
          <w:lang w:val="en-US"/>
        </w:rPr>
        <w:t>–</w:t>
      </w:r>
      <w:r>
        <w:rPr>
          <w:lang w:val="en-US"/>
        </w:rPr>
        <w:tab/>
      </w:r>
      <w:ins w:id="20" w:author="Author">
        <w:r>
          <w:rPr>
            <w:lang w:val="en-US"/>
          </w:rPr>
          <w:fldChar w:fldCharType="begin"/>
        </w:r>
        <w:r>
          <w:rPr>
            <w:lang w:val="en-US"/>
          </w:rPr>
          <w:instrText xml:space="preserve"> HYPERLINK "http://www.itu.int/rec/R-REC-F.1399/en" </w:instrText>
        </w:r>
        <w:r>
          <w:rPr>
            <w:lang w:val="en-US"/>
          </w:rPr>
          <w:fldChar w:fldCharType="separate"/>
        </w:r>
        <w:r>
          <w:rPr>
            <w:rStyle w:val="Hyperlink"/>
            <w:lang w:val="en-US"/>
          </w:rPr>
          <w:t>Recommendation ITU-R F.1399</w:t>
        </w:r>
        <w:r>
          <w:rPr>
            <w:lang w:val="en-US"/>
          </w:rPr>
          <w:fldChar w:fldCharType="end"/>
        </w:r>
        <w:r>
          <w:rPr>
            <w:lang w:val="en-US"/>
          </w:rPr>
          <w:t xml:space="preserve"> – Vocabulary of terms for wireless access.</w:t>
        </w:r>
      </w:ins>
    </w:p>
    <w:p w:rsidR="00322F71" w:rsidRDefault="00FD52C2">
      <w:pPr>
        <w:pStyle w:val="enumlev1"/>
        <w:rPr>
          <w:ins w:id="21" w:author="Author"/>
          <w:lang w:val="en-US"/>
        </w:rPr>
      </w:pPr>
      <w:ins w:id="22" w:author="Author">
        <w:r>
          <w:rPr>
            <w:lang w:val="en-US"/>
          </w:rPr>
          <w:t>–</w:t>
        </w:r>
        <w:r>
          <w:rPr>
            <w:lang w:val="en-US"/>
          </w:rPr>
          <w:tab/>
        </w:r>
        <w:r>
          <w:rPr>
            <w:lang w:val="en-US"/>
          </w:rPr>
          <w:fldChar w:fldCharType="begin"/>
        </w:r>
        <w:r>
          <w:rPr>
            <w:lang w:val="en-US"/>
          </w:rPr>
          <w:instrText xml:space="preserve"> HYPERLINK "http://www.itu.int/rec/R-REC-M.1457/en" </w:instrText>
        </w:r>
        <w:r>
          <w:rPr>
            <w:lang w:val="en-US"/>
          </w:rPr>
          <w:fldChar w:fldCharType="separate"/>
        </w:r>
        <w:r>
          <w:rPr>
            <w:rStyle w:val="Hyperlink"/>
          </w:rPr>
          <w:t>Recommendation ITU-R M.1457</w:t>
        </w:r>
        <w:r>
          <w:rPr>
            <w:lang w:val="en-US"/>
          </w:rPr>
          <w:fldChar w:fldCharType="end"/>
        </w:r>
        <w:r>
          <w:rPr>
            <w:lang w:val="en-US"/>
          </w:rPr>
          <w:t xml:space="preserve"> – Detailed specifications of the terrestrial </w:t>
        </w:r>
        <w:r>
          <w:rPr>
            <w:lang w:val="en-US"/>
          </w:rPr>
          <w:t>radio interfaces of International Mobile Telecommunications-2000 (IMT-2000).</w:t>
        </w:r>
      </w:ins>
    </w:p>
    <w:p w:rsidR="00322F71" w:rsidRDefault="00FD52C2">
      <w:pPr>
        <w:pStyle w:val="enumlev1"/>
        <w:rPr>
          <w:ins w:id="23" w:author="Author"/>
          <w:lang w:val="en-US"/>
        </w:rPr>
      </w:pPr>
      <w:ins w:id="24" w:author="Author">
        <w:r>
          <w:rPr>
            <w:lang w:val="en-US"/>
          </w:rPr>
          <w:t>–</w:t>
        </w:r>
        <w:r>
          <w:rPr>
            <w:lang w:val="en-US"/>
          </w:rPr>
          <w:tab/>
        </w:r>
        <w:r>
          <w:fldChar w:fldCharType="begin"/>
        </w:r>
        <w:r>
          <w:instrText xml:space="preserve"> HYPERLINK "http://www.itu.int/rec/R-REC-M.1801/en" </w:instrText>
        </w:r>
        <w:r>
          <w:fldChar w:fldCharType="separate"/>
        </w:r>
        <w:r>
          <w:rPr>
            <w:color w:val="0000FF"/>
            <w:u w:val="single"/>
            <w:lang w:val="en-US"/>
          </w:rPr>
          <w:t>Recommendation ITU-R M.1801</w:t>
        </w:r>
        <w:r>
          <w:fldChar w:fldCharType="end"/>
        </w:r>
        <w:r>
          <w:rPr>
            <w:color w:val="0000FF"/>
            <w:u w:val="single"/>
            <w:lang w:val="en-US"/>
          </w:rPr>
          <w:t xml:space="preserve"> </w:t>
        </w:r>
        <w:r>
          <w:rPr>
            <w:lang w:val="en-US"/>
          </w:rPr>
          <w:t xml:space="preserve">– </w:t>
        </w:r>
        <w:r>
          <w:rPr>
            <w:color w:val="0000FF"/>
            <w:u w:val="single"/>
            <w:lang w:val="en-US"/>
          </w:rPr>
          <w:t>Radio interface standards for broadband wireless access systems, including mobile and nomadi</w:t>
        </w:r>
        <w:r>
          <w:rPr>
            <w:color w:val="0000FF"/>
            <w:u w:val="single"/>
            <w:lang w:val="en-US"/>
          </w:rPr>
          <w:t xml:space="preserve">c applications, in the mobile service </w:t>
        </w:r>
        <w:r w:rsidRPr="00FD52C2">
          <w:rPr>
            <w:color w:val="0000FF"/>
            <w:lang w:val="en-US"/>
          </w:rPr>
          <w:t>operating below 6 GHz</w:t>
        </w:r>
        <w:r>
          <w:rPr>
            <w:color w:val="0000FF"/>
            <w:u w:val="single"/>
            <w:lang w:val="en-US"/>
          </w:rPr>
          <w:t>.</w:t>
        </w:r>
      </w:ins>
    </w:p>
    <w:p w:rsidR="00322F71" w:rsidRDefault="00FD52C2">
      <w:pPr>
        <w:pStyle w:val="enumlev1"/>
        <w:rPr>
          <w:ins w:id="25" w:author="Author"/>
          <w:lang w:val="en-US"/>
        </w:rPr>
      </w:pPr>
      <w:ins w:id="26" w:author="Author">
        <w:r>
          <w:rPr>
            <w:lang w:val="en-US"/>
          </w:rPr>
          <w:t>–</w:t>
        </w:r>
        <w:r>
          <w:rPr>
            <w:lang w:val="en-US"/>
          </w:rPr>
          <w:tab/>
        </w:r>
        <w:r>
          <w:rPr>
            <w:lang w:val="en-US"/>
          </w:rPr>
          <w:fldChar w:fldCharType="begin"/>
        </w:r>
        <w:r>
          <w:rPr>
            <w:lang w:val="en-US"/>
          </w:rPr>
          <w:instrText xml:space="preserve"> HYPERLINK "http://www.itu.int/rec/R-REC-M.2012/en" </w:instrText>
        </w:r>
        <w:r>
          <w:rPr>
            <w:lang w:val="en-US"/>
          </w:rPr>
          <w:fldChar w:fldCharType="separate"/>
        </w:r>
        <w:r>
          <w:rPr>
            <w:rStyle w:val="Hyperlink"/>
          </w:rPr>
          <w:t>Recommendation ITU-R M.</w:t>
        </w:r>
        <w:r w:rsidRPr="00FD52C2">
          <w:rPr>
            <w:rStyle w:val="Hyperlink"/>
            <w:u w:val="none"/>
          </w:rPr>
          <w:t>2012</w:t>
        </w:r>
        <w:r w:rsidRPr="00FD52C2">
          <w:rPr>
            <w:lang w:val="en-US"/>
          </w:rPr>
          <w:fldChar w:fldCharType="end"/>
        </w:r>
        <w:r>
          <w:rPr>
            <w:lang w:val="en-US"/>
          </w:rPr>
          <w:t xml:space="preserve"> – Detailed specifications of the terrestrial radio interfaces of International Mobile Telecommunications Advan</w:t>
        </w:r>
        <w:r>
          <w:rPr>
            <w:lang w:val="en-US"/>
          </w:rPr>
          <w:t>ced (IMT-Advanced).</w:t>
        </w:r>
      </w:ins>
    </w:p>
    <w:p w:rsidR="00322F71" w:rsidRDefault="00FD52C2">
      <w:pPr>
        <w:pStyle w:val="enumlev1"/>
        <w:rPr>
          <w:shd w:val="pct15" w:color="auto" w:fill="FFFFFF"/>
          <w:lang w:val="en-US"/>
        </w:rPr>
      </w:pPr>
      <w:ins w:id="27" w:author="Author">
        <w:r>
          <w:rPr>
            <w:lang w:val="en-US"/>
          </w:rPr>
          <w:t>–</w:t>
        </w:r>
        <w:r>
          <w:rPr>
            <w:lang w:val="en-US"/>
          </w:rPr>
          <w:tab/>
        </w:r>
        <w:r>
          <w:rPr>
            <w:lang w:val="en-US"/>
          </w:rPr>
          <w:fldChar w:fldCharType="begin"/>
        </w:r>
        <w:r>
          <w:rPr>
            <w:lang w:val="en-US"/>
          </w:rPr>
          <w:instrText xml:space="preserve"> HYPERLINK "http://www.itu.int/rec/R-REC-M.2015/en" </w:instrText>
        </w:r>
        <w:r>
          <w:rPr>
            <w:lang w:val="en-US"/>
          </w:rPr>
          <w:fldChar w:fldCharType="separate"/>
        </w:r>
        <w:r>
          <w:rPr>
            <w:rStyle w:val="Hyperlink"/>
            <w:lang w:val="en-US"/>
          </w:rPr>
          <w:t>Recommendation ITU-R M.2015</w:t>
        </w:r>
        <w:r>
          <w:rPr>
            <w:lang w:val="en-US"/>
          </w:rPr>
          <w:fldChar w:fldCharType="end"/>
        </w:r>
      </w:ins>
      <w:r>
        <w:rPr>
          <w:lang w:val="en-US"/>
        </w:rPr>
        <w:t xml:space="preserve"> – Frequency arrangements for public protection and disaster relief radiocommunication systems in UHF bands in accordance with Resolution </w:t>
      </w:r>
      <w:r w:rsidRPr="001062CB">
        <w:rPr>
          <w:b/>
          <w:bCs/>
          <w:lang w:val="en-US"/>
        </w:rPr>
        <w:t>646 (WRC-03)</w:t>
      </w:r>
      <w:r>
        <w:rPr>
          <w:lang w:val="en-US"/>
        </w:rPr>
        <w:t>.</w:t>
      </w:r>
    </w:p>
    <w:bookmarkEnd w:id="18"/>
    <w:bookmarkEnd w:id="19"/>
    <w:p w:rsidR="00322F71" w:rsidRDefault="00FD52C2">
      <w:pPr>
        <w:pStyle w:val="enumlev1"/>
        <w:rPr>
          <w:ins w:id="28" w:author="Author"/>
          <w:lang w:val="en-US"/>
        </w:rPr>
      </w:pPr>
      <w:moveToRangeStart w:id="29" w:author="Author" w:name="move372771251"/>
      <w:moveTo w:id="30" w:author="Author">
        <w:r>
          <w:rPr>
            <w:lang w:val="en-US"/>
          </w:rPr>
          <w:t>–</w:t>
        </w:r>
        <w:r>
          <w:rPr>
            <w:lang w:val="en-US"/>
          </w:rPr>
          <w:tab/>
          <w:t>Report ITU-R M.2014 – Digital land mobile systems for dispatch traffic.</w:t>
        </w:r>
      </w:moveTo>
      <w:moveToRangeEnd w:id="29"/>
    </w:p>
    <w:p w:rsidR="00322F71" w:rsidRDefault="00FD52C2">
      <w:pPr>
        <w:pStyle w:val="enumlev1"/>
        <w:rPr>
          <w:lang w:val="en-US"/>
        </w:rPr>
      </w:pPr>
      <w:r>
        <w:rPr>
          <w:lang w:val="en-US"/>
        </w:rPr>
        <w:t>–</w:t>
      </w:r>
      <w:r>
        <w:rPr>
          <w:lang w:val="en-US"/>
        </w:rPr>
        <w:tab/>
      </w:r>
      <w:ins w:id="31" w:author="Author">
        <w:r>
          <w:rPr>
            <w:lang w:val="en-US"/>
          </w:rPr>
          <w:fldChar w:fldCharType="begin"/>
        </w:r>
        <w:r>
          <w:rPr>
            <w:lang w:val="en-US"/>
          </w:rPr>
          <w:instrText xml:space="preserve"> HYPERLINK "http://www.itu.int/pub/R-REP-M.2033" </w:instrText>
        </w:r>
        <w:r>
          <w:rPr>
            <w:lang w:val="en-US"/>
          </w:rPr>
          <w:fldChar w:fldCharType="separate"/>
        </w:r>
        <w:r>
          <w:rPr>
            <w:rStyle w:val="Hyperlink"/>
            <w:lang w:val="en-US"/>
          </w:rPr>
          <w:t>Report ITU-R M.2033</w:t>
        </w:r>
        <w:r>
          <w:rPr>
            <w:lang w:val="en-US"/>
          </w:rPr>
          <w:fldChar w:fldCharType="end"/>
        </w:r>
      </w:ins>
      <w:r>
        <w:rPr>
          <w:lang w:val="en-US"/>
        </w:rPr>
        <w:t xml:space="preserve"> – Radiocommunication objectives and requirements for public protection and disaster relief.</w:t>
      </w:r>
    </w:p>
    <w:p w:rsidR="00322F71" w:rsidRDefault="00FD52C2">
      <w:pPr>
        <w:pStyle w:val="enumlev1"/>
        <w:rPr>
          <w:lang w:val="en-US"/>
        </w:rPr>
      </w:pPr>
      <w:moveFromRangeStart w:id="32" w:author="Author" w:name="move372771251"/>
      <w:moveFrom w:id="33" w:author="Author">
        <w:r>
          <w:rPr>
            <w:lang w:val="en-US"/>
          </w:rPr>
          <w:t>–</w:t>
        </w:r>
        <w:r>
          <w:rPr>
            <w:lang w:val="en-US"/>
          </w:rPr>
          <w:tab/>
          <w:t xml:space="preserve">Report ITU-R </w:t>
        </w:r>
        <w:r>
          <w:rPr>
            <w:lang w:val="en-US"/>
          </w:rPr>
          <w:t>M.2014 – Digital land mobile systems for dispatch traffic.</w:t>
        </w:r>
      </w:moveFrom>
      <w:moveFromRangeEnd w:id="32"/>
    </w:p>
    <w:p w:rsidR="00322F71" w:rsidRDefault="00FD52C2">
      <w:pPr>
        <w:pStyle w:val="Heading1"/>
        <w:rPr>
          <w:szCs w:val="22"/>
          <w:lang w:val="en-US"/>
        </w:rPr>
      </w:pPr>
      <w:r>
        <w:rPr>
          <w:szCs w:val="22"/>
          <w:lang w:val="en-US"/>
        </w:rPr>
        <w:t>4</w:t>
      </w:r>
      <w:r>
        <w:rPr>
          <w:szCs w:val="22"/>
          <w:lang w:val="en-US"/>
        </w:rPr>
        <w:tab/>
        <w:t>Considering</w:t>
      </w:r>
    </w:p>
    <w:p w:rsidR="00322F71" w:rsidRDefault="00FD52C2">
      <w:pPr>
        <w:pStyle w:val="enumlev1"/>
        <w:rPr>
          <w:lang w:val="en-US"/>
        </w:rPr>
      </w:pPr>
      <w:r>
        <w:rPr>
          <w:i/>
          <w:iCs/>
          <w:lang w:val="en-US"/>
        </w:rPr>
        <w:t>a)</w:t>
      </w:r>
      <w:r>
        <w:rPr>
          <w:lang w:val="en-US"/>
        </w:rPr>
        <w:tab/>
        <w:t>that administrations can determine which technologies to deploy for PPDR operations;</w:t>
      </w:r>
    </w:p>
    <w:p w:rsidR="00322F71" w:rsidRDefault="00FD52C2">
      <w:pPr>
        <w:pStyle w:val="enumlev1"/>
        <w:rPr>
          <w:lang w:val="en-US"/>
        </w:rPr>
      </w:pPr>
      <w:r>
        <w:rPr>
          <w:i/>
          <w:iCs/>
          <w:lang w:val="en-US"/>
        </w:rPr>
        <w:t>b)</w:t>
      </w:r>
      <w:r>
        <w:rPr>
          <w:lang w:val="en-US"/>
        </w:rPr>
        <w:tab/>
        <w:t>that</w:t>
      </w:r>
      <w:r>
        <w:rPr>
          <w:lang w:val="en-US"/>
        </w:rPr>
        <w:t xml:space="preserve"> inclusion of standards in this Recommendation does not preclude the use of other standards for PPDR operations;</w:t>
      </w:r>
    </w:p>
    <w:p w:rsidR="00322F71" w:rsidRDefault="00FD52C2">
      <w:pPr>
        <w:pStyle w:val="Heading1"/>
        <w:rPr>
          <w:szCs w:val="22"/>
          <w:lang w:val="en-US"/>
        </w:rPr>
      </w:pPr>
      <w:r>
        <w:rPr>
          <w:szCs w:val="22"/>
          <w:lang w:val="en-US"/>
        </w:rPr>
        <w:t>5</w:t>
      </w:r>
      <w:r>
        <w:rPr>
          <w:szCs w:val="22"/>
          <w:lang w:val="en-US"/>
        </w:rPr>
        <w:tab/>
        <w:t>Noting</w:t>
      </w:r>
    </w:p>
    <w:p w:rsidR="00322F71" w:rsidRDefault="00FD52C2">
      <w:pPr>
        <w:rPr>
          <w:lang w:val="en-US"/>
        </w:rPr>
      </w:pPr>
      <w:r>
        <w:rPr>
          <w:lang w:val="en-US"/>
        </w:rPr>
        <w:t xml:space="preserve">The PPDR user requirements outlined in </w:t>
      </w:r>
      <w:ins w:id="34" w:author="Author">
        <w:r>
          <w:rPr>
            <w:lang w:val="en-US"/>
          </w:rPr>
          <w:t>Report ITU-R M.2033</w:t>
        </w:r>
      </w:ins>
      <w:del w:id="35" w:author="Author">
        <w:r>
          <w:rPr>
            <w:lang w:val="en-US"/>
          </w:rPr>
          <w:delText>Annex 3</w:delText>
        </w:r>
      </w:del>
      <w:ins w:id="36" w:author="Author">
        <w:r>
          <w:rPr>
            <w:lang w:val="en-US"/>
          </w:rPr>
          <w:t xml:space="preserve"> and the acronyms and abbreviations listed in Annex 3</w:t>
        </w:r>
        <w:del w:id="37" w:author="Author">
          <w:r>
            <w:rPr>
              <w:lang w:val="en-US"/>
            </w:rPr>
            <w:delText>4</w:delText>
          </w:r>
        </w:del>
      </w:ins>
      <w:r>
        <w:rPr>
          <w:lang w:val="en-US"/>
        </w:rPr>
        <w:t>.</w:t>
      </w:r>
    </w:p>
    <w:p w:rsidR="00322F71" w:rsidRDefault="00FD52C2">
      <w:pPr>
        <w:pStyle w:val="Heading1"/>
        <w:rPr>
          <w:szCs w:val="22"/>
          <w:lang w:val="en-US"/>
        </w:rPr>
      </w:pPr>
      <w:r>
        <w:rPr>
          <w:szCs w:val="22"/>
          <w:lang w:val="en-US"/>
        </w:rPr>
        <w:t>6</w:t>
      </w:r>
      <w:r>
        <w:rPr>
          <w:szCs w:val="22"/>
          <w:lang w:val="en-US"/>
        </w:rPr>
        <w:tab/>
        <w:t>Recognizing</w:t>
      </w:r>
    </w:p>
    <w:p w:rsidR="00322F71" w:rsidRDefault="00FD52C2">
      <w:pPr>
        <w:rPr>
          <w:lang w:val="en-US"/>
        </w:rPr>
      </w:pPr>
      <w:r>
        <w:rPr>
          <w:i/>
          <w:iCs/>
          <w:lang w:val="en-US"/>
        </w:rPr>
        <w:t>a)</w:t>
      </w:r>
      <w:r>
        <w:rPr>
          <w:lang w:val="en-US"/>
        </w:rPr>
        <w:tab/>
        <w:t xml:space="preserve">that Resolution </w:t>
      </w:r>
      <w:r w:rsidRPr="001062CB">
        <w:rPr>
          <w:b/>
          <w:bCs/>
          <w:lang w:val="en-US"/>
        </w:rPr>
        <w:t>646 (</w:t>
      </w:r>
      <w:ins w:id="38" w:author="Author">
        <w:r w:rsidRPr="001062CB">
          <w:rPr>
            <w:b/>
            <w:bCs/>
            <w:lang w:val="en-US"/>
          </w:rPr>
          <w:t xml:space="preserve">Rev. </w:t>
        </w:r>
      </w:ins>
      <w:r w:rsidRPr="001062CB">
        <w:rPr>
          <w:b/>
          <w:bCs/>
          <w:lang w:val="en-US"/>
        </w:rPr>
        <w:t>WRC-</w:t>
      </w:r>
      <w:ins w:id="39" w:author="Author">
        <w:r w:rsidRPr="001062CB">
          <w:rPr>
            <w:b/>
            <w:bCs/>
            <w:lang w:val="en-US"/>
          </w:rPr>
          <w:t>12</w:t>
        </w:r>
      </w:ins>
      <w:del w:id="40" w:author="Author">
        <w:r w:rsidRPr="001062CB">
          <w:rPr>
            <w:b/>
            <w:bCs/>
            <w:lang w:val="en-US"/>
          </w:rPr>
          <w:delText>03</w:delText>
        </w:r>
      </w:del>
      <w:r w:rsidRPr="001062CB">
        <w:rPr>
          <w:b/>
          <w:bCs/>
          <w:lang w:val="en-US"/>
        </w:rPr>
        <w:t>)</w:t>
      </w:r>
      <w:r>
        <w:rPr>
          <w:lang w:val="en-US"/>
        </w:rPr>
        <w:t xml:space="preserve"> encourages administrations to consider the following identified frequency bands/ranges or parts thereof when undertaking their national planning for the purposes of achieving regionally harmonized frequency bands/ran</w:t>
      </w:r>
      <w:r>
        <w:rPr>
          <w:lang w:val="en-US"/>
        </w:rPr>
        <w:t>ges for advanced public protection and disaster relief solutions:</w:t>
      </w:r>
    </w:p>
    <w:p w:rsidR="00322F71" w:rsidRDefault="00FD52C2">
      <w:pPr>
        <w:pStyle w:val="enumlev1"/>
        <w:rPr>
          <w:lang w:val="en-US"/>
        </w:rPr>
      </w:pPr>
      <w:r>
        <w:rPr>
          <w:lang w:val="en-US"/>
        </w:rPr>
        <w:t>–</w:t>
      </w:r>
      <w:r>
        <w:rPr>
          <w:lang w:val="en-US"/>
        </w:rPr>
        <w:tab/>
        <w:t xml:space="preserve">in Region 1: 380-470 MHz as the frequency range within which the band </w:t>
      </w:r>
      <w:r>
        <w:rPr>
          <w:lang w:val="en-US"/>
        </w:rPr>
        <w:br/>
        <w:t>380-385/390-395 MHz is a preferred core harmonized band for permanent public protection activities within certain cou</w:t>
      </w:r>
      <w:r>
        <w:rPr>
          <w:lang w:val="en-US"/>
        </w:rPr>
        <w:t>ntries of Region 1 which have given their agreement;</w:t>
      </w:r>
    </w:p>
    <w:p w:rsidR="00322F71" w:rsidRDefault="00FD52C2">
      <w:pPr>
        <w:pStyle w:val="enumlev1"/>
        <w:rPr>
          <w:lang w:val="de-DE"/>
        </w:rPr>
      </w:pPr>
      <w:r>
        <w:rPr>
          <w:lang w:val="de-DE"/>
        </w:rPr>
        <w:t>–</w:t>
      </w:r>
      <w:r>
        <w:rPr>
          <w:lang w:val="de-DE"/>
        </w:rPr>
        <w:tab/>
        <w:t>in Region 2</w:t>
      </w:r>
      <w:r>
        <w:rPr>
          <w:rStyle w:val="FootnoteReference"/>
          <w:lang w:val="en-US"/>
        </w:rPr>
        <w:footnoteReference w:id="1"/>
      </w:r>
      <w:r>
        <w:rPr>
          <w:lang w:val="de-DE"/>
        </w:rPr>
        <w:t>: 746-806 MHz, 806-869 MHz, 4 940-4 990 MHz;</w:t>
      </w:r>
    </w:p>
    <w:p w:rsidR="00322F71" w:rsidRDefault="00FD52C2">
      <w:pPr>
        <w:pStyle w:val="enumlev1"/>
        <w:ind w:right="-142"/>
        <w:rPr>
          <w:lang w:val="de-DE"/>
        </w:rPr>
      </w:pPr>
      <w:r>
        <w:rPr>
          <w:lang w:val="de-DE"/>
        </w:rPr>
        <w:t>–</w:t>
      </w:r>
      <w:r>
        <w:rPr>
          <w:lang w:val="de-DE"/>
        </w:rPr>
        <w:tab/>
        <w:t>in Region 3</w:t>
      </w:r>
      <w:r>
        <w:rPr>
          <w:rStyle w:val="FootnoteReference"/>
          <w:lang w:val="en-US"/>
        </w:rPr>
        <w:footnoteReference w:id="2"/>
      </w:r>
      <w:r>
        <w:rPr>
          <w:lang w:val="de-DE"/>
        </w:rPr>
        <w:t>: 406.1-430 MHz, 440-470 MHz, 806-824/851-869 MHz, 4 940-4 990 MHz and 5 850-5 925 MHz;</w:t>
      </w:r>
    </w:p>
    <w:p w:rsidR="00322F71" w:rsidRDefault="00FD52C2">
      <w:pPr>
        <w:tabs>
          <w:tab w:val="clear" w:pos="1134"/>
          <w:tab w:val="clear" w:pos="1871"/>
          <w:tab w:val="clear" w:pos="2268"/>
        </w:tabs>
        <w:overflowPunct/>
        <w:autoSpaceDE/>
        <w:autoSpaceDN/>
        <w:adjustRightInd/>
        <w:textAlignment w:val="auto"/>
        <w:rPr>
          <w:lang w:val="en-US"/>
        </w:rPr>
      </w:pPr>
      <w:r>
        <w:rPr>
          <w:i/>
          <w:iCs/>
          <w:lang w:val="en-US"/>
        </w:rPr>
        <w:lastRenderedPageBreak/>
        <w:t>b)</w:t>
      </w:r>
      <w:r>
        <w:rPr>
          <w:lang w:val="en-US"/>
        </w:rPr>
        <w:tab/>
        <w:t>that Recommendation ITU-R M.2015 – Freq</w:t>
      </w:r>
      <w:r>
        <w:rPr>
          <w:lang w:val="en-US"/>
        </w:rPr>
        <w:t xml:space="preserve">uency arrangements for public protection and disaster relief radiocommunication systems in UHF bands in accordance with Resolution </w:t>
      </w:r>
      <w:r w:rsidR="001062CB">
        <w:rPr>
          <w:lang w:val="en-US"/>
        </w:rPr>
        <w:br/>
      </w:r>
      <w:r>
        <w:rPr>
          <w:b/>
          <w:bCs/>
          <w:lang w:val="en-US"/>
        </w:rPr>
        <w:t>646 (WRC-03)</w:t>
      </w:r>
      <w:r>
        <w:rPr>
          <w:lang w:val="en-US"/>
        </w:rPr>
        <w:t xml:space="preserve"> provides</w:t>
      </w:r>
      <w:r>
        <w:rPr>
          <w:sz w:val="22"/>
          <w:szCs w:val="22"/>
          <w:lang w:val="en-US"/>
        </w:rPr>
        <w:t xml:space="preserve"> </w:t>
      </w:r>
      <w:r>
        <w:rPr>
          <w:lang w:val="en-US"/>
        </w:rPr>
        <w:t>guidance on frequency arrangements for public protection and disaster relief radiocommunications in cer</w:t>
      </w:r>
      <w:r>
        <w:rPr>
          <w:lang w:val="en-US"/>
        </w:rPr>
        <w:t>tain regions in some of the bands below 1 GHz identified in Resolution </w:t>
      </w:r>
      <w:r w:rsidRPr="001062CB">
        <w:rPr>
          <w:b/>
          <w:bCs/>
          <w:lang w:val="en-US"/>
        </w:rPr>
        <w:t>646</w:t>
      </w:r>
      <w:r>
        <w:rPr>
          <w:lang w:val="en-US"/>
        </w:rPr>
        <w:t>.</w:t>
      </w:r>
    </w:p>
    <w:p w:rsidR="00322F71" w:rsidRDefault="00FD52C2">
      <w:pPr>
        <w:pStyle w:val="Heading1"/>
        <w:rPr>
          <w:szCs w:val="22"/>
          <w:lang w:val="en-US"/>
        </w:rPr>
      </w:pPr>
      <w:r>
        <w:rPr>
          <w:rFonts w:eastAsia="SimSun"/>
          <w:szCs w:val="22"/>
          <w:lang w:val="en-US"/>
        </w:rPr>
        <w:t>7</w:t>
      </w:r>
      <w:r>
        <w:rPr>
          <w:rFonts w:eastAsia="SimSun"/>
          <w:szCs w:val="22"/>
          <w:lang w:val="en-US"/>
        </w:rPr>
        <w:tab/>
        <w:t>Recommendation</w:t>
      </w:r>
    </w:p>
    <w:p w:rsidR="00322F71" w:rsidRDefault="00FD52C2">
      <w:pPr>
        <w:rPr>
          <w:lang w:val="en-US"/>
        </w:rPr>
      </w:pPr>
      <w:r>
        <w:rPr>
          <w:lang w:val="en-US"/>
        </w:rPr>
        <w:t>The ITU Radiocommunication Assembly,</w:t>
      </w:r>
    </w:p>
    <w:p w:rsidR="00322F71" w:rsidRDefault="00FD52C2">
      <w:pPr>
        <w:pStyle w:val="Call"/>
        <w:rPr>
          <w:lang w:val="en-US"/>
        </w:rPr>
      </w:pPr>
      <w:r>
        <w:rPr>
          <w:lang w:val="en-US"/>
        </w:rPr>
        <w:t>recommends</w:t>
      </w:r>
    </w:p>
    <w:p w:rsidR="00322F71" w:rsidRDefault="00FD52C2">
      <w:pPr>
        <w:rPr>
          <w:rFonts w:eastAsia="SimSun"/>
          <w:lang w:val="en-US"/>
        </w:rPr>
      </w:pPr>
      <w:r>
        <w:rPr>
          <w:rFonts w:eastAsia="SimSun"/>
          <w:lang w:val="en-US"/>
        </w:rPr>
        <w:t>that for PPDR operations the radio interface standards as contained in Annexes 1 and 2 should be used.</w:t>
      </w:r>
    </w:p>
    <w:p w:rsidR="00322F71" w:rsidRDefault="00322F71">
      <w:pPr>
        <w:rPr>
          <w:rFonts w:eastAsia="SimSun"/>
          <w:lang w:val="en-US"/>
        </w:rPr>
      </w:pPr>
    </w:p>
    <w:p w:rsidR="00322F71" w:rsidRDefault="00FD52C2">
      <w:pPr>
        <w:pStyle w:val="AnnexNo"/>
      </w:pPr>
      <w:r>
        <w:t>Annex 1</w:t>
      </w:r>
    </w:p>
    <w:p w:rsidR="00322F71" w:rsidRDefault="00FD52C2">
      <w:pPr>
        <w:pStyle w:val="Annextitle"/>
        <w:rPr>
          <w:lang w:val="en-US"/>
        </w:rPr>
      </w:pPr>
      <w:r>
        <w:rPr>
          <w:lang w:val="en-US"/>
        </w:rPr>
        <w:t>Broadband radio interface standards for use by PPDR operations</w:t>
      </w:r>
      <w:r>
        <w:rPr>
          <w:lang w:val="en-US"/>
        </w:rPr>
        <w:br/>
        <w:t>in accordance with Resolution 646 (</w:t>
      </w:r>
      <w:ins w:id="41" w:author="Author">
        <w:r>
          <w:rPr>
            <w:lang w:val="en-US"/>
          </w:rPr>
          <w:t xml:space="preserve">Rev. </w:t>
        </w:r>
      </w:ins>
      <w:r>
        <w:rPr>
          <w:lang w:val="en-US"/>
        </w:rPr>
        <w:t>WRC-</w:t>
      </w:r>
      <w:ins w:id="42" w:author="Author">
        <w:r>
          <w:rPr>
            <w:lang w:val="en-US"/>
          </w:rPr>
          <w:t>12</w:t>
        </w:r>
      </w:ins>
      <w:del w:id="43" w:author="Author">
        <w:r>
          <w:rPr>
            <w:lang w:val="en-US"/>
          </w:rPr>
          <w:delText>03</w:delText>
        </w:r>
      </w:del>
      <w:r>
        <w:rPr>
          <w:lang w:val="en-US"/>
        </w:rPr>
        <w:t>)</w:t>
      </w:r>
    </w:p>
    <w:p w:rsidR="00322F71" w:rsidRDefault="00FD52C2">
      <w:pPr>
        <w:pStyle w:val="Normalaftertitle0"/>
      </w:pPr>
      <w:r>
        <w:t>This Annex provides information on broadband standards for use by PPDR operations. References are provided to ITU texts which contain more deta</w:t>
      </w:r>
      <w:r>
        <w:t xml:space="preserve">iled descriptions of these standards and their capabilities. It is recognized that these standards may not fulfil all the user requirements described in </w:t>
      </w:r>
      <w:del w:id="44" w:author="Author">
        <w:r>
          <w:delText>Annex 3</w:delText>
        </w:r>
      </w:del>
      <w:ins w:id="45" w:author="Author">
        <w:r>
          <w:t>Report ITU-R M.2033</w:t>
        </w:r>
      </w:ins>
      <w:r>
        <w:t>, and that each administration and its PPDR organizations will have to analys</w:t>
      </w:r>
      <w:r>
        <w:t>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46" w:author="Author">
        <w:r>
          <w:rPr>
            <w:szCs w:val="22"/>
            <w:lang w:val="en-US"/>
          </w:rPr>
          <w:t>IMT-2000 CDMA Multi-Carrier</w:t>
        </w:r>
      </w:ins>
      <w:del w:id="47" w:author="Author">
        <w:r>
          <w:rPr>
            <w:szCs w:val="22"/>
            <w:lang w:val="en-US"/>
          </w:rPr>
          <w:delText>Technology “A”</w:delText>
        </w:r>
      </w:del>
    </w:p>
    <w:p w:rsidR="00322F71" w:rsidRDefault="00FD52C2">
      <w:pPr>
        <w:rPr>
          <w:lang w:val="en-US"/>
        </w:rPr>
      </w:pPr>
      <w:del w:id="48" w:author="Author">
        <w:r>
          <w:rPr>
            <w:lang w:val="en-US"/>
          </w:rPr>
          <w:delText>Technology “A” corresponding to t</w:delText>
        </w:r>
      </w:del>
      <w:ins w:id="49" w:author="Author">
        <w:r>
          <w:rPr>
            <w:lang w:val="en-US"/>
          </w:rPr>
          <w:t>T</w:t>
        </w:r>
      </w:ins>
      <w:r>
        <w:rPr>
          <w:lang w:val="en-US"/>
        </w:rPr>
        <w:t xml:space="preserve">he </w:t>
      </w:r>
      <w:ins w:id="50" w:author="Author">
        <w:r>
          <w:rPr>
            <w:lang w:val="en-US"/>
          </w:rPr>
          <w:t xml:space="preserve">specifications for the radio interface standard </w:t>
        </w:r>
      </w:ins>
      <w:r>
        <w:rPr>
          <w:lang w:val="en-US"/>
        </w:rPr>
        <w:t>IMT-2000 CDMA</w:t>
      </w:r>
      <w:ins w:id="51" w:author="Author">
        <w:r>
          <w:rPr>
            <w:lang w:val="en-US"/>
          </w:rPr>
          <w:t xml:space="preserve"> Multi-Carrier (IMT-2000 CD</w:t>
        </w:r>
        <w:r>
          <w:rPr>
            <w:lang w:val="en-US"/>
          </w:rPr>
          <w:t>MA</w:t>
        </w:r>
      </w:ins>
      <w:r>
        <w:rPr>
          <w:lang w:val="en-US"/>
        </w:rPr>
        <w:t>-MC</w:t>
      </w:r>
      <w:ins w:id="52" w:author="Author">
        <w:r>
          <w:rPr>
            <w:lang w:val="en-US"/>
          </w:rPr>
          <w:t>)</w:t>
        </w:r>
      </w:ins>
      <w:r>
        <w:rPr>
          <w:lang w:val="en-US"/>
        </w:rPr>
        <w:t xml:space="preserve"> </w:t>
      </w:r>
      <w:del w:id="53" w:author="Author">
        <w:r>
          <w:rPr>
            <w:lang w:val="en-US"/>
          </w:rPr>
          <w:delText>technology is</w:delText>
        </w:r>
      </w:del>
      <w:ins w:id="54" w:author="Author">
        <w:r>
          <w:rPr>
            <w:lang w:val="en-US"/>
          </w:rPr>
          <w:t>are</w:t>
        </w:r>
      </w:ins>
      <w:r>
        <w:rPr>
          <w:lang w:val="en-US"/>
        </w:rPr>
        <w:t xml:space="preserve"> developed within 3GPP2 (3</w:t>
      </w:r>
      <w:r>
        <w:rPr>
          <w:vertAlign w:val="superscript"/>
          <w:lang w:val="en-US"/>
        </w:rPr>
        <w:t xml:space="preserve">rd </w:t>
      </w:r>
      <w:r>
        <w:rPr>
          <w:lang w:val="en-US"/>
        </w:rPr>
        <w:t xml:space="preserve">Generation Partnership Project 2). A full description is available in Annex 2 of </w:t>
      </w:r>
      <w:hyperlink r:id="rId8" w:history="1">
        <w:r>
          <w:rPr>
            <w:color w:val="0000FF"/>
            <w:u w:val="single"/>
            <w:lang w:val="en-US"/>
          </w:rPr>
          <w:t>Recommendation ITU-R M.1801</w:t>
        </w:r>
      </w:hyperlink>
      <w:r>
        <w:rPr>
          <w:lang w:val="en-US"/>
        </w:rPr>
        <w:t>. For additional information, see also § </w:t>
      </w:r>
      <w:r>
        <w:rPr>
          <w:lang w:val="en-US"/>
        </w:rPr>
        <w:t xml:space="preserve">5.2 of </w:t>
      </w:r>
      <w:hyperlink r:id="rId9"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2</w:t>
      </w:r>
      <w:r>
        <w:rPr>
          <w:szCs w:val="22"/>
          <w:lang w:val="en-US"/>
        </w:rPr>
        <w:tab/>
      </w:r>
      <w:ins w:id="55" w:author="Author">
        <w:r>
          <w:t>IMT-2000 CDMA Direct Spread</w:t>
        </w:r>
      </w:ins>
      <w:del w:id="56" w:author="Author">
        <w:r>
          <w:rPr>
            <w:szCs w:val="22"/>
            <w:lang w:val="en-US"/>
          </w:rPr>
          <w:delText>Technology “B”</w:delText>
        </w:r>
      </w:del>
    </w:p>
    <w:p w:rsidR="00322F71" w:rsidRDefault="00FD52C2">
      <w:pPr>
        <w:rPr>
          <w:lang w:val="en-US"/>
        </w:rPr>
      </w:pPr>
      <w:del w:id="57" w:author="Author">
        <w:r>
          <w:rPr>
            <w:lang w:val="en-US"/>
          </w:rPr>
          <w:delText>Technology “B” corresponding to</w:delText>
        </w:r>
      </w:del>
      <w:ins w:id="58" w:author="Author">
        <w:r>
          <w:rPr>
            <w:lang w:val="en-US"/>
          </w:rPr>
          <w:t>The</w:t>
        </w:r>
      </w:ins>
      <w:r>
        <w:rPr>
          <w:lang w:val="en-US"/>
        </w:rPr>
        <w:t xml:space="preserve"> </w:t>
      </w:r>
      <w:ins w:id="59" w:author="Author">
        <w:r>
          <w:rPr>
            <w:lang w:val="en-US"/>
          </w:rPr>
          <w:t>specifications for the radio interface standard IMT-2000 CDMA Direct Spread (</w:t>
        </w:r>
      </w:ins>
      <w:r>
        <w:rPr>
          <w:lang w:val="en-US"/>
        </w:rPr>
        <w:t xml:space="preserve">IMT-2000 </w:t>
      </w:r>
      <w:r>
        <w:rPr>
          <w:lang w:val="en-US"/>
        </w:rPr>
        <w:t>CDMA-DS</w:t>
      </w:r>
      <w:ins w:id="60" w:author="Author">
        <w:r>
          <w:rPr>
            <w:lang w:val="en-US"/>
          </w:rPr>
          <w:t>)</w:t>
        </w:r>
      </w:ins>
      <w:r>
        <w:rPr>
          <w:lang w:val="en-US"/>
        </w:rPr>
        <w:t xml:space="preserve">, specifically UTRA FDD, </w:t>
      </w:r>
      <w:del w:id="61" w:author="Author">
        <w:r>
          <w:rPr>
            <w:lang w:val="en-US"/>
          </w:rPr>
          <w:delText>is</w:delText>
        </w:r>
      </w:del>
      <w:ins w:id="62" w:author="Author">
        <w:r>
          <w:rPr>
            <w:lang w:val="en-US"/>
          </w:rPr>
          <w:t>are</w:t>
        </w:r>
      </w:ins>
      <w:r>
        <w:rPr>
          <w:lang w:val="en-US"/>
        </w:rPr>
        <w:t xml:space="preserve"> developed within 3GPP (3</w:t>
      </w:r>
      <w:r>
        <w:rPr>
          <w:vertAlign w:val="superscript"/>
          <w:lang w:val="en-US"/>
        </w:rPr>
        <w:t>rd</w:t>
      </w:r>
      <w:r>
        <w:rPr>
          <w:lang w:val="en-US"/>
        </w:rPr>
        <w:t xml:space="preserve"> Generation Partnership Project). A full description is available in Annex 2 of </w:t>
      </w:r>
      <w:hyperlink r:id="rId10" w:history="1">
        <w:r>
          <w:rPr>
            <w:color w:val="0000FF"/>
            <w:u w:val="single"/>
            <w:lang w:val="en-US"/>
          </w:rPr>
          <w:t>Recommendation ITU-R M.1801</w:t>
        </w:r>
      </w:hyperlink>
      <w:r>
        <w:rPr>
          <w:lang w:val="en-US"/>
        </w:rPr>
        <w:t xml:space="preserve">. For additional information, see also § 5.1 of </w:t>
      </w:r>
      <w:hyperlink r:id="rId11" w:history="1">
        <w:r>
          <w:rPr>
            <w:color w:val="0000FF"/>
            <w:u w:val="single"/>
            <w:lang w:val="en-US"/>
          </w:rPr>
          <w:t>Recommendation ITU R M.1457</w:t>
        </w:r>
      </w:hyperlink>
      <w:r>
        <w:rPr>
          <w:lang w:val="en-US"/>
        </w:rPr>
        <w:t xml:space="preserve">. </w:t>
      </w:r>
    </w:p>
    <w:p w:rsidR="00322F71" w:rsidRDefault="00FD52C2">
      <w:pPr>
        <w:pStyle w:val="Heading1"/>
        <w:rPr>
          <w:szCs w:val="22"/>
          <w:lang w:val="en-US"/>
        </w:rPr>
      </w:pPr>
      <w:r>
        <w:rPr>
          <w:szCs w:val="22"/>
          <w:lang w:val="en-US"/>
        </w:rPr>
        <w:lastRenderedPageBreak/>
        <w:t>3</w:t>
      </w:r>
      <w:r>
        <w:rPr>
          <w:szCs w:val="22"/>
          <w:lang w:val="en-US"/>
        </w:rPr>
        <w:tab/>
      </w:r>
      <w:ins w:id="63" w:author="Author">
        <w:r>
          <w:t>IMT-2000 OFDMA TDD WMAN</w:t>
        </w:r>
      </w:ins>
      <w:del w:id="64" w:author="Author">
        <w:r>
          <w:rPr>
            <w:szCs w:val="22"/>
            <w:lang w:val="en-US"/>
          </w:rPr>
          <w:delText>Technology “C”</w:delText>
        </w:r>
      </w:del>
    </w:p>
    <w:p w:rsidR="00322F71" w:rsidRDefault="00FD52C2">
      <w:pPr>
        <w:rPr>
          <w:rFonts w:eastAsia="SimSun"/>
          <w:lang w:val="en-US" w:eastAsia="zh-CN"/>
        </w:rPr>
      </w:pPr>
      <w:r>
        <w:rPr>
          <w:lang w:val="en-US"/>
        </w:rPr>
        <w:t>T</w:t>
      </w:r>
      <w:ins w:id="65" w:author="Author">
        <w:r>
          <w:rPr>
            <w:lang w:val="en-US"/>
          </w:rPr>
          <w:t>h</w:t>
        </w:r>
      </w:ins>
      <w:r>
        <w:rPr>
          <w:lang w:val="en-US"/>
        </w:rPr>
        <w:t>e</w:t>
      </w:r>
      <w:del w:id="66" w:author="Author">
        <w:r>
          <w:rPr>
            <w:lang w:val="en-US"/>
          </w:rPr>
          <w:delText>chnology “C” corresponding to</w:delText>
        </w:r>
      </w:del>
      <w:ins w:id="67" w:author="Author">
        <w:r>
          <w:rPr>
            <w:lang w:val="en-US"/>
          </w:rPr>
          <w:t xml:space="preserve"> radio interface standard IMT-2000</w:t>
        </w:r>
      </w:ins>
      <w:r>
        <w:rPr>
          <w:lang w:val="en-US"/>
        </w:rPr>
        <w:t xml:space="preserve"> </w:t>
      </w:r>
      <w:bookmarkStart w:id="68" w:name="OLE_LINK19"/>
      <w:bookmarkStart w:id="69" w:name="OLE_LINK20"/>
      <w:r>
        <w:rPr>
          <w:lang w:val="en-US"/>
        </w:rPr>
        <w:t>OFDMA TDD WMAN</w:t>
      </w:r>
      <w:bookmarkEnd w:id="68"/>
      <w:bookmarkEnd w:id="69"/>
      <w:r>
        <w:rPr>
          <w:lang w:val="en-US"/>
        </w:rPr>
        <w:t xml:space="preserve"> is developed within the IEEE. A full description is available in Annex 2 of </w:t>
      </w:r>
      <w:hyperlink r:id="rId12" w:history="1">
        <w:r>
          <w:rPr>
            <w:color w:val="0000FF"/>
            <w:u w:val="single"/>
            <w:lang w:val="en-US"/>
          </w:rPr>
          <w:t xml:space="preserve">Recommendation </w:t>
        </w:r>
        <w:r>
          <w:rPr>
            <w:color w:val="0000FF"/>
            <w:u w:val="single"/>
            <w:lang w:val="en-US"/>
          </w:rPr>
          <w:br/>
          <w:t>ITU-R M.1801</w:t>
        </w:r>
      </w:hyperlink>
      <w:r>
        <w:rPr>
          <w:lang w:val="en-US"/>
        </w:rPr>
        <w:t xml:space="preserve">. For additional information, see also § 5.6 of </w:t>
      </w:r>
      <w:hyperlink r:id="rId13"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4</w:t>
      </w:r>
      <w:r>
        <w:rPr>
          <w:szCs w:val="22"/>
          <w:lang w:val="en-US"/>
        </w:rPr>
        <w:tab/>
      </w:r>
      <w:ins w:id="70" w:author="Author">
        <w:r>
          <w:rPr>
            <w:szCs w:val="22"/>
            <w:lang w:val="en-US"/>
          </w:rPr>
          <w:t>IMT-2000 TDMA Single-Carrier</w:t>
        </w:r>
      </w:ins>
      <w:del w:id="71" w:author="Author">
        <w:r>
          <w:rPr>
            <w:szCs w:val="22"/>
            <w:lang w:val="en-US"/>
          </w:rPr>
          <w:delText>Technology “D”</w:delText>
        </w:r>
      </w:del>
    </w:p>
    <w:p w:rsidR="00322F71" w:rsidRDefault="00FD52C2">
      <w:pPr>
        <w:tabs>
          <w:tab w:val="clear" w:pos="1134"/>
          <w:tab w:val="clear" w:pos="1871"/>
          <w:tab w:val="clear" w:pos="2268"/>
          <w:tab w:val="left" w:pos="794"/>
          <w:tab w:val="left" w:pos="1191"/>
          <w:tab w:val="left" w:pos="1588"/>
          <w:tab w:val="left" w:pos="1985"/>
        </w:tabs>
        <w:rPr>
          <w:rFonts w:eastAsia="Batang"/>
          <w:lang w:val="en-US"/>
        </w:rPr>
      </w:pPr>
      <w:r>
        <w:rPr>
          <w:rFonts w:eastAsia="Batang"/>
          <w:lang w:val="en-US"/>
        </w:rPr>
        <w:t>T</w:t>
      </w:r>
      <w:ins w:id="72" w:author="Author">
        <w:r>
          <w:rPr>
            <w:rFonts w:eastAsia="Batang"/>
            <w:lang w:val="en-US"/>
          </w:rPr>
          <w:t>h</w:t>
        </w:r>
      </w:ins>
      <w:r>
        <w:rPr>
          <w:rFonts w:eastAsia="Batang"/>
          <w:lang w:val="en-US"/>
        </w:rPr>
        <w:t>e</w:t>
      </w:r>
      <w:del w:id="73" w:author="Author">
        <w:r>
          <w:rPr>
            <w:rFonts w:eastAsia="Batang"/>
            <w:lang w:val="en-US"/>
          </w:rPr>
          <w:delText>chnology “D” corresponding to</w:delText>
        </w:r>
      </w:del>
      <w:ins w:id="74" w:author="Author">
        <w:r>
          <w:rPr>
            <w:rFonts w:eastAsia="Batang"/>
            <w:lang w:val="en-US"/>
          </w:rPr>
          <w:t xml:space="preserve"> radio interface standard</w:t>
        </w:r>
      </w:ins>
      <w:r>
        <w:rPr>
          <w:rFonts w:eastAsia="Batang"/>
          <w:lang w:val="en-US"/>
        </w:rPr>
        <w:t xml:space="preserve"> </w:t>
      </w:r>
      <w:ins w:id="75" w:author="Author">
        <w:r>
          <w:rPr>
            <w:rFonts w:eastAsia="Batang"/>
            <w:lang w:val="en-US"/>
          </w:rPr>
          <w:t>IMT-2000 TDMA Single-Carrier (</w:t>
        </w:r>
      </w:ins>
      <w:r>
        <w:rPr>
          <w:rFonts w:eastAsia="Batang"/>
          <w:lang w:val="en-US"/>
        </w:rPr>
        <w:t>TDMA-SC</w:t>
      </w:r>
      <w:ins w:id="76" w:author="Author">
        <w:r>
          <w:rPr>
            <w:rFonts w:eastAsia="Batang"/>
            <w:lang w:val="en-US"/>
          </w:rPr>
          <w:t>)</w:t>
        </w:r>
      </w:ins>
      <w:r>
        <w:rPr>
          <w:rFonts w:eastAsia="Batang"/>
          <w:lang w:val="en-US"/>
        </w:rPr>
        <w:t xml:space="preserve"> is developed </w:t>
      </w:r>
      <w:ins w:id="77" w:author="Author">
        <w:r>
          <w:rPr>
            <w:rFonts w:eastAsia="Batang"/>
            <w:lang w:val="en-US"/>
          </w:rPr>
          <w:t xml:space="preserve">by ATIS utilizing </w:t>
        </w:r>
      </w:ins>
      <w:del w:id="78" w:author="Author">
        <w:r>
          <w:rPr>
            <w:rFonts w:eastAsia="Batang"/>
            <w:lang w:val="en-US"/>
          </w:rPr>
          <w:delText xml:space="preserve">within </w:delText>
        </w:r>
      </w:del>
      <w:r>
        <w:rPr>
          <w:rFonts w:eastAsia="Batang"/>
          <w:lang w:val="en-US"/>
        </w:rPr>
        <w:t>3GPP (3</w:t>
      </w:r>
      <w:r>
        <w:rPr>
          <w:rFonts w:eastAsia="Batang"/>
          <w:vertAlign w:val="superscript"/>
          <w:lang w:val="en-US"/>
        </w:rPr>
        <w:t>rd</w:t>
      </w:r>
      <w:r>
        <w:rPr>
          <w:rFonts w:eastAsia="Batang"/>
          <w:lang w:val="en-US"/>
        </w:rPr>
        <w:t xml:space="preserve"> Generation Partnership </w:t>
      </w:r>
      <w:r>
        <w:rPr>
          <w:rFonts w:eastAsia="Batang"/>
          <w:lang w:val="en-US"/>
        </w:rPr>
        <w:t>Project)</w:t>
      </w:r>
      <w:ins w:id="79" w:author="Author">
        <w:r>
          <w:rPr>
            <w:rFonts w:eastAsia="Batang"/>
            <w:lang w:val="en-US"/>
          </w:rPr>
          <w:t xml:space="preserve"> specifications</w:t>
        </w:r>
      </w:ins>
      <w:r>
        <w:rPr>
          <w:rFonts w:eastAsia="Batang"/>
          <w:lang w:val="en-US"/>
        </w:rPr>
        <w:t xml:space="preserve">. A full description is available in Annex 2 of </w:t>
      </w:r>
      <w:hyperlink r:id="rId14" w:history="1">
        <w:r>
          <w:rPr>
            <w:rFonts w:eastAsia="Batang"/>
            <w:color w:val="0000FF"/>
            <w:u w:val="single"/>
            <w:lang w:val="en-US"/>
          </w:rPr>
          <w:t>Recommendation ITU-R M.1801</w:t>
        </w:r>
      </w:hyperlink>
      <w:r>
        <w:rPr>
          <w:rFonts w:eastAsia="Batang"/>
          <w:lang w:val="en-US"/>
        </w:rPr>
        <w:t xml:space="preserve">. </w:t>
      </w:r>
      <w:r>
        <w:rPr>
          <w:rFonts w:eastAsia="Batang"/>
          <w:lang w:val="en-US"/>
        </w:rPr>
        <w:br/>
        <w:t xml:space="preserve">For additional information, see also § 5.4 of </w:t>
      </w:r>
      <w:hyperlink r:id="rId15" w:history="1">
        <w:r>
          <w:rPr>
            <w:rFonts w:eastAsia="Batang"/>
            <w:color w:val="0000FF"/>
            <w:u w:val="single"/>
            <w:lang w:val="en-US"/>
          </w:rPr>
          <w:t>Recommendation ITU R M.1457</w:t>
        </w:r>
      </w:hyperlink>
      <w:r>
        <w:rPr>
          <w:rFonts w:eastAsia="Batang"/>
          <w:lang w:val="en-US"/>
        </w:rPr>
        <w:t xml:space="preserve">. </w:t>
      </w:r>
    </w:p>
    <w:p w:rsidR="00322F71" w:rsidRDefault="00FD52C2">
      <w:pPr>
        <w:pStyle w:val="Heading1"/>
        <w:rPr>
          <w:rFonts w:eastAsia="SimSun"/>
          <w:szCs w:val="22"/>
          <w:lang w:val="en-US" w:eastAsia="zh-CN"/>
        </w:rPr>
      </w:pPr>
      <w:r>
        <w:rPr>
          <w:rFonts w:eastAsia="SimSun"/>
          <w:szCs w:val="22"/>
          <w:lang w:val="en-US" w:eastAsia="zh-CN"/>
        </w:rPr>
        <w:t>5</w:t>
      </w:r>
      <w:r>
        <w:rPr>
          <w:rFonts w:eastAsia="SimSun"/>
          <w:szCs w:val="22"/>
          <w:lang w:val="en-US" w:eastAsia="zh-CN"/>
        </w:rPr>
        <w:tab/>
      </w:r>
      <w:ins w:id="80" w:author="Author">
        <w:r>
          <w:rPr>
            <w:rFonts w:eastAsia="SimSun"/>
            <w:szCs w:val="22"/>
            <w:lang w:val="en-US" w:eastAsia="zh-CN"/>
          </w:rPr>
          <w:t>IMT-2000 CDMA TDD</w:t>
        </w:r>
      </w:ins>
      <w:del w:id="81" w:author="Author">
        <w:r>
          <w:rPr>
            <w:rFonts w:eastAsia="SimSun"/>
            <w:szCs w:val="22"/>
            <w:lang w:val="en-US" w:eastAsia="zh-CN"/>
          </w:rPr>
          <w:delText>Technology “E”</w:delText>
        </w:r>
      </w:del>
    </w:p>
    <w:p w:rsidR="00322F71" w:rsidRDefault="00FD52C2">
      <w:pPr>
        <w:rPr>
          <w:lang w:val="en-US"/>
        </w:rPr>
      </w:pPr>
      <w:r>
        <w:rPr>
          <w:lang w:val="en-US"/>
        </w:rPr>
        <w:t>T</w:t>
      </w:r>
      <w:ins w:id="82" w:author="Author">
        <w:r>
          <w:rPr>
            <w:lang w:val="en-US"/>
          </w:rPr>
          <w:t>h</w:t>
        </w:r>
      </w:ins>
      <w:r>
        <w:rPr>
          <w:lang w:val="en-US"/>
        </w:rPr>
        <w:t>e</w:t>
      </w:r>
      <w:del w:id="83" w:author="Author">
        <w:r>
          <w:rPr>
            <w:lang w:val="en-US"/>
          </w:rPr>
          <w:delText>chnology “E” corresponding to</w:delText>
        </w:r>
      </w:del>
      <w:r>
        <w:rPr>
          <w:lang w:val="en-US"/>
        </w:rPr>
        <w:t xml:space="preserve"> </w:t>
      </w:r>
      <w:ins w:id="84" w:author="Author">
        <w:r>
          <w:rPr>
            <w:lang w:val="en-US"/>
          </w:rPr>
          <w:t xml:space="preserve">specifications for the radio interface standard </w:t>
        </w:r>
      </w:ins>
      <w:r>
        <w:rPr>
          <w:lang w:val="en-US"/>
        </w:rPr>
        <w:t xml:space="preserve">IMT-2000 CDMA TDD, specifically UTRA TDD, </w:t>
      </w:r>
      <w:del w:id="85" w:author="Author">
        <w:r>
          <w:rPr>
            <w:lang w:val="en-US"/>
          </w:rPr>
          <w:delText>technology is</w:delText>
        </w:r>
      </w:del>
      <w:ins w:id="86" w:author="Author">
        <w:r>
          <w:rPr>
            <w:lang w:val="en-US"/>
          </w:rPr>
          <w:t>are</w:t>
        </w:r>
      </w:ins>
      <w:r>
        <w:rPr>
          <w:lang w:val="en-US"/>
        </w:rPr>
        <w:t xml:space="preserve"> developed within 3GPP (3</w:t>
      </w:r>
      <w:r>
        <w:rPr>
          <w:vertAlign w:val="superscript"/>
          <w:lang w:val="en-US"/>
        </w:rPr>
        <w:t>rd</w:t>
      </w:r>
      <w:r>
        <w:rPr>
          <w:lang w:val="en-US"/>
        </w:rPr>
        <w:t> Generation Partnership P</w:t>
      </w:r>
      <w:r>
        <w:rPr>
          <w:lang w:val="en-US"/>
        </w:rPr>
        <w:t>roject). This radio interface is called the Universal Terrestrial Radio Access (UTRA) time division duplex (TDD), where three options, called 1.28 Mchip/s TDD,</w:t>
      </w:r>
      <w:r>
        <w:rPr>
          <w:rFonts w:eastAsia="SimSun"/>
          <w:lang w:val="en-US" w:eastAsia="zh-CN"/>
        </w:rPr>
        <w:t xml:space="preserve"> </w:t>
      </w:r>
      <w:r>
        <w:rPr>
          <w:lang w:val="en-US" w:eastAsia="zh-CN"/>
        </w:rPr>
        <w:t xml:space="preserve">3.84 Mchip/s TDD </w:t>
      </w:r>
      <w:r>
        <w:rPr>
          <w:rFonts w:eastAsia="SimSun"/>
          <w:lang w:val="en-US" w:eastAsia="zh-CN"/>
        </w:rPr>
        <w:t xml:space="preserve">and 7.68 Mchip/s </w:t>
      </w:r>
      <w:r>
        <w:rPr>
          <w:lang w:val="en-US" w:eastAsia="zh-CN"/>
        </w:rPr>
        <w:t>can be distinguished.</w:t>
      </w:r>
      <w:r>
        <w:rPr>
          <w:rFonts w:eastAsia="SimSun"/>
          <w:lang w:val="en-US" w:eastAsia="zh-CN"/>
        </w:rPr>
        <w:t xml:space="preserve"> </w:t>
      </w:r>
      <w:r>
        <w:rPr>
          <w:lang w:val="en-US"/>
        </w:rPr>
        <w:t xml:space="preserve">A full description is available in Annex 2 of </w:t>
      </w:r>
      <w:hyperlink r:id="rId16" w:history="1">
        <w:r>
          <w:rPr>
            <w:color w:val="0000FF"/>
            <w:u w:val="single"/>
            <w:lang w:val="en-US"/>
          </w:rPr>
          <w:t>Recommendation ITU-R M.1801</w:t>
        </w:r>
      </w:hyperlink>
      <w:r>
        <w:rPr>
          <w:lang w:val="en-US"/>
        </w:rPr>
        <w:t>. For additional information, see also § 5.</w:t>
      </w:r>
      <w:r>
        <w:rPr>
          <w:rFonts w:eastAsia="SimSun"/>
          <w:lang w:val="en-US" w:eastAsia="zh-CN"/>
        </w:rPr>
        <w:t>3</w:t>
      </w:r>
      <w:r>
        <w:rPr>
          <w:lang w:val="en-US"/>
        </w:rPr>
        <w:t xml:space="preserve"> of </w:t>
      </w:r>
      <w:hyperlink r:id="rId17" w:history="1">
        <w:r>
          <w:rPr>
            <w:color w:val="0000FF"/>
            <w:u w:val="single"/>
            <w:lang w:val="en-US"/>
          </w:rPr>
          <w:t>Recommendation ITU</w:t>
        </w:r>
        <w:r>
          <w:rPr>
            <w:rFonts w:eastAsia="SimSun"/>
            <w:color w:val="0000FF"/>
            <w:u w:val="single"/>
            <w:lang w:val="en-US" w:eastAsia="zh-CN"/>
          </w:rPr>
          <w:t>-</w:t>
        </w:r>
        <w:r>
          <w:rPr>
            <w:color w:val="0000FF"/>
            <w:u w:val="single"/>
            <w:lang w:val="en-US"/>
          </w:rPr>
          <w:t>R M.14</w:t>
        </w:r>
        <w:r>
          <w:rPr>
            <w:color w:val="0000FF"/>
            <w:u w:val="single"/>
            <w:lang w:val="en-US"/>
          </w:rPr>
          <w:t>57</w:t>
        </w:r>
      </w:hyperlink>
      <w:r>
        <w:rPr>
          <w:lang w:val="en-US"/>
        </w:rPr>
        <w:t>.</w:t>
      </w:r>
    </w:p>
    <w:p w:rsidR="00322F71" w:rsidRDefault="00FD52C2">
      <w:pPr>
        <w:pStyle w:val="Heading1"/>
        <w:rPr>
          <w:rFonts w:eastAsia="SimSun"/>
        </w:rPr>
      </w:pPr>
      <w:r>
        <w:rPr>
          <w:rFonts w:eastAsia="SimSun"/>
        </w:rPr>
        <w:t>6</w:t>
      </w:r>
      <w:r>
        <w:rPr>
          <w:rFonts w:eastAsia="SimSun"/>
        </w:rPr>
        <w:tab/>
      </w:r>
      <w:ins w:id="87" w:author="Author">
        <w:r>
          <w:rPr>
            <w:rFonts w:eastAsia="SimSun"/>
          </w:rPr>
          <w:t>E-UTRA (LTE)</w:t>
        </w:r>
      </w:ins>
      <w:del w:id="88" w:author="Author">
        <w:r>
          <w:rPr>
            <w:rFonts w:eastAsia="SimSun"/>
          </w:rPr>
          <w:delText>Technology “F”</w:delText>
        </w:r>
      </w:del>
    </w:p>
    <w:p w:rsidR="00322F71" w:rsidRDefault="00FD52C2">
      <w:pPr>
        <w:rPr>
          <w:ins w:id="89" w:author="Author"/>
          <w:lang w:val="en-US"/>
        </w:rPr>
      </w:pPr>
      <w:r>
        <w:rPr>
          <w:lang w:val="en-US"/>
        </w:rPr>
        <w:t>T</w:t>
      </w:r>
      <w:ins w:id="90" w:author="Author">
        <w:r>
          <w:rPr>
            <w:lang w:val="en-US"/>
          </w:rPr>
          <w:t>h</w:t>
        </w:r>
      </w:ins>
      <w:r>
        <w:rPr>
          <w:lang w:val="en-US"/>
        </w:rPr>
        <w:t>e</w:t>
      </w:r>
      <w:del w:id="91" w:author="Author">
        <w:r>
          <w:rPr>
            <w:lang w:val="en-US"/>
          </w:rPr>
          <w:delText>chnology “F” corresponding to</w:delText>
        </w:r>
      </w:del>
      <w:r>
        <w:rPr>
          <w:lang w:val="en-US"/>
        </w:rPr>
        <w:t xml:space="preserve"> </w:t>
      </w:r>
      <w:ins w:id="92" w:author="Author">
        <w:r>
          <w:rPr>
            <w:lang w:val="en-US"/>
          </w:rPr>
          <w:t xml:space="preserve">specifications for the radio interface standard </w:t>
        </w:r>
      </w:ins>
      <w:r>
        <w:rPr>
          <w:lang w:val="en-US"/>
        </w:rPr>
        <w:t xml:space="preserve">E-UTRA (LTE) </w:t>
      </w:r>
      <w:del w:id="93" w:author="Author">
        <w:r>
          <w:rPr>
            <w:lang w:val="en-US"/>
          </w:rPr>
          <w:delText>technology is</w:delText>
        </w:r>
      </w:del>
      <w:ins w:id="94" w:author="Author">
        <w:r>
          <w:rPr>
            <w:lang w:val="en-US"/>
          </w:rPr>
          <w:t>are</w:t>
        </w:r>
      </w:ins>
      <w:r>
        <w:rPr>
          <w:lang w:val="en-US"/>
        </w:rPr>
        <w:t xml:space="preserve"> developed within 3GPP (3</w:t>
      </w:r>
      <w:r>
        <w:rPr>
          <w:vertAlign w:val="superscript"/>
          <w:lang w:val="en-US"/>
        </w:rPr>
        <w:t>rd</w:t>
      </w:r>
      <w:r>
        <w:rPr>
          <w:lang w:val="en-US"/>
        </w:rPr>
        <w:t> Generation Partnership Project)</w:t>
      </w:r>
      <w:ins w:id="95" w:author="Author">
        <w:r>
          <w:rPr>
            <w:lang w:val="en-US"/>
          </w:rPr>
          <w:t xml:space="preserve"> for both FDD and TDD</w:t>
        </w:r>
      </w:ins>
      <w:r>
        <w:rPr>
          <w:lang w:val="en-US"/>
        </w:rPr>
        <w:t>.  This radio interface is called</w:t>
      </w:r>
      <w:r>
        <w:rPr>
          <w:lang w:val="en-US"/>
        </w:rPr>
        <w:t xml:space="preserve"> the </w:t>
      </w:r>
      <w:r>
        <w:rPr>
          <w:bCs/>
          <w:lang w:val="en-US"/>
        </w:rPr>
        <w:t>Evolved Universal Terrestrial Radio Access</w:t>
      </w:r>
      <w:r>
        <w:rPr>
          <w:lang w:val="en-US"/>
        </w:rPr>
        <w:t xml:space="preserve"> (E-UTRA) also referred to as the Long-Term Evolution (LTE). LTE supports scalable carrier bandwidths, from </w:t>
      </w:r>
      <w:r w:rsidR="001062CB">
        <w:rPr>
          <w:lang w:val="en-US"/>
        </w:rPr>
        <w:br/>
      </w:r>
      <w:r>
        <w:rPr>
          <w:lang w:val="en-US"/>
        </w:rPr>
        <w:t>20 MHz down to 1.4 MHz, and supports both frequency division duplexing (FDD) and time division duplex</w:t>
      </w:r>
      <w:r>
        <w:rPr>
          <w:lang w:val="en-US"/>
        </w:rPr>
        <w:t xml:space="preserve">ing (TDD). </w:t>
      </w:r>
      <w:ins w:id="96" w:author="Author">
        <w:r>
          <w:rPr>
            <w:lang w:val="en-US"/>
          </w:rPr>
          <w:t xml:space="preserve">LTE-Advanced represents the evolution of earlier releases of LTE, being developed by 3GPP as LTE Release 10 and Beyond (LTE-Advanced). A full description is available in Annex 2 and Annex 3 of </w:t>
        </w:r>
        <w:r>
          <w:fldChar w:fldCharType="begin"/>
        </w:r>
        <w:r>
          <w:instrText xml:space="preserve"> HYPERLINK "http://www.itu.int/rec/R-REC-M.1801/en" </w:instrText>
        </w:r>
        <w:r>
          <w:fldChar w:fldCharType="separate"/>
        </w:r>
        <w:r>
          <w:rPr>
            <w:rStyle w:val="Hyperlink"/>
            <w:lang w:val="en-US"/>
          </w:rPr>
          <w:t>Recommendation ITU-R M.1801</w:t>
        </w:r>
        <w:r>
          <w:fldChar w:fldCharType="end"/>
        </w:r>
        <w:r>
          <w:rPr>
            <w:lang w:val="en-US"/>
          </w:rPr>
          <w:t xml:space="preserve">. </w:t>
        </w:r>
      </w:ins>
      <w:r>
        <w:rPr>
          <w:lang w:val="en-US"/>
        </w:rPr>
        <w:t xml:space="preserve">For additional information, see §§ 5.1 and 5.3 of </w:t>
      </w:r>
      <w:hyperlink r:id="rId18" w:history="1">
        <w:r>
          <w:rPr>
            <w:rStyle w:val="Hyperlink"/>
            <w:lang w:val="en-US"/>
          </w:rPr>
          <w:t>Recommendation ITU-R M.1457</w:t>
        </w:r>
      </w:hyperlink>
      <w:ins w:id="97" w:author="Author">
        <w:r>
          <w:rPr>
            <w:u w:val="single"/>
            <w:lang w:val="en-US"/>
          </w:rPr>
          <w:t xml:space="preserve">, and Annex 1 of Recommendation </w:t>
        </w:r>
      </w:ins>
      <w:r>
        <w:rPr>
          <w:u w:val="single"/>
          <w:lang w:val="en-US"/>
        </w:rPr>
        <w:br/>
      </w:r>
      <w:ins w:id="98" w:author="Author">
        <w:r>
          <w:rPr>
            <w:u w:val="single"/>
            <w:lang w:val="en-US"/>
          </w:rPr>
          <w:t>ITU-R M.2012</w:t>
        </w:r>
      </w:ins>
      <w:r>
        <w:rPr>
          <w:lang w:val="en-US"/>
        </w:rPr>
        <w:t>.</w:t>
      </w:r>
    </w:p>
    <w:p w:rsidR="00322F71" w:rsidRDefault="00FD52C2">
      <w:pPr>
        <w:pStyle w:val="Heading1"/>
        <w:rPr>
          <w:ins w:id="99" w:author="Author"/>
        </w:rPr>
      </w:pPr>
      <w:ins w:id="100" w:author="Author">
        <w:r>
          <w:t>7</w:t>
        </w:r>
        <w:r>
          <w:rPr>
            <w:rFonts w:eastAsia="SimSun"/>
          </w:rPr>
          <w:tab/>
        </w:r>
        <w:r>
          <w:t>SCDMA</w:t>
        </w:r>
        <w:del w:id="101" w:author="Author">
          <w:r>
            <w:delText>Technology “G”</w:delText>
          </w:r>
        </w:del>
      </w:ins>
    </w:p>
    <w:p w:rsidR="00322F71" w:rsidRDefault="00FD52C2">
      <w:pPr>
        <w:rPr>
          <w:lang w:val="en-US"/>
        </w:rPr>
      </w:pPr>
      <w:ins w:id="102" w:author="Author">
        <w:r>
          <w:rPr>
            <w:lang w:val="en-US"/>
          </w:rPr>
          <w:t xml:space="preserve">The </w:t>
        </w:r>
        <w:del w:id="103" w:author="Author">
          <w:r>
            <w:rPr>
              <w:lang w:val="en-US"/>
            </w:rPr>
            <w:delText xml:space="preserve">echnology “G” </w:delText>
          </w:r>
          <w:r>
            <w:rPr>
              <w:lang w:val="en-US"/>
            </w:rPr>
            <w:delText>corresponding to</w:delText>
          </w:r>
        </w:del>
        <w:r>
          <w:rPr>
            <w:lang w:val="en-US"/>
          </w:rPr>
          <w:t xml:space="preserve"> radio interface standard SCDMA </w:t>
        </w:r>
        <w:del w:id="104" w:author="Author">
          <w:r>
            <w:rPr>
              <w:lang w:val="en-US"/>
            </w:rPr>
            <w:delText xml:space="preserve">technology </w:delText>
          </w:r>
        </w:del>
        <w:r>
          <w:rPr>
            <w:lang w:val="en-US"/>
          </w:rPr>
          <w:t>is developed within CCSA (China Communications Standards Association). The radio interface supports a channel bandwidth of a multiple of 1 MHz up to 5 MHz. Sub</w:t>
        </w:r>
        <w:r>
          <w:rPr>
            <w:lang w:val="en-US"/>
          </w:rPr>
          <w:noBreakHyphen/>
          <w:t>channelization and code spread, speci</w:t>
        </w:r>
        <w:r>
          <w:rPr>
            <w:lang w:val="en-US"/>
          </w:rPr>
          <w:t xml:space="preserve">ally defined inside each 1 MHz bandwidth, provides frequency diversity and interference observation capability for radio resource assignment with bandwidth granularity of 8 kbit/s. </w:t>
        </w:r>
      </w:ins>
      <w:r>
        <w:rPr>
          <w:lang w:val="en-US"/>
        </w:rPr>
        <w:br/>
      </w:r>
      <w:ins w:id="105" w:author="Author">
        <w:r>
          <w:rPr>
            <w:lang w:val="en-US"/>
          </w:rPr>
          <w:t>The channelization also allows coordinated dynamic channel allocations amo</w:t>
        </w:r>
        <w:r>
          <w:rPr>
            <w:lang w:val="en-US"/>
          </w:rPr>
          <w:t xml:space="preserve">ng cells to efficiently avoid mutual interference. </w:t>
        </w:r>
      </w:ins>
    </w:p>
    <w:p w:rsidR="00322F71" w:rsidRDefault="00FD52C2">
      <w:pPr>
        <w:rPr>
          <w:ins w:id="106" w:author="Author"/>
          <w:lang w:val="en-US"/>
        </w:rPr>
      </w:pPr>
      <w:ins w:id="107" w:author="Author">
        <w:r>
          <w:rPr>
            <w:lang w:val="en-US"/>
          </w:rPr>
          <w:t xml:space="preserve">The system employs TDD to separate uplink and downlink transmission. For additional information, see Annex 7 of </w:t>
        </w:r>
        <w:r>
          <w:rPr>
            <w:lang w:val="en-US"/>
          </w:rPr>
          <w:fldChar w:fldCharType="begin"/>
        </w:r>
        <w:r>
          <w:rPr>
            <w:lang w:val="en-US"/>
            <w:rPrChange w:id="108" w:author="Author">
              <w:rPr>
                <w:b/>
                <w:sz w:val="28"/>
              </w:rPr>
            </w:rPrChange>
          </w:rPr>
          <w:instrText>HYPERLINK "http://www.itu.int/rec/R-REC-M.1457/en"</w:instrText>
        </w:r>
        <w:r>
          <w:rPr>
            <w:lang w:val="en-US"/>
            <w:rPrChange w:id="109" w:author="Author">
              <w:rPr>
                <w:lang w:val="en-US"/>
              </w:rPr>
            </w:rPrChange>
          </w:rPr>
          <w:fldChar w:fldCharType="separate"/>
        </w:r>
        <w:r>
          <w:rPr>
            <w:lang w:val="en-US"/>
          </w:rPr>
          <w:t>Recommendation ITU-R M.1801</w:t>
        </w:r>
        <w:r>
          <w:rPr>
            <w:lang w:val="en-US"/>
          </w:rPr>
          <w:fldChar w:fldCharType="end"/>
        </w:r>
        <w:r>
          <w:rPr>
            <w:lang w:val="en-US"/>
          </w:rPr>
          <w:t>.</w:t>
        </w:r>
      </w:ins>
    </w:p>
    <w:p w:rsidR="00322F71" w:rsidRDefault="00322F71">
      <w:pPr>
        <w:rPr>
          <w:lang w:val="en-US"/>
        </w:rPr>
      </w:pPr>
    </w:p>
    <w:p w:rsidR="00322F71" w:rsidRDefault="00FD52C2">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322F71" w:rsidRDefault="00FD52C2">
      <w:pPr>
        <w:pStyle w:val="AnnexNo"/>
        <w:rPr>
          <w:lang w:val="en-US"/>
        </w:rPr>
      </w:pPr>
      <w:r>
        <w:rPr>
          <w:lang w:val="en-US"/>
        </w:rPr>
        <w:lastRenderedPageBreak/>
        <w:t xml:space="preserve">Annex </w:t>
      </w:r>
      <w:r>
        <w:rPr>
          <w:lang w:val="en-US"/>
        </w:rPr>
        <w:t>2</w:t>
      </w:r>
    </w:p>
    <w:p w:rsidR="00322F71" w:rsidRDefault="00FD52C2">
      <w:pPr>
        <w:pStyle w:val="Annextitle"/>
        <w:rPr>
          <w:lang w:val="en-US"/>
        </w:rPr>
      </w:pPr>
      <w:r>
        <w:rPr>
          <w:lang w:val="en-US"/>
        </w:rPr>
        <w:t>Narrow-band radio interface standards for use by PPDR operations</w:t>
      </w:r>
      <w:r>
        <w:rPr>
          <w:lang w:val="en-US"/>
        </w:rPr>
        <w:br/>
        <w:t>in accordance with Resolution 646 (</w:t>
      </w:r>
      <w:ins w:id="110" w:author="Author">
        <w:r>
          <w:rPr>
            <w:lang w:val="en-US"/>
          </w:rPr>
          <w:t xml:space="preserve">Rev. </w:t>
        </w:r>
      </w:ins>
      <w:r>
        <w:rPr>
          <w:lang w:val="en-US"/>
        </w:rPr>
        <w:t>WRC-</w:t>
      </w:r>
      <w:ins w:id="111" w:author="Author">
        <w:r>
          <w:rPr>
            <w:lang w:val="en-US"/>
          </w:rPr>
          <w:t>12</w:t>
        </w:r>
      </w:ins>
      <w:del w:id="112" w:author="Author">
        <w:r>
          <w:rPr>
            <w:lang w:val="en-US"/>
          </w:rPr>
          <w:delText>03</w:delText>
        </w:r>
      </w:del>
      <w:r>
        <w:rPr>
          <w:lang w:val="en-US"/>
        </w:rPr>
        <w:t>)</w:t>
      </w:r>
    </w:p>
    <w:p w:rsidR="00322F71" w:rsidRDefault="00FD52C2">
      <w:pPr>
        <w:pStyle w:val="Normalaftertitle0"/>
      </w:pPr>
      <w:r>
        <w:t>This Annex provides information on narrow-band standards for use by PPDR operations. References are provided to ITU texts which contain mor</w:t>
      </w:r>
      <w:r>
        <w:t xml:space="preserve">e detailed descriptions of these standards and their capabilities. It is recognized that these standards may not fulfil all the user requirements described in </w:t>
      </w:r>
      <w:ins w:id="113" w:author="Author">
        <w:r>
          <w:t>Report ITU-R M.2033</w:t>
        </w:r>
      </w:ins>
      <w:del w:id="114" w:author="Author">
        <w:r>
          <w:delText>Annex 3</w:delText>
        </w:r>
      </w:del>
      <w:r>
        <w:t xml:space="preserve">, and that each administration and its PPDR organizations will have to </w:t>
      </w:r>
      <w:r>
        <w:t>analyse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115" w:author="Author">
        <w:r>
          <w:rPr>
            <w:szCs w:val="22"/>
            <w:lang w:val="en-US"/>
          </w:rPr>
          <w:t>Project 25</w:t>
        </w:r>
      </w:ins>
      <w:del w:id="116" w:author="Author">
        <w:r>
          <w:rPr>
            <w:szCs w:val="22"/>
            <w:lang w:val="en-US"/>
          </w:rPr>
          <w:delText>Technology “A”</w:delText>
        </w:r>
      </w:del>
    </w:p>
    <w:p w:rsidR="00322F71" w:rsidRDefault="00FD52C2">
      <w:pPr>
        <w:rPr>
          <w:lang w:val="en-US"/>
        </w:rPr>
      </w:pPr>
      <w:del w:id="117" w:author="Author">
        <w:r>
          <w:rPr>
            <w:lang w:val="en-US"/>
          </w:rPr>
          <w:delText xml:space="preserve">Technology “A” corresponding to </w:delText>
        </w:r>
      </w:del>
      <w:r>
        <w:rPr>
          <w:lang w:val="en-US"/>
        </w:rPr>
        <w:t>Project 25 is developed by TIA TR-8 with input from the Project 25 steering committee made up of represe</w:t>
      </w:r>
      <w:r>
        <w:rPr>
          <w:lang w:val="en-US"/>
        </w:rPr>
        <w:t>ntatives from the Association of Public Safety Communications Officials International (APCO), the National Association of State Technology Directors (NASTD), selected federal agencies and the National Communications System (NCS). Project 25 operates in 12.</w:t>
      </w:r>
      <w:r>
        <w:rPr>
          <w:lang w:val="en-US"/>
        </w:rPr>
        <w:t>5 kHz or 25 kHz channels.</w:t>
      </w:r>
    </w:p>
    <w:p w:rsidR="00322F71" w:rsidRDefault="00FD52C2">
      <w:pPr>
        <w:rPr>
          <w:lang w:val="en-US"/>
        </w:rPr>
      </w:pPr>
      <w:bookmarkStart w:id="118" w:name="OLE_LINK1"/>
      <w:bookmarkStart w:id="119" w:name="OLE_LINK2"/>
      <w:r>
        <w:rPr>
          <w:lang w:val="en-US"/>
        </w:rPr>
        <w:t>For additional information on the technical and operational characteristics of Project 25, see </w:t>
      </w:r>
      <w:hyperlink r:id="rId19" w:history="1">
        <w:r>
          <w:rPr>
            <w:color w:val="0000FF"/>
            <w:u w:val="single"/>
            <w:lang w:val="en-US"/>
          </w:rPr>
          <w:t>Report ITU-R M.2014</w:t>
        </w:r>
      </w:hyperlink>
      <w:bookmarkEnd w:id="118"/>
      <w:bookmarkEnd w:id="119"/>
      <w:r>
        <w:rPr>
          <w:lang w:val="en-US"/>
        </w:rPr>
        <w:t xml:space="preserve"> and Volume 3 of the Land Mobile Handbook.</w:t>
      </w:r>
    </w:p>
    <w:p w:rsidR="00322F71" w:rsidRDefault="00FD52C2">
      <w:pPr>
        <w:pStyle w:val="Heading1"/>
        <w:rPr>
          <w:szCs w:val="22"/>
          <w:lang w:val="en-US"/>
        </w:rPr>
      </w:pPr>
      <w:r>
        <w:rPr>
          <w:szCs w:val="22"/>
          <w:lang w:val="en-US"/>
        </w:rPr>
        <w:t>2</w:t>
      </w:r>
      <w:r>
        <w:rPr>
          <w:szCs w:val="22"/>
          <w:lang w:val="en-US"/>
        </w:rPr>
        <w:tab/>
      </w:r>
      <w:ins w:id="120" w:author="Author">
        <w:r>
          <w:rPr>
            <w:szCs w:val="22"/>
            <w:lang w:val="en-US"/>
          </w:rPr>
          <w:t>Terrestrial Tru</w:t>
        </w:r>
        <w:r>
          <w:rPr>
            <w:szCs w:val="22"/>
            <w:lang w:val="en-US"/>
          </w:rPr>
          <w:t>nked Radio (TETRA)</w:t>
        </w:r>
      </w:ins>
      <w:del w:id="121" w:author="Author">
        <w:r>
          <w:rPr>
            <w:szCs w:val="22"/>
            <w:lang w:val="en-US"/>
          </w:rPr>
          <w:delText>Technology “B”</w:delText>
        </w:r>
      </w:del>
    </w:p>
    <w:p w:rsidR="00322F71" w:rsidRDefault="00FD52C2">
      <w:pPr>
        <w:rPr>
          <w:lang w:val="en-US" w:eastAsia="zh-CN"/>
        </w:rPr>
      </w:pPr>
      <w:r>
        <w:rPr>
          <w:lang w:val="en-US" w:eastAsia="zh-CN"/>
        </w:rPr>
        <w:t>T</w:t>
      </w:r>
      <w:del w:id="122" w:author="Author">
        <w:r>
          <w:rPr>
            <w:lang w:val="en-US" w:eastAsia="zh-CN"/>
          </w:rPr>
          <w:delText>echnology “B” corresponding to t</w:delText>
        </w:r>
      </w:del>
      <w:r>
        <w:rPr>
          <w:lang w:val="en-US" w:eastAsia="zh-CN"/>
        </w:rPr>
        <w:t>he Terrestrial Trunked Radio (TETRA) system was developed in the European Telecommunications Standards Institute (ETSI) as ETSI Project TETRA (now known as ETSI Technical Committee (TC) TETR</w:t>
      </w:r>
      <w:r>
        <w:rPr>
          <w:lang w:val="en-US" w:eastAsia="zh-CN"/>
        </w:rPr>
        <w:t>A) to deliver a digital trunked mobile radio set of standards, under a mandate from the European Commission, for a PMR communications system that could be deployed in Western Europe.</w:t>
      </w:r>
    </w:p>
    <w:p w:rsidR="00322F71" w:rsidRDefault="00FD52C2">
      <w:pPr>
        <w:rPr>
          <w:lang w:val="en-US" w:eastAsia="zh-CN"/>
        </w:rPr>
      </w:pPr>
      <w:r>
        <w:rPr>
          <w:lang w:val="en-US" w:eastAsia="zh-CN"/>
        </w:rPr>
        <w:t>Besides meeting the needs of traditional PMR user organizations, the TETR</w:t>
      </w:r>
      <w:r>
        <w:rPr>
          <w:lang w:val="en-US" w:eastAsia="zh-CN"/>
        </w:rPr>
        <w:t>A standard has also been developed to meet the needs of Public Access Mobile Radio (PAMR) operators.</w:t>
      </w:r>
    </w:p>
    <w:p w:rsidR="00322F71" w:rsidRDefault="00FD52C2">
      <w:pPr>
        <w:rPr>
          <w:lang w:val="en-US" w:eastAsia="zh-CN"/>
        </w:rPr>
      </w:pPr>
      <w:r>
        <w:rPr>
          <w:lang w:val="en-US" w:eastAsia="zh-CN"/>
        </w:rPr>
        <w:t>For additional information on the technical and operational characteristics of TETRA, see </w:t>
      </w:r>
      <w:hyperlink r:id="rId20" w:history="1">
        <w:r>
          <w:rPr>
            <w:color w:val="0000FF"/>
            <w:u w:val="single"/>
            <w:lang w:val="en-US" w:eastAsia="zh-CN"/>
          </w:rPr>
          <w:t>Report IT</w:t>
        </w:r>
        <w:r>
          <w:rPr>
            <w:color w:val="0000FF"/>
            <w:u w:val="single"/>
            <w:lang w:val="en-US" w:eastAsia="zh-CN"/>
          </w:rPr>
          <w:t>U-R M.2014</w:t>
        </w:r>
      </w:hyperlink>
      <w:r>
        <w:rPr>
          <w:lang w:val="en-US" w:eastAsia="zh-CN"/>
        </w:rPr>
        <w:t>.</w:t>
      </w:r>
    </w:p>
    <w:p w:rsidR="00322F71" w:rsidRDefault="00FD52C2">
      <w:pPr>
        <w:pStyle w:val="Heading1"/>
        <w:rPr>
          <w:szCs w:val="22"/>
          <w:lang w:val="en-US"/>
        </w:rPr>
      </w:pPr>
      <w:r>
        <w:rPr>
          <w:szCs w:val="22"/>
          <w:lang w:val="en-US"/>
        </w:rPr>
        <w:t>3</w:t>
      </w:r>
      <w:r>
        <w:rPr>
          <w:szCs w:val="22"/>
          <w:lang w:val="en-US"/>
        </w:rPr>
        <w:tab/>
      </w:r>
      <w:ins w:id="123" w:author="Author">
        <w:r>
          <w:rPr>
            <w:szCs w:val="22"/>
            <w:lang w:val="en-US"/>
          </w:rPr>
          <w:t>Digital Mobile Radio (DMR)</w:t>
        </w:r>
      </w:ins>
      <w:del w:id="124" w:author="Author">
        <w:r>
          <w:rPr>
            <w:szCs w:val="22"/>
            <w:lang w:val="en-US"/>
          </w:rPr>
          <w:delText>Technology “C”</w:delText>
        </w:r>
      </w:del>
    </w:p>
    <w:p w:rsidR="00322F71" w:rsidRDefault="00FD52C2">
      <w:pPr>
        <w:rPr>
          <w:lang w:val="en-US" w:eastAsia="zh-CN"/>
        </w:rPr>
      </w:pPr>
      <w:r>
        <w:rPr>
          <w:lang w:val="en-US" w:eastAsia="zh-CN"/>
        </w:rPr>
        <w:t>T</w:t>
      </w:r>
      <w:del w:id="125" w:author="Author">
        <w:r>
          <w:rPr>
            <w:lang w:val="en-US" w:eastAsia="zh-CN"/>
          </w:rPr>
          <w:delText>echnology “C” corresponding to t</w:delText>
        </w:r>
      </w:del>
      <w:r>
        <w:rPr>
          <w:lang w:val="en-US" w:eastAsia="zh-CN"/>
        </w:rPr>
        <w:t>he Digital Mobile Radio (DMR) system was developed by ETSI as a direct digital replacement for analogue PMR while imposing no fundamental changes in the architecture of</w:t>
      </w:r>
      <w:r>
        <w:rPr>
          <w:lang w:val="en-US" w:eastAsia="zh-CN"/>
        </w:rPr>
        <w:t xml:space="preserve"> either conventional or trunked systems.</w:t>
      </w:r>
    </w:p>
    <w:p w:rsidR="00322F71" w:rsidRDefault="00FD52C2">
      <w:pPr>
        <w:rPr>
          <w:lang w:val="en-US" w:eastAsia="zh-CN"/>
        </w:rPr>
      </w:pPr>
      <w:r>
        <w:rPr>
          <w:lang w:val="en-US" w:eastAsia="zh-CN"/>
        </w:rPr>
        <w:t>DMR is a scalable system that can be used in unlicensed mode, and in licensed mode, subject to national frequency planning. It is developed in three “tiers”:</w:t>
      </w:r>
    </w:p>
    <w:p w:rsidR="00322F71" w:rsidRDefault="00FD52C2">
      <w:pPr>
        <w:pStyle w:val="enumlev1"/>
        <w:rPr>
          <w:lang w:val="en-US" w:eastAsia="zh-CN"/>
        </w:rPr>
      </w:pPr>
      <w:r>
        <w:rPr>
          <w:lang w:val="en-US" w:eastAsia="zh-CN"/>
        </w:rPr>
        <w:t>–</w:t>
      </w:r>
      <w:r>
        <w:rPr>
          <w:lang w:val="en-US" w:eastAsia="zh-CN"/>
        </w:rPr>
        <w:tab/>
        <w:t xml:space="preserve">tier 1 is the low-cost, licence-exempt “digital </w:t>
      </w:r>
      <w:r>
        <w:rPr>
          <w:lang w:val="en-US" w:eastAsia="zh-CN"/>
        </w:rPr>
        <w:t>PMR446”;</w:t>
      </w:r>
    </w:p>
    <w:p w:rsidR="00322F71" w:rsidRDefault="00FD52C2">
      <w:pPr>
        <w:pStyle w:val="enumlev1"/>
        <w:rPr>
          <w:lang w:val="en-US" w:eastAsia="zh-CN"/>
        </w:rPr>
      </w:pPr>
      <w:r>
        <w:rPr>
          <w:lang w:val="en-US" w:eastAsia="zh-CN"/>
        </w:rPr>
        <w:t>–</w:t>
      </w:r>
      <w:r>
        <w:rPr>
          <w:lang w:val="en-US" w:eastAsia="zh-CN"/>
        </w:rPr>
        <w:tab/>
        <w:t>tier 2 is for the professional market offering peer-to-peer mode and repeater mode (licensed);</w:t>
      </w:r>
    </w:p>
    <w:p w:rsidR="00322F71" w:rsidRDefault="00FD52C2">
      <w:pPr>
        <w:pStyle w:val="enumlev1"/>
        <w:rPr>
          <w:lang w:val="en-US" w:eastAsia="zh-CN"/>
        </w:rPr>
      </w:pPr>
      <w:r>
        <w:rPr>
          <w:lang w:val="en-US" w:eastAsia="zh-CN"/>
        </w:rPr>
        <w:t>–</w:t>
      </w:r>
      <w:r>
        <w:rPr>
          <w:lang w:val="en-US" w:eastAsia="zh-CN"/>
        </w:rPr>
        <w:tab/>
        <w:t>tier 3 is for trunked operation (licensed).</w:t>
      </w:r>
    </w:p>
    <w:p w:rsidR="00322F71" w:rsidRDefault="00FD52C2">
      <w:pPr>
        <w:rPr>
          <w:lang w:val="en-US" w:eastAsia="zh-CN"/>
        </w:rPr>
      </w:pPr>
      <w:r>
        <w:rPr>
          <w:lang w:val="en-US" w:eastAsia="zh-CN"/>
        </w:rPr>
        <w:t>DMR is a two slot time-division multiple access (TDMA) system offering digital voice and data solutions,</w:t>
      </w:r>
      <w:r>
        <w:rPr>
          <w:lang w:val="en-US" w:eastAsia="zh-CN"/>
        </w:rPr>
        <w:t xml:space="preserve"> and uses a 4FSK modulation scheme utilizing 6.25 kHz per channel. The standard is designed to operate within the existing 12.5 kHz channel spacing.</w:t>
      </w:r>
    </w:p>
    <w:p w:rsidR="00322F71" w:rsidRDefault="00FD52C2">
      <w:pPr>
        <w:rPr>
          <w:lang w:val="en-US" w:eastAsia="zh-CN"/>
        </w:rPr>
      </w:pPr>
      <w:r>
        <w:rPr>
          <w:lang w:val="en-US" w:eastAsia="zh-CN"/>
        </w:rPr>
        <w:lastRenderedPageBreak/>
        <w:t>For additional information on the technical and operational characteristics of DMR, see ETSI Technical Report TR 102 398 that provides a useful introduction to DMR. Technical Specification TS 102 362 parts 1 to 3 covers DMR protocol conformance testing and</w:t>
      </w:r>
      <w:r>
        <w:rPr>
          <w:lang w:val="en-US" w:eastAsia="zh-CN"/>
        </w:rPr>
        <w:t xml:space="preserve"> test suites, and Technical Specification TS 102 490 defines the narrow-band or “digital PMR” protocol. </w:t>
      </w:r>
    </w:p>
    <w:p w:rsidR="00322F71" w:rsidRDefault="00FD52C2">
      <w:pPr>
        <w:rPr>
          <w:lang w:val="en-US" w:eastAsia="zh-CN"/>
        </w:rPr>
      </w:pPr>
      <w:r>
        <w:rPr>
          <w:lang w:val="en-US" w:eastAsia="zh-CN"/>
        </w:rPr>
        <w:t>The System Reference Documents are ETSI Technical Report TR 102 335-1 (Tier 1 DMR) and TR 102 335-2 (licensed).</w:t>
      </w:r>
    </w:p>
    <w:p w:rsidR="00322F71" w:rsidRDefault="00322F71">
      <w:pPr>
        <w:rPr>
          <w:lang w:val="en-US" w:eastAsia="zh-CN"/>
        </w:rPr>
      </w:pPr>
    </w:p>
    <w:p w:rsidR="00322F71" w:rsidRDefault="00322F71">
      <w:pPr>
        <w:rPr>
          <w:lang w:val="en-US" w:eastAsia="zh-CN"/>
        </w:rPr>
      </w:pPr>
    </w:p>
    <w:p w:rsidR="00322F71" w:rsidRDefault="00FD52C2">
      <w:pPr>
        <w:pStyle w:val="AppendixNo"/>
        <w:rPr>
          <w:del w:id="126" w:author="Author"/>
          <w:lang w:val="en-US"/>
        </w:rPr>
      </w:pPr>
      <w:del w:id="127" w:author="Author">
        <w:r>
          <w:rPr>
            <w:lang w:val="en-US"/>
          </w:rPr>
          <w:delText>Annex 3</w:delText>
        </w:r>
      </w:del>
    </w:p>
    <w:p w:rsidR="00322F71" w:rsidRDefault="00FD52C2">
      <w:pPr>
        <w:pStyle w:val="Annextitle"/>
        <w:rPr>
          <w:del w:id="128" w:author="Author"/>
          <w:lang w:val="en-US"/>
        </w:rPr>
      </w:pPr>
      <w:del w:id="129" w:author="Author">
        <w:r>
          <w:rPr>
            <w:lang w:val="en-US"/>
          </w:rPr>
          <w:delText>PPDR user requirements</w:delText>
        </w:r>
      </w:del>
    </w:p>
    <w:p w:rsidR="00322F71" w:rsidRDefault="00FD52C2">
      <w:pPr>
        <w:pStyle w:val="Normalaftertitle0"/>
        <w:spacing w:before="480"/>
        <w:rPr>
          <w:del w:id="130" w:author="Author"/>
        </w:rPr>
      </w:pPr>
      <w:del w:id="131" w:author="Author">
        <w:r>
          <w:delText>PPDR i</w:delText>
        </w:r>
        <w:r>
          <w:delText>s defined in Resolution 646 (</w:delText>
        </w:r>
      </w:del>
      <w:ins w:id="132" w:author="Author">
        <w:del w:id="133" w:author="Author">
          <w:r>
            <w:delText xml:space="preserve">Rev. </w:delText>
          </w:r>
        </w:del>
      </w:ins>
      <w:del w:id="134" w:author="Author">
        <w:r>
          <w:delText>WRC-</w:delText>
        </w:r>
      </w:del>
      <w:ins w:id="135" w:author="Author">
        <w:del w:id="136" w:author="Author">
          <w:r>
            <w:delText>12</w:delText>
          </w:r>
        </w:del>
      </w:ins>
      <w:del w:id="137" w:author="Author">
        <w:r>
          <w:delText>03) through a combination of the terms “public protection radiocommunication” and “disaster relief radiocommunication”. The first term refers to radiocommunications used by responsible agencies and organizations deal</w:delText>
        </w:r>
        <w:r>
          <w:delText xml:space="preserve">ing with maintenance of law and order, protection of life and property and emergency situations, and the second term refers to radiocommunications used by agencies and organizations dealing with a serious disruption of the functioning of society, posing a </w:delText>
        </w:r>
        <w:r>
          <w:delText>significant widespread threat to human life, health, property or the environment, whether caused by accident, natural phenomena or human activity, and whether developing suddenly or as a result of complex, long-term processes.</w:delText>
        </w:r>
      </w:del>
    </w:p>
    <w:p w:rsidR="00322F71" w:rsidRDefault="00FD52C2">
      <w:pPr>
        <w:rPr>
          <w:del w:id="138" w:author="Author"/>
          <w:lang w:val="en-US"/>
        </w:rPr>
      </w:pPr>
      <w:del w:id="139" w:author="Author">
        <w:r>
          <w:rPr>
            <w:lang w:val="en-US"/>
          </w:rPr>
          <w:delText>In addition, Resolution 646</w:delText>
        </w:r>
      </w:del>
      <w:ins w:id="140" w:author="Author">
        <w:del w:id="141" w:author="Author">
          <w:r>
            <w:rPr>
              <w:lang w:val="en-US"/>
            </w:rPr>
            <w:delText xml:space="preserve"> (</w:delText>
          </w:r>
          <w:r>
            <w:rPr>
              <w:lang w:val="en-US"/>
            </w:rPr>
            <w:delText>Rev. WRC-12)</w:delText>
          </w:r>
        </w:del>
      </w:ins>
      <w:del w:id="142" w:author="Author">
        <w:r>
          <w:rPr>
            <w:lang w:val="en-US"/>
          </w:rPr>
          <w:delText xml:space="preserve"> and Report ITU-R M.2033 describe a range of requirements for PPDR. It is recognized that there is a need for narrow-band, wideband and broadband applications, and Resolution 646</w:delText>
        </w:r>
      </w:del>
      <w:ins w:id="143" w:author="Author">
        <w:del w:id="144" w:author="Author">
          <w:r>
            <w:rPr>
              <w:lang w:val="en-US"/>
            </w:rPr>
            <w:delText xml:space="preserve"> (Rev. WRC-12)</w:delText>
          </w:r>
        </w:del>
      </w:ins>
      <w:del w:id="145" w:author="Author">
        <w:r>
          <w:rPr>
            <w:lang w:val="en-US"/>
          </w:rPr>
          <w:delText xml:space="preserve"> and Report ITU-R M.2033 provide general definitions</w:delText>
        </w:r>
        <w:r>
          <w:rPr>
            <w:lang w:val="en-US"/>
          </w:rPr>
          <w:delText xml:space="preserve"> of these terms applicable for PPDR. It is recognized, however, that other definitions of these terms exist in other ITU texts (such as Recommendation ITU-R F.1399) or in the rules of various individual administrations. As a result, the terms are defined i</w:delText>
        </w:r>
        <w:r>
          <w:rPr>
            <w:lang w:val="en-US"/>
          </w:rPr>
          <w:delText>n the Annexes to this Recommendation in a manner appropriate for how they are used within this Recommendation.</w:delText>
        </w:r>
      </w:del>
    </w:p>
    <w:p w:rsidR="00322F71" w:rsidRDefault="00FD52C2">
      <w:pPr>
        <w:rPr>
          <w:del w:id="146" w:author="Author"/>
          <w:lang w:val="en-US"/>
        </w:rPr>
      </w:pPr>
      <w:del w:id="147" w:author="Author">
        <w:r>
          <w:rPr>
            <w:lang w:val="en-US"/>
          </w:rPr>
          <w:delText>PPDR requirements from a user perspective are described in detail in Report ITU-R M.2033, specifically in § 3.2 of Annex 1. These user requiremen</w:delText>
        </w:r>
        <w:r>
          <w:rPr>
            <w:lang w:val="en-US"/>
          </w:rPr>
          <w:delText>ts include priority access, grade of service/quality of service, coverage, a variety of capabilities (including push-to-talk, fast call set-up, hardened equipment that is capable of operating in harsh environments, interconnection to the PSTN, one touch br</w:delText>
        </w:r>
        <w:r>
          <w:rPr>
            <w:lang w:val="en-US"/>
          </w:rPr>
          <w:delText>oadcasting/group call capabilities), secure communications, interoperability and regulatory compliance. It is noted that</w:delText>
        </w:r>
        <w:r>
          <w:rPr>
            <w:b/>
            <w:lang w:val="en-US"/>
          </w:rPr>
          <w:delText xml:space="preserve"> </w:delText>
        </w:r>
        <w:r>
          <w:rPr>
            <w:lang w:val="en-US"/>
          </w:rPr>
          <w:delText>individual administrations or PPDR organizations may have their own requirements for PPDR that go beyond those described herein, and th</w:delText>
        </w:r>
        <w:r>
          <w:rPr>
            <w:lang w:val="en-US"/>
          </w:rPr>
          <w:delText>at each standard would need to be evaluated on a case-by-case basis against those requirements.</w:delText>
        </w:r>
      </w:del>
    </w:p>
    <w:p w:rsidR="00322F71" w:rsidRDefault="00FD52C2">
      <w:pPr>
        <w:pStyle w:val="Heading1"/>
        <w:rPr>
          <w:del w:id="148" w:author="Author"/>
        </w:rPr>
      </w:pPr>
      <w:del w:id="149" w:author="Author">
        <w:r>
          <w:delText>A</w:delText>
        </w:r>
        <w:r>
          <w:tab/>
          <w:delText>Key capabilities of broadband systems relevant to PPDR organizations</w:delText>
        </w:r>
      </w:del>
    </w:p>
    <w:p w:rsidR="00322F71" w:rsidRDefault="00FD52C2">
      <w:pPr>
        <w:pStyle w:val="enumlev1"/>
        <w:spacing w:before="120"/>
        <w:rPr>
          <w:del w:id="150" w:author="Author"/>
          <w:lang w:val="en-US"/>
        </w:rPr>
      </w:pPr>
      <w:del w:id="151" w:author="Author">
        <w:r>
          <w:rPr>
            <w:lang w:val="en-US"/>
          </w:rPr>
          <w:delText>–</w:delText>
        </w:r>
        <w:r>
          <w:rPr>
            <w:lang w:val="en-US"/>
          </w:rPr>
          <w:tab/>
          <w:delText>Advanced broadband data capabilities. Broadband data capability enables a broad range o</w:delText>
        </w:r>
        <w:r>
          <w:rPr>
            <w:lang w:val="en-US"/>
          </w:rPr>
          <w:delText>f applications. These basic capabilities allow end-users to retrieve information from databases, send information to central locations, such as control centres, and exchange information with other users in their own group or in other user groups. In additi</w:delText>
        </w:r>
        <w:r>
          <w:rPr>
            <w:lang w:val="en-US"/>
          </w:rPr>
          <w:delText>on, messaging services offered by SMS, EMS and MMS range from simple text messages to multimedia including transmission of pictures and photos, which is very effective in property protection and recovery operations. With MMS, real-time video transmission a</w:delText>
        </w:r>
        <w:r>
          <w:rPr>
            <w:lang w:val="en-US"/>
          </w:rPr>
          <w:delText xml:space="preserve">lso is possible. Real-time video can be an efficient way for public safety users to </w:delText>
        </w:r>
        <w:r>
          <w:rPr>
            <w:lang w:val="en-US"/>
          </w:rPr>
          <w:lastRenderedPageBreak/>
          <w:delText>communicate between the scene of an accident and central locations such as control centres and hospitals.</w:delText>
        </w:r>
      </w:del>
    </w:p>
    <w:p w:rsidR="00322F71" w:rsidRDefault="00FD52C2">
      <w:pPr>
        <w:pStyle w:val="enumlev1"/>
        <w:rPr>
          <w:del w:id="152" w:author="Author"/>
          <w:lang w:val="en-US"/>
        </w:rPr>
      </w:pPr>
      <w:del w:id="153" w:author="Author">
        <w:r>
          <w:rPr>
            <w:lang w:val="en-US"/>
          </w:rPr>
          <w:delText>–</w:delText>
        </w:r>
        <w:r>
          <w:rPr>
            <w:lang w:val="en-US"/>
          </w:rPr>
          <w:tab/>
          <w:delText>Interoperability. Open s</w:delText>
        </w:r>
      </w:del>
      <w:ins w:id="154" w:author="Author">
        <w:del w:id="155" w:author="Author">
          <w:r>
            <w:rPr>
              <w:lang w:val="en-US"/>
            </w:rPr>
            <w:delText>S</w:delText>
          </w:r>
        </w:del>
      </w:ins>
      <w:del w:id="156" w:author="Author">
        <w:r>
          <w:rPr>
            <w:lang w:val="en-US"/>
          </w:rPr>
          <w:delText>tandards-based technology allows any ma</w:delText>
        </w:r>
        <w:r>
          <w:rPr>
            <w:lang w:val="en-US"/>
          </w:rPr>
          <w:delText>nufacturer to provide equipment interoperable with equipment from any other manufacturer.</w:delText>
        </w:r>
      </w:del>
    </w:p>
    <w:p w:rsidR="00322F71" w:rsidRDefault="00FD52C2">
      <w:pPr>
        <w:pStyle w:val="enumlev1"/>
        <w:rPr>
          <w:del w:id="157" w:author="Author"/>
          <w:lang w:val="en-US"/>
        </w:rPr>
      </w:pPr>
      <w:del w:id="158" w:author="Author">
        <w:r>
          <w:rPr>
            <w:lang w:val="en-US"/>
          </w:rPr>
          <w:delText>–</w:delText>
        </w:r>
        <w:r>
          <w:rPr>
            <w:lang w:val="en-US"/>
          </w:rPr>
          <w:tab/>
          <w:delText xml:space="preserve">Economies of scale. As standard-based technologies </w:delText>
        </w:r>
      </w:del>
      <w:ins w:id="159" w:author="Author">
        <w:del w:id="160" w:author="Author">
          <w:r>
            <w:rPr>
              <w:lang w:val="en-US"/>
            </w:rPr>
            <w:delText xml:space="preserve">systems </w:delText>
          </w:r>
        </w:del>
      </w:ins>
      <w:del w:id="161" w:author="Author">
        <w:r>
          <w:rPr>
            <w:lang w:val="en-US"/>
          </w:rPr>
          <w:delText>designed for carrier-class commercial deployment are also used, economies of scale can be achieved. In ad</w:delText>
        </w:r>
        <w:r>
          <w:rPr>
            <w:lang w:val="en-US"/>
          </w:rPr>
          <w:delText>dition to commercial off-the-shelf equipment, specialized PPDR devices or features required by some PPDR entities can be accommodated with modifications to commercial products and designs.</w:delText>
        </w:r>
      </w:del>
    </w:p>
    <w:p w:rsidR="00322F71" w:rsidRDefault="00FD52C2">
      <w:pPr>
        <w:pStyle w:val="enumlev1"/>
        <w:rPr>
          <w:del w:id="162" w:author="Author"/>
          <w:lang w:val="en-US"/>
        </w:rPr>
      </w:pPr>
      <w:del w:id="163" w:author="Author">
        <w:r>
          <w:rPr>
            <w:lang w:val="en-US"/>
          </w:rPr>
          <w:delText>–</w:delText>
        </w:r>
        <w:r>
          <w:rPr>
            <w:lang w:val="en-US"/>
          </w:rPr>
          <w:tab/>
          <w:delText>IP-based services. Fully compatible with IP-based services.</w:delText>
        </w:r>
      </w:del>
    </w:p>
    <w:p w:rsidR="00322F71" w:rsidRDefault="00FD52C2">
      <w:pPr>
        <w:pStyle w:val="enumlev1"/>
        <w:rPr>
          <w:del w:id="164" w:author="Author"/>
          <w:lang w:val="en-US"/>
        </w:rPr>
      </w:pPr>
      <w:del w:id="165" w:author="Author">
        <w:r>
          <w:rPr>
            <w:lang w:val="en-US"/>
          </w:rPr>
          <w:delText>–</w:delText>
        </w:r>
        <w:r>
          <w:rPr>
            <w:lang w:val="en-US"/>
          </w:rPr>
          <w:tab/>
          <w:delText>Pus</w:delText>
        </w:r>
        <w:r>
          <w:rPr>
            <w:lang w:val="en-US"/>
          </w:rPr>
          <w:delText>h-to-talk. This function allows predefined groups of users to communicate over a packet channel by pressing a special key.</w:delText>
        </w:r>
      </w:del>
    </w:p>
    <w:p w:rsidR="00322F71" w:rsidRDefault="00FD52C2">
      <w:pPr>
        <w:pStyle w:val="enumlev1"/>
        <w:rPr>
          <w:del w:id="166" w:author="Author"/>
          <w:lang w:val="en-US"/>
        </w:rPr>
      </w:pPr>
      <w:del w:id="167" w:author="Author">
        <w:r>
          <w:rPr>
            <w:lang w:val="en-US"/>
          </w:rPr>
          <w:delText>–</w:delText>
        </w:r>
        <w:r>
          <w:rPr>
            <w:lang w:val="en-US"/>
          </w:rPr>
          <w:tab/>
          <w:delText>Location-based services. Advanced technology solutions built into handsets and networks, and often utilizing satellite signals such</w:delText>
        </w:r>
        <w:r>
          <w:rPr>
            <w:lang w:val="en-US"/>
          </w:rPr>
          <w:delText xml:space="preserve"> as GPS, can enable public safety officials to accurately locate an emergency situation or track a secure shipment. Advanced methods of location measurements from both satellite constellations and the terrestrial infrastructure are capable of sending infor</w:delText>
        </w:r>
        <w:r>
          <w:rPr>
            <w:lang w:val="en-US"/>
          </w:rPr>
          <w:delText>mation that can compute a device’s position and relay it back to a requesting entity.</w:delText>
        </w:r>
      </w:del>
    </w:p>
    <w:p w:rsidR="00322F71" w:rsidRDefault="00FD52C2">
      <w:pPr>
        <w:pStyle w:val="enumlev1"/>
        <w:rPr>
          <w:del w:id="168" w:author="Author"/>
          <w:lang w:val="en-US"/>
        </w:rPr>
      </w:pPr>
      <w:del w:id="169" w:author="Author">
        <w:r>
          <w:rPr>
            <w:lang w:val="en-US"/>
          </w:rPr>
          <w:delText>–</w:delText>
        </w:r>
        <w:r>
          <w:rPr>
            <w:lang w:val="en-US"/>
          </w:rPr>
          <w:tab/>
          <w:delText>Encryption. Encryption of voice and data can be provided in several ways, such as over the radio interface, which is standard in different network technologies, or betw</w:delText>
        </w:r>
        <w:r>
          <w:rPr>
            <w:lang w:val="en-US"/>
          </w:rPr>
          <w:delText>een network equipment. End-to-end encryption of voice can be supported by special terminals or by carrying voice over an encrypted data channel.</w:delText>
        </w:r>
      </w:del>
    </w:p>
    <w:p w:rsidR="00322F71" w:rsidRDefault="00FD52C2">
      <w:pPr>
        <w:pStyle w:val="enumlev1"/>
        <w:rPr>
          <w:del w:id="170" w:author="Author"/>
          <w:lang w:val="en-US"/>
        </w:rPr>
      </w:pPr>
      <w:del w:id="171" w:author="Author">
        <w:r>
          <w:rPr>
            <w:lang w:val="en-US"/>
          </w:rPr>
          <w:delText>–</w:delText>
        </w:r>
        <w:r>
          <w:rPr>
            <w:lang w:val="en-US"/>
          </w:rPr>
          <w:tab/>
          <w:delText>Prioritization (in protocol level) of public safety services over commercial services in case of emergency.</w:delText>
        </w:r>
      </w:del>
    </w:p>
    <w:p w:rsidR="00322F71" w:rsidRDefault="00FD52C2">
      <w:pPr>
        <w:pStyle w:val="Heading1"/>
        <w:rPr>
          <w:del w:id="172" w:author="Author"/>
        </w:rPr>
      </w:pPr>
      <w:del w:id="173" w:author="Author">
        <w:r>
          <w:delText>B</w:delText>
        </w:r>
        <w:r>
          <w:tab/>
          <w:delText>Key capabilities of narrow-band systems relevant to PPDR organizations</w:delText>
        </w:r>
      </w:del>
    </w:p>
    <w:p w:rsidR="00322F71" w:rsidRDefault="00FD52C2">
      <w:pPr>
        <w:pStyle w:val="enumlev1"/>
        <w:spacing w:before="120"/>
        <w:rPr>
          <w:del w:id="174" w:author="Author"/>
          <w:lang w:val="en-US"/>
        </w:rPr>
      </w:pPr>
      <w:del w:id="175" w:author="Author">
        <w:r>
          <w:rPr>
            <w:lang w:val="en-US"/>
          </w:rPr>
          <w:delText>–</w:delText>
        </w:r>
        <w:r>
          <w:rPr>
            <w:lang w:val="en-US"/>
          </w:rPr>
          <w:tab/>
          <w:delText>Effective, efficient, and reliable intra-agency and inter-agency communications so organizations can easily implement interoperable and seamless joint communication in both routine a</w:delText>
        </w:r>
        <w:r>
          <w:rPr>
            <w:lang w:val="en-US"/>
          </w:rPr>
          <w:delText>nd emergency circumstances.</w:delText>
        </w:r>
      </w:del>
    </w:p>
    <w:p w:rsidR="00322F71" w:rsidRDefault="00FD52C2">
      <w:pPr>
        <w:pStyle w:val="enumlev1"/>
        <w:rPr>
          <w:del w:id="176" w:author="Author"/>
          <w:lang w:val="en-US"/>
        </w:rPr>
      </w:pPr>
      <w:del w:id="177" w:author="Author">
        <w:r>
          <w:rPr>
            <w:lang w:val="en-US"/>
          </w:rPr>
          <w:delText>–</w:delText>
        </w:r>
        <w:r>
          <w:rPr>
            <w:lang w:val="en-US"/>
          </w:rPr>
          <w:tab/>
          <w:delText>User-friendly equipment so users can take full advantage of their radios’ lifesaving capabilities on the job – even under adverse conditions – with minimal training.</w:delText>
        </w:r>
      </w:del>
    </w:p>
    <w:p w:rsidR="00322F71" w:rsidRDefault="00FD52C2">
      <w:pPr>
        <w:pStyle w:val="enumlev1"/>
        <w:rPr>
          <w:del w:id="178" w:author="Author"/>
          <w:lang w:val="en-US"/>
        </w:rPr>
      </w:pPr>
      <w:del w:id="179" w:author="Author">
        <w:r>
          <w:rPr>
            <w:lang w:val="en-US"/>
          </w:rPr>
          <w:delText>–</w:delText>
        </w:r>
        <w:r>
          <w:rPr>
            <w:lang w:val="en-US"/>
          </w:rPr>
          <w:tab/>
          <w:delText>Radio spectrum efficiency so networks will have enough cap</w:delText>
        </w:r>
        <w:r>
          <w:rPr>
            <w:lang w:val="en-US"/>
          </w:rPr>
          <w:delText>acity to handle calls and allow room for growth, even in areas where the spectrum is crowded and it is difficult for agencies to obtain licenses for additional radio frequencies.</w:delText>
        </w:r>
      </w:del>
    </w:p>
    <w:p w:rsidR="00322F71" w:rsidRDefault="00FD52C2">
      <w:pPr>
        <w:pStyle w:val="enumlev1"/>
        <w:rPr>
          <w:del w:id="180" w:author="Author"/>
          <w:lang w:val="en-US"/>
        </w:rPr>
      </w:pPr>
      <w:del w:id="181" w:author="Author">
        <w:r>
          <w:rPr>
            <w:lang w:val="en-US"/>
          </w:rPr>
          <w:delText>–</w:delText>
        </w:r>
        <w:r>
          <w:rPr>
            <w:lang w:val="en-US"/>
          </w:rPr>
          <w:tab/>
          <w:delText>System designs that provide effective and efficient one-to-many half-duplex</w:delText>
        </w:r>
        <w:r>
          <w:rPr>
            <w:lang w:val="en-US"/>
          </w:rPr>
          <w:delText xml:space="preserve"> communications throughout a PPDR organization’s coverage area, reconfiguration of dispatch talk groups, as well as specialized communications configurations at an incident scene when required.</w:delText>
        </w:r>
      </w:del>
    </w:p>
    <w:p w:rsidR="00322F71" w:rsidRDefault="00322F71">
      <w:pPr>
        <w:rPr>
          <w:lang w:val="en-US"/>
        </w:rPr>
      </w:pPr>
    </w:p>
    <w:p w:rsidR="00322F71" w:rsidRDefault="00FD52C2">
      <w:pPr>
        <w:overflowPunct/>
        <w:autoSpaceDE/>
        <w:autoSpaceDN/>
        <w:adjustRightInd/>
        <w:spacing w:before="0"/>
        <w:textAlignment w:val="auto"/>
        <w:rPr>
          <w:b/>
          <w:sz w:val="28"/>
          <w:lang w:val="en-US"/>
        </w:rPr>
      </w:pPr>
      <w:r>
        <w:rPr>
          <w:lang w:val="en-US"/>
        </w:rPr>
        <w:br w:type="page"/>
      </w:r>
    </w:p>
    <w:p w:rsidR="00322F71" w:rsidRDefault="00FD52C2">
      <w:pPr>
        <w:pStyle w:val="AnnexNo"/>
        <w:spacing w:before="0"/>
        <w:rPr>
          <w:lang w:val="en-US"/>
        </w:rPr>
      </w:pPr>
      <w:r>
        <w:rPr>
          <w:lang w:val="en-US"/>
        </w:rPr>
        <w:lastRenderedPageBreak/>
        <w:t xml:space="preserve">Annex </w:t>
      </w:r>
      <w:ins w:id="182" w:author="Author">
        <w:r>
          <w:rPr>
            <w:lang w:val="en-US"/>
          </w:rPr>
          <w:t>3</w:t>
        </w:r>
      </w:ins>
      <w:del w:id="183" w:author="Author">
        <w:r>
          <w:rPr>
            <w:lang w:val="en-US"/>
          </w:rPr>
          <w:delText>4</w:delText>
        </w:r>
      </w:del>
    </w:p>
    <w:p w:rsidR="00322F71" w:rsidRDefault="00FD52C2">
      <w:pPr>
        <w:pStyle w:val="Annextitle"/>
        <w:spacing w:before="120" w:after="120"/>
        <w:rPr>
          <w:lang w:val="en-US"/>
        </w:rPr>
      </w:pPr>
      <w:r>
        <w:rPr>
          <w:lang w:val="en-US"/>
        </w:rPr>
        <w:t>Acronyms and abbreviations</w:t>
      </w:r>
    </w:p>
    <w:p w:rsidR="00322F71" w:rsidRDefault="00FD52C2">
      <w:pPr>
        <w:pStyle w:val="Normalaftertitle0"/>
        <w:spacing w:before="360"/>
        <w:rPr>
          <w:lang w:val="en-US"/>
        </w:rPr>
      </w:pPr>
      <w:r>
        <w:rPr>
          <w:lang w:val="en-US"/>
        </w:rPr>
        <w:t xml:space="preserve">3GPP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w:t>
      </w:r>
    </w:p>
    <w:p w:rsidR="00322F71" w:rsidRDefault="00FD52C2">
      <w:pPr>
        <w:spacing w:before="60"/>
        <w:rPr>
          <w:lang w:val="en-US"/>
        </w:rPr>
      </w:pPr>
      <w:r>
        <w:rPr>
          <w:lang w:val="en-US"/>
        </w:rPr>
        <w:t xml:space="preserve">3GPP2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 2</w:t>
      </w:r>
    </w:p>
    <w:p w:rsidR="00322F71" w:rsidRDefault="00FD52C2">
      <w:pPr>
        <w:spacing w:before="60"/>
        <w:rPr>
          <w:lang w:val="en-US"/>
        </w:rPr>
      </w:pPr>
      <w:r>
        <w:rPr>
          <w:lang w:val="en-US"/>
        </w:rPr>
        <w:t xml:space="preserve">APCO – </w:t>
      </w:r>
      <w:r>
        <w:rPr>
          <w:lang w:val="en-US"/>
        </w:rPr>
        <w:tab/>
      </w:r>
      <w:r>
        <w:rPr>
          <w:lang w:val="en-US"/>
        </w:rPr>
        <w:tab/>
      </w:r>
      <w:r>
        <w:rPr>
          <w:lang w:val="en-US"/>
        </w:rPr>
        <w:tab/>
      </w:r>
      <w:r>
        <w:rPr>
          <w:lang w:val="en-US"/>
        </w:rPr>
        <w:tab/>
        <w:t>Association of Public Safety Communications Officials International</w:t>
      </w:r>
    </w:p>
    <w:p w:rsidR="00322F71" w:rsidRDefault="00FD52C2">
      <w:pPr>
        <w:spacing w:before="60"/>
        <w:rPr>
          <w:lang w:val="en-US"/>
        </w:rPr>
      </w:pPr>
      <w:r>
        <w:rPr>
          <w:lang w:val="en-US"/>
        </w:rPr>
        <w:t xml:space="preserve">CDMA TDD – </w:t>
      </w:r>
      <w:r>
        <w:rPr>
          <w:lang w:val="en-US"/>
        </w:rPr>
        <w:tab/>
      </w:r>
      <w:r>
        <w:rPr>
          <w:lang w:val="en-US"/>
        </w:rPr>
        <w:tab/>
      </w:r>
      <w:r>
        <w:rPr>
          <w:lang w:val="en-US"/>
        </w:rPr>
        <w:tab/>
        <w:t>Code division multiple access time division duplex</w:t>
      </w:r>
    </w:p>
    <w:p w:rsidR="00322F71" w:rsidRDefault="00FD52C2">
      <w:pPr>
        <w:spacing w:before="60"/>
        <w:rPr>
          <w:lang w:val="en-US"/>
        </w:rPr>
      </w:pPr>
      <w:r>
        <w:rPr>
          <w:lang w:val="en-US"/>
        </w:rPr>
        <w:t xml:space="preserve">CDMA-DS – </w:t>
      </w:r>
      <w:r>
        <w:rPr>
          <w:lang w:val="en-US"/>
        </w:rPr>
        <w:tab/>
      </w:r>
      <w:r>
        <w:rPr>
          <w:lang w:val="en-US"/>
        </w:rPr>
        <w:tab/>
      </w:r>
      <w:r>
        <w:rPr>
          <w:lang w:val="en-US"/>
        </w:rPr>
        <w:tab/>
        <w:t>Code division mult</w:t>
      </w:r>
      <w:r>
        <w:rPr>
          <w:lang w:val="en-US"/>
        </w:rPr>
        <w:t>iple access – Direct spread</w:t>
      </w:r>
    </w:p>
    <w:p w:rsidR="00322F71" w:rsidRDefault="00FD52C2">
      <w:pPr>
        <w:spacing w:before="60"/>
        <w:rPr>
          <w:lang w:val="en-US"/>
        </w:rPr>
      </w:pPr>
      <w:r>
        <w:rPr>
          <w:lang w:val="en-US"/>
        </w:rPr>
        <w:t xml:space="preserve">CDMA-MC – </w:t>
      </w:r>
      <w:r>
        <w:rPr>
          <w:lang w:val="en-US"/>
        </w:rPr>
        <w:tab/>
      </w:r>
      <w:r>
        <w:rPr>
          <w:lang w:val="en-US"/>
        </w:rPr>
        <w:tab/>
      </w:r>
      <w:r>
        <w:rPr>
          <w:lang w:val="en-US"/>
        </w:rPr>
        <w:tab/>
        <w:t>Code division multiple access – Multi-carrier</w:t>
      </w:r>
    </w:p>
    <w:p w:rsidR="00322F71" w:rsidRDefault="00FD52C2">
      <w:pPr>
        <w:spacing w:before="60"/>
        <w:rPr>
          <w:lang w:val="en-US"/>
        </w:rPr>
      </w:pPr>
      <w:r>
        <w:rPr>
          <w:lang w:val="en-US"/>
        </w:rPr>
        <w:t xml:space="preserve">DMR – </w:t>
      </w:r>
      <w:r>
        <w:rPr>
          <w:lang w:val="en-US"/>
        </w:rPr>
        <w:tab/>
      </w:r>
      <w:r>
        <w:rPr>
          <w:lang w:val="en-US"/>
        </w:rPr>
        <w:tab/>
      </w:r>
      <w:r>
        <w:rPr>
          <w:lang w:val="en-US"/>
        </w:rPr>
        <w:tab/>
      </w:r>
      <w:r>
        <w:rPr>
          <w:lang w:val="en-US"/>
        </w:rPr>
        <w:tab/>
        <w:t>Digital mobile radio</w:t>
      </w:r>
    </w:p>
    <w:p w:rsidR="00322F71" w:rsidRDefault="00FD52C2">
      <w:pPr>
        <w:spacing w:before="60"/>
        <w:rPr>
          <w:lang w:val="en-US"/>
        </w:rPr>
      </w:pPr>
      <w:r>
        <w:rPr>
          <w:lang w:val="en-US"/>
        </w:rPr>
        <w:t xml:space="preserve">EMS – </w:t>
      </w:r>
      <w:r>
        <w:rPr>
          <w:lang w:val="en-US"/>
        </w:rPr>
        <w:tab/>
      </w:r>
      <w:r>
        <w:rPr>
          <w:lang w:val="en-US"/>
        </w:rPr>
        <w:tab/>
      </w:r>
      <w:r>
        <w:rPr>
          <w:lang w:val="en-US"/>
        </w:rPr>
        <w:tab/>
      </w:r>
      <w:r>
        <w:rPr>
          <w:lang w:val="en-US"/>
        </w:rPr>
        <w:tab/>
        <w:t>Enhanced messaging service</w:t>
      </w:r>
    </w:p>
    <w:p w:rsidR="00322F71" w:rsidRDefault="00FD52C2">
      <w:pPr>
        <w:spacing w:before="60"/>
        <w:rPr>
          <w:lang w:val="en-US"/>
        </w:rPr>
      </w:pPr>
      <w:r>
        <w:rPr>
          <w:lang w:val="en-US"/>
        </w:rPr>
        <w:t xml:space="preserve">ETSI – </w:t>
      </w:r>
      <w:r>
        <w:rPr>
          <w:lang w:val="en-US"/>
        </w:rPr>
        <w:tab/>
      </w:r>
      <w:r>
        <w:rPr>
          <w:lang w:val="en-US"/>
        </w:rPr>
        <w:tab/>
      </w:r>
      <w:r>
        <w:rPr>
          <w:lang w:val="en-US"/>
        </w:rPr>
        <w:tab/>
      </w:r>
      <w:r>
        <w:rPr>
          <w:lang w:val="en-US"/>
        </w:rPr>
        <w:tab/>
        <w:t>European Telecommunications Standards Institute</w:t>
      </w:r>
    </w:p>
    <w:p w:rsidR="00322F71" w:rsidRDefault="00FD52C2">
      <w:pPr>
        <w:spacing w:before="60"/>
        <w:rPr>
          <w:lang w:val="en-US"/>
        </w:rPr>
      </w:pPr>
      <w:r>
        <w:rPr>
          <w:lang w:val="en-US"/>
        </w:rPr>
        <w:t xml:space="preserve">E-UTRA – </w:t>
      </w:r>
      <w:r>
        <w:rPr>
          <w:lang w:val="en-US"/>
        </w:rPr>
        <w:tab/>
      </w:r>
      <w:r>
        <w:rPr>
          <w:lang w:val="en-US"/>
        </w:rPr>
        <w:tab/>
      </w:r>
      <w:r>
        <w:rPr>
          <w:lang w:val="en-US"/>
        </w:rPr>
        <w:tab/>
      </w:r>
      <w:r>
        <w:rPr>
          <w:lang w:val="en-US"/>
        </w:rPr>
        <w:tab/>
        <w:t>Evolved Universal Terrestrial</w:t>
      </w:r>
      <w:r>
        <w:rPr>
          <w:lang w:val="en-US"/>
        </w:rPr>
        <w:t xml:space="preserve"> Radio Access </w:t>
      </w:r>
    </w:p>
    <w:p w:rsidR="00322F71" w:rsidRDefault="00FD52C2">
      <w:pPr>
        <w:spacing w:before="60"/>
        <w:rPr>
          <w:lang w:val="en-US"/>
        </w:rPr>
      </w:pPr>
      <w:r>
        <w:rPr>
          <w:lang w:val="en-US"/>
        </w:rPr>
        <w:t xml:space="preserve">FDD – </w:t>
      </w:r>
      <w:r>
        <w:rPr>
          <w:lang w:val="en-US"/>
        </w:rPr>
        <w:tab/>
      </w:r>
      <w:r>
        <w:rPr>
          <w:lang w:val="en-US"/>
        </w:rPr>
        <w:tab/>
      </w:r>
      <w:r>
        <w:rPr>
          <w:lang w:val="en-US"/>
        </w:rPr>
        <w:tab/>
      </w:r>
      <w:r>
        <w:rPr>
          <w:lang w:val="en-US"/>
        </w:rPr>
        <w:tab/>
        <w:t>Frequency division duplex</w:t>
      </w:r>
    </w:p>
    <w:p w:rsidR="00322F71" w:rsidRDefault="00FD52C2">
      <w:pPr>
        <w:spacing w:before="60"/>
        <w:rPr>
          <w:lang w:val="en-US"/>
        </w:rPr>
      </w:pPr>
      <w:r>
        <w:rPr>
          <w:lang w:val="en-US"/>
        </w:rPr>
        <w:t xml:space="preserve">FDMA – </w:t>
      </w:r>
      <w:r>
        <w:rPr>
          <w:lang w:val="en-US"/>
        </w:rPr>
        <w:tab/>
      </w:r>
      <w:r>
        <w:rPr>
          <w:lang w:val="en-US"/>
        </w:rPr>
        <w:tab/>
      </w:r>
      <w:r>
        <w:rPr>
          <w:lang w:val="en-US"/>
        </w:rPr>
        <w:tab/>
      </w:r>
      <w:r>
        <w:rPr>
          <w:lang w:val="en-US"/>
        </w:rPr>
        <w:tab/>
        <w:t>Frequency division multiple access</w:t>
      </w:r>
    </w:p>
    <w:p w:rsidR="00322F71" w:rsidRDefault="00FD52C2">
      <w:pPr>
        <w:spacing w:before="60"/>
        <w:rPr>
          <w:lang w:val="en-US"/>
        </w:rPr>
      </w:pPr>
      <w:r>
        <w:rPr>
          <w:lang w:val="en-US"/>
        </w:rPr>
        <w:t xml:space="preserve">IEEE – </w:t>
      </w:r>
      <w:r>
        <w:rPr>
          <w:lang w:val="en-US"/>
        </w:rPr>
        <w:tab/>
      </w:r>
      <w:r>
        <w:rPr>
          <w:lang w:val="en-US"/>
        </w:rPr>
        <w:tab/>
      </w:r>
      <w:r>
        <w:rPr>
          <w:lang w:val="en-US"/>
        </w:rPr>
        <w:tab/>
      </w:r>
      <w:r>
        <w:rPr>
          <w:lang w:val="en-US"/>
        </w:rPr>
        <w:tab/>
        <w:t>Institute of Electrical and Electronics Engineers</w:t>
      </w:r>
    </w:p>
    <w:p w:rsidR="00322F71" w:rsidRDefault="00FD52C2">
      <w:pPr>
        <w:spacing w:before="60"/>
        <w:rPr>
          <w:lang w:val="en-US"/>
        </w:rPr>
      </w:pPr>
      <w:r>
        <w:rPr>
          <w:lang w:val="en-US"/>
        </w:rPr>
        <w:t xml:space="preserve">LTE – </w:t>
      </w:r>
      <w:r>
        <w:rPr>
          <w:lang w:val="en-US"/>
        </w:rPr>
        <w:tab/>
      </w:r>
      <w:r>
        <w:rPr>
          <w:lang w:val="en-US"/>
        </w:rPr>
        <w:tab/>
      </w:r>
      <w:r>
        <w:rPr>
          <w:lang w:val="en-US"/>
        </w:rPr>
        <w:tab/>
      </w:r>
      <w:r>
        <w:rPr>
          <w:lang w:val="en-US"/>
        </w:rPr>
        <w:tab/>
        <w:t>Long-Term Evolution</w:t>
      </w:r>
    </w:p>
    <w:p w:rsidR="00322F71" w:rsidRDefault="00FD52C2">
      <w:pPr>
        <w:spacing w:before="60"/>
        <w:rPr>
          <w:lang w:val="en-US"/>
        </w:rPr>
      </w:pPr>
      <w:r>
        <w:rPr>
          <w:lang w:val="en-US"/>
        </w:rPr>
        <w:t xml:space="preserve">MMS – </w:t>
      </w:r>
      <w:r>
        <w:rPr>
          <w:lang w:val="en-US"/>
        </w:rPr>
        <w:tab/>
      </w:r>
      <w:r>
        <w:rPr>
          <w:lang w:val="en-US"/>
        </w:rPr>
        <w:tab/>
      </w:r>
      <w:r>
        <w:rPr>
          <w:lang w:val="en-US"/>
        </w:rPr>
        <w:tab/>
      </w:r>
      <w:r>
        <w:rPr>
          <w:lang w:val="en-US"/>
        </w:rPr>
        <w:tab/>
        <w:t>Multimedia messaging service</w:t>
      </w:r>
    </w:p>
    <w:p w:rsidR="00322F71" w:rsidRDefault="00FD52C2">
      <w:pPr>
        <w:spacing w:before="60"/>
        <w:rPr>
          <w:lang w:val="en-US"/>
        </w:rPr>
      </w:pPr>
      <w:r>
        <w:rPr>
          <w:lang w:val="en-US"/>
        </w:rPr>
        <w:t xml:space="preserve">NASTD – </w:t>
      </w:r>
      <w:r>
        <w:rPr>
          <w:lang w:val="en-US"/>
        </w:rPr>
        <w:tab/>
      </w:r>
      <w:r>
        <w:rPr>
          <w:lang w:val="en-US"/>
        </w:rPr>
        <w:tab/>
      </w:r>
      <w:r>
        <w:rPr>
          <w:lang w:val="en-US"/>
        </w:rPr>
        <w:tab/>
      </w:r>
      <w:r>
        <w:rPr>
          <w:lang w:val="en-US"/>
        </w:rPr>
        <w:tab/>
        <w:t>National Associat</w:t>
      </w:r>
      <w:r>
        <w:rPr>
          <w:lang w:val="en-US"/>
        </w:rPr>
        <w:t>ion of State Technology Directors</w:t>
      </w:r>
    </w:p>
    <w:p w:rsidR="00322F71" w:rsidRDefault="00FD52C2">
      <w:pPr>
        <w:spacing w:before="60"/>
        <w:rPr>
          <w:lang w:val="en-US"/>
        </w:rPr>
      </w:pPr>
      <w:r>
        <w:rPr>
          <w:lang w:val="en-US"/>
        </w:rPr>
        <w:t xml:space="preserve">NCS – </w:t>
      </w:r>
      <w:r>
        <w:rPr>
          <w:lang w:val="en-US"/>
        </w:rPr>
        <w:tab/>
      </w:r>
      <w:r>
        <w:rPr>
          <w:lang w:val="en-US"/>
        </w:rPr>
        <w:tab/>
      </w:r>
      <w:r>
        <w:rPr>
          <w:lang w:val="en-US"/>
        </w:rPr>
        <w:tab/>
      </w:r>
      <w:r>
        <w:rPr>
          <w:lang w:val="en-US"/>
        </w:rPr>
        <w:tab/>
        <w:t>National Communications System</w:t>
      </w:r>
    </w:p>
    <w:p w:rsidR="00322F71" w:rsidRDefault="00FD52C2">
      <w:pPr>
        <w:spacing w:before="60"/>
        <w:ind w:left="2880" w:hanging="2880"/>
        <w:rPr>
          <w:lang w:val="en-US"/>
        </w:rPr>
      </w:pPr>
      <w:r>
        <w:rPr>
          <w:lang w:val="en-US"/>
        </w:rPr>
        <w:t xml:space="preserve">OFDMA TDD WMAN – </w:t>
      </w:r>
      <w:r>
        <w:rPr>
          <w:lang w:val="en-US"/>
        </w:rPr>
        <w:tab/>
        <w:t>Orthogonal Frequency Division Multiple Access Time Division Duplex Wireless Metropolitan Area Network</w:t>
      </w:r>
    </w:p>
    <w:p w:rsidR="00322F71" w:rsidRDefault="00FD52C2">
      <w:pPr>
        <w:spacing w:before="60"/>
        <w:rPr>
          <w:lang w:val="en-US"/>
        </w:rPr>
      </w:pPr>
      <w:r>
        <w:rPr>
          <w:lang w:val="en-US"/>
        </w:rPr>
        <w:t xml:space="preserve">PAMR – </w:t>
      </w:r>
      <w:r>
        <w:rPr>
          <w:lang w:val="en-US"/>
        </w:rPr>
        <w:tab/>
      </w:r>
      <w:r>
        <w:rPr>
          <w:lang w:val="en-US"/>
        </w:rPr>
        <w:tab/>
      </w:r>
      <w:r>
        <w:rPr>
          <w:lang w:val="en-US"/>
        </w:rPr>
        <w:tab/>
      </w:r>
      <w:r>
        <w:rPr>
          <w:lang w:val="en-US"/>
        </w:rPr>
        <w:tab/>
        <w:t xml:space="preserve">Public access mobile radio </w:t>
      </w:r>
    </w:p>
    <w:p w:rsidR="00322F71" w:rsidRDefault="00FD52C2">
      <w:pPr>
        <w:spacing w:before="60"/>
        <w:rPr>
          <w:lang w:val="en-US"/>
        </w:rPr>
      </w:pPr>
      <w:r>
        <w:rPr>
          <w:lang w:val="en-US"/>
        </w:rPr>
        <w:t xml:space="preserve">PMR – </w:t>
      </w:r>
      <w:r>
        <w:rPr>
          <w:lang w:val="en-US"/>
        </w:rPr>
        <w:tab/>
      </w:r>
      <w:r>
        <w:rPr>
          <w:lang w:val="en-US"/>
        </w:rPr>
        <w:tab/>
      </w:r>
      <w:r>
        <w:rPr>
          <w:lang w:val="en-US"/>
        </w:rPr>
        <w:tab/>
      </w:r>
      <w:r>
        <w:rPr>
          <w:lang w:val="en-US"/>
        </w:rPr>
        <w:tab/>
        <w:t xml:space="preserve">Private </w:t>
      </w:r>
      <w:r>
        <w:rPr>
          <w:lang w:val="en-US"/>
        </w:rPr>
        <w:t>mobile radio</w:t>
      </w:r>
    </w:p>
    <w:p w:rsidR="00322F71" w:rsidRDefault="00FD52C2">
      <w:pPr>
        <w:spacing w:before="60"/>
        <w:rPr>
          <w:lang w:val="en-US"/>
        </w:rPr>
      </w:pPr>
      <w:r>
        <w:rPr>
          <w:lang w:val="en-US"/>
        </w:rPr>
        <w:t xml:space="preserve">PPDR – </w:t>
      </w:r>
      <w:r>
        <w:rPr>
          <w:lang w:val="en-US"/>
        </w:rPr>
        <w:tab/>
      </w:r>
      <w:r>
        <w:rPr>
          <w:lang w:val="en-US"/>
        </w:rPr>
        <w:tab/>
      </w:r>
      <w:r>
        <w:rPr>
          <w:lang w:val="en-US"/>
        </w:rPr>
        <w:tab/>
      </w:r>
      <w:r>
        <w:rPr>
          <w:lang w:val="en-US"/>
        </w:rPr>
        <w:tab/>
        <w:t>Public protection and disaster relief</w:t>
      </w:r>
    </w:p>
    <w:p w:rsidR="00322F71" w:rsidRDefault="00FD52C2">
      <w:pPr>
        <w:spacing w:before="60"/>
        <w:rPr>
          <w:lang w:val="en-US"/>
        </w:rPr>
      </w:pPr>
      <w:r>
        <w:rPr>
          <w:lang w:val="en-US"/>
        </w:rPr>
        <w:t xml:space="preserve">SDO – </w:t>
      </w:r>
      <w:r>
        <w:rPr>
          <w:lang w:val="en-US"/>
        </w:rPr>
        <w:tab/>
      </w:r>
      <w:r>
        <w:rPr>
          <w:lang w:val="en-US"/>
        </w:rPr>
        <w:tab/>
      </w:r>
      <w:r>
        <w:rPr>
          <w:lang w:val="en-US"/>
        </w:rPr>
        <w:tab/>
      </w:r>
      <w:r>
        <w:rPr>
          <w:lang w:val="en-US"/>
        </w:rPr>
        <w:tab/>
        <w:t xml:space="preserve">Standards Developing Organization </w:t>
      </w:r>
    </w:p>
    <w:p w:rsidR="00322F71" w:rsidRDefault="00FD52C2">
      <w:pPr>
        <w:spacing w:before="60"/>
        <w:rPr>
          <w:ins w:id="184" w:author="Author"/>
          <w:lang w:val="en-US"/>
        </w:rPr>
      </w:pPr>
      <w:r>
        <w:rPr>
          <w:lang w:val="en-US"/>
        </w:rPr>
        <w:t xml:space="preserve">SMS – </w:t>
      </w:r>
      <w:r>
        <w:rPr>
          <w:lang w:val="en-US"/>
        </w:rPr>
        <w:tab/>
      </w:r>
      <w:r>
        <w:rPr>
          <w:lang w:val="en-US"/>
        </w:rPr>
        <w:tab/>
      </w:r>
      <w:r>
        <w:rPr>
          <w:lang w:val="en-US"/>
        </w:rPr>
        <w:tab/>
      </w:r>
      <w:r>
        <w:rPr>
          <w:lang w:val="en-US"/>
        </w:rPr>
        <w:tab/>
        <w:t>Short-message service</w:t>
      </w:r>
      <w:ins w:id="185" w:author="Author">
        <w:r>
          <w:rPr>
            <w:lang w:val="en-US"/>
          </w:rPr>
          <w:t xml:space="preserve"> </w:t>
        </w:r>
      </w:ins>
    </w:p>
    <w:p w:rsidR="00322F71" w:rsidRDefault="00FD52C2">
      <w:pPr>
        <w:spacing w:before="60"/>
        <w:rPr>
          <w:lang w:val="en-US"/>
        </w:rPr>
      </w:pPr>
      <w:ins w:id="186" w:author="Author">
        <w:r>
          <w:rPr>
            <w:lang w:val="en-US"/>
          </w:rPr>
          <w:t xml:space="preserve">SCDMA – </w:t>
        </w:r>
        <w:r>
          <w:rPr>
            <w:lang w:val="en-US"/>
          </w:rPr>
          <w:tab/>
        </w:r>
        <w:r>
          <w:rPr>
            <w:lang w:val="en-US"/>
          </w:rPr>
          <w:tab/>
        </w:r>
        <w:r>
          <w:rPr>
            <w:lang w:val="en-US"/>
          </w:rPr>
          <w:tab/>
        </w:r>
        <w:r>
          <w:rPr>
            <w:lang w:val="en-US"/>
          </w:rPr>
          <w:tab/>
          <w:t>Synchronous Code Division Multiple Access</w:t>
        </w:r>
      </w:ins>
    </w:p>
    <w:p w:rsidR="00322F71" w:rsidRDefault="00FD52C2">
      <w:pPr>
        <w:spacing w:before="60"/>
        <w:rPr>
          <w:lang w:val="en-US"/>
        </w:rPr>
      </w:pPr>
      <w:r>
        <w:rPr>
          <w:lang w:val="en-US"/>
        </w:rPr>
        <w:t xml:space="preserve">TDMA – SC – </w:t>
      </w:r>
      <w:r>
        <w:rPr>
          <w:lang w:val="en-US"/>
        </w:rPr>
        <w:tab/>
      </w:r>
      <w:r>
        <w:rPr>
          <w:lang w:val="en-US"/>
        </w:rPr>
        <w:tab/>
      </w:r>
      <w:r>
        <w:rPr>
          <w:lang w:val="en-US"/>
        </w:rPr>
        <w:tab/>
        <w:t>Time division multiple access – Single carrier</w:t>
      </w:r>
    </w:p>
    <w:p w:rsidR="00322F71" w:rsidRDefault="00FD52C2">
      <w:pPr>
        <w:spacing w:before="60"/>
        <w:rPr>
          <w:lang w:val="en-US"/>
        </w:rPr>
      </w:pPr>
      <w:r>
        <w:rPr>
          <w:lang w:val="en-US"/>
        </w:rPr>
        <w:t xml:space="preserve">TETRA – </w:t>
      </w:r>
      <w:r>
        <w:rPr>
          <w:lang w:val="en-US"/>
        </w:rPr>
        <w:tab/>
      </w:r>
      <w:r>
        <w:rPr>
          <w:lang w:val="en-US"/>
        </w:rPr>
        <w:tab/>
      </w:r>
      <w:r>
        <w:rPr>
          <w:lang w:val="en-US"/>
        </w:rPr>
        <w:tab/>
      </w:r>
      <w:r>
        <w:rPr>
          <w:lang w:val="en-US"/>
        </w:rPr>
        <w:tab/>
        <w:t>Terrestrial trunked radio</w:t>
      </w:r>
    </w:p>
    <w:p w:rsidR="00322F71" w:rsidRDefault="00FD52C2">
      <w:pPr>
        <w:spacing w:before="60"/>
        <w:rPr>
          <w:lang w:val="en-US"/>
        </w:rPr>
      </w:pPr>
      <w:r>
        <w:rPr>
          <w:lang w:val="en-US"/>
        </w:rPr>
        <w:t xml:space="preserve">TIA – </w:t>
      </w:r>
      <w:r>
        <w:rPr>
          <w:lang w:val="en-US"/>
        </w:rPr>
        <w:tab/>
      </w:r>
      <w:r>
        <w:rPr>
          <w:lang w:val="en-US"/>
        </w:rPr>
        <w:tab/>
      </w:r>
      <w:r>
        <w:rPr>
          <w:lang w:val="en-US"/>
        </w:rPr>
        <w:tab/>
      </w:r>
      <w:r>
        <w:rPr>
          <w:lang w:val="en-US"/>
        </w:rPr>
        <w:tab/>
        <w:t>Telecommunications Industry Association</w:t>
      </w:r>
    </w:p>
    <w:p w:rsidR="00322F71" w:rsidRDefault="00FD52C2">
      <w:pPr>
        <w:spacing w:before="60"/>
        <w:rPr>
          <w:lang w:val="en-US"/>
        </w:rPr>
      </w:pPr>
      <w:r>
        <w:rPr>
          <w:lang w:val="en-US"/>
        </w:rPr>
        <w:t xml:space="preserve">TR – </w:t>
      </w:r>
      <w:r>
        <w:rPr>
          <w:lang w:val="en-US"/>
        </w:rPr>
        <w:tab/>
      </w:r>
      <w:r>
        <w:rPr>
          <w:lang w:val="en-US"/>
        </w:rPr>
        <w:tab/>
      </w:r>
      <w:r>
        <w:rPr>
          <w:lang w:val="en-US"/>
        </w:rPr>
        <w:tab/>
      </w:r>
      <w:r>
        <w:rPr>
          <w:lang w:val="en-US"/>
        </w:rPr>
        <w:tab/>
        <w:t>Technical report</w:t>
      </w:r>
    </w:p>
    <w:p w:rsidR="00322F71" w:rsidRDefault="00FD52C2">
      <w:pPr>
        <w:spacing w:before="60"/>
        <w:rPr>
          <w:lang w:val="en-US"/>
        </w:rPr>
      </w:pPr>
      <w:r>
        <w:rPr>
          <w:lang w:val="en-US"/>
        </w:rPr>
        <w:t xml:space="preserve">UHF – </w:t>
      </w:r>
      <w:r>
        <w:rPr>
          <w:lang w:val="en-US"/>
        </w:rPr>
        <w:tab/>
      </w:r>
      <w:r>
        <w:rPr>
          <w:lang w:val="en-US"/>
        </w:rPr>
        <w:tab/>
      </w:r>
      <w:r>
        <w:rPr>
          <w:lang w:val="en-US"/>
        </w:rPr>
        <w:tab/>
      </w:r>
      <w:r>
        <w:rPr>
          <w:lang w:val="en-US"/>
        </w:rPr>
        <w:tab/>
        <w:t>Ultra high frequency</w:t>
      </w:r>
      <w:bookmarkStart w:id="187" w:name="_GoBack"/>
      <w:bookmarkEnd w:id="187"/>
    </w:p>
    <w:p w:rsidR="00322F71" w:rsidRDefault="00FD52C2">
      <w:pPr>
        <w:spacing w:before="60"/>
      </w:pPr>
      <w:r>
        <w:t xml:space="preserve">UTRA – </w:t>
      </w:r>
      <w:r>
        <w:tab/>
      </w:r>
      <w:r>
        <w:tab/>
      </w:r>
      <w:r>
        <w:tab/>
      </w:r>
      <w:r>
        <w:tab/>
        <w:t>Universal terrestrial radio access</w:t>
      </w:r>
    </w:p>
    <w:p w:rsidR="00322F71" w:rsidRDefault="00322F71">
      <w:pPr>
        <w:spacing w:before="600"/>
        <w:jc w:val="center"/>
      </w:pPr>
    </w:p>
    <w:sectPr w:rsidR="00322F71">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71" w:rsidRDefault="00FD52C2">
      <w:r>
        <w:separator/>
      </w:r>
    </w:p>
  </w:endnote>
  <w:endnote w:type="continuationSeparator" w:id="0">
    <w:p w:rsidR="00322F71" w:rsidRDefault="00F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pPr>
      <w:pStyle w:val="Footer"/>
    </w:pPr>
    <w:r>
      <w:fldChar w:fldCharType="begin"/>
    </w:r>
    <w:r>
      <w:instrText xml:space="preserve"> FILENAME \p  \* MERGEFORMAT </w:instrText>
    </w:r>
    <w:r>
      <w:fldChar w:fldCharType="separate"/>
    </w:r>
    <w:r w:rsidR="001062CB">
      <w:t>M:\BRSGD\TEXT2013\SG05\WP5A\400\421\421N15e.docx</w:t>
    </w:r>
    <w:r>
      <w:fldChar w:fldCharType="end"/>
    </w:r>
    <w:r>
      <w:tab/>
    </w:r>
    <w:r>
      <w:fldChar w:fldCharType="begin"/>
    </w:r>
    <w:r>
      <w:instrText xml:space="preserve"> SAVEDATE \@ DD.MM.YY </w:instrText>
    </w:r>
    <w:r>
      <w:fldChar w:fldCharType="separate"/>
    </w:r>
    <w:r w:rsidR="001062CB">
      <w:t>02.12.13</w:t>
    </w:r>
    <w:r>
      <w:fldChar w:fldCharType="end"/>
    </w:r>
    <w:r>
      <w:tab/>
    </w:r>
    <w:r>
      <w:fldChar w:fldCharType="begin"/>
    </w:r>
    <w:r>
      <w:instrText xml:space="preserve"> PRINTDATE \@ DD.MM.YY </w:instrText>
    </w:r>
    <w:r>
      <w:fldChar w:fldCharType="separate"/>
    </w:r>
    <w:r w:rsidR="001062CB">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pPr>
      <w:pStyle w:val="Footer"/>
    </w:pPr>
    <w:r>
      <w:fldChar w:fldCharType="begin"/>
    </w:r>
    <w:r>
      <w:instrText xml:space="preserve"> FILENAME \p  \* MERGEFORMAT </w:instrText>
    </w:r>
    <w:r>
      <w:fldChar w:fldCharType="separate"/>
    </w:r>
    <w:r w:rsidR="001062CB">
      <w:t>M:\BRSGD\TEXT2013\SG05\WP5A\400\421\421N15e.docx</w:t>
    </w:r>
    <w:r>
      <w:fldChar w:fldCharType="end"/>
    </w:r>
    <w:r>
      <w:tab/>
    </w:r>
    <w:r>
      <w:fldChar w:fldCharType="begin"/>
    </w:r>
    <w:r>
      <w:instrText xml:space="preserve"> SAVEDATE \@ DD.MM.YY </w:instrText>
    </w:r>
    <w:r>
      <w:fldChar w:fldCharType="separate"/>
    </w:r>
    <w:r w:rsidR="001062CB">
      <w:t>02.12.13</w:t>
    </w:r>
    <w:r>
      <w:fldChar w:fldCharType="end"/>
    </w:r>
    <w:r>
      <w:tab/>
    </w:r>
    <w:r>
      <w:fldChar w:fldCharType="begin"/>
    </w:r>
    <w:r>
      <w:instrText xml:space="preserve"> PRINTDATE \@ DD.MM.YY </w:instrText>
    </w:r>
    <w:r>
      <w:fldChar w:fldCharType="separate"/>
    </w:r>
    <w:r w:rsidR="001062CB">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71" w:rsidRDefault="00FD52C2">
      <w:r>
        <w:t>____________________</w:t>
      </w:r>
    </w:p>
  </w:footnote>
  <w:footnote w:type="continuationSeparator" w:id="0">
    <w:p w:rsidR="00322F71" w:rsidRDefault="00FD52C2">
      <w:r>
        <w:continuationSeparator/>
      </w:r>
    </w:p>
  </w:footnote>
  <w:footnote w:id="1">
    <w:p w:rsidR="00322F71" w:rsidRDefault="00FD52C2" w:rsidP="001062CB">
      <w:pPr>
        <w:pStyle w:val="FootnoteText"/>
        <w:tabs>
          <w:tab w:val="left" w:pos="284"/>
        </w:tabs>
        <w:ind w:left="255" w:hanging="255"/>
      </w:pPr>
      <w:r>
        <w:rPr>
          <w:rStyle w:val="FootnoteReference"/>
        </w:rPr>
        <w:footnoteRef/>
      </w:r>
      <w:r>
        <w:rPr>
          <w:lang w:val="en-US"/>
        </w:rPr>
        <w:t xml:space="preserve"> </w:t>
      </w:r>
      <w:r>
        <w:rPr>
          <w:lang w:val="en-US"/>
        </w:rPr>
        <w:tab/>
      </w:r>
      <w:smartTag w:uri="urn:schemas-microsoft-com:office:smarttags" w:element="country-region">
        <w:smartTag w:uri="urn:schemas-microsoft-com:office:smarttags" w:element="place">
          <w:r>
            <w:rPr>
              <w:color w:val="000000"/>
              <w:szCs w:val="22"/>
              <w:lang w:val="en-US"/>
            </w:rPr>
            <w:t>Venezuela</w:t>
          </w:r>
        </w:smartTag>
      </w:smartTag>
      <w:r>
        <w:rPr>
          <w:color w:val="000000"/>
          <w:szCs w:val="22"/>
          <w:lang w:val="en-US"/>
        </w:rPr>
        <w:t xml:space="preserve"> has identified the band 380-400 MHz for public protection and disaster relief applications.</w:t>
      </w:r>
    </w:p>
  </w:footnote>
  <w:footnote w:id="2">
    <w:p w:rsidR="00322F71" w:rsidRDefault="00FD52C2" w:rsidP="001062CB">
      <w:pPr>
        <w:pStyle w:val="FootnoteText"/>
        <w:tabs>
          <w:tab w:val="left" w:pos="284"/>
        </w:tabs>
        <w:ind w:left="255" w:hanging="255"/>
      </w:pPr>
      <w:r>
        <w:rPr>
          <w:rStyle w:val="FootnoteReference"/>
        </w:rPr>
        <w:footnoteRef/>
      </w:r>
      <w:r>
        <w:rPr>
          <w:lang w:val="en-US"/>
        </w:rPr>
        <w:t xml:space="preserve"> </w:t>
      </w:r>
      <w:r>
        <w:rPr>
          <w:lang w:val="en-US"/>
        </w:rPr>
        <w:tab/>
      </w:r>
      <w:r>
        <w:rPr>
          <w:color w:val="000000"/>
          <w:szCs w:val="22"/>
          <w:lang w:val="en-US"/>
        </w:rPr>
        <w:t>Some countries in Region 3 have also identified the bands 380-400 MHz and 746-806 MHz for</w:t>
      </w:r>
      <w:r>
        <w:rPr>
          <w:color w:val="000000"/>
          <w:szCs w:val="22"/>
          <w:lang w:val="en-US"/>
        </w:rPr>
        <w:t xml:space="preserve">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rsidP="00FD52C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r>
      <w:rPr>
        <w:rStyle w:val="PageNumber"/>
      </w:rPr>
      <w:br/>
    </w:r>
    <w:r>
      <w:rPr>
        <w:lang w:val="en-US"/>
      </w:rPr>
      <w:t>5A/421 (Annex 15)-E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322F71">
    <w:pPr>
      <w:pStyle w:val="Header"/>
    </w:pPr>
  </w:p>
  <w:p w:rsidR="00322F71" w:rsidRDefault="00322F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71"/>
    <w:rsid w:val="001062CB"/>
    <w:rsid w:val="00216517"/>
    <w:rsid w:val="00322F71"/>
    <w:rsid w:val="00FD5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style>
  <w:style w:type="character" w:styleId="Hyperlink">
    <w:name w:val="Hyperlink"/>
    <w:basedOn w:val="DefaultParagraphFont"/>
    <w:uiPriority w:val="99"/>
    <w:rPr>
      <w:rFonts w:cs="Times New Roman"/>
      <w:color w:val="0000FF"/>
      <w:u w:val="single"/>
    </w:rPr>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NormalaftertitleChar">
    <w:name w:val="Normal after title Char"/>
    <w:link w:val="Normalaftertitle0"/>
    <w:uiPriority w:val="99"/>
    <w:locked/>
    <w:rPr>
      <w:rFonts w:ascii="Times New Roman" w:hAnsi="Times New Roman"/>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style>
  <w:style w:type="character" w:styleId="Hyperlink">
    <w:name w:val="Hyperlink"/>
    <w:basedOn w:val="DefaultParagraphFont"/>
    <w:uiPriority w:val="99"/>
    <w:rPr>
      <w:rFonts w:cs="Times New Roman"/>
      <w:color w:val="0000FF"/>
      <w:u w:val="single"/>
    </w:rPr>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NormalaftertitleChar">
    <w:name w:val="Normal after title Char"/>
    <w:link w:val="Normalaftertitle0"/>
    <w:uiPriority w:val="99"/>
    <w:locked/>
    <w:rPr>
      <w:rFonts w:ascii="Times New Roman" w:hAnsi="Times New Roman"/>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801/en" TargetMode="External"/><Relationship Id="rId13" Type="http://schemas.openxmlformats.org/officeDocument/2006/relationships/hyperlink" Target="http://www.itu.int/rec/R-REC-M.1457/en" TargetMode="External"/><Relationship Id="rId18" Type="http://schemas.openxmlformats.org/officeDocument/2006/relationships/hyperlink" Target="http://www.itu.int/rec/R-REC-M.1457/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rec/R-REC-M.1801/en" TargetMode="External"/><Relationship Id="rId17" Type="http://schemas.openxmlformats.org/officeDocument/2006/relationships/hyperlink" Target="http://www.itu.int/rec/R-REC-M.1457/e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tu.int/rec/R-REC-M.1801/en" TargetMode="External"/><Relationship Id="rId20" Type="http://schemas.openxmlformats.org/officeDocument/2006/relationships/hyperlink" Target="http://www.itu.int/publ/R-REP-M.2014/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rec/R-REC-M.1457/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rec/R-REC-M.1457/en" TargetMode="External"/><Relationship Id="rId23" Type="http://schemas.openxmlformats.org/officeDocument/2006/relationships/header" Target="header2.xml"/><Relationship Id="rId10" Type="http://schemas.openxmlformats.org/officeDocument/2006/relationships/hyperlink" Target="http://www.itu.int/rec/R-REC-M.1801/en" TargetMode="External"/><Relationship Id="rId19" Type="http://schemas.openxmlformats.org/officeDocument/2006/relationships/hyperlink" Target="http://www.itu.int/publ/R-REP-M.2014/en" TargetMode="External"/><Relationship Id="rId4" Type="http://schemas.openxmlformats.org/officeDocument/2006/relationships/webSettings" Target="webSettings.xml"/><Relationship Id="rId9" Type="http://schemas.openxmlformats.org/officeDocument/2006/relationships/hyperlink" Target="http://www.itu.int/rec/R-REC-M.1457/en" TargetMode="External"/><Relationship Id="rId14" Type="http://schemas.openxmlformats.org/officeDocument/2006/relationships/hyperlink" Target="http://www.itu.int/rec/R-REC-M.1801/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1925</Words>
  <Characters>19089</Characters>
  <Application>Microsoft Office Word</Application>
  <DocSecurity>0</DocSecurity>
  <Lines>159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2013-12-02T07:51:00Z</dcterms:created>
  <dcterms:modified xsi:type="dcterms:W3CDTF">2013-12-02T08:15:00Z</dcterms:modified>
</cp:coreProperties>
</file>