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7" w:history="1">
        <w:r w:rsidRPr="00313787">
          <w:rPr>
            <w:rStyle w:val="Hyperlink"/>
          </w:rPr>
          <w:t>6/ 93</w:t>
        </w:r>
      </w:hyperlink>
      <w:r w:rsidRPr="00AE0A77">
        <w:t xml:space="preserve"> and </w:t>
      </w:r>
      <w:hyperlink r:id="rId8"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9"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819"/>
        <w:gridCol w:w="4810"/>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A34710" w:rsidP="0026444F">
            <w:pPr>
              <w:spacing w:after="40"/>
              <w:rPr>
                <w:b/>
                <w:bCs/>
                <w:lang w:eastAsia="ja-JP"/>
              </w:rPr>
            </w:pPr>
            <w:r>
              <w:rPr>
                <w:b/>
                <w:bCs/>
                <w:lang w:eastAsia="ja-JP"/>
              </w:rPr>
              <w:t>Public Utilities Commission</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F472B8" w:rsidP="0026444F">
            <w:pPr>
              <w:spacing w:after="40"/>
              <w:rPr>
                <w:b/>
                <w:bCs/>
                <w:lang w:eastAsia="ja-JP"/>
              </w:rPr>
            </w:pPr>
            <w:r>
              <w:rPr>
                <w:b/>
                <w:bCs/>
                <w:lang w:eastAsia="ja-JP"/>
              </w:rPr>
              <w:t>John Avery</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F472B8" w:rsidP="0026444F">
            <w:pPr>
              <w:spacing w:after="40"/>
              <w:rPr>
                <w:b/>
                <w:bCs/>
                <w:lang w:eastAsia="ja-JP"/>
              </w:rPr>
            </w:pPr>
            <w:r>
              <w:rPr>
                <w:b/>
                <w:bCs/>
                <w:lang w:eastAsia="ja-JP"/>
              </w:rPr>
              <w:t>chairman</w:t>
            </w:r>
            <w:r w:rsidR="00A34710">
              <w:rPr>
                <w:b/>
                <w:bCs/>
                <w:lang w:eastAsia="ja-JP"/>
              </w:rPr>
              <w:t>@puc.bz</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A34710" w:rsidP="00F472B8">
            <w:pPr>
              <w:spacing w:after="40"/>
              <w:rPr>
                <w:b/>
                <w:bCs/>
                <w:lang w:eastAsia="ja-JP"/>
              </w:rPr>
            </w:pPr>
            <w:r>
              <w:rPr>
                <w:b/>
                <w:bCs/>
                <w:lang w:eastAsia="ja-JP"/>
              </w:rPr>
              <w:t>+501 223 4938 Ext. 2</w:t>
            </w:r>
            <w:r w:rsidR="00F472B8">
              <w:rPr>
                <w:b/>
                <w:bCs/>
                <w:lang w:eastAsia="ja-JP"/>
              </w:rPr>
              <w:t>37</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815"/>
        <w:gridCol w:w="4814"/>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A34710" w:rsidP="0026444F">
            <w:pPr>
              <w:spacing w:after="40"/>
              <w:rPr>
                <w:b/>
                <w:bCs/>
                <w:lang w:eastAsia="ja-JP"/>
              </w:rPr>
            </w:pPr>
            <w:r>
              <w:rPr>
                <w:b/>
                <w:bCs/>
                <w:lang w:eastAsia="ja-JP"/>
              </w:rPr>
              <w:t>Renell Alamilla</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A34710" w:rsidRPr="00AE0A77" w:rsidRDefault="00A34710"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A34710" w:rsidP="0026444F">
            <w:pPr>
              <w:spacing w:after="40"/>
              <w:rPr>
                <w:b/>
                <w:bCs/>
                <w:lang w:eastAsia="ja-JP"/>
              </w:rPr>
            </w:pPr>
            <w:r>
              <w:rPr>
                <w:b/>
                <w:bCs/>
                <w:lang w:eastAsia="ja-JP"/>
              </w:rPr>
              <w:t>ralamilla@puc.bz</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A34710" w:rsidP="0026444F">
            <w:pPr>
              <w:spacing w:after="40"/>
              <w:rPr>
                <w:b/>
                <w:bCs/>
                <w:lang w:eastAsia="ja-JP"/>
              </w:rPr>
            </w:pPr>
            <w:r>
              <w:rPr>
                <w:b/>
                <w:bCs/>
                <w:lang w:eastAsia="ja-JP"/>
              </w:rPr>
              <w:t>+501 223 4938 Ext 230</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A34710" w:rsidP="0026444F">
            <w:pPr>
              <w:spacing w:after="40"/>
              <w:rPr>
                <w:rFonts w:eastAsia="MS Mincho"/>
                <w:b/>
                <w:bCs/>
                <w:lang w:eastAsia="ja-JP"/>
              </w:rPr>
            </w:pPr>
            <w:r>
              <w:rPr>
                <w:rFonts w:eastAsia="MS Mincho"/>
                <w:b/>
                <w:bCs/>
                <w:lang w:eastAsia="ja-JP"/>
              </w:rPr>
              <w:t>Telecommunications Regulator</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A34710" w:rsidP="0026444F">
            <w:pPr>
              <w:spacing w:after="40"/>
              <w:rPr>
                <w:rFonts w:asciiTheme="majorBidi" w:hAnsiTheme="majorBidi" w:cstheme="majorBidi"/>
                <w:szCs w:val="24"/>
              </w:rPr>
            </w:pPr>
            <w:r>
              <w:rPr>
                <w:rFonts w:asciiTheme="majorBidi" w:hAnsiTheme="majorBidi" w:cstheme="majorBidi"/>
                <w:szCs w:val="24"/>
              </w:rPr>
              <w:t>Belize</w:t>
            </w: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r w:rsidR="00A34710">
        <w:t xml:space="preserve"> </w:t>
      </w:r>
    </w:p>
    <w:p w:rsidR="008B0B66" w:rsidRDefault="00503F0B" w:rsidP="008B0B66">
      <w:pPr>
        <w:ind w:left="1871" w:hanging="1871"/>
      </w:pPr>
      <w:r w:rsidRPr="00AE0A77">
        <w:tab/>
        <w:t>b)</w:t>
      </w:r>
      <w:r w:rsidRPr="00AE0A77">
        <w:tab/>
        <w:t xml:space="preserve">If yes, has analogue television switch-off commenced? </w:t>
      </w:r>
    </w:p>
    <w:p w:rsidR="00503F0B" w:rsidRPr="00AE0A77" w:rsidRDefault="00503F0B" w:rsidP="008B0B66">
      <w:pPr>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8B0B66" w:rsidRDefault="00503F0B" w:rsidP="00503F0B">
      <w:pPr>
        <w:rPr>
          <w:b/>
        </w:rPr>
      </w:pPr>
      <w:r w:rsidRPr="00AE0A77">
        <w:rPr>
          <w:b/>
        </w:rPr>
        <w:t>Reply:</w:t>
      </w:r>
      <w:r w:rsidR="008B0B66">
        <w:rPr>
          <w:b/>
        </w:rPr>
        <w:tab/>
        <w:t>a) Yes</w:t>
      </w:r>
    </w:p>
    <w:p w:rsidR="008B0B66" w:rsidRDefault="008B0B66" w:rsidP="00503F0B">
      <w:pPr>
        <w:rPr>
          <w:b/>
        </w:rPr>
      </w:pPr>
      <w:r>
        <w:rPr>
          <w:b/>
        </w:rPr>
        <w:tab/>
        <w:t>b) No</w:t>
      </w:r>
    </w:p>
    <w:p w:rsidR="00503F0B" w:rsidRPr="00AE0A77" w:rsidRDefault="008B0B66" w:rsidP="00503F0B">
      <w:pPr>
        <w:rPr>
          <w:b/>
        </w:rPr>
      </w:pPr>
      <w:r>
        <w:rPr>
          <w:b/>
        </w:rPr>
        <w:tab/>
        <w:t>c) N/A</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r w:rsidR="008B0B66">
        <w:t xml:space="preserve"> </w:t>
      </w:r>
    </w:p>
    <w:p w:rsidR="00503F0B" w:rsidRPr="00AE0A77" w:rsidRDefault="00503F0B" w:rsidP="00503F0B">
      <w:pPr>
        <w:pStyle w:val="enumlev1"/>
      </w:pPr>
      <w:r w:rsidRPr="00AE0A77">
        <w:tab/>
        <w:t>b)</w:t>
      </w:r>
      <w:r w:rsidRPr="00AE0A77">
        <w:tab/>
        <w:t>What channel bandwidths are used for analogue television?</w:t>
      </w:r>
      <w:r w:rsidR="00A34710">
        <w:t xml:space="preserve"> </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Default="00503F0B" w:rsidP="00503F0B">
      <w:r w:rsidRPr="00AE0A77">
        <w:rPr>
          <w:b/>
        </w:rPr>
        <w:t>Reply:</w:t>
      </w:r>
      <w:r w:rsidR="008B0B66">
        <w:rPr>
          <w:b/>
        </w:rPr>
        <w:tab/>
        <w:t xml:space="preserve">a) </w:t>
      </w:r>
      <w:r w:rsidR="008B0B66">
        <w:t>13 VHF I, III and UHF 14 to 23</w:t>
      </w:r>
    </w:p>
    <w:p w:rsidR="008B0B66" w:rsidRDefault="008B0B66" w:rsidP="00503F0B">
      <w:r>
        <w:tab/>
        <w:t>b) 6 MHz</w:t>
      </w:r>
    </w:p>
    <w:p w:rsidR="008B0B66" w:rsidRPr="00AE0A77" w:rsidRDefault="008B0B66" w:rsidP="00503F0B">
      <w:pPr>
        <w:rPr>
          <w:b/>
        </w:rPr>
      </w:pPr>
      <w:r>
        <w:tab/>
        <w:t>c) 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8B0B66" w:rsidRDefault="00503F0B" w:rsidP="00503F0B">
      <w:pPr>
        <w:rPr>
          <w:b/>
        </w:rPr>
      </w:pPr>
      <w:r w:rsidRPr="00AE0A77">
        <w:rPr>
          <w:b/>
        </w:rPr>
        <w:t>Reply:</w:t>
      </w:r>
      <w:r w:rsidR="008B0B66">
        <w:rPr>
          <w:b/>
        </w:rPr>
        <w:t xml:space="preserve"> </w:t>
      </w:r>
      <w:r w:rsidR="008B0B66">
        <w:rPr>
          <w:b/>
        </w:rPr>
        <w:tab/>
        <w:t>a) &lt;10%</w:t>
      </w:r>
    </w:p>
    <w:p w:rsidR="00503F0B" w:rsidRPr="00AE0A77" w:rsidRDefault="008B0B66" w:rsidP="00503F0B">
      <w:pPr>
        <w:rPr>
          <w:b/>
        </w:rPr>
      </w:pPr>
      <w:r>
        <w:rPr>
          <w:b/>
        </w:rPr>
        <w:tab/>
        <w:t>b) Unknown</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Pr="00AE0A77" w:rsidRDefault="00503F0B" w:rsidP="00503F0B">
      <w:pPr>
        <w:rPr>
          <w:b/>
        </w:rPr>
      </w:pPr>
      <w:r w:rsidRPr="00AE0A77">
        <w:rPr>
          <w:b/>
        </w:rPr>
        <w:t>Reply:</w:t>
      </w:r>
      <w:r w:rsidR="006F5744">
        <w:rPr>
          <w:b/>
        </w:rPr>
        <w:tab/>
        <w:t>N/A</w:t>
      </w:r>
    </w:p>
    <w:p w:rsidR="00503F0B" w:rsidRPr="00AE0A77" w:rsidRDefault="00503F0B" w:rsidP="00503F0B">
      <w:pPr>
        <w:rPr>
          <w:b/>
        </w:rPr>
      </w:pPr>
    </w:p>
    <w:p w:rsidR="00503F0B" w:rsidRPr="00AE0A77" w:rsidRDefault="00503F0B" w:rsidP="00503F0B">
      <w:pPr>
        <w:ind w:left="1871" w:hanging="1871"/>
      </w:pPr>
      <w:r w:rsidRPr="00AE0A77">
        <w:lastRenderedPageBreak/>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r w:rsidR="006F5744">
        <w:rPr>
          <w:b/>
        </w:rPr>
        <w:t xml:space="preserve"> </w:t>
      </w:r>
      <w:r w:rsidR="006F5744">
        <w:rPr>
          <w:b/>
        </w:rPr>
        <w:tab/>
        <w:t>a) none</w:t>
      </w:r>
    </w:p>
    <w:p w:rsidR="006F5744" w:rsidRDefault="006F5744" w:rsidP="00503F0B">
      <w:pPr>
        <w:rPr>
          <w:b/>
        </w:rPr>
      </w:pPr>
      <w:r>
        <w:rPr>
          <w:b/>
        </w:rPr>
        <w:tab/>
        <w:t>b) none</w:t>
      </w:r>
    </w:p>
    <w:p w:rsidR="006F5744" w:rsidRPr="00AE0A77" w:rsidRDefault="006F5744" w:rsidP="00503F0B">
      <w:pPr>
        <w:rPr>
          <w:b/>
        </w:rPr>
      </w:pPr>
      <w:r>
        <w:rPr>
          <w:b/>
        </w:rPr>
        <w:tab/>
        <w:t>c) 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r w:rsidR="006F5744">
        <w:rPr>
          <w:b/>
        </w:rPr>
        <w:tab/>
        <w:t>a) No</w:t>
      </w:r>
    </w:p>
    <w:p w:rsidR="006F5744" w:rsidRPr="00AE0A77" w:rsidRDefault="006F5744" w:rsidP="00503F0B">
      <w:pPr>
        <w:rPr>
          <w:b/>
        </w:rPr>
      </w:pPr>
      <w:r>
        <w:rPr>
          <w:b/>
        </w:rPr>
        <w:tab/>
        <w:t>b) 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 xml:space="preserve">Are the terrestrial television frequency bands also shared with secondary services used for the </w:t>
      </w:r>
      <w:r w:rsidRPr="00AE0A77">
        <w:lastRenderedPageBreak/>
        <w:t>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r w:rsidR="006F5744">
        <w:rPr>
          <w:b/>
        </w:rPr>
        <w:tab/>
        <w:t>a) No</w:t>
      </w:r>
    </w:p>
    <w:p w:rsidR="006F5744" w:rsidRPr="00AE0A77" w:rsidRDefault="006F5744" w:rsidP="00503F0B">
      <w:pPr>
        <w:rPr>
          <w:b/>
        </w:rPr>
      </w:pPr>
      <w:r>
        <w:rPr>
          <w:b/>
        </w:rPr>
        <w:tab/>
        <w:t>b) 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r w:rsidR="006F5744">
        <w:rPr>
          <w:b/>
        </w:rPr>
        <w:tab/>
        <w:t>a) issue is outside purview of this regulatory body</w:t>
      </w:r>
    </w:p>
    <w:p w:rsidR="006F5744" w:rsidRPr="00AE0A77" w:rsidRDefault="006F5744" w:rsidP="00503F0B">
      <w:pPr>
        <w:rPr>
          <w:b/>
        </w:rPr>
      </w:pPr>
      <w:r>
        <w:rPr>
          <w:b/>
        </w:rPr>
        <w:tab/>
        <w:t>b) N/A</w:t>
      </w: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r w:rsidR="006F5744">
        <w:rPr>
          <w:b/>
        </w:rPr>
        <w:tab/>
        <w:t xml:space="preserve"> a) No </w:t>
      </w:r>
    </w:p>
    <w:p w:rsidR="006F5744" w:rsidRPr="00AE0A77" w:rsidRDefault="006F5744" w:rsidP="00503F0B">
      <w:pPr>
        <w:rPr>
          <w:b/>
        </w:rPr>
      </w:pPr>
      <w:r>
        <w:rPr>
          <w:b/>
        </w:rPr>
        <w:tab/>
        <w:t>b) 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r w:rsidR="006F5744">
        <w:rPr>
          <w:b/>
        </w:rPr>
        <w:tab/>
        <w:t>a) None foreseen at this time</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03F0B">
      <w:pPr>
        <w:rPr>
          <w:b/>
        </w:rPr>
      </w:pPr>
      <w:r w:rsidRPr="00AE0A77">
        <w:rPr>
          <w:b/>
        </w:rPr>
        <w:t>Reply:</w:t>
      </w:r>
      <w:r w:rsidR="00D55E95">
        <w:rPr>
          <w:b/>
        </w:rPr>
        <w:tab/>
        <w:t>a) FM VHF II</w:t>
      </w:r>
    </w:p>
    <w:p w:rsidR="00D55E95" w:rsidRDefault="00D55E95" w:rsidP="00503F0B">
      <w:pPr>
        <w:rPr>
          <w:b/>
        </w:rPr>
      </w:pPr>
      <w:r>
        <w:rPr>
          <w:b/>
        </w:rPr>
        <w:tab/>
        <w:t>b) 85</w:t>
      </w:r>
    </w:p>
    <w:p w:rsidR="00D55E95" w:rsidRPr="00AE0A77" w:rsidRDefault="00D55E95" w:rsidP="00503F0B">
      <w:pPr>
        <w:rPr>
          <w:b/>
        </w:rPr>
      </w:pPr>
      <w:r>
        <w:rPr>
          <w:b/>
        </w:rPr>
        <w:tab/>
        <w:t>c) 200 KHz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r w:rsidR="00D55E95">
        <w:rPr>
          <w:b/>
        </w:rPr>
        <w:tab/>
        <w:t>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lastRenderedPageBreak/>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Pr="00AE0A77" w:rsidRDefault="00503F0B" w:rsidP="00503F0B">
      <w:pPr>
        <w:rPr>
          <w:b/>
        </w:rPr>
      </w:pPr>
      <w:r w:rsidRPr="00AE0A77">
        <w:rPr>
          <w:b/>
        </w:rPr>
        <w:t>Reply:</w:t>
      </w:r>
      <w:r w:rsidR="00BC35A8">
        <w:rPr>
          <w:b/>
        </w:rPr>
        <w:tab/>
        <w:t>No</w:t>
      </w:r>
    </w:p>
    <w:p w:rsidR="00503F0B" w:rsidRPr="00AE0A77" w:rsidRDefault="00503F0B" w:rsidP="00503F0B">
      <w:pPr>
        <w:ind w:left="1871" w:hanging="1871"/>
      </w:pPr>
    </w:p>
    <w:p w:rsidR="00503F0B" w:rsidRPr="00AE0A77" w:rsidRDefault="00503F0B" w:rsidP="00503F0B">
      <w:pPr>
        <w:ind w:left="1871" w:hanging="1871"/>
      </w:pPr>
      <w:r w:rsidRPr="00AE0A77">
        <w:lastRenderedPageBreak/>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BC35A8">
        <w:rPr>
          <w:b/>
        </w:rPr>
        <w:tab/>
        <w:t>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BC35A8">
        <w:rPr>
          <w:b/>
        </w:rPr>
        <w:tab/>
        <w:t>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r w:rsidR="00BC35A8">
        <w:rPr>
          <w:b/>
        </w:rPr>
        <w:tab/>
        <w:t>N/A</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r w:rsidR="00BC35A8">
        <w:rPr>
          <w:b/>
        </w:rPr>
        <w:tab/>
        <w:t>No</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0"/>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VHF I 180kHz</w:t>
            </w:r>
          </w:p>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VHF II 300kHz</w:t>
            </w:r>
          </w:p>
        </w:tc>
        <w:tc>
          <w:tcPr>
            <w:tcW w:w="1530" w:type="dxa"/>
          </w:tcPr>
          <w:p w:rsidR="00503F0B" w:rsidRPr="00AE0A77" w:rsidRDefault="00503F0B" w:rsidP="0026444F">
            <w:pPr>
              <w:spacing w:before="40"/>
              <w:jc w:val="center"/>
              <w:rPr>
                <w:rFonts w:cstheme="majorBidi"/>
                <w:bCs/>
                <w:i/>
                <w:color w:val="FF0000"/>
                <w:sz w:val="22"/>
              </w:rPr>
            </w:pPr>
          </w:p>
        </w:tc>
        <w:tc>
          <w:tcPr>
            <w:tcW w:w="1530" w:type="dxa"/>
          </w:tcPr>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7 MHz</w:t>
            </w:r>
          </w:p>
        </w:tc>
        <w:tc>
          <w:tcPr>
            <w:tcW w:w="1530" w:type="dxa"/>
          </w:tcPr>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7MHz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35</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215</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r w:rsidRPr="00AE0A77">
              <w:rPr>
                <w:rFonts w:cstheme="majorBidi"/>
                <w:i/>
                <w:color w:val="FF0000"/>
                <w:sz w:val="22"/>
              </w:rPr>
              <w:t>250</w:t>
            </w:r>
          </w:p>
        </w:tc>
        <w:tc>
          <w:tcPr>
            <w:tcW w:w="1530" w:type="dxa"/>
          </w:tcPr>
          <w:p w:rsidR="00503F0B" w:rsidRPr="00AE0A77" w:rsidRDefault="00503F0B" w:rsidP="0026444F">
            <w:pPr>
              <w:jc w:val="center"/>
              <w:rPr>
                <w:rFonts w:cstheme="majorBidi"/>
                <w:i/>
                <w:color w:val="FF0000"/>
                <w:sz w:val="22"/>
              </w:rPr>
            </w:pPr>
            <w:r w:rsidRPr="00AE0A77">
              <w:rPr>
                <w:rFonts w:cstheme="majorBidi"/>
                <w:i/>
                <w:color w:val="FF0000"/>
                <w:sz w:val="22"/>
              </w:rPr>
              <w:t>5 (221)</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35</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5683</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137 (4387)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3940</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(2768)</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w:t>
            </w:r>
            <w:r w:rsidRPr="00AE0A77">
              <w:rPr>
                <w:sz w:val="22"/>
              </w:rPr>
              <w:lastRenderedPageBreak/>
              <w:t>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1"/>
          <w:footerReference w:type="first" r:id="rId12"/>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503F0B" w:rsidP="0026444F">
            <w:pPr>
              <w:tabs>
                <w:tab w:val="left" w:pos="3119"/>
                <w:tab w:val="left" w:pos="4395"/>
              </w:tabs>
              <w:spacing w:before="40" w:afterLines="40" w:after="96"/>
              <w:jc w:val="center"/>
              <w:rPr>
                <w:b/>
                <w:sz w:val="18"/>
                <w:szCs w:val="18"/>
              </w:rPr>
            </w:pPr>
            <w:r w:rsidRPr="00AE0A77">
              <w:rPr>
                <w:b/>
                <w:sz w:val="18"/>
                <w:szCs w:val="18"/>
                <w:lang w:eastAsia="ja-JP"/>
              </w:rPr>
              <w:t>ZZ</w:t>
            </w: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3</w:t>
            </w: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 64-QAM</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2/3</w:t>
            </w: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24.10</w:t>
            </w: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98.0%</w:t>
            </w: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99.2%</w:t>
            </w: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9 SD MPEG2</w:t>
            </w:r>
          </w:p>
        </w:tc>
        <w:tc>
          <w:tcPr>
            <w:tcW w:w="1067" w:type="dxa"/>
            <w:vMerge w:val="restart"/>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153.6</w:t>
            </w:r>
          </w:p>
        </w:tc>
        <w:tc>
          <w:tcPr>
            <w:tcW w:w="1361" w:type="dxa"/>
            <w:vMerge w:val="restart"/>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256</w:t>
            </w: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Public service multiplexes</w:t>
            </w:r>
            <w:r w:rsidRPr="00AE0A77">
              <w:rPr>
                <w:i/>
                <w:color w:val="FF0000"/>
                <w:sz w:val="18"/>
                <w:szCs w:val="18"/>
                <w:lang w:eastAsia="ja-JP"/>
              </w:rPr>
              <w:br/>
              <w:t>licensed until 2025</w:t>
            </w:r>
          </w:p>
        </w:tc>
      </w:tr>
      <w:tr w:rsidR="00503F0B" w:rsidRPr="00AE0A77" w:rsidTr="0026444F">
        <w:trPr>
          <w:trHeight w:val="850"/>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3</w:t>
            </w: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 64-QAM</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 xml:space="preserve">3/4 </w:t>
            </w: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27.10</w:t>
            </w: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75.0%</w:t>
            </w: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90.0%</w:t>
            </w: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11 SD MPEG2</w:t>
            </w:r>
          </w:p>
        </w:tc>
        <w:tc>
          <w:tcPr>
            <w:tcW w:w="1067"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Licensed until 2030</w:t>
            </w:r>
          </w:p>
        </w:tc>
      </w:tr>
      <w:tr w:rsidR="00503F0B" w:rsidRPr="00AE0A77" w:rsidTr="0026444F">
        <w:trPr>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1</w:t>
            </w:r>
          </w:p>
        </w:tc>
        <w:tc>
          <w:tcPr>
            <w:tcW w:w="163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DVB-T2, 64-QAM</w:t>
            </w:r>
          </w:p>
        </w:tc>
        <w:tc>
          <w:tcPr>
            <w:tcW w:w="819"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2/3</w:t>
            </w:r>
          </w:p>
        </w:tc>
        <w:tc>
          <w:tcPr>
            <w:tcW w:w="818"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1/4</w:t>
            </w:r>
          </w:p>
        </w:tc>
        <w:tc>
          <w:tcPr>
            <w:tcW w:w="955"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Portable indoor</w:t>
            </w:r>
          </w:p>
        </w:tc>
        <w:tc>
          <w:tcPr>
            <w:tcW w:w="954"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22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w:t>
            </w:r>
          </w:p>
        </w:tc>
        <w:tc>
          <w:tcPr>
            <w:tcW w:w="1089"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60%</w:t>
            </w:r>
          </w:p>
        </w:tc>
        <w:tc>
          <w:tcPr>
            <w:tcW w:w="129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3 HD MPEG4</w:t>
            </w:r>
          </w:p>
        </w:tc>
        <w:tc>
          <w:tcPr>
            <w:tcW w:w="1067"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3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From 2017</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AC" w:rsidRDefault="00B303AC">
      <w:r>
        <w:separator/>
      </w:r>
    </w:p>
  </w:endnote>
  <w:endnote w:type="continuationSeparator" w:id="0">
    <w:p w:rsidR="00B303AC" w:rsidRDefault="00B3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C01369">
    <w:pPr>
      <w:pStyle w:val="Footer"/>
      <w:rPr>
        <w:lang w:val="es-ES_tradnl"/>
      </w:rPr>
    </w:pPr>
    <w:r>
      <w:fldChar w:fldCharType="begin"/>
    </w:r>
    <w:r>
      <w:instrText xml:space="preserve"> FILENAME \p \* MERGEFORMAT </w:instrText>
    </w:r>
    <w:r>
      <w:fldChar w:fldCharType="separate"/>
    </w:r>
    <w:r w:rsidR="00503F0B" w:rsidRPr="00503F0B">
      <w:rPr>
        <w:lang w:val="es-ES_tradnl"/>
      </w:rPr>
      <w:t>Document1</w:t>
    </w:r>
    <w:r>
      <w:rPr>
        <w:lang w:val="es-ES_tradnl"/>
      </w:rPr>
      <w:fldChar w:fldCharType="end"/>
    </w:r>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t>22.10.14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03F0B">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AC" w:rsidRDefault="00B303AC">
      <w:r>
        <w:t>____________________</w:t>
      </w:r>
    </w:p>
  </w:footnote>
  <w:footnote w:type="continuationSeparator" w:id="0">
    <w:p w:rsidR="00B303AC" w:rsidRDefault="00B303AC">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1369">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1369">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03F0B">
      <w:rPr>
        <w:rStyle w:val="PageNumber"/>
        <w:noProof/>
      </w:rPr>
      <w:t>2</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1369">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74AD"/>
    <w:rsid w:val="000A5572"/>
    <w:rsid w:val="000A7D55"/>
    <w:rsid w:val="000C2E8E"/>
    <w:rsid w:val="000E0E7C"/>
    <w:rsid w:val="000F1B4B"/>
    <w:rsid w:val="0012744F"/>
    <w:rsid w:val="00153506"/>
    <w:rsid w:val="00156F66"/>
    <w:rsid w:val="00182528"/>
    <w:rsid w:val="0018500B"/>
    <w:rsid w:val="00196A19"/>
    <w:rsid w:val="00202DC1"/>
    <w:rsid w:val="002116EE"/>
    <w:rsid w:val="002309D8"/>
    <w:rsid w:val="00282E4A"/>
    <w:rsid w:val="002A7FE2"/>
    <w:rsid w:val="002E1B4F"/>
    <w:rsid w:val="002F2E67"/>
    <w:rsid w:val="00313787"/>
    <w:rsid w:val="00315546"/>
    <w:rsid w:val="00330567"/>
    <w:rsid w:val="00386A9D"/>
    <w:rsid w:val="00391081"/>
    <w:rsid w:val="003B2789"/>
    <w:rsid w:val="003C13CE"/>
    <w:rsid w:val="003E2518"/>
    <w:rsid w:val="003E7CEF"/>
    <w:rsid w:val="004B1EF7"/>
    <w:rsid w:val="004B3FAD"/>
    <w:rsid w:val="00501DCA"/>
    <w:rsid w:val="00503F0B"/>
    <w:rsid w:val="00513A47"/>
    <w:rsid w:val="00530896"/>
    <w:rsid w:val="005408DF"/>
    <w:rsid w:val="00562377"/>
    <w:rsid w:val="00573344"/>
    <w:rsid w:val="00583F9B"/>
    <w:rsid w:val="005E5C10"/>
    <w:rsid w:val="005F09AE"/>
    <w:rsid w:val="005F2C78"/>
    <w:rsid w:val="006144E4"/>
    <w:rsid w:val="00650299"/>
    <w:rsid w:val="00655FC5"/>
    <w:rsid w:val="006F5744"/>
    <w:rsid w:val="00822581"/>
    <w:rsid w:val="008309DD"/>
    <w:rsid w:val="0083227A"/>
    <w:rsid w:val="00866900"/>
    <w:rsid w:val="00881BA1"/>
    <w:rsid w:val="008B0B66"/>
    <w:rsid w:val="008C26B8"/>
    <w:rsid w:val="008C3B72"/>
    <w:rsid w:val="008F208F"/>
    <w:rsid w:val="00952364"/>
    <w:rsid w:val="00982084"/>
    <w:rsid w:val="00995963"/>
    <w:rsid w:val="009B61EB"/>
    <w:rsid w:val="009C2064"/>
    <w:rsid w:val="009D1697"/>
    <w:rsid w:val="00A014F8"/>
    <w:rsid w:val="00A34710"/>
    <w:rsid w:val="00A5173C"/>
    <w:rsid w:val="00A61AEF"/>
    <w:rsid w:val="00AF173A"/>
    <w:rsid w:val="00B066A4"/>
    <w:rsid w:val="00B07A13"/>
    <w:rsid w:val="00B303AC"/>
    <w:rsid w:val="00B4279B"/>
    <w:rsid w:val="00B45FC9"/>
    <w:rsid w:val="00BC35A8"/>
    <w:rsid w:val="00BC7CCF"/>
    <w:rsid w:val="00BE470B"/>
    <w:rsid w:val="00C01369"/>
    <w:rsid w:val="00C57A91"/>
    <w:rsid w:val="00CC01C2"/>
    <w:rsid w:val="00CF21F2"/>
    <w:rsid w:val="00D02712"/>
    <w:rsid w:val="00D214D0"/>
    <w:rsid w:val="00D55E95"/>
    <w:rsid w:val="00D6546B"/>
    <w:rsid w:val="00DD4BED"/>
    <w:rsid w:val="00DE39F0"/>
    <w:rsid w:val="00DF0AF3"/>
    <w:rsid w:val="00E27D7E"/>
    <w:rsid w:val="00E42E13"/>
    <w:rsid w:val="00E6257C"/>
    <w:rsid w:val="00E63C59"/>
    <w:rsid w:val="00F1582F"/>
    <w:rsid w:val="00F472B8"/>
    <w:rsid w:val="00F511C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E26CC-45CC-4EA9-A099-7E3A8B29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10</Pages>
  <Words>2000</Words>
  <Characters>10964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2014-10-23T11:46:00Z</dcterms:created>
  <dcterms:modified xsi:type="dcterms:W3CDTF">2014-10-23T11:46:00Z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