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305CC5">
        <w:tc>
          <w:tcPr>
            <w:tcW w:w="4918" w:type="dxa"/>
          </w:tcPr>
          <w:p w:rsidR="00503F0B" w:rsidRPr="00AE0A77" w:rsidRDefault="00503F0B" w:rsidP="00305CC5">
            <w:pPr>
              <w:spacing w:after="40"/>
              <w:rPr>
                <w:b/>
                <w:bCs/>
                <w:lang w:eastAsia="ja-JP"/>
              </w:rPr>
            </w:pPr>
            <w:r w:rsidRPr="00AE0A77">
              <w:rPr>
                <w:b/>
                <w:bCs/>
              </w:rPr>
              <w:t>Name of the Administration:</w:t>
            </w:r>
          </w:p>
        </w:tc>
        <w:tc>
          <w:tcPr>
            <w:tcW w:w="4919" w:type="dxa"/>
          </w:tcPr>
          <w:p w:rsidR="00305CC5" w:rsidRPr="00AE0A77" w:rsidRDefault="00305CC5" w:rsidP="00305CC5">
            <w:pPr>
              <w:spacing w:after="40"/>
              <w:rPr>
                <w:b/>
                <w:bCs/>
                <w:lang w:eastAsia="ja-JP"/>
              </w:rPr>
            </w:pPr>
            <w:r>
              <w:rPr>
                <w:b/>
                <w:bCs/>
                <w:lang w:eastAsia="ja-JP"/>
              </w:rPr>
              <w:t>Agentschap Telecom</w:t>
            </w:r>
          </w:p>
        </w:tc>
      </w:tr>
      <w:tr w:rsidR="00503F0B" w:rsidRPr="00AE0A77" w:rsidTr="00305CC5">
        <w:tc>
          <w:tcPr>
            <w:tcW w:w="4918" w:type="dxa"/>
          </w:tcPr>
          <w:p w:rsidR="00503F0B" w:rsidRPr="00AE0A77" w:rsidRDefault="00503F0B" w:rsidP="00305CC5">
            <w:pPr>
              <w:spacing w:after="40"/>
              <w:rPr>
                <w:b/>
                <w:bCs/>
                <w:lang w:eastAsia="ja-JP"/>
              </w:rPr>
            </w:pPr>
            <w:r w:rsidRPr="00AE0A77">
              <w:rPr>
                <w:b/>
                <w:bCs/>
              </w:rPr>
              <w:t>Contact person:</w:t>
            </w:r>
          </w:p>
        </w:tc>
        <w:tc>
          <w:tcPr>
            <w:tcW w:w="4919" w:type="dxa"/>
          </w:tcPr>
          <w:p w:rsidR="00503F0B" w:rsidRPr="00AE0A77" w:rsidRDefault="00323A7E" w:rsidP="00305CC5">
            <w:pPr>
              <w:spacing w:after="40"/>
              <w:rPr>
                <w:b/>
                <w:bCs/>
                <w:lang w:eastAsia="ja-JP"/>
              </w:rPr>
            </w:pPr>
            <w:r>
              <w:rPr>
                <w:b/>
                <w:bCs/>
                <w:lang w:eastAsia="ja-JP"/>
              </w:rPr>
              <w:t>Huub Nagel</w:t>
            </w:r>
          </w:p>
        </w:tc>
      </w:tr>
      <w:tr w:rsidR="00503F0B" w:rsidRPr="00AE0A77" w:rsidTr="00305CC5">
        <w:tc>
          <w:tcPr>
            <w:tcW w:w="4918" w:type="dxa"/>
          </w:tcPr>
          <w:p w:rsidR="00503F0B" w:rsidRPr="00AE0A77" w:rsidRDefault="00503F0B" w:rsidP="00305CC5">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D45AB9" w:rsidP="00305CC5">
            <w:pPr>
              <w:spacing w:after="40"/>
              <w:rPr>
                <w:b/>
                <w:bCs/>
                <w:lang w:eastAsia="ja-JP"/>
              </w:rPr>
            </w:pPr>
            <w:hyperlink r:id="rId11" w:history="1">
              <w:r w:rsidR="00323A7E" w:rsidRPr="00323A7E">
                <w:rPr>
                  <w:rStyle w:val="Hyperlink"/>
                  <w:b/>
                  <w:bCs/>
                  <w:lang w:eastAsia="ja-JP"/>
                </w:rPr>
                <w:t>huub.nagel@agentschaptelecom.nl</w:t>
              </w:r>
            </w:hyperlink>
          </w:p>
        </w:tc>
      </w:tr>
      <w:tr w:rsidR="00503F0B" w:rsidRPr="00AE0A77" w:rsidTr="00305CC5">
        <w:tc>
          <w:tcPr>
            <w:tcW w:w="4918" w:type="dxa"/>
          </w:tcPr>
          <w:p w:rsidR="00503F0B" w:rsidRPr="00AE0A77" w:rsidRDefault="00503F0B" w:rsidP="00305CC5">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305CC5" w:rsidP="00305CC5">
            <w:pPr>
              <w:spacing w:after="40"/>
              <w:rPr>
                <w:b/>
                <w:bCs/>
                <w:lang w:eastAsia="ja-JP"/>
              </w:rPr>
            </w:pPr>
            <w:r>
              <w:rPr>
                <w:b/>
                <w:bCs/>
                <w:lang w:eastAsia="ja-JP"/>
              </w:rPr>
              <w:t>+31 50 587</w:t>
            </w:r>
            <w:r w:rsidR="00323A7E">
              <w:rPr>
                <w:b/>
                <w:bCs/>
                <w:lang w:eastAsia="ja-JP"/>
              </w:rPr>
              <w:t>7355</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305CC5">
        <w:tc>
          <w:tcPr>
            <w:tcW w:w="4918" w:type="dxa"/>
          </w:tcPr>
          <w:p w:rsidR="00503F0B" w:rsidRPr="00AE0A77" w:rsidRDefault="00503F0B" w:rsidP="00305CC5">
            <w:pPr>
              <w:spacing w:after="40"/>
              <w:rPr>
                <w:b/>
                <w:bCs/>
                <w:lang w:eastAsia="ja-JP"/>
              </w:rPr>
            </w:pPr>
            <w:r w:rsidRPr="00AE0A77">
              <w:rPr>
                <w:b/>
                <w:bCs/>
              </w:rPr>
              <w:t>Name of the Sector Member:</w:t>
            </w:r>
          </w:p>
        </w:tc>
        <w:tc>
          <w:tcPr>
            <w:tcW w:w="4919" w:type="dxa"/>
          </w:tcPr>
          <w:p w:rsidR="00503F0B" w:rsidRPr="00AE0A77" w:rsidRDefault="00503F0B" w:rsidP="00305CC5">
            <w:pPr>
              <w:spacing w:after="40"/>
              <w:rPr>
                <w:b/>
                <w:bCs/>
                <w:lang w:eastAsia="ja-JP"/>
              </w:rPr>
            </w:pPr>
          </w:p>
        </w:tc>
      </w:tr>
      <w:tr w:rsidR="00503F0B" w:rsidRPr="00AE0A77" w:rsidTr="00305CC5">
        <w:tc>
          <w:tcPr>
            <w:tcW w:w="4918" w:type="dxa"/>
          </w:tcPr>
          <w:p w:rsidR="00503F0B" w:rsidRPr="00AE0A77" w:rsidRDefault="00503F0B" w:rsidP="00305CC5">
            <w:pPr>
              <w:spacing w:after="40"/>
              <w:rPr>
                <w:b/>
                <w:bCs/>
                <w:lang w:eastAsia="ja-JP"/>
              </w:rPr>
            </w:pPr>
            <w:r w:rsidRPr="00AE0A77">
              <w:rPr>
                <w:b/>
                <w:bCs/>
              </w:rPr>
              <w:t>Contact person:</w:t>
            </w:r>
          </w:p>
        </w:tc>
        <w:tc>
          <w:tcPr>
            <w:tcW w:w="4919" w:type="dxa"/>
          </w:tcPr>
          <w:p w:rsidR="00503F0B" w:rsidRPr="00AE0A77" w:rsidRDefault="00503F0B" w:rsidP="00305CC5">
            <w:pPr>
              <w:spacing w:after="40"/>
              <w:rPr>
                <w:b/>
                <w:bCs/>
                <w:lang w:eastAsia="ja-JP"/>
              </w:rPr>
            </w:pPr>
          </w:p>
        </w:tc>
      </w:tr>
      <w:tr w:rsidR="00503F0B" w:rsidRPr="00AE0A77" w:rsidTr="00305CC5">
        <w:tc>
          <w:tcPr>
            <w:tcW w:w="4918" w:type="dxa"/>
          </w:tcPr>
          <w:p w:rsidR="00503F0B" w:rsidRPr="00AE0A77" w:rsidRDefault="00503F0B" w:rsidP="00305CC5">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305CC5">
            <w:pPr>
              <w:spacing w:after="40"/>
              <w:rPr>
                <w:b/>
                <w:bCs/>
                <w:lang w:eastAsia="ja-JP"/>
              </w:rPr>
            </w:pPr>
          </w:p>
        </w:tc>
      </w:tr>
      <w:tr w:rsidR="00503F0B" w:rsidRPr="00AE0A77" w:rsidTr="00305CC5">
        <w:tc>
          <w:tcPr>
            <w:tcW w:w="4918" w:type="dxa"/>
          </w:tcPr>
          <w:p w:rsidR="00503F0B" w:rsidRPr="00AE0A77" w:rsidRDefault="00503F0B" w:rsidP="00305CC5">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305CC5">
            <w:pPr>
              <w:spacing w:after="40"/>
              <w:rPr>
                <w:b/>
                <w:bCs/>
                <w:lang w:eastAsia="ja-JP"/>
              </w:rPr>
            </w:pPr>
          </w:p>
        </w:tc>
      </w:tr>
      <w:tr w:rsidR="00503F0B" w:rsidRPr="00AE0A77" w:rsidTr="00305CC5">
        <w:tc>
          <w:tcPr>
            <w:tcW w:w="4918" w:type="dxa"/>
          </w:tcPr>
          <w:p w:rsidR="00503F0B" w:rsidRPr="00AE0A77" w:rsidRDefault="00503F0B" w:rsidP="00305CC5">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305CC5">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305CC5">
            <w:pPr>
              <w:spacing w:after="40"/>
              <w:rPr>
                <w:rFonts w:eastAsia="MS Mincho"/>
                <w:b/>
                <w:bCs/>
                <w:lang w:eastAsia="ja-JP"/>
              </w:rPr>
            </w:pPr>
          </w:p>
        </w:tc>
      </w:tr>
      <w:tr w:rsidR="00503F0B" w:rsidRPr="00AE0A77" w:rsidTr="00305CC5">
        <w:tc>
          <w:tcPr>
            <w:tcW w:w="4918" w:type="dxa"/>
          </w:tcPr>
          <w:p w:rsidR="00503F0B" w:rsidRPr="00AE0A77" w:rsidRDefault="00503F0B" w:rsidP="00305CC5">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305CC5">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7270BD" w:rsidRDefault="00503F0B" w:rsidP="00503F0B">
      <w:pPr>
        <w:rPr>
          <w:b/>
        </w:rPr>
      </w:pPr>
      <w:r w:rsidRPr="00AE0A77">
        <w:rPr>
          <w:b/>
        </w:rPr>
        <w:t>Reply:</w:t>
      </w:r>
      <w:r w:rsidR="00305CC5">
        <w:rPr>
          <w:b/>
        </w:rPr>
        <w:t xml:space="preserve"> </w:t>
      </w:r>
    </w:p>
    <w:p w:rsidR="00503F0B" w:rsidRPr="00AE0A77" w:rsidRDefault="007270BD" w:rsidP="00503F0B">
      <w:pPr>
        <w:rPr>
          <w:b/>
        </w:rPr>
      </w:pPr>
      <w:r>
        <w:rPr>
          <w:b/>
        </w:rPr>
        <w:t>T</w:t>
      </w:r>
      <w:r w:rsidR="00305CC5">
        <w:rPr>
          <w:b/>
        </w:rPr>
        <w:t>he Netherland switched off analogue TV in December 2006</w:t>
      </w:r>
      <w:r w:rsidR="002B1BB1">
        <w:rPr>
          <w:b/>
        </w:rPr>
        <w:t>.</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7270BD" w:rsidRDefault="00503F0B" w:rsidP="00503F0B">
      <w:pPr>
        <w:rPr>
          <w:b/>
        </w:rPr>
      </w:pPr>
      <w:r w:rsidRPr="00AE0A77">
        <w:rPr>
          <w:b/>
        </w:rPr>
        <w:t>Reply:</w:t>
      </w:r>
      <w:r w:rsidR="00305CC5">
        <w:rPr>
          <w:b/>
        </w:rPr>
        <w:t xml:space="preserve"> </w:t>
      </w:r>
    </w:p>
    <w:p w:rsidR="00503F0B" w:rsidRPr="00AE0A77" w:rsidRDefault="007270BD" w:rsidP="00503F0B">
      <w:pPr>
        <w:rPr>
          <w:b/>
        </w:rPr>
      </w:pPr>
      <w:r>
        <w:rPr>
          <w:b/>
        </w:rPr>
        <w:t>N</w:t>
      </w:r>
      <w:r w:rsidR="00305CC5">
        <w:rPr>
          <w:b/>
        </w:rPr>
        <w:t>.a.</w:t>
      </w:r>
    </w:p>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7270BD" w:rsidRDefault="00503F0B" w:rsidP="00503F0B">
      <w:pPr>
        <w:rPr>
          <w:b/>
        </w:rPr>
      </w:pPr>
      <w:r w:rsidRPr="00AE0A77">
        <w:rPr>
          <w:b/>
        </w:rPr>
        <w:t>Reply:</w:t>
      </w:r>
      <w:r w:rsidR="00305CC5">
        <w:rPr>
          <w:b/>
        </w:rPr>
        <w:t xml:space="preserve"> </w:t>
      </w:r>
    </w:p>
    <w:p w:rsidR="00503F0B" w:rsidRPr="00AE0A77" w:rsidRDefault="007270BD" w:rsidP="00503F0B">
      <w:pPr>
        <w:rPr>
          <w:b/>
        </w:rPr>
      </w:pPr>
      <w:r>
        <w:rPr>
          <w:b/>
        </w:rPr>
        <w:t>A</w:t>
      </w:r>
      <w:r w:rsidR="00305CC5">
        <w:rPr>
          <w:b/>
        </w:rPr>
        <w:t>pprox</w:t>
      </w:r>
      <w:r>
        <w:rPr>
          <w:b/>
        </w:rPr>
        <w:t>imately</w:t>
      </w:r>
      <w:r w:rsidR="00305CC5">
        <w:rPr>
          <w:b/>
        </w:rPr>
        <w:t xml:space="preserve"> 500k unique subscribers for DTT plus 200k subscriptions in order to receive DTT besides their main IPTV connection. The latter is usually meant for bedroom use when ADSL does not provide sufficient bandwidth for a second or third TV.</w:t>
      </w:r>
      <w:r w:rsidR="006533FC">
        <w:rPr>
          <w:b/>
        </w:rPr>
        <w:t xml:space="preserve"> The percentage of viewer uptake is around 7%.</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7270BD" w:rsidRDefault="00503F0B" w:rsidP="00503F0B">
      <w:pPr>
        <w:rPr>
          <w:b/>
        </w:rPr>
      </w:pPr>
      <w:r w:rsidRPr="00AE0A77">
        <w:rPr>
          <w:b/>
        </w:rPr>
        <w:t>Reply:</w:t>
      </w:r>
      <w:r w:rsidR="00305CC5">
        <w:rPr>
          <w:b/>
        </w:rPr>
        <w:t xml:space="preserve"> </w:t>
      </w:r>
    </w:p>
    <w:p w:rsidR="00503F0B" w:rsidRPr="002370C7" w:rsidRDefault="00323A7E" w:rsidP="00503F0B">
      <w:pPr>
        <w:rPr>
          <w:b/>
          <w:lang w:val="en-US"/>
        </w:rPr>
      </w:pPr>
      <w:r>
        <w:rPr>
          <w:b/>
        </w:rPr>
        <w:t xml:space="preserve">System standard for </w:t>
      </w:r>
      <w:r w:rsidR="00305CC5">
        <w:rPr>
          <w:b/>
        </w:rPr>
        <w:t>DVB-T</w:t>
      </w:r>
      <w:r>
        <w:rPr>
          <w:b/>
        </w:rPr>
        <w:t>:</w:t>
      </w:r>
      <w:r w:rsidR="00305CC5">
        <w:rPr>
          <w:b/>
        </w:rPr>
        <w:t xml:space="preserve"> 64QAM 2/3 or ½. Nationwide DTT licenses were issued in 2003. </w:t>
      </w:r>
      <w:r>
        <w:rPr>
          <w:b/>
        </w:rPr>
        <w:t>Five</w:t>
      </w:r>
      <w:r w:rsidR="00305CC5">
        <w:rPr>
          <w:b/>
        </w:rPr>
        <w:t xml:space="preserve"> Multiplexes </w:t>
      </w:r>
      <w:r w:rsidR="00D64EF0">
        <w:rPr>
          <w:b/>
        </w:rPr>
        <w:t xml:space="preserve">are </w:t>
      </w:r>
      <w:r w:rsidR="00305CC5">
        <w:rPr>
          <w:b/>
        </w:rPr>
        <w:t xml:space="preserve">on air, one of </w:t>
      </w:r>
      <w:r w:rsidR="00305CC5">
        <w:rPr>
          <w:b/>
        </w:rPr>
        <w:lastRenderedPageBreak/>
        <w:t xml:space="preserve">them is Free to Air from the Public Service Broadcasters. </w:t>
      </w:r>
      <w:r w:rsidR="00040DB6">
        <w:rPr>
          <w:b/>
        </w:rPr>
        <w:t xml:space="preserve">The remaining four belong to a commercial license holder (Digitenne), </w:t>
      </w:r>
      <w:r w:rsidR="00F95089">
        <w:rPr>
          <w:b/>
        </w:rPr>
        <w:t>80% of the population has indoor coverage at 70% location probability</w:t>
      </w:r>
      <w:r w:rsidR="00C369F1">
        <w:rPr>
          <w:b/>
        </w:rPr>
        <w:t>. This was</w:t>
      </w:r>
      <w:r w:rsidR="00F95089">
        <w:rPr>
          <w:b/>
        </w:rPr>
        <w:t xml:space="preserve"> reached in 2007. 98% </w:t>
      </w:r>
      <w:r w:rsidR="00C369F1">
        <w:rPr>
          <w:b/>
        </w:rPr>
        <w:t>of the g</w:t>
      </w:r>
      <w:r w:rsidR="00F95089">
        <w:rPr>
          <w:b/>
        </w:rPr>
        <w:t>eographical</w:t>
      </w:r>
      <w:r w:rsidR="00C369F1">
        <w:rPr>
          <w:b/>
        </w:rPr>
        <w:t xml:space="preserve"> area has</w:t>
      </w:r>
      <w:r w:rsidR="00F95089">
        <w:rPr>
          <w:b/>
        </w:rPr>
        <w:t xml:space="preserve"> rooftop reception. </w:t>
      </w:r>
      <w:r w:rsidR="00C369F1">
        <w:rPr>
          <w:b/>
        </w:rPr>
        <w:t xml:space="preserve">The </w:t>
      </w:r>
      <w:r w:rsidR="00F95089">
        <w:rPr>
          <w:b/>
        </w:rPr>
        <w:t xml:space="preserve">800 MHz </w:t>
      </w:r>
      <w:r w:rsidR="00C369F1">
        <w:rPr>
          <w:b/>
        </w:rPr>
        <w:t xml:space="preserve">band </w:t>
      </w:r>
      <w:r w:rsidR="00F95089">
        <w:rPr>
          <w:b/>
        </w:rPr>
        <w:t>is cleared for LTE use.</w:t>
      </w:r>
      <w:r w:rsidR="00EF01FF">
        <w:rPr>
          <w:b/>
        </w:rPr>
        <w:t xml:space="preserve"> </w:t>
      </w:r>
    </w:p>
    <w:p w:rsidR="00503F0B" w:rsidRPr="002370C7" w:rsidRDefault="00503F0B" w:rsidP="00503F0B">
      <w:pPr>
        <w:rPr>
          <w:b/>
          <w:lang w:val="en-US"/>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7270BD" w:rsidRDefault="00E81BEE" w:rsidP="00503F0B">
      <w:pPr>
        <w:rPr>
          <w:b/>
          <w:lang w:val="en-US"/>
        </w:rPr>
      </w:pPr>
      <w:r>
        <w:rPr>
          <w:b/>
          <w:lang w:val="en-US"/>
        </w:rPr>
        <w:t xml:space="preserve">Reply: </w:t>
      </w:r>
    </w:p>
    <w:p w:rsidR="00E54490" w:rsidRDefault="00E54490" w:rsidP="00503F0B">
      <w:pPr>
        <w:rPr>
          <w:b/>
          <w:lang w:val="en-US"/>
        </w:rPr>
      </w:pPr>
      <w:r w:rsidRPr="002370C7">
        <w:rPr>
          <w:b/>
          <w:lang w:val="en-US"/>
        </w:rPr>
        <w:t xml:space="preserve">All Ge’06 rights (frequencies/channels) </w:t>
      </w:r>
      <w:r w:rsidR="00E81BEE">
        <w:rPr>
          <w:b/>
          <w:lang w:val="en-US"/>
        </w:rPr>
        <w:t xml:space="preserve">in band IV/V </w:t>
      </w:r>
      <w:r w:rsidRPr="002370C7">
        <w:rPr>
          <w:b/>
          <w:lang w:val="en-US"/>
        </w:rPr>
        <w:t xml:space="preserve">are in use. </w:t>
      </w:r>
      <w:r w:rsidR="00E81BEE">
        <w:rPr>
          <w:b/>
          <w:lang w:val="en-US"/>
        </w:rPr>
        <w:t>S</w:t>
      </w:r>
      <w:r>
        <w:rPr>
          <w:b/>
          <w:lang w:val="en-US"/>
        </w:rPr>
        <w:t xml:space="preserve">ome allotment parts </w:t>
      </w:r>
      <w:r w:rsidR="00E81BEE">
        <w:rPr>
          <w:b/>
          <w:lang w:val="en-US"/>
        </w:rPr>
        <w:t>are not in use</w:t>
      </w:r>
      <w:r>
        <w:rPr>
          <w:b/>
          <w:lang w:val="en-US"/>
        </w:rPr>
        <w:t xml:space="preserve">. </w:t>
      </w:r>
      <w:r w:rsidR="00E81BEE">
        <w:rPr>
          <w:b/>
          <w:lang w:val="en-US"/>
        </w:rPr>
        <w:t>In those cases t</w:t>
      </w:r>
      <w:r>
        <w:rPr>
          <w:b/>
          <w:lang w:val="en-US"/>
        </w:rPr>
        <w:t xml:space="preserve">he needed services areas differ from the allotment shapes. </w:t>
      </w:r>
    </w:p>
    <w:p w:rsidR="00045CA5" w:rsidRPr="002370C7" w:rsidRDefault="00045CA5" w:rsidP="00503F0B">
      <w:pPr>
        <w:rPr>
          <w:b/>
          <w:lang w:val="en-US"/>
        </w:rPr>
      </w:pPr>
    </w:p>
    <w:p w:rsidR="00503F0B" w:rsidRPr="002370C7" w:rsidRDefault="00503F0B" w:rsidP="00503F0B">
      <w:pPr>
        <w:rPr>
          <w:b/>
          <w:lang w:val="en-US"/>
        </w:rPr>
      </w:pPr>
    </w:p>
    <w:p w:rsidR="00367524" w:rsidRPr="002370C7" w:rsidRDefault="00367524" w:rsidP="00503F0B">
      <w:pPr>
        <w:ind w:left="1871" w:hanging="1871"/>
        <w:rPr>
          <w:lang w:val="en-US"/>
        </w:rPr>
      </w:pPr>
    </w:p>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lastRenderedPageBreak/>
        <w:tab/>
        <w:t>b)</w:t>
      </w:r>
      <w:r w:rsidRPr="00AE0A77">
        <w:tab/>
        <w:t>If yes, please give details of those systems and their spectrum use.</w:t>
      </w:r>
    </w:p>
    <w:p w:rsidR="007270BD" w:rsidRDefault="00503F0B" w:rsidP="00503F0B">
      <w:pPr>
        <w:rPr>
          <w:b/>
        </w:rPr>
      </w:pPr>
      <w:r w:rsidRPr="00AE0A77">
        <w:rPr>
          <w:b/>
        </w:rPr>
        <w:t>Reply:</w:t>
      </w:r>
      <w:r w:rsidR="00550029">
        <w:rPr>
          <w:b/>
        </w:rPr>
        <w:t xml:space="preserve"> </w:t>
      </w:r>
    </w:p>
    <w:p w:rsidR="007270BD" w:rsidRDefault="00550029" w:rsidP="00503F0B">
      <w:pPr>
        <w:rPr>
          <w:b/>
        </w:rPr>
      </w:pPr>
      <w:r>
        <w:rPr>
          <w:b/>
        </w:rPr>
        <w:t xml:space="preserve">Band III is allocated for T-DAB services. </w:t>
      </w:r>
      <w:r w:rsidR="003946A4">
        <w:rPr>
          <w:b/>
        </w:rPr>
        <w:t>T</w:t>
      </w:r>
      <w:r>
        <w:rPr>
          <w:b/>
        </w:rPr>
        <w:t xml:space="preserve">he UHF band </w:t>
      </w:r>
      <w:r w:rsidR="00EE2665">
        <w:rPr>
          <w:b/>
        </w:rPr>
        <w:t xml:space="preserve">608-614 MHz </w:t>
      </w:r>
      <w:r w:rsidR="003946A4">
        <w:rPr>
          <w:b/>
        </w:rPr>
        <w:t>has a primary allocation for the radio astronomy service.</w:t>
      </w:r>
    </w:p>
    <w:p w:rsidR="00503F0B" w:rsidRPr="002370C7" w:rsidRDefault="00367524" w:rsidP="00503F0B">
      <w:pPr>
        <w:rPr>
          <w:lang w:val="en-US"/>
        </w:rPr>
      </w:pPr>
      <w:r>
        <w:rPr>
          <w:b/>
        </w:rPr>
        <w:t xml:space="preserve"> </w:t>
      </w:r>
    </w:p>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2370C7" w:rsidRDefault="00503F0B" w:rsidP="00503F0B">
      <w:pPr>
        <w:rPr>
          <w:b/>
          <w:lang w:val="en-US"/>
        </w:rPr>
      </w:pPr>
      <w:r w:rsidRPr="002370C7">
        <w:rPr>
          <w:b/>
          <w:lang w:val="en-US"/>
        </w:rPr>
        <w:t>Reply:</w:t>
      </w:r>
      <w:r w:rsidR="00550029" w:rsidRPr="002370C7">
        <w:rPr>
          <w:b/>
          <w:lang w:val="en-US"/>
        </w:rPr>
        <w:t xml:space="preserve"> </w:t>
      </w:r>
    </w:p>
    <w:p w:rsidR="00C933EA" w:rsidRPr="002370C7" w:rsidRDefault="00E55A0E" w:rsidP="00503F0B">
      <w:pPr>
        <w:rPr>
          <w:b/>
          <w:lang w:val="en-US"/>
        </w:rPr>
      </w:pPr>
      <w:r w:rsidRPr="002370C7">
        <w:rPr>
          <w:b/>
          <w:lang w:val="en-US"/>
        </w:rPr>
        <w:t xml:space="preserve">Yes, the UHF </w:t>
      </w:r>
      <w:r w:rsidR="004653D0" w:rsidRPr="002370C7">
        <w:rPr>
          <w:b/>
          <w:lang w:val="en-US"/>
        </w:rPr>
        <w:t xml:space="preserve">terrestrial television </w:t>
      </w:r>
      <w:r w:rsidRPr="002370C7">
        <w:rPr>
          <w:b/>
          <w:lang w:val="en-US"/>
        </w:rPr>
        <w:t xml:space="preserve">band is used for </w:t>
      </w:r>
      <w:r w:rsidR="004653D0" w:rsidRPr="002370C7">
        <w:rPr>
          <w:b/>
          <w:lang w:val="en-US"/>
        </w:rPr>
        <w:t>both PMSE secondary services and radio-astronomy.</w:t>
      </w:r>
    </w:p>
    <w:p w:rsidR="00C933EA" w:rsidRPr="002370C7" w:rsidRDefault="00EE2665" w:rsidP="00503F0B">
      <w:pPr>
        <w:rPr>
          <w:b/>
          <w:lang w:val="en-US"/>
        </w:rPr>
      </w:pPr>
      <w:r w:rsidRPr="002370C7">
        <w:rPr>
          <w:b/>
          <w:lang w:val="en-US"/>
        </w:rPr>
        <w:t>Radio microphones</w:t>
      </w:r>
      <w:r w:rsidR="004653D0" w:rsidRPr="002370C7">
        <w:rPr>
          <w:b/>
          <w:lang w:val="en-US"/>
        </w:rPr>
        <w:t xml:space="preserve"> are license exempt (max. 50 mW)</w:t>
      </w:r>
      <w:r w:rsidR="00074FC9" w:rsidRPr="002370C7">
        <w:rPr>
          <w:b/>
          <w:lang w:val="en-US"/>
        </w:rPr>
        <w:t xml:space="preserve"> and are allowed to operate in almost the entire band IV/V on a non-interference base.</w:t>
      </w:r>
      <w:r w:rsidR="00066C9B" w:rsidRPr="002370C7">
        <w:rPr>
          <w:b/>
          <w:lang w:val="en-US"/>
        </w:rPr>
        <w:t xml:space="preserve"> The sum of tuning ranges for microphones in this band is more than 300 MHz. </w:t>
      </w:r>
    </w:p>
    <w:p w:rsidR="00C933EA" w:rsidRPr="002370C7" w:rsidRDefault="00066C9B" w:rsidP="00503F0B">
      <w:pPr>
        <w:rPr>
          <w:b/>
          <w:lang w:val="en-US"/>
        </w:rPr>
      </w:pPr>
      <w:r w:rsidRPr="002370C7">
        <w:rPr>
          <w:b/>
          <w:lang w:val="en-US"/>
        </w:rPr>
        <w:t xml:space="preserve">SAP/SAB or ENG/OB </w:t>
      </w:r>
      <w:r w:rsidR="00C933EA" w:rsidRPr="002370C7">
        <w:rPr>
          <w:b/>
          <w:lang w:val="en-US"/>
        </w:rPr>
        <w:t xml:space="preserve">(audio) </w:t>
      </w:r>
      <w:r w:rsidRPr="002370C7">
        <w:rPr>
          <w:b/>
          <w:lang w:val="en-US"/>
        </w:rPr>
        <w:t xml:space="preserve">use is limited to a total of </w:t>
      </w:r>
      <w:r w:rsidR="00C933EA" w:rsidRPr="002370C7">
        <w:rPr>
          <w:b/>
          <w:lang w:val="en-US"/>
        </w:rPr>
        <w:t xml:space="preserve">14 MHz of </w:t>
      </w:r>
      <w:r w:rsidRPr="002370C7">
        <w:rPr>
          <w:b/>
          <w:lang w:val="en-US"/>
        </w:rPr>
        <w:t xml:space="preserve">tuning ranges </w:t>
      </w:r>
      <w:r w:rsidR="00C933EA" w:rsidRPr="002370C7">
        <w:rPr>
          <w:b/>
          <w:lang w:val="en-US"/>
        </w:rPr>
        <w:t>in band IV/V and a license is required (max. 10 W/200kHz)</w:t>
      </w:r>
    </w:p>
    <w:p w:rsidR="00C933EA" w:rsidRPr="002370C7" w:rsidRDefault="00C933EA" w:rsidP="00503F0B">
      <w:pPr>
        <w:rPr>
          <w:b/>
          <w:lang w:val="en-US"/>
        </w:rPr>
      </w:pPr>
      <w:r w:rsidRPr="002370C7">
        <w:rPr>
          <w:b/>
          <w:lang w:val="en-US"/>
        </w:rPr>
        <w:t>UHF frequency range 608-614</w:t>
      </w:r>
      <w:r w:rsidR="00F22E56" w:rsidRPr="002370C7">
        <w:rPr>
          <w:b/>
          <w:lang w:val="en-US"/>
        </w:rPr>
        <w:t xml:space="preserve"> MHz is used by radio-astronomy. </w:t>
      </w:r>
    </w:p>
    <w:p w:rsidR="00E55A0E" w:rsidRPr="002370C7" w:rsidRDefault="00E55A0E" w:rsidP="00503F0B">
      <w:pPr>
        <w:rPr>
          <w:lang w:val="en-US"/>
        </w:rPr>
      </w:pPr>
    </w:p>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lastRenderedPageBreak/>
        <w:tab/>
        <w:t>b)</w:t>
      </w:r>
      <w:r w:rsidRPr="00AE0A77">
        <w:tab/>
        <w:t>If yes, please give indicative details of the number and nature of services planned, and if known, the expected timeframe for their introduction.</w:t>
      </w:r>
    </w:p>
    <w:p w:rsidR="007270BD" w:rsidRDefault="00503F0B" w:rsidP="00503F0B">
      <w:pPr>
        <w:rPr>
          <w:b/>
        </w:rPr>
      </w:pPr>
      <w:r w:rsidRPr="00AE0A77">
        <w:rPr>
          <w:b/>
        </w:rPr>
        <w:t>Reply:</w:t>
      </w:r>
      <w:r w:rsidR="00F71836">
        <w:rPr>
          <w:b/>
        </w:rPr>
        <w:t xml:space="preserve"> </w:t>
      </w:r>
    </w:p>
    <w:p w:rsidR="00503F0B" w:rsidRPr="00AE0A77" w:rsidRDefault="00F71836" w:rsidP="00503F0B">
      <w:pPr>
        <w:rPr>
          <w:b/>
        </w:rPr>
      </w:pPr>
      <w:r>
        <w:rPr>
          <w:b/>
        </w:rPr>
        <w:t xml:space="preserve">Yes. In the near future (&lt;2020) the license holder of the DTT frequencies, will probably launch HD programs. </w:t>
      </w:r>
      <w:r w:rsidR="002B1BB1">
        <w:rPr>
          <w:b/>
        </w:rPr>
        <w:t>When transition to DVB-T2 takes place, most channels will probably be transmitted in HD.-</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7270BD" w:rsidRDefault="00503F0B" w:rsidP="00503F0B">
      <w:pPr>
        <w:rPr>
          <w:b/>
        </w:rPr>
      </w:pPr>
      <w:r w:rsidRPr="00AE0A77">
        <w:rPr>
          <w:b/>
        </w:rPr>
        <w:t>Reply:</w:t>
      </w:r>
      <w:r w:rsidR="00F71836">
        <w:rPr>
          <w:b/>
        </w:rPr>
        <w:t xml:space="preserve"> </w:t>
      </w:r>
    </w:p>
    <w:p w:rsidR="00503F0B" w:rsidRPr="00AE0A77" w:rsidRDefault="00F71836" w:rsidP="00503F0B">
      <w:r>
        <w:rPr>
          <w:b/>
        </w:rPr>
        <w:t>No. At present the Netherlands have 5 DVB-T multiplexes on air. The plan is to modify the allotment sizes in such a way that 5 multiplexes based on DVB-T2 are possible. This is necessary w.r.t. the expectation that the 700 MHz band will be allocated for IMT services</w:t>
      </w:r>
      <w:r w:rsidR="00940543">
        <w:rPr>
          <w:b/>
        </w:rPr>
        <w:t xml:space="preserve"> in</w:t>
      </w:r>
      <w:r w:rsidR="003946A4">
        <w:rPr>
          <w:b/>
        </w:rPr>
        <w:t xml:space="preserve"> the</w:t>
      </w:r>
      <w:r w:rsidR="00940543">
        <w:rPr>
          <w:b/>
        </w:rPr>
        <w:t xml:space="preserve"> near future</w:t>
      </w:r>
      <w:r w:rsidR="003946A4">
        <w:rPr>
          <w:b/>
        </w:rPr>
        <w:t>.</w:t>
      </w:r>
    </w:p>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7270BD" w:rsidRPr="002370C7" w:rsidRDefault="00503F0B" w:rsidP="00503F0B">
      <w:pPr>
        <w:rPr>
          <w:b/>
          <w:lang w:val="en-US"/>
        </w:rPr>
      </w:pPr>
      <w:r w:rsidRPr="002370C7">
        <w:rPr>
          <w:b/>
          <w:lang w:val="en-US"/>
        </w:rPr>
        <w:t>Reply:</w:t>
      </w:r>
      <w:r w:rsidR="00F71836" w:rsidRPr="002370C7">
        <w:rPr>
          <w:b/>
          <w:lang w:val="en-US"/>
        </w:rPr>
        <w:t xml:space="preserve"> </w:t>
      </w:r>
    </w:p>
    <w:p w:rsidR="00503F0B" w:rsidRPr="002370C7" w:rsidRDefault="003946A4" w:rsidP="00503F0B">
      <w:pPr>
        <w:rPr>
          <w:b/>
          <w:lang w:val="en-US"/>
        </w:rPr>
      </w:pPr>
      <w:r w:rsidRPr="002370C7">
        <w:rPr>
          <w:b/>
          <w:lang w:val="en-US"/>
        </w:rPr>
        <w:t xml:space="preserve">Due to the introduction of HD TV and the expected loss of the </w:t>
      </w:r>
      <w:r w:rsidR="000B3C70" w:rsidRPr="002370C7">
        <w:rPr>
          <w:b/>
          <w:lang w:val="en-US"/>
        </w:rPr>
        <w:t>700 MHz band to mobile services,</w:t>
      </w:r>
      <w:r w:rsidRPr="002370C7">
        <w:rPr>
          <w:b/>
          <w:lang w:val="en-US"/>
        </w:rPr>
        <w:t xml:space="preserve"> </w:t>
      </w:r>
      <w:r w:rsidR="000B3C70" w:rsidRPr="002370C7">
        <w:rPr>
          <w:b/>
          <w:lang w:val="en-US"/>
        </w:rPr>
        <w:t>t</w:t>
      </w:r>
      <w:r w:rsidRPr="002370C7">
        <w:rPr>
          <w:b/>
          <w:lang w:val="en-US"/>
        </w:rPr>
        <w:t>he transition to DVB-T2 is ex</w:t>
      </w:r>
      <w:r w:rsidRPr="002370C7">
        <w:rPr>
          <w:b/>
          <w:lang w:val="en-US"/>
        </w:rPr>
        <w:lastRenderedPageBreak/>
        <w:t>pected</w:t>
      </w:r>
      <w:r w:rsidR="00A84CB2" w:rsidRPr="002370C7">
        <w:rPr>
          <w:b/>
          <w:lang w:val="en-US"/>
        </w:rPr>
        <w:t>.</w:t>
      </w:r>
      <w:r w:rsidRPr="002370C7">
        <w:rPr>
          <w:b/>
          <w:lang w:val="en-US"/>
        </w:rPr>
        <w:t xml:space="preserve"> </w:t>
      </w:r>
      <w:r w:rsidR="000B3C70" w:rsidRPr="002370C7">
        <w:rPr>
          <w:b/>
          <w:lang w:val="en-US"/>
        </w:rPr>
        <w:t>In order to allow for 5 multiplexes of DVB-T2 in the frequency band 470-694 MHz the size of the allotments need</w:t>
      </w:r>
      <w:r w:rsidR="0012789B">
        <w:rPr>
          <w:b/>
          <w:lang w:val="en-US"/>
        </w:rPr>
        <w:t>s</w:t>
      </w:r>
      <w:r w:rsidR="000B3C70" w:rsidRPr="0012789B">
        <w:rPr>
          <w:b/>
          <w:lang w:val="en-US"/>
        </w:rPr>
        <w:t xml:space="preserve"> to increase. </w:t>
      </w:r>
      <w:r w:rsidR="00A84CB2" w:rsidRPr="0012789B">
        <w:rPr>
          <w:b/>
          <w:lang w:val="en-US"/>
        </w:rPr>
        <w:t>For modes of transmission see annex 2.</w:t>
      </w:r>
    </w:p>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7270BD" w:rsidRDefault="00503F0B" w:rsidP="00503F0B">
      <w:pPr>
        <w:rPr>
          <w:b/>
          <w:lang w:val="en-US"/>
        </w:rPr>
      </w:pPr>
      <w:r w:rsidRPr="002370C7">
        <w:rPr>
          <w:b/>
          <w:lang w:val="en-US"/>
        </w:rPr>
        <w:t>Reply:</w:t>
      </w:r>
      <w:r w:rsidR="004A1869" w:rsidRPr="002370C7">
        <w:rPr>
          <w:b/>
          <w:lang w:val="en-US"/>
        </w:rPr>
        <w:t xml:space="preserve"> </w:t>
      </w:r>
      <w:r w:rsidR="004F6AB4" w:rsidRPr="002370C7">
        <w:rPr>
          <w:b/>
          <w:lang w:val="en-US"/>
        </w:rPr>
        <w:t xml:space="preserve"> </w:t>
      </w:r>
    </w:p>
    <w:p w:rsidR="00503F0B" w:rsidRPr="002370C7" w:rsidRDefault="004F6AB4" w:rsidP="00503F0B">
      <w:pPr>
        <w:rPr>
          <w:b/>
          <w:lang w:val="en-US"/>
        </w:rPr>
      </w:pPr>
      <w:r w:rsidRPr="002370C7">
        <w:rPr>
          <w:b/>
          <w:lang w:val="en-US"/>
        </w:rPr>
        <w:t>M</w:t>
      </w:r>
      <w:r>
        <w:rPr>
          <w:b/>
          <w:lang w:val="en-US"/>
        </w:rPr>
        <w:t xml:space="preserve">F band: analogue AM modulation; VHF II: analogue FM modulation. </w:t>
      </w:r>
      <w:r w:rsidR="00A84CB2" w:rsidRPr="002370C7">
        <w:rPr>
          <w:b/>
          <w:lang w:val="en-US"/>
        </w:rPr>
        <w:t xml:space="preserve">See </w:t>
      </w:r>
      <w:r>
        <w:rPr>
          <w:b/>
          <w:lang w:val="en-US"/>
        </w:rPr>
        <w:t xml:space="preserve">further </w:t>
      </w:r>
      <w:r w:rsidR="00A84CB2" w:rsidRPr="002370C7">
        <w:rPr>
          <w:b/>
          <w:lang w:val="en-US"/>
        </w:rPr>
        <w:t>Annex 1</w:t>
      </w:r>
      <w:r w:rsidR="007270BD">
        <w:rPr>
          <w:b/>
          <w:lang w:val="en-US"/>
        </w:rPr>
        <w:t>.</w:t>
      </w:r>
    </w:p>
    <w:p w:rsidR="00503F0B" w:rsidRPr="002370C7" w:rsidRDefault="00503F0B" w:rsidP="00503F0B">
      <w:pPr>
        <w:rPr>
          <w:lang w:val="en-US"/>
        </w:rPr>
      </w:pPr>
    </w:p>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7270BD" w:rsidRDefault="00503F0B" w:rsidP="00503F0B">
      <w:pPr>
        <w:rPr>
          <w:b/>
        </w:rPr>
      </w:pPr>
      <w:r w:rsidRPr="00AE0A77">
        <w:rPr>
          <w:b/>
        </w:rPr>
        <w:t>Reply:</w:t>
      </w:r>
      <w:r w:rsidR="004A1869">
        <w:rPr>
          <w:b/>
        </w:rPr>
        <w:t xml:space="preserve"> </w:t>
      </w:r>
    </w:p>
    <w:p w:rsidR="00503F0B" w:rsidRPr="00AE0A77" w:rsidRDefault="004A1869" w:rsidP="00503F0B">
      <w:pPr>
        <w:rPr>
          <w:b/>
        </w:rPr>
      </w:pPr>
      <w:r>
        <w:rPr>
          <w:b/>
        </w:rPr>
        <w:t>Although government policy is aimed at promoting DAB services, the incumbents are still looking for additional FM spectrum. As the FM band in the Netherlands is already fully occupied, any significant gain is not to be expected.</w:t>
      </w:r>
    </w:p>
    <w:p w:rsidR="00503F0B" w:rsidRPr="00AE0A77" w:rsidRDefault="00503F0B" w:rsidP="00503F0B"/>
    <w:p w:rsidR="00503F0B" w:rsidRPr="002370C7" w:rsidRDefault="00503F0B" w:rsidP="00503F0B">
      <w:pPr>
        <w:ind w:left="1871" w:hanging="1871"/>
      </w:pPr>
      <w:r w:rsidRPr="00AE0A77">
        <w:t>13)</w:t>
      </w:r>
      <w:r w:rsidRPr="00AE0A77">
        <w:tab/>
        <w:t>a)</w:t>
      </w:r>
      <w:r w:rsidRPr="00AE0A77">
        <w:tab/>
        <w:t xml:space="preserve">Is your country considering introducing, or has it already introduced digital </w:t>
      </w:r>
      <w:r w:rsidRPr="002370C7">
        <w:t>sound broadcasting?</w:t>
      </w:r>
    </w:p>
    <w:p w:rsidR="00503F0B" w:rsidRPr="002370C7" w:rsidRDefault="00503F0B" w:rsidP="00503F0B">
      <w:pPr>
        <w:pStyle w:val="enumlev1"/>
        <w:ind w:left="1871" w:hanging="1871"/>
      </w:pPr>
      <w:r w:rsidRPr="002370C7">
        <w:lastRenderedPageBreak/>
        <w:tab/>
        <w:t>b)</w:t>
      </w:r>
      <w:r w:rsidRPr="002370C7">
        <w:tab/>
        <w:t>If yes, which system standards are used or are being considered for adoption (as specified in Recommendations ITU-R BS.1114, BS.1514, BS.1615)?</w:t>
      </w:r>
    </w:p>
    <w:p w:rsidR="00503F0B" w:rsidRPr="002370C7" w:rsidRDefault="00503F0B" w:rsidP="00503F0B">
      <w:pPr>
        <w:pStyle w:val="enumlev1"/>
        <w:ind w:left="1871" w:hanging="1871"/>
      </w:pPr>
      <w:r w:rsidRPr="002370C7">
        <w:tab/>
        <w:t>c)</w:t>
      </w:r>
      <w:r w:rsidRPr="002370C7">
        <w:tab/>
        <w:t>When did your country start or when does it propose to start digital sound broadcasting?</w:t>
      </w:r>
    </w:p>
    <w:p w:rsidR="00503F0B" w:rsidRPr="002370C7" w:rsidRDefault="00503F0B" w:rsidP="00503F0B">
      <w:pPr>
        <w:pStyle w:val="enumlev1"/>
      </w:pPr>
      <w:r w:rsidRPr="002370C7">
        <w:tab/>
        <w:t>d)</w:t>
      </w:r>
      <w:r w:rsidRPr="002370C7">
        <w:tab/>
        <w:t>What channel bandwidths is your country using or considering using?</w:t>
      </w:r>
    </w:p>
    <w:p w:rsidR="00503F0B" w:rsidRPr="002370C7" w:rsidRDefault="00503F0B" w:rsidP="00503F0B">
      <w:pPr>
        <w:pStyle w:val="enumlev1"/>
        <w:ind w:left="1871" w:hanging="1871"/>
      </w:pPr>
      <w:r w:rsidRPr="002370C7">
        <w:tab/>
        <w:t>e)</w:t>
      </w:r>
      <w:r w:rsidRPr="002370C7">
        <w:tab/>
        <w:t>What frequencies are currently used or intended to be used by digital sound broadcasting in your country? Please distinguish between those in use and those intended to be used.</w:t>
      </w:r>
    </w:p>
    <w:p w:rsidR="00503F0B" w:rsidRPr="002370C7" w:rsidRDefault="00503F0B" w:rsidP="00503F0B">
      <w:pPr>
        <w:ind w:left="1871" w:hanging="1871"/>
      </w:pPr>
      <w:r w:rsidRPr="002370C7">
        <w:tab/>
        <w:t>f)</w:t>
      </w:r>
      <w:r w:rsidRPr="002370C7">
        <w:tab/>
        <w:t>What is the percentage of the population that is covered by digital sound broadcasting by direct reception in your country?</w:t>
      </w:r>
    </w:p>
    <w:p w:rsidR="00503F0B" w:rsidRPr="002370C7" w:rsidRDefault="00503F0B" w:rsidP="00503F0B">
      <w:pPr>
        <w:pStyle w:val="enumlev1"/>
        <w:ind w:left="1871" w:hanging="1871"/>
      </w:pPr>
      <w:r w:rsidRPr="002370C7">
        <w:tab/>
        <w:t>g)</w:t>
      </w:r>
      <w:r w:rsidRPr="002370C7">
        <w:tab/>
        <w:t>What additional spectrum was required or is considered to be required for the transition to digital sound broadcasting?</w:t>
      </w:r>
    </w:p>
    <w:p w:rsidR="00503F0B" w:rsidRPr="002370C7" w:rsidRDefault="00503F0B" w:rsidP="00503F0B">
      <w:pPr>
        <w:pStyle w:val="enumlev1"/>
        <w:ind w:left="1871" w:hanging="1871"/>
      </w:pPr>
      <w:r w:rsidRPr="002370C7">
        <w:tab/>
        <w:t>h)</w:t>
      </w:r>
      <w:r w:rsidRPr="002370C7">
        <w:tab/>
        <w:t>Please indicate how many digital radio transmitters are currently used or intended to be used and in which bands.</w:t>
      </w:r>
    </w:p>
    <w:p w:rsidR="00503F0B" w:rsidRPr="002370C7" w:rsidRDefault="00503F0B" w:rsidP="00503F0B">
      <w:pPr>
        <w:pStyle w:val="enumlev1"/>
        <w:ind w:left="1871" w:hanging="1871"/>
      </w:pPr>
      <w:r w:rsidRPr="002370C7">
        <w:tab/>
        <w:t>i)</w:t>
      </w:r>
      <w:r w:rsidRPr="002370C7">
        <w:tab/>
        <w:t>What is the spectrum requirement for digital sound broadcasting in your country?</w:t>
      </w:r>
    </w:p>
    <w:p w:rsidR="00503F0B" w:rsidRPr="00AE0A77" w:rsidRDefault="00503F0B" w:rsidP="00503F0B">
      <w:pPr>
        <w:pStyle w:val="enumlev1"/>
        <w:ind w:left="1871" w:hanging="1871"/>
      </w:pPr>
      <w:r w:rsidRPr="002370C7">
        <w:tab/>
        <w:t>j)</w:t>
      </w:r>
      <w:r w:rsidRPr="002370C7">
        <w:tab/>
        <w:t>If your country has introduced digital sound broadcasting, how long will it continue to us</w:t>
      </w:r>
      <w:r w:rsidRPr="00AE0A77">
        <w:t>e analogue sound broadcasting?</w:t>
      </w:r>
    </w:p>
    <w:p w:rsidR="00503F0B" w:rsidRPr="00AE0A77" w:rsidRDefault="00503F0B" w:rsidP="00503F0B">
      <w:r w:rsidRPr="00AE0A77">
        <w:t>A proposed format for responses to question 13d) and 13h) is provided in Annex 1</w:t>
      </w:r>
    </w:p>
    <w:p w:rsidR="007270BD" w:rsidRDefault="00503F0B" w:rsidP="00503F0B">
      <w:pPr>
        <w:rPr>
          <w:b/>
        </w:rPr>
      </w:pPr>
      <w:r w:rsidRPr="00AE0A77">
        <w:rPr>
          <w:b/>
        </w:rPr>
        <w:t>Reply:</w:t>
      </w:r>
      <w:r w:rsidR="004A1869">
        <w:rPr>
          <w:b/>
        </w:rPr>
        <w:t xml:space="preserve"> </w:t>
      </w:r>
    </w:p>
    <w:p w:rsidR="00503F0B" w:rsidRPr="002370C7" w:rsidRDefault="004A1869" w:rsidP="00503F0B">
      <w:pPr>
        <w:rPr>
          <w:b/>
          <w:lang w:val="en-US"/>
        </w:rPr>
      </w:pPr>
      <w:r>
        <w:rPr>
          <w:b/>
        </w:rPr>
        <w:t>The Netherlands have introduced T-DAB</w:t>
      </w:r>
      <w:r w:rsidR="000A0138">
        <w:rPr>
          <w:b/>
        </w:rPr>
        <w:t xml:space="preserve"> </w:t>
      </w:r>
      <w:r>
        <w:rPr>
          <w:b/>
        </w:rPr>
        <w:t xml:space="preserve">services </w:t>
      </w:r>
      <w:r w:rsidR="000A0138">
        <w:rPr>
          <w:b/>
        </w:rPr>
        <w:t xml:space="preserve">in Band III </w:t>
      </w:r>
      <w:r>
        <w:rPr>
          <w:b/>
        </w:rPr>
        <w:t>since February 2004.</w:t>
      </w:r>
      <w:r w:rsidR="00E92096">
        <w:rPr>
          <w:b/>
        </w:rPr>
        <w:t>The system variant is DAB+/HE-AAC</w:t>
      </w:r>
      <w:r w:rsidR="004F6AB4">
        <w:rPr>
          <w:b/>
        </w:rPr>
        <w:t>.</w:t>
      </w:r>
      <w:r>
        <w:rPr>
          <w:b/>
        </w:rPr>
        <w:t xml:space="preserve"> The bandwidth is 1,75 MHz</w:t>
      </w:r>
      <w:r w:rsidR="004F6AB4">
        <w:rPr>
          <w:b/>
        </w:rPr>
        <w:t>.</w:t>
      </w:r>
      <w:r w:rsidR="006F0386">
        <w:rPr>
          <w:b/>
        </w:rPr>
        <w:t xml:space="preserve"> </w:t>
      </w:r>
      <w:r>
        <w:rPr>
          <w:b/>
        </w:rPr>
        <w:t xml:space="preserve"> </w:t>
      </w:r>
      <w:r w:rsidR="006F0386">
        <w:rPr>
          <w:b/>
        </w:rPr>
        <w:t>Block</w:t>
      </w:r>
      <w:r w:rsidR="00A17449">
        <w:rPr>
          <w:b/>
        </w:rPr>
        <w:t xml:space="preserve"> </w:t>
      </w:r>
      <w:r w:rsidR="006F0386">
        <w:rPr>
          <w:b/>
        </w:rPr>
        <w:t>frequ</w:t>
      </w:r>
      <w:r w:rsidR="00A17449">
        <w:rPr>
          <w:b/>
        </w:rPr>
        <w:t>en</w:t>
      </w:r>
      <w:r w:rsidR="006F0386">
        <w:rPr>
          <w:b/>
        </w:rPr>
        <w:t>cies for digital sound broadcasting in use are 11C, 12C. Intende</w:t>
      </w:r>
      <w:r w:rsidR="00A17449">
        <w:rPr>
          <w:b/>
        </w:rPr>
        <w:t>d</w:t>
      </w:r>
      <w:r w:rsidR="006F0386">
        <w:rPr>
          <w:b/>
        </w:rPr>
        <w:t xml:space="preserve"> </w:t>
      </w:r>
      <w:r w:rsidR="00A17449">
        <w:rPr>
          <w:b/>
        </w:rPr>
        <w:t xml:space="preserve">for </w:t>
      </w:r>
      <w:r w:rsidR="006F0386">
        <w:rPr>
          <w:b/>
        </w:rPr>
        <w:t xml:space="preserve">use are </w:t>
      </w:r>
      <w:r w:rsidR="006F0386">
        <w:rPr>
          <w:b/>
        </w:rPr>
        <w:lastRenderedPageBreak/>
        <w:t xml:space="preserve">6B,7A,8A,9D. </w:t>
      </w:r>
      <w:r w:rsidR="00A17449">
        <w:rPr>
          <w:b/>
        </w:rPr>
        <w:t>DAB</w:t>
      </w:r>
      <w:r w:rsidR="006F0386">
        <w:rPr>
          <w:b/>
        </w:rPr>
        <w:t xml:space="preserve"> transmitters </w:t>
      </w:r>
      <w:r w:rsidR="00A17449">
        <w:rPr>
          <w:b/>
        </w:rPr>
        <w:t xml:space="preserve">are used on </w:t>
      </w:r>
      <w:r w:rsidR="006F0386">
        <w:rPr>
          <w:b/>
        </w:rPr>
        <w:t xml:space="preserve"> approximately </w:t>
      </w:r>
      <w:r w:rsidR="004F6AB4">
        <w:rPr>
          <w:b/>
        </w:rPr>
        <w:t>50</w:t>
      </w:r>
      <w:r w:rsidR="006F0386">
        <w:rPr>
          <w:b/>
        </w:rPr>
        <w:t xml:space="preserve"> sites. The</w:t>
      </w:r>
      <w:r w:rsidR="00A17449">
        <w:rPr>
          <w:b/>
        </w:rPr>
        <w:t>y are</w:t>
      </w:r>
      <w:r w:rsidR="006F0386">
        <w:rPr>
          <w:b/>
        </w:rPr>
        <w:t xml:space="preserve"> intended </w:t>
      </w:r>
      <w:r w:rsidR="00A17449">
        <w:rPr>
          <w:b/>
        </w:rPr>
        <w:t xml:space="preserve">to be </w:t>
      </w:r>
      <w:r w:rsidR="006F0386">
        <w:rPr>
          <w:b/>
        </w:rPr>
        <w:t>use</w:t>
      </w:r>
      <w:r w:rsidR="004F6AB4">
        <w:rPr>
          <w:b/>
        </w:rPr>
        <w:t>d</w:t>
      </w:r>
      <w:r w:rsidR="006F0386">
        <w:rPr>
          <w:b/>
        </w:rPr>
        <w:t xml:space="preserve"> </w:t>
      </w:r>
      <w:r w:rsidR="0012789B">
        <w:rPr>
          <w:b/>
        </w:rPr>
        <w:t>o</w:t>
      </w:r>
      <w:r w:rsidR="006F0386">
        <w:rPr>
          <w:b/>
        </w:rPr>
        <w:t>n a</w:t>
      </w:r>
      <w:r w:rsidR="0012789B">
        <w:rPr>
          <w:b/>
        </w:rPr>
        <w:t>bout</w:t>
      </w:r>
      <w:r w:rsidR="006F0386">
        <w:rPr>
          <w:b/>
        </w:rPr>
        <w:t xml:space="preserve"> 20 </w:t>
      </w:r>
      <w:r w:rsidR="00A17449">
        <w:rPr>
          <w:b/>
        </w:rPr>
        <w:t xml:space="preserve">additional </w:t>
      </w:r>
      <w:r w:rsidR="006F0386">
        <w:rPr>
          <w:b/>
        </w:rPr>
        <w:t xml:space="preserve">sites. </w:t>
      </w:r>
      <w:r w:rsidR="000A0138">
        <w:rPr>
          <w:b/>
        </w:rPr>
        <w:t xml:space="preserve">Although </w:t>
      </w:r>
      <w:r w:rsidR="00A17449">
        <w:rPr>
          <w:b/>
        </w:rPr>
        <w:t xml:space="preserve">the </w:t>
      </w:r>
      <w:r w:rsidR="000A0138">
        <w:rPr>
          <w:b/>
        </w:rPr>
        <w:t xml:space="preserve">policy </w:t>
      </w:r>
      <w:r w:rsidR="004F6AB4">
        <w:rPr>
          <w:b/>
        </w:rPr>
        <w:t>in relation to</w:t>
      </w:r>
      <w:r w:rsidR="000A0138">
        <w:rPr>
          <w:b/>
        </w:rPr>
        <w:t xml:space="preserve"> </w:t>
      </w:r>
      <w:r w:rsidR="004F6AB4">
        <w:rPr>
          <w:b/>
        </w:rPr>
        <w:t xml:space="preserve">the </w:t>
      </w:r>
      <w:r w:rsidR="000A0138">
        <w:rPr>
          <w:b/>
        </w:rPr>
        <w:t>switch off of analogue</w:t>
      </w:r>
      <w:r w:rsidR="003B0154">
        <w:rPr>
          <w:b/>
        </w:rPr>
        <w:t xml:space="preserve"> sou</w:t>
      </w:r>
      <w:r w:rsidR="00940543">
        <w:rPr>
          <w:b/>
        </w:rPr>
        <w:t>nd broadcasting is not clear, it is</w:t>
      </w:r>
      <w:r w:rsidR="004F6AB4">
        <w:rPr>
          <w:b/>
        </w:rPr>
        <w:t>, depending on the take up rate of DAB,</w:t>
      </w:r>
      <w:r w:rsidR="00940543">
        <w:rPr>
          <w:b/>
        </w:rPr>
        <w:t xml:space="preserve"> expected that analogue sound broadcasting </w:t>
      </w:r>
      <w:r w:rsidR="004F6AB4">
        <w:rPr>
          <w:b/>
        </w:rPr>
        <w:t>may</w:t>
      </w:r>
      <w:r w:rsidR="00940543">
        <w:rPr>
          <w:b/>
        </w:rPr>
        <w:t xml:space="preserve"> end somewhere around 2025. </w:t>
      </w:r>
      <w:r w:rsidR="00010047">
        <w:rPr>
          <w:b/>
        </w:rPr>
        <w:t>A</w:t>
      </w:r>
      <w:r w:rsidR="004F3054">
        <w:rPr>
          <w:b/>
        </w:rPr>
        <w:t>pprox</w:t>
      </w:r>
      <w:r w:rsidR="00940543">
        <w:rPr>
          <w:b/>
        </w:rPr>
        <w:t xml:space="preserve">. </w:t>
      </w:r>
      <w:r w:rsidR="00940543" w:rsidRPr="002370C7">
        <w:rPr>
          <w:b/>
          <w:lang w:val="en-US"/>
        </w:rPr>
        <w:t xml:space="preserve">90% of the population </w:t>
      </w:r>
      <w:r w:rsidR="00010047">
        <w:rPr>
          <w:b/>
          <w:lang w:val="en-US"/>
        </w:rPr>
        <w:t xml:space="preserve">has </w:t>
      </w:r>
      <w:r w:rsidR="00940543" w:rsidRPr="002370C7">
        <w:rPr>
          <w:b/>
          <w:lang w:val="en-US"/>
        </w:rPr>
        <w:t>indoor</w:t>
      </w:r>
      <w:r w:rsidR="00010047">
        <w:rPr>
          <w:b/>
          <w:lang w:val="en-US"/>
        </w:rPr>
        <w:t xml:space="preserve"> coverage</w:t>
      </w:r>
      <w:r w:rsidR="00940543" w:rsidRPr="002370C7">
        <w:rPr>
          <w:b/>
          <w:lang w:val="en-US"/>
        </w:rPr>
        <w:t xml:space="preserve">. </w:t>
      </w:r>
      <w:r w:rsidR="003B0154" w:rsidRPr="002370C7">
        <w:rPr>
          <w:b/>
          <w:lang w:val="en-US"/>
        </w:rPr>
        <w:t xml:space="preserve"> </w:t>
      </w:r>
      <w:r w:rsidR="004F3054" w:rsidRPr="004F3054">
        <w:rPr>
          <w:b/>
          <w:lang w:val="en-US"/>
        </w:rPr>
        <w:t xml:space="preserve">Another </w:t>
      </w:r>
      <w:r w:rsidR="00010047">
        <w:rPr>
          <w:b/>
          <w:lang w:val="en-US"/>
        </w:rPr>
        <w:t>12</w:t>
      </w:r>
      <w:r w:rsidR="004F3054" w:rsidRPr="004F3054">
        <w:rPr>
          <w:b/>
          <w:lang w:val="en-US"/>
        </w:rPr>
        <w:t xml:space="preserve"> sites are planned </w:t>
      </w:r>
    </w:p>
    <w:p w:rsidR="00E92096" w:rsidRPr="002370C7" w:rsidRDefault="00E92096" w:rsidP="00503F0B">
      <w:pPr>
        <w:ind w:left="1871" w:hanging="1871"/>
        <w:rPr>
          <w:lang w:val="en-US"/>
        </w:rPr>
      </w:pPr>
    </w:p>
    <w:p w:rsidR="00503F0B" w:rsidRPr="00AE0A77" w:rsidRDefault="00E92096" w:rsidP="00503F0B">
      <w:pPr>
        <w:ind w:left="1871" w:hanging="1871"/>
      </w:pPr>
      <w:r>
        <w:t>1</w:t>
      </w:r>
      <w:r w:rsidR="00503F0B" w:rsidRPr="00AE0A77">
        <w:t>4)</w:t>
      </w:r>
      <w:r w:rsidR="00503F0B" w:rsidRPr="00AE0A77">
        <w:tab/>
        <w:t>a)</w:t>
      </w:r>
      <w:r w:rsidR="00503F0B"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7270BD" w:rsidRDefault="00503F0B" w:rsidP="004F3054">
      <w:pPr>
        <w:spacing w:line="480" w:lineRule="auto"/>
        <w:rPr>
          <w:b/>
          <w:lang w:val="en-US"/>
        </w:rPr>
      </w:pPr>
      <w:r w:rsidRPr="002370C7">
        <w:rPr>
          <w:b/>
          <w:lang w:val="en-US"/>
        </w:rPr>
        <w:t>Reply:</w:t>
      </w:r>
      <w:r w:rsidR="004F3054" w:rsidRPr="002370C7">
        <w:rPr>
          <w:b/>
          <w:lang w:val="en-US"/>
        </w:rPr>
        <w:t xml:space="preserve"> </w:t>
      </w:r>
    </w:p>
    <w:p w:rsidR="00503F0B" w:rsidRPr="002370C7" w:rsidRDefault="002569A0" w:rsidP="004F3054">
      <w:pPr>
        <w:spacing w:line="480" w:lineRule="auto"/>
        <w:rPr>
          <w:b/>
          <w:lang w:val="en-US"/>
        </w:rPr>
      </w:pPr>
      <w:r w:rsidRPr="002370C7">
        <w:rPr>
          <w:b/>
          <w:lang w:val="en-US"/>
        </w:rPr>
        <w:t>No other primary services</w:t>
      </w:r>
      <w:r w:rsidR="00010047">
        <w:rPr>
          <w:b/>
          <w:lang w:val="en-US"/>
        </w:rPr>
        <w:t xml:space="preserve"> use the band.</w:t>
      </w:r>
    </w:p>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2370C7" w:rsidRDefault="00503F0B" w:rsidP="00503F0B">
      <w:pPr>
        <w:rPr>
          <w:b/>
          <w:lang w:val="en-US"/>
        </w:rPr>
      </w:pPr>
      <w:r w:rsidRPr="002370C7">
        <w:rPr>
          <w:b/>
          <w:lang w:val="en-US"/>
        </w:rPr>
        <w:t>Reply:</w:t>
      </w:r>
      <w:r w:rsidR="004F3054" w:rsidRPr="002370C7">
        <w:rPr>
          <w:b/>
          <w:highlight w:val="yellow"/>
          <w:lang w:val="en-US"/>
        </w:rPr>
        <w:t xml:space="preserve"> </w:t>
      </w:r>
    </w:p>
    <w:p w:rsidR="00BC491C" w:rsidRPr="002370C7" w:rsidRDefault="00A17449" w:rsidP="00BC491C">
      <w:pPr>
        <w:rPr>
          <w:b/>
          <w:lang w:val="en-US"/>
        </w:rPr>
      </w:pPr>
      <w:r w:rsidRPr="002370C7">
        <w:rPr>
          <w:b/>
          <w:lang w:val="en-US"/>
        </w:rPr>
        <w:t>T</w:t>
      </w:r>
      <w:r w:rsidR="00BC491C" w:rsidRPr="002370C7">
        <w:rPr>
          <w:b/>
          <w:lang w:val="en-US"/>
        </w:rPr>
        <w:t xml:space="preserve">he VHF band III is also used for PMSE secondary services. SAP/SAB or ENG/OB (audio) is allowed in almost the entire band on a non-interference base and </w:t>
      </w:r>
      <w:r w:rsidR="001E72CB" w:rsidRPr="002370C7">
        <w:rPr>
          <w:b/>
          <w:lang w:val="en-US"/>
        </w:rPr>
        <w:t>under</w:t>
      </w:r>
      <w:r w:rsidR="00BC491C" w:rsidRPr="002370C7">
        <w:rPr>
          <w:b/>
          <w:lang w:val="en-US"/>
        </w:rPr>
        <w:t xml:space="preserve"> a license regime. The sum of tuning ranges for ENG/OB SAP/SAB in this band is 42 MHz</w:t>
      </w:r>
      <w:r w:rsidR="001E72CB" w:rsidRPr="002370C7">
        <w:rPr>
          <w:b/>
          <w:lang w:val="en-US"/>
        </w:rPr>
        <w:t xml:space="preserve">. Radio-microphones are allowed in </w:t>
      </w:r>
      <w:r w:rsidR="0002461B" w:rsidRPr="002370C7">
        <w:rPr>
          <w:b/>
          <w:lang w:val="en-US"/>
        </w:rPr>
        <w:t>channel 8 (195-202 MHz) and are license exempt.</w:t>
      </w:r>
    </w:p>
    <w:p w:rsidR="00503F0B" w:rsidRPr="002370C7" w:rsidRDefault="00503F0B" w:rsidP="00503F0B">
      <w:pPr>
        <w:rPr>
          <w:lang w:val="en-US"/>
        </w:rPr>
      </w:pPr>
    </w:p>
    <w:p w:rsidR="00503F0B" w:rsidRPr="00AE0A77" w:rsidRDefault="00503F0B" w:rsidP="00503F0B">
      <w:pPr>
        <w:ind w:left="1871" w:hanging="1871"/>
      </w:pPr>
      <w:r w:rsidRPr="00AE0A77">
        <w:lastRenderedPageBreak/>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7270BD" w:rsidRDefault="00503F0B" w:rsidP="00503F0B">
      <w:pPr>
        <w:rPr>
          <w:b/>
          <w:lang w:val="en-US"/>
        </w:rPr>
      </w:pPr>
      <w:r w:rsidRPr="004F3054">
        <w:rPr>
          <w:b/>
          <w:lang w:val="en-US"/>
        </w:rPr>
        <w:t>Reply:</w:t>
      </w:r>
      <w:r w:rsidR="004F3054" w:rsidRPr="004F3054">
        <w:rPr>
          <w:b/>
          <w:lang w:val="en-US"/>
        </w:rPr>
        <w:t xml:space="preserve"> </w:t>
      </w:r>
    </w:p>
    <w:p w:rsidR="00503F0B" w:rsidRPr="004F3054" w:rsidRDefault="004F3054" w:rsidP="00503F0B">
      <w:pPr>
        <w:rPr>
          <w:b/>
          <w:lang w:val="en-US"/>
        </w:rPr>
      </w:pPr>
      <w:r w:rsidRPr="004F3054">
        <w:rPr>
          <w:b/>
          <w:lang w:val="en-US"/>
        </w:rPr>
        <w:t xml:space="preserve">At present, the general idea is that sufficient spectrum </w:t>
      </w:r>
      <w:r w:rsidR="00A17449">
        <w:rPr>
          <w:b/>
          <w:lang w:val="en-US"/>
        </w:rPr>
        <w:t>for</w:t>
      </w:r>
      <w:r w:rsidR="00A17449" w:rsidRPr="004F3054">
        <w:rPr>
          <w:b/>
          <w:lang w:val="en-US"/>
        </w:rPr>
        <w:t xml:space="preserve"> </w:t>
      </w:r>
      <w:r w:rsidRPr="004F3054">
        <w:rPr>
          <w:b/>
          <w:lang w:val="en-US"/>
        </w:rPr>
        <w:t xml:space="preserve">TSB is available. </w:t>
      </w:r>
    </w:p>
    <w:p w:rsidR="00503F0B" w:rsidRPr="004F3054" w:rsidRDefault="00503F0B" w:rsidP="00503F0B">
      <w:pPr>
        <w:rPr>
          <w:lang w:val="en-US"/>
        </w:rPr>
      </w:pPr>
    </w:p>
    <w:p w:rsidR="00503F0B" w:rsidRPr="004F3054" w:rsidRDefault="00503F0B" w:rsidP="00503F0B">
      <w:pPr>
        <w:rPr>
          <w:lang w:val="en-US"/>
        </w:rPr>
      </w:pPr>
    </w:p>
    <w:p w:rsidR="00503F0B" w:rsidRPr="004F3054" w:rsidRDefault="00503F0B" w:rsidP="00503F0B">
      <w:pPr>
        <w:tabs>
          <w:tab w:val="clear" w:pos="1134"/>
          <w:tab w:val="clear" w:pos="1871"/>
          <w:tab w:val="clear" w:pos="2268"/>
        </w:tabs>
        <w:overflowPunct/>
        <w:autoSpaceDE/>
        <w:autoSpaceDN/>
        <w:adjustRightInd/>
        <w:spacing w:before="0"/>
        <w:textAlignment w:val="auto"/>
        <w:rPr>
          <w:lang w:val="en-US"/>
        </w:rPr>
      </w:pPr>
      <w:r w:rsidRPr="004F3054">
        <w:rPr>
          <w:lang w:val="en-US"/>
        </w:rPr>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7270BD" w:rsidRDefault="00503F0B" w:rsidP="00503F0B">
      <w:pPr>
        <w:rPr>
          <w:b/>
        </w:rPr>
      </w:pPr>
      <w:r w:rsidRPr="00AE0A77">
        <w:rPr>
          <w:b/>
        </w:rPr>
        <w:t>Reply:</w:t>
      </w:r>
      <w:r w:rsidR="004F3054">
        <w:rPr>
          <w:b/>
        </w:rPr>
        <w:t xml:space="preserve"> </w:t>
      </w:r>
    </w:p>
    <w:p w:rsidR="00503F0B" w:rsidRPr="00AE0A77" w:rsidRDefault="00E75289" w:rsidP="00503F0B">
      <w:pPr>
        <w:rPr>
          <w:b/>
        </w:rPr>
      </w:pPr>
      <w:r>
        <w:rPr>
          <w:b/>
        </w:rPr>
        <w:t>Yes</w:t>
      </w:r>
      <w:r w:rsidR="004F3054">
        <w:rPr>
          <w:b/>
        </w:rPr>
        <w:t xml:space="preserve">. The PSB has added HBB services in one of their DTT transport streams using the UHF band. As there are a limited number of “connected” </w:t>
      </w:r>
      <w:r w:rsidR="00096963">
        <w:rPr>
          <w:b/>
        </w:rPr>
        <w:t xml:space="preserve">DTT </w:t>
      </w:r>
      <w:r w:rsidR="004F3054">
        <w:rPr>
          <w:b/>
        </w:rPr>
        <w:t xml:space="preserve">set top boxes, it is more of an experimental nature which started in 2011. </w:t>
      </w:r>
      <w:r w:rsidR="00096963">
        <w:rPr>
          <w:b/>
        </w:rPr>
        <w:t xml:space="preserve">Interactive services in the Netherlands are provided through cable, fiber or IP networks as their penetration in households is around 98%. </w:t>
      </w:r>
      <w:r w:rsidR="000F5C31">
        <w:rPr>
          <w:b/>
        </w:rPr>
        <w:t xml:space="preserve">DMB </w:t>
      </w:r>
      <w:r>
        <w:rPr>
          <w:b/>
        </w:rPr>
        <w:t xml:space="preserve">has </w:t>
      </w:r>
      <w:r w:rsidR="000F5C31">
        <w:rPr>
          <w:b/>
        </w:rPr>
        <w:t>been</w:t>
      </w:r>
      <w:r>
        <w:rPr>
          <w:b/>
        </w:rPr>
        <w:t xml:space="preserve"> introduced  in Band III with block</w:t>
      </w:r>
      <w:r w:rsidR="00A17449">
        <w:rPr>
          <w:b/>
        </w:rPr>
        <w:t xml:space="preserve"> </w:t>
      </w:r>
      <w:r>
        <w:rPr>
          <w:b/>
        </w:rPr>
        <w:t>frequencies 5B, 8C, 9C, 11A, 12B. The coverage is around 30% of the Netherlands. The spectrum requirements are not yet known.</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2"/>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305CC5">
        <w:trPr>
          <w:trHeight w:val="340"/>
          <w:jc w:val="center"/>
        </w:trPr>
        <w:tc>
          <w:tcPr>
            <w:tcW w:w="937" w:type="dxa"/>
            <w:vMerge w:val="restart"/>
          </w:tcPr>
          <w:p w:rsidR="00503F0B" w:rsidRPr="00AE0A77" w:rsidRDefault="00503F0B" w:rsidP="00305CC5">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305CC5">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305CC5">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2695" w:type="dxa"/>
            <w:gridSpan w:val="2"/>
            <w:vMerge/>
          </w:tcPr>
          <w:p w:rsidR="00503F0B" w:rsidRPr="00AE0A77" w:rsidRDefault="00503F0B" w:rsidP="00305CC5">
            <w:pPr>
              <w:spacing w:before="0"/>
              <w:rPr>
                <w:rFonts w:cstheme="majorBidi"/>
                <w:sz w:val="22"/>
              </w:rPr>
            </w:pPr>
          </w:p>
        </w:tc>
        <w:tc>
          <w:tcPr>
            <w:tcW w:w="1530" w:type="dxa"/>
          </w:tcPr>
          <w:p w:rsidR="00503F0B" w:rsidRPr="00AE0A77" w:rsidRDefault="00503F0B" w:rsidP="00305CC5">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305CC5">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305CC5">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305CC5">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2695" w:type="dxa"/>
            <w:gridSpan w:val="2"/>
          </w:tcPr>
          <w:p w:rsidR="00503F0B" w:rsidRPr="00AE0A77" w:rsidRDefault="00503F0B" w:rsidP="00305CC5">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2370C7" w:rsidRDefault="004F6AB4" w:rsidP="00305CC5">
            <w:pPr>
              <w:spacing w:before="40"/>
              <w:jc w:val="center"/>
              <w:rPr>
                <w:rFonts w:cstheme="majorBidi"/>
                <w:bCs/>
                <w:sz w:val="22"/>
                <w:lang w:val="nl-NL"/>
              </w:rPr>
            </w:pPr>
            <w:r w:rsidRPr="002370C7">
              <w:rPr>
                <w:rFonts w:cstheme="majorBidi"/>
                <w:bCs/>
                <w:sz w:val="22"/>
                <w:lang w:val="nl-NL"/>
              </w:rPr>
              <w:t>MF 9kHz</w:t>
            </w:r>
          </w:p>
          <w:p w:rsidR="00503F0B" w:rsidRPr="002370C7" w:rsidRDefault="00503F0B" w:rsidP="00305CC5">
            <w:pPr>
              <w:spacing w:before="40"/>
              <w:jc w:val="center"/>
              <w:rPr>
                <w:rFonts w:cstheme="majorBidi"/>
                <w:bCs/>
                <w:sz w:val="22"/>
                <w:lang w:val="nl-NL"/>
              </w:rPr>
            </w:pPr>
            <w:r w:rsidRPr="002370C7">
              <w:rPr>
                <w:rFonts w:cstheme="majorBidi"/>
                <w:bCs/>
                <w:sz w:val="22"/>
                <w:lang w:val="nl-NL"/>
              </w:rPr>
              <w:t>VHF II 300kHz</w:t>
            </w:r>
          </w:p>
        </w:tc>
        <w:tc>
          <w:tcPr>
            <w:tcW w:w="1530" w:type="dxa"/>
          </w:tcPr>
          <w:p w:rsidR="00503F0B" w:rsidRPr="002370C7" w:rsidRDefault="006533FC" w:rsidP="00305CC5">
            <w:pPr>
              <w:spacing w:before="40"/>
              <w:jc w:val="center"/>
              <w:rPr>
                <w:rFonts w:cstheme="majorBidi"/>
                <w:bCs/>
                <w:sz w:val="22"/>
              </w:rPr>
            </w:pPr>
            <w:r w:rsidRPr="002370C7">
              <w:rPr>
                <w:rFonts w:cstheme="majorBidi"/>
                <w:bCs/>
                <w:sz w:val="22"/>
              </w:rPr>
              <w:t>7MHz</w:t>
            </w:r>
          </w:p>
        </w:tc>
        <w:tc>
          <w:tcPr>
            <w:tcW w:w="1530" w:type="dxa"/>
          </w:tcPr>
          <w:p w:rsidR="00503F0B" w:rsidRPr="002370C7" w:rsidRDefault="00503F0B" w:rsidP="00305CC5">
            <w:pPr>
              <w:spacing w:before="40"/>
              <w:jc w:val="center"/>
              <w:rPr>
                <w:rFonts w:cstheme="majorBidi"/>
                <w:bCs/>
                <w:sz w:val="22"/>
              </w:rPr>
            </w:pPr>
            <w:r w:rsidRPr="002370C7">
              <w:rPr>
                <w:rFonts w:cstheme="majorBidi"/>
                <w:bCs/>
                <w:sz w:val="22"/>
              </w:rPr>
              <w:t>7 MHz</w:t>
            </w:r>
          </w:p>
        </w:tc>
        <w:tc>
          <w:tcPr>
            <w:tcW w:w="1530" w:type="dxa"/>
          </w:tcPr>
          <w:p w:rsidR="001D59DB" w:rsidRPr="002370C7" w:rsidRDefault="001D59DB" w:rsidP="00305CC5">
            <w:pPr>
              <w:spacing w:before="40"/>
              <w:jc w:val="center"/>
              <w:rPr>
                <w:rFonts w:cstheme="majorBidi"/>
                <w:bCs/>
                <w:sz w:val="22"/>
              </w:rPr>
            </w:pPr>
            <w:r w:rsidRPr="002370C7">
              <w:rPr>
                <w:rFonts w:cstheme="majorBidi"/>
                <w:bCs/>
                <w:sz w:val="22"/>
              </w:rPr>
              <w:t>8MHz</w:t>
            </w:r>
          </w:p>
        </w:tc>
      </w:tr>
      <w:tr w:rsidR="00503F0B" w:rsidRPr="00AE0A77" w:rsidTr="00305CC5">
        <w:trPr>
          <w:trHeight w:val="340"/>
          <w:jc w:val="center"/>
        </w:trPr>
        <w:tc>
          <w:tcPr>
            <w:tcW w:w="937" w:type="dxa"/>
            <w:vMerge w:val="restart"/>
          </w:tcPr>
          <w:p w:rsidR="00503F0B" w:rsidRPr="00AE0A77" w:rsidRDefault="00503F0B" w:rsidP="00305CC5">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148.5-283.5 kHz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525-526.5 kHz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526.5-1606.5 kHz</w:t>
            </w:r>
          </w:p>
        </w:tc>
        <w:tc>
          <w:tcPr>
            <w:tcW w:w="1530" w:type="dxa"/>
          </w:tcPr>
          <w:p w:rsidR="00503F0B" w:rsidRPr="002370C7" w:rsidRDefault="001D59DB" w:rsidP="00305CC5">
            <w:pPr>
              <w:spacing w:before="40" w:after="40"/>
              <w:jc w:val="center"/>
              <w:rPr>
                <w:rFonts w:cstheme="majorBidi"/>
                <w:sz w:val="22"/>
              </w:rPr>
            </w:pPr>
            <w:r w:rsidRPr="002370C7">
              <w:rPr>
                <w:rFonts w:cstheme="majorBidi"/>
                <w:sz w:val="22"/>
              </w:rPr>
              <w:t>13</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1606.5-1705 kHz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2.3-26.1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eastAsia="Times New Roman"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47-50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50-54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54-68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68-72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76-87.5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87.5-108 MHz</w:t>
            </w:r>
          </w:p>
        </w:tc>
        <w:tc>
          <w:tcPr>
            <w:tcW w:w="1530" w:type="dxa"/>
          </w:tcPr>
          <w:p w:rsidR="00503F0B" w:rsidRPr="002370C7" w:rsidRDefault="001D59DB" w:rsidP="00305CC5">
            <w:pPr>
              <w:spacing w:before="40" w:after="40"/>
              <w:jc w:val="center"/>
              <w:rPr>
                <w:rFonts w:cstheme="majorBidi"/>
                <w:sz w:val="22"/>
              </w:rPr>
            </w:pPr>
            <w:r w:rsidRPr="002370C7">
              <w:rPr>
                <w:rFonts w:cstheme="majorBidi"/>
                <w:sz w:val="22"/>
              </w:rPr>
              <w:t>790</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174-216 MHz</w:t>
            </w:r>
          </w:p>
        </w:tc>
        <w:tc>
          <w:tcPr>
            <w:tcW w:w="1530" w:type="dxa"/>
          </w:tcPr>
          <w:p w:rsidR="00503F0B" w:rsidRPr="002370C7" w:rsidRDefault="00503F0B" w:rsidP="00305CC5">
            <w:pPr>
              <w:jc w:val="center"/>
              <w:rPr>
                <w:rFonts w:cstheme="majorBidi"/>
                <w:sz w:val="22"/>
              </w:rPr>
            </w:pPr>
          </w:p>
        </w:tc>
        <w:tc>
          <w:tcPr>
            <w:tcW w:w="1530" w:type="dxa"/>
          </w:tcPr>
          <w:p w:rsidR="00503F0B" w:rsidRPr="002370C7" w:rsidRDefault="0013767E" w:rsidP="00305CC5">
            <w:pPr>
              <w:jc w:val="center"/>
              <w:rPr>
                <w:rFonts w:cstheme="majorBidi"/>
                <w:sz w:val="22"/>
              </w:rPr>
            </w:pPr>
            <w:r w:rsidRPr="002370C7">
              <w:rPr>
                <w:rFonts w:cstheme="majorBidi"/>
                <w:sz w:val="22"/>
              </w:rPr>
              <w:t>4</w:t>
            </w:r>
          </w:p>
        </w:tc>
        <w:tc>
          <w:tcPr>
            <w:tcW w:w="1530" w:type="dxa"/>
          </w:tcPr>
          <w:p w:rsidR="00503F0B" w:rsidRPr="002370C7" w:rsidRDefault="00503F0B" w:rsidP="00305CC5">
            <w:pPr>
              <w:jc w:val="center"/>
              <w:rPr>
                <w:rFonts w:cstheme="majorBidi"/>
                <w:sz w:val="22"/>
              </w:rPr>
            </w:pPr>
          </w:p>
        </w:tc>
        <w:tc>
          <w:tcPr>
            <w:tcW w:w="1530" w:type="dxa"/>
          </w:tcPr>
          <w:p w:rsidR="00503F0B" w:rsidRPr="002370C7" w:rsidRDefault="00503F0B" w:rsidP="00305CC5">
            <w:pPr>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216-230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13767E" w:rsidP="00305CC5">
            <w:pPr>
              <w:spacing w:before="40" w:after="40"/>
              <w:jc w:val="center"/>
              <w:rPr>
                <w:rFonts w:cstheme="majorBidi"/>
                <w:sz w:val="22"/>
              </w:rPr>
            </w:pPr>
            <w:r w:rsidRPr="002370C7">
              <w:rPr>
                <w:rFonts w:cstheme="majorBidi"/>
                <w:sz w:val="22"/>
              </w:rPr>
              <w:t>58</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470-694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7D2F52" w:rsidP="00305CC5">
            <w:pPr>
              <w:spacing w:before="40" w:after="40"/>
              <w:jc w:val="center"/>
              <w:rPr>
                <w:rFonts w:cstheme="majorBidi"/>
                <w:sz w:val="22"/>
              </w:rPr>
            </w:pPr>
            <w:r w:rsidRPr="002370C7">
              <w:rPr>
                <w:rFonts w:cstheme="majorBidi"/>
                <w:sz w:val="22"/>
              </w:rPr>
              <w:t>176</w:t>
            </w: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694-790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7D2F52" w:rsidP="00305CC5">
            <w:pPr>
              <w:spacing w:before="40" w:after="40"/>
              <w:jc w:val="center"/>
              <w:rPr>
                <w:rFonts w:cstheme="majorBidi"/>
                <w:sz w:val="22"/>
              </w:rPr>
            </w:pPr>
            <w:r w:rsidRPr="002370C7">
              <w:rPr>
                <w:rFonts w:cstheme="majorBidi"/>
                <w:sz w:val="22"/>
              </w:rPr>
              <w:t>96</w:t>
            </w: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790-890 MHz</w:t>
            </w: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c>
          <w:tcPr>
            <w:tcW w:w="1530" w:type="dxa"/>
          </w:tcPr>
          <w:p w:rsidR="00503F0B" w:rsidRPr="002370C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890-960 MHz</w:t>
            </w:r>
          </w:p>
        </w:tc>
        <w:tc>
          <w:tcPr>
            <w:tcW w:w="1530" w:type="dxa"/>
          </w:tcPr>
          <w:p w:rsidR="00503F0B" w:rsidRPr="00AE0A77" w:rsidRDefault="00503F0B" w:rsidP="00305CC5">
            <w:pPr>
              <w:spacing w:before="40" w:after="40"/>
              <w:jc w:val="center"/>
              <w:rPr>
                <w:rFonts w:cstheme="majorBidi"/>
                <w:sz w:val="22"/>
              </w:rPr>
            </w:pPr>
          </w:p>
        </w:tc>
        <w:tc>
          <w:tcPr>
            <w:tcW w:w="1530" w:type="dxa"/>
          </w:tcPr>
          <w:p w:rsidR="00503F0B" w:rsidRPr="00AE0A77" w:rsidRDefault="00503F0B" w:rsidP="00305CC5">
            <w:pPr>
              <w:spacing w:before="40" w:after="40"/>
              <w:jc w:val="center"/>
              <w:rPr>
                <w:rFonts w:cstheme="majorBidi"/>
                <w:sz w:val="22"/>
              </w:rPr>
            </w:pPr>
          </w:p>
        </w:tc>
        <w:tc>
          <w:tcPr>
            <w:tcW w:w="1530" w:type="dxa"/>
          </w:tcPr>
          <w:p w:rsidR="00503F0B" w:rsidRPr="00AE0A77" w:rsidRDefault="00503F0B" w:rsidP="00305CC5">
            <w:pPr>
              <w:spacing w:before="40" w:after="40"/>
              <w:jc w:val="center"/>
              <w:rPr>
                <w:rFonts w:cstheme="majorBidi"/>
                <w:sz w:val="22"/>
              </w:rPr>
            </w:pPr>
          </w:p>
        </w:tc>
        <w:tc>
          <w:tcPr>
            <w:tcW w:w="1530" w:type="dxa"/>
          </w:tcPr>
          <w:p w:rsidR="00503F0B" w:rsidRPr="00AE0A77" w:rsidRDefault="00503F0B" w:rsidP="00305CC5">
            <w:pPr>
              <w:spacing w:before="40" w:after="40"/>
              <w:jc w:val="cente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after="40"/>
              <w:jc w:val="center"/>
              <w:rPr>
                <w:rFonts w:cstheme="majorBidi"/>
                <w:b/>
                <w:bCs/>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1452-1492 MHz</w:t>
            </w: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b/>
                <w:bCs/>
                <w:sz w:val="22"/>
              </w:rPr>
            </w:pPr>
          </w:p>
        </w:tc>
        <w:tc>
          <w:tcPr>
            <w:tcW w:w="939" w:type="dxa"/>
          </w:tcPr>
          <w:p w:rsidR="00503F0B" w:rsidRPr="00AE0A77" w:rsidRDefault="00503F0B" w:rsidP="00305CC5">
            <w:pPr>
              <w:spacing w:before="40" w:after="40"/>
              <w:jc w:val="center"/>
              <w:rPr>
                <w:rFonts w:cstheme="majorBidi"/>
                <w:b/>
                <w:bCs/>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11.7-12.5 GHz</w:t>
            </w: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after="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12.5-12.7 GHz</w:t>
            </w: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after="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40.5-42.5 GHz</w:t>
            </w: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r>
      <w:tr w:rsidR="00503F0B" w:rsidRPr="00AE0A77" w:rsidTr="00305CC5">
        <w:trPr>
          <w:trHeight w:val="340"/>
          <w:jc w:val="center"/>
        </w:trPr>
        <w:tc>
          <w:tcPr>
            <w:tcW w:w="937" w:type="dxa"/>
            <w:vMerge/>
          </w:tcPr>
          <w:p w:rsidR="00503F0B" w:rsidRPr="00AE0A77" w:rsidRDefault="00503F0B" w:rsidP="00305CC5">
            <w:pPr>
              <w:spacing w:before="40" w:after="40"/>
              <w:jc w:val="center"/>
              <w:rPr>
                <w:rFonts w:cstheme="majorBidi"/>
                <w:sz w:val="22"/>
              </w:rPr>
            </w:pPr>
          </w:p>
        </w:tc>
        <w:tc>
          <w:tcPr>
            <w:tcW w:w="939" w:type="dxa"/>
          </w:tcPr>
          <w:p w:rsidR="00503F0B" w:rsidRPr="00AE0A77" w:rsidRDefault="00503F0B" w:rsidP="00305CC5">
            <w:pPr>
              <w:spacing w:before="40" w:after="40"/>
              <w:jc w:val="center"/>
              <w:rPr>
                <w:rFonts w:cstheme="majorBidi"/>
                <w:sz w:val="22"/>
              </w:rPr>
            </w:pPr>
          </w:p>
        </w:tc>
        <w:tc>
          <w:tcPr>
            <w:tcW w:w="1756" w:type="dxa"/>
            <w:vAlign w:val="center"/>
          </w:tcPr>
          <w:p w:rsidR="00503F0B" w:rsidRPr="00AE0A77" w:rsidRDefault="00503F0B" w:rsidP="00305CC5">
            <w:pPr>
              <w:spacing w:before="0"/>
              <w:rPr>
                <w:rFonts w:cstheme="majorBidi"/>
                <w:sz w:val="22"/>
              </w:rPr>
            </w:pPr>
            <w:r w:rsidRPr="00AE0A77">
              <w:rPr>
                <w:rFonts w:cstheme="majorBidi"/>
                <w:sz w:val="22"/>
              </w:rPr>
              <w:t>74-76 GHz</w:t>
            </w: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c>
          <w:tcPr>
            <w:tcW w:w="1530" w:type="dxa"/>
          </w:tcPr>
          <w:p w:rsidR="00503F0B" w:rsidRPr="00AE0A77" w:rsidRDefault="00503F0B" w:rsidP="00305CC5">
            <w:pPr>
              <w:rPr>
                <w:rFonts w:cstheme="majorBidi"/>
                <w:sz w:val="22"/>
              </w:rPr>
            </w:pPr>
          </w:p>
        </w:tc>
      </w:tr>
      <w:tr w:rsidR="00503F0B" w:rsidRPr="00AE0A77" w:rsidTr="00305CC5">
        <w:trPr>
          <w:trHeight w:val="340"/>
          <w:jc w:val="center"/>
        </w:trPr>
        <w:tc>
          <w:tcPr>
            <w:tcW w:w="9752" w:type="dxa"/>
            <w:gridSpan w:val="7"/>
          </w:tcPr>
          <w:p w:rsidR="00503F0B" w:rsidRPr="00AE0A77" w:rsidRDefault="00503F0B" w:rsidP="00305CC5">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305CC5">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305CC5">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305CC5">
          <w:headerReference w:type="first" r:id="rId13"/>
          <w:footerReference w:type="first" r:id="rId14"/>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305CC5">
        <w:trPr>
          <w:jc w:val="center"/>
        </w:trPr>
        <w:tc>
          <w:tcPr>
            <w:tcW w:w="819"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305CC5">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305CC5">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305CC5">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305CC5">
        <w:trPr>
          <w:trHeight w:val="850"/>
          <w:jc w:val="center"/>
        </w:trPr>
        <w:tc>
          <w:tcPr>
            <w:tcW w:w="819" w:type="dxa"/>
            <w:vMerge w:val="restart"/>
            <w:vAlign w:val="center"/>
          </w:tcPr>
          <w:p w:rsidR="00503F0B" w:rsidRPr="00AE0A77" w:rsidRDefault="0013767E" w:rsidP="00305CC5">
            <w:pPr>
              <w:tabs>
                <w:tab w:val="left" w:pos="3119"/>
                <w:tab w:val="left" w:pos="4395"/>
              </w:tabs>
              <w:spacing w:before="40" w:afterLines="40" w:after="96"/>
              <w:jc w:val="center"/>
              <w:rPr>
                <w:b/>
                <w:sz w:val="18"/>
                <w:szCs w:val="18"/>
              </w:rPr>
            </w:pPr>
            <w:r>
              <w:rPr>
                <w:b/>
                <w:sz w:val="18"/>
                <w:szCs w:val="18"/>
                <w:lang w:eastAsia="ja-JP"/>
              </w:rPr>
              <w:t>NL</w:t>
            </w:r>
          </w:p>
        </w:tc>
        <w:tc>
          <w:tcPr>
            <w:tcW w:w="682" w:type="dxa"/>
          </w:tcPr>
          <w:p w:rsidR="00503F0B" w:rsidRPr="002370C7" w:rsidRDefault="007B197F" w:rsidP="00305CC5">
            <w:pPr>
              <w:tabs>
                <w:tab w:val="left" w:pos="3119"/>
                <w:tab w:val="left" w:pos="4395"/>
              </w:tabs>
              <w:spacing w:before="40" w:afterLines="40" w:after="96"/>
              <w:jc w:val="center"/>
              <w:rPr>
                <w:sz w:val="18"/>
                <w:szCs w:val="18"/>
              </w:rPr>
            </w:pPr>
            <w:r>
              <w:rPr>
                <w:sz w:val="18"/>
                <w:szCs w:val="18"/>
                <w:lang w:eastAsia="ja-JP"/>
              </w:rPr>
              <w:t>3</w:t>
            </w:r>
          </w:p>
        </w:tc>
        <w:tc>
          <w:tcPr>
            <w:tcW w:w="1631" w:type="dxa"/>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lang w:eastAsia="ja-JP"/>
              </w:rPr>
              <w:t>DVB-T, 64-QAM</w:t>
            </w:r>
          </w:p>
        </w:tc>
        <w:tc>
          <w:tcPr>
            <w:tcW w:w="819" w:type="dxa"/>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lang w:eastAsia="ja-JP"/>
              </w:rPr>
              <w:t>2/3</w:t>
            </w:r>
          </w:p>
        </w:tc>
        <w:tc>
          <w:tcPr>
            <w:tcW w:w="818" w:type="dxa"/>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lang w:eastAsia="ja-JP"/>
              </w:rPr>
              <w:t>1/</w:t>
            </w:r>
            <w:r w:rsidR="007B197F">
              <w:rPr>
                <w:sz w:val="18"/>
                <w:szCs w:val="18"/>
                <w:lang w:eastAsia="ja-JP"/>
              </w:rPr>
              <w:t>4</w:t>
            </w:r>
          </w:p>
        </w:tc>
        <w:tc>
          <w:tcPr>
            <w:tcW w:w="955" w:type="dxa"/>
          </w:tcPr>
          <w:p w:rsidR="00503F0B" w:rsidRPr="002370C7" w:rsidRDefault="0013767E" w:rsidP="0013767E">
            <w:pPr>
              <w:tabs>
                <w:tab w:val="left" w:pos="3119"/>
                <w:tab w:val="left" w:pos="4395"/>
              </w:tabs>
              <w:spacing w:before="40" w:afterLines="40" w:after="96"/>
              <w:jc w:val="center"/>
              <w:rPr>
                <w:sz w:val="18"/>
                <w:szCs w:val="18"/>
                <w:lang w:eastAsia="ja-JP"/>
              </w:rPr>
            </w:pPr>
            <w:r w:rsidRPr="002370C7">
              <w:rPr>
                <w:sz w:val="18"/>
                <w:szCs w:val="18"/>
                <w:lang w:eastAsia="ja-JP"/>
              </w:rPr>
              <w:t>Portable indoor</w:t>
            </w:r>
          </w:p>
        </w:tc>
        <w:tc>
          <w:tcPr>
            <w:tcW w:w="954" w:type="dxa"/>
          </w:tcPr>
          <w:p w:rsidR="00503F0B" w:rsidRPr="002370C7" w:rsidRDefault="007B197F" w:rsidP="00305CC5">
            <w:pPr>
              <w:tabs>
                <w:tab w:val="left" w:pos="3119"/>
                <w:tab w:val="left" w:pos="4395"/>
              </w:tabs>
              <w:spacing w:before="40" w:afterLines="40" w:after="96"/>
              <w:jc w:val="center"/>
              <w:rPr>
                <w:sz w:val="18"/>
                <w:szCs w:val="18"/>
              </w:rPr>
            </w:pPr>
            <w:r>
              <w:rPr>
                <w:sz w:val="18"/>
                <w:szCs w:val="18"/>
                <w:lang w:eastAsia="ja-JP"/>
              </w:rPr>
              <w:t>19,91</w:t>
            </w:r>
          </w:p>
        </w:tc>
        <w:tc>
          <w:tcPr>
            <w:tcW w:w="1225" w:type="dxa"/>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lang w:eastAsia="ja-JP"/>
              </w:rPr>
              <w:t>80%</w:t>
            </w:r>
          </w:p>
        </w:tc>
        <w:tc>
          <w:tcPr>
            <w:tcW w:w="1089" w:type="dxa"/>
          </w:tcPr>
          <w:p w:rsidR="00503F0B" w:rsidRPr="002370C7" w:rsidRDefault="0013767E" w:rsidP="00305CC5">
            <w:pPr>
              <w:tabs>
                <w:tab w:val="left" w:pos="3119"/>
                <w:tab w:val="left" w:pos="4395"/>
              </w:tabs>
              <w:spacing w:before="40" w:afterLines="40" w:after="96"/>
              <w:jc w:val="center"/>
              <w:rPr>
                <w:sz w:val="18"/>
                <w:szCs w:val="18"/>
                <w:lang w:eastAsia="ja-JP"/>
              </w:rPr>
            </w:pPr>
            <w:r w:rsidRPr="002370C7">
              <w:rPr>
                <w:sz w:val="18"/>
                <w:szCs w:val="18"/>
                <w:lang w:eastAsia="ja-JP"/>
              </w:rPr>
              <w:t>80</w:t>
            </w:r>
            <w:r w:rsidR="00503F0B" w:rsidRPr="002370C7">
              <w:rPr>
                <w:sz w:val="18"/>
                <w:szCs w:val="18"/>
                <w:lang w:eastAsia="ja-JP"/>
              </w:rPr>
              <w:t>%</w:t>
            </w:r>
          </w:p>
          <w:p w:rsidR="002B1BB1" w:rsidRPr="002370C7" w:rsidRDefault="002B1BB1" w:rsidP="00305CC5">
            <w:pPr>
              <w:tabs>
                <w:tab w:val="left" w:pos="3119"/>
                <w:tab w:val="left" w:pos="4395"/>
              </w:tabs>
              <w:spacing w:before="40" w:afterLines="40" w:after="96"/>
              <w:jc w:val="center"/>
              <w:rPr>
                <w:sz w:val="18"/>
                <w:szCs w:val="18"/>
                <w:lang w:eastAsia="ja-JP"/>
              </w:rPr>
            </w:pPr>
            <w:r w:rsidRPr="002370C7">
              <w:rPr>
                <w:sz w:val="18"/>
                <w:szCs w:val="18"/>
                <w:lang w:eastAsia="ja-JP"/>
              </w:rPr>
              <w:t>98% roof top</w:t>
            </w:r>
          </w:p>
        </w:tc>
        <w:tc>
          <w:tcPr>
            <w:tcW w:w="1295" w:type="dxa"/>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lang w:eastAsia="ja-JP"/>
              </w:rPr>
              <w:t>6</w:t>
            </w:r>
            <w:r w:rsidR="00503F0B" w:rsidRPr="002370C7">
              <w:rPr>
                <w:sz w:val="18"/>
                <w:szCs w:val="18"/>
                <w:lang w:eastAsia="ja-JP"/>
              </w:rPr>
              <w:t xml:space="preserve"> SD MPEG2</w:t>
            </w:r>
          </w:p>
        </w:tc>
        <w:tc>
          <w:tcPr>
            <w:tcW w:w="1067" w:type="dxa"/>
            <w:vMerge w:val="restart"/>
            <w:vAlign w:val="center"/>
          </w:tcPr>
          <w:p w:rsidR="00503F0B" w:rsidRPr="002370C7" w:rsidRDefault="007B197F">
            <w:pPr>
              <w:tabs>
                <w:tab w:val="left" w:pos="3119"/>
                <w:tab w:val="left" w:pos="4395"/>
              </w:tabs>
              <w:spacing w:before="40" w:afterLines="40" w:after="96"/>
              <w:jc w:val="center"/>
              <w:rPr>
                <w:sz w:val="18"/>
                <w:szCs w:val="18"/>
              </w:rPr>
            </w:pPr>
            <w:r>
              <w:rPr>
                <w:sz w:val="18"/>
                <w:szCs w:val="18"/>
                <w:lang w:eastAsia="ja-JP"/>
              </w:rPr>
              <w:t>90</w:t>
            </w:r>
          </w:p>
        </w:tc>
        <w:tc>
          <w:tcPr>
            <w:tcW w:w="1361" w:type="dxa"/>
            <w:vMerge w:val="restart"/>
            <w:vAlign w:val="center"/>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lang w:eastAsia="ja-JP"/>
              </w:rPr>
              <w:t>320</w:t>
            </w:r>
          </w:p>
        </w:tc>
        <w:tc>
          <w:tcPr>
            <w:tcW w:w="2061" w:type="dxa"/>
          </w:tcPr>
          <w:p w:rsidR="00503F0B" w:rsidRPr="002370C7" w:rsidRDefault="007B197F">
            <w:pPr>
              <w:tabs>
                <w:tab w:val="left" w:pos="3119"/>
                <w:tab w:val="left" w:pos="4395"/>
              </w:tabs>
              <w:spacing w:before="40" w:afterLines="40" w:after="96"/>
              <w:jc w:val="center"/>
              <w:rPr>
                <w:sz w:val="18"/>
                <w:szCs w:val="18"/>
              </w:rPr>
            </w:pPr>
            <w:r>
              <w:rPr>
                <w:sz w:val="18"/>
                <w:szCs w:val="18"/>
                <w:lang w:eastAsia="ja-JP"/>
              </w:rPr>
              <w:t>C</w:t>
            </w:r>
            <w:r w:rsidR="0013767E" w:rsidRPr="002370C7">
              <w:rPr>
                <w:sz w:val="18"/>
                <w:szCs w:val="18"/>
                <w:lang w:eastAsia="ja-JP"/>
              </w:rPr>
              <w:t>ommercial</w:t>
            </w:r>
            <w:r w:rsidR="00503F0B" w:rsidRPr="002370C7">
              <w:rPr>
                <w:sz w:val="18"/>
                <w:szCs w:val="18"/>
                <w:lang w:eastAsia="ja-JP"/>
              </w:rPr>
              <w:t xml:space="preserve"> service multiplexes</w:t>
            </w:r>
            <w:r w:rsidR="00503F0B" w:rsidRPr="002370C7">
              <w:rPr>
                <w:sz w:val="18"/>
                <w:szCs w:val="18"/>
                <w:lang w:eastAsia="ja-JP"/>
              </w:rPr>
              <w:br/>
              <w:t>licensed until 20</w:t>
            </w:r>
            <w:r w:rsidR="0013767E" w:rsidRPr="002370C7">
              <w:rPr>
                <w:sz w:val="18"/>
                <w:szCs w:val="18"/>
                <w:lang w:eastAsia="ja-JP"/>
              </w:rPr>
              <w:t>17</w:t>
            </w:r>
          </w:p>
        </w:tc>
      </w:tr>
      <w:tr w:rsidR="00503F0B" w:rsidRPr="00AE0A77" w:rsidTr="00305CC5">
        <w:trPr>
          <w:trHeight w:val="850"/>
          <w:jc w:val="center"/>
        </w:trPr>
        <w:tc>
          <w:tcPr>
            <w:tcW w:w="819" w:type="dxa"/>
            <w:vMerge/>
            <w:vAlign w:val="center"/>
          </w:tcPr>
          <w:p w:rsidR="00503F0B" w:rsidRPr="00AE0A77" w:rsidRDefault="00503F0B" w:rsidP="00305CC5">
            <w:pPr>
              <w:tabs>
                <w:tab w:val="left" w:pos="3119"/>
                <w:tab w:val="left" w:pos="4395"/>
              </w:tabs>
              <w:spacing w:before="40" w:afterLines="40" w:after="96"/>
              <w:jc w:val="center"/>
              <w:rPr>
                <w:sz w:val="18"/>
                <w:szCs w:val="18"/>
                <w:lang w:eastAsia="ja-JP"/>
              </w:rPr>
            </w:pPr>
          </w:p>
        </w:tc>
        <w:tc>
          <w:tcPr>
            <w:tcW w:w="682"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2</w:t>
            </w:r>
          </w:p>
        </w:tc>
        <w:tc>
          <w:tcPr>
            <w:tcW w:w="1631"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DVB-T, 64-QAM</w:t>
            </w:r>
          </w:p>
        </w:tc>
        <w:tc>
          <w:tcPr>
            <w:tcW w:w="819"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½</w:t>
            </w:r>
          </w:p>
        </w:tc>
        <w:tc>
          <w:tcPr>
            <w:tcW w:w="818"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¼</w:t>
            </w:r>
          </w:p>
        </w:tc>
        <w:tc>
          <w:tcPr>
            <w:tcW w:w="955"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Portable indoor</w:t>
            </w:r>
          </w:p>
        </w:tc>
        <w:tc>
          <w:tcPr>
            <w:tcW w:w="954"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14,93</w:t>
            </w:r>
          </w:p>
        </w:tc>
        <w:tc>
          <w:tcPr>
            <w:tcW w:w="1225"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80%</w:t>
            </w:r>
          </w:p>
        </w:tc>
        <w:tc>
          <w:tcPr>
            <w:tcW w:w="1089" w:type="dxa"/>
          </w:tcPr>
          <w:p w:rsidR="00503F0B" w:rsidRDefault="007B197F" w:rsidP="00305CC5">
            <w:pPr>
              <w:tabs>
                <w:tab w:val="left" w:pos="3119"/>
                <w:tab w:val="left" w:pos="4395"/>
              </w:tabs>
              <w:spacing w:before="40" w:afterLines="40" w:after="96"/>
              <w:jc w:val="center"/>
              <w:rPr>
                <w:sz w:val="18"/>
                <w:szCs w:val="18"/>
                <w:lang w:eastAsia="ja-JP"/>
              </w:rPr>
            </w:pPr>
            <w:r>
              <w:rPr>
                <w:sz w:val="18"/>
                <w:szCs w:val="18"/>
                <w:lang w:eastAsia="ja-JP"/>
              </w:rPr>
              <w:t>80%</w:t>
            </w:r>
          </w:p>
          <w:p w:rsidR="007B197F"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98% roof top</w:t>
            </w:r>
          </w:p>
        </w:tc>
        <w:tc>
          <w:tcPr>
            <w:tcW w:w="1295" w:type="dxa"/>
          </w:tcPr>
          <w:p w:rsidR="00503F0B" w:rsidRPr="002370C7" w:rsidRDefault="007B197F" w:rsidP="00305CC5">
            <w:pPr>
              <w:tabs>
                <w:tab w:val="left" w:pos="3119"/>
                <w:tab w:val="left" w:pos="4395"/>
              </w:tabs>
              <w:spacing w:before="40" w:afterLines="40" w:after="96"/>
              <w:jc w:val="center"/>
              <w:rPr>
                <w:sz w:val="18"/>
                <w:szCs w:val="18"/>
                <w:lang w:eastAsia="ja-JP"/>
              </w:rPr>
            </w:pPr>
            <w:r>
              <w:rPr>
                <w:sz w:val="18"/>
                <w:szCs w:val="18"/>
                <w:lang w:eastAsia="ja-JP"/>
              </w:rPr>
              <w:t>6 SD MPEG2</w:t>
            </w:r>
          </w:p>
        </w:tc>
        <w:tc>
          <w:tcPr>
            <w:tcW w:w="1067" w:type="dxa"/>
            <w:vMerge/>
          </w:tcPr>
          <w:p w:rsidR="00503F0B" w:rsidRPr="002370C7" w:rsidRDefault="00503F0B" w:rsidP="00305CC5">
            <w:pPr>
              <w:tabs>
                <w:tab w:val="left" w:pos="3119"/>
                <w:tab w:val="left" w:pos="4395"/>
              </w:tabs>
              <w:spacing w:before="40" w:afterLines="40" w:after="96"/>
              <w:jc w:val="center"/>
              <w:rPr>
                <w:sz w:val="18"/>
                <w:szCs w:val="18"/>
                <w:lang w:eastAsia="ja-JP"/>
              </w:rPr>
            </w:pPr>
          </w:p>
        </w:tc>
        <w:tc>
          <w:tcPr>
            <w:tcW w:w="1361" w:type="dxa"/>
            <w:vMerge/>
          </w:tcPr>
          <w:p w:rsidR="00503F0B" w:rsidRPr="002370C7" w:rsidRDefault="00503F0B" w:rsidP="00305CC5">
            <w:pPr>
              <w:tabs>
                <w:tab w:val="left" w:pos="3119"/>
                <w:tab w:val="left" w:pos="4395"/>
              </w:tabs>
              <w:spacing w:before="40" w:afterLines="40" w:after="96"/>
              <w:jc w:val="center"/>
              <w:rPr>
                <w:sz w:val="18"/>
                <w:szCs w:val="18"/>
                <w:lang w:eastAsia="ja-JP"/>
              </w:rPr>
            </w:pPr>
          </w:p>
        </w:tc>
        <w:tc>
          <w:tcPr>
            <w:tcW w:w="2061" w:type="dxa"/>
          </w:tcPr>
          <w:p w:rsidR="00503F0B" w:rsidRPr="002370C7" w:rsidRDefault="007B197F">
            <w:pPr>
              <w:tabs>
                <w:tab w:val="left" w:pos="3119"/>
                <w:tab w:val="left" w:pos="4395"/>
              </w:tabs>
              <w:spacing w:before="40" w:afterLines="40" w:after="96"/>
              <w:jc w:val="center"/>
              <w:rPr>
                <w:sz w:val="18"/>
                <w:szCs w:val="18"/>
                <w:lang w:eastAsia="ja-JP"/>
              </w:rPr>
            </w:pPr>
            <w:r>
              <w:rPr>
                <w:sz w:val="18"/>
                <w:szCs w:val="18"/>
                <w:lang w:eastAsia="ja-JP"/>
              </w:rPr>
              <w:t>Public and c</w:t>
            </w:r>
            <w:r w:rsidRPr="002370C7">
              <w:rPr>
                <w:sz w:val="18"/>
                <w:szCs w:val="18"/>
                <w:lang w:eastAsia="ja-JP"/>
              </w:rPr>
              <w:t>ommercial service multiplexes</w:t>
            </w:r>
            <w:r w:rsidRPr="002370C7">
              <w:rPr>
                <w:sz w:val="18"/>
                <w:szCs w:val="18"/>
                <w:lang w:eastAsia="ja-JP"/>
              </w:rPr>
              <w:br/>
              <w:t>licensed until 2017</w:t>
            </w:r>
          </w:p>
        </w:tc>
      </w:tr>
      <w:tr w:rsidR="00503F0B" w:rsidRPr="00AE0A77" w:rsidTr="00305CC5">
        <w:trPr>
          <w:jc w:val="center"/>
        </w:trPr>
        <w:tc>
          <w:tcPr>
            <w:tcW w:w="819" w:type="dxa"/>
            <w:vMerge/>
            <w:vAlign w:val="center"/>
          </w:tcPr>
          <w:p w:rsidR="00503F0B" w:rsidRPr="00AE0A77" w:rsidRDefault="00503F0B" w:rsidP="00305CC5">
            <w:pPr>
              <w:tabs>
                <w:tab w:val="left" w:pos="3119"/>
                <w:tab w:val="left" w:pos="4395"/>
              </w:tabs>
              <w:spacing w:before="40" w:afterLines="40" w:after="96"/>
              <w:jc w:val="center"/>
              <w:rPr>
                <w:sz w:val="18"/>
                <w:szCs w:val="18"/>
              </w:rPr>
            </w:pPr>
          </w:p>
        </w:tc>
        <w:tc>
          <w:tcPr>
            <w:tcW w:w="682" w:type="dxa"/>
            <w:vAlign w:val="center"/>
          </w:tcPr>
          <w:p w:rsidR="00503F0B" w:rsidRPr="002370C7" w:rsidRDefault="0013767E" w:rsidP="002370C7">
            <w:pPr>
              <w:tabs>
                <w:tab w:val="left" w:pos="3119"/>
                <w:tab w:val="left" w:pos="4395"/>
              </w:tabs>
              <w:spacing w:before="40" w:afterLines="40" w:after="96"/>
              <w:rPr>
                <w:sz w:val="18"/>
                <w:szCs w:val="18"/>
              </w:rPr>
            </w:pPr>
            <w:r w:rsidRPr="002370C7">
              <w:rPr>
                <w:sz w:val="18"/>
                <w:szCs w:val="18"/>
              </w:rPr>
              <w:t>5</w:t>
            </w:r>
          </w:p>
        </w:tc>
        <w:tc>
          <w:tcPr>
            <w:tcW w:w="1631" w:type="dxa"/>
            <w:vAlign w:val="center"/>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rPr>
              <w:t>DVB-T2,</w:t>
            </w:r>
            <w:r w:rsidR="0013767E" w:rsidRPr="002370C7">
              <w:rPr>
                <w:sz w:val="18"/>
                <w:szCs w:val="18"/>
              </w:rPr>
              <w:t xml:space="preserve"> 256</w:t>
            </w:r>
            <w:r w:rsidRPr="002370C7">
              <w:rPr>
                <w:sz w:val="18"/>
                <w:szCs w:val="18"/>
              </w:rPr>
              <w:t>-QAM</w:t>
            </w:r>
          </w:p>
        </w:tc>
        <w:tc>
          <w:tcPr>
            <w:tcW w:w="819" w:type="dxa"/>
            <w:vAlign w:val="center"/>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rPr>
              <w:t>2/3</w:t>
            </w:r>
          </w:p>
        </w:tc>
        <w:tc>
          <w:tcPr>
            <w:tcW w:w="818" w:type="dxa"/>
            <w:vAlign w:val="center"/>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rPr>
              <w:t>1/</w:t>
            </w:r>
            <w:r w:rsidR="0013767E" w:rsidRPr="002370C7">
              <w:rPr>
                <w:sz w:val="18"/>
                <w:szCs w:val="18"/>
              </w:rPr>
              <w:t>16</w:t>
            </w:r>
          </w:p>
        </w:tc>
        <w:tc>
          <w:tcPr>
            <w:tcW w:w="955" w:type="dxa"/>
            <w:vAlign w:val="center"/>
          </w:tcPr>
          <w:p w:rsidR="00503F0B" w:rsidRPr="002370C7" w:rsidRDefault="00503F0B" w:rsidP="00305CC5">
            <w:pPr>
              <w:tabs>
                <w:tab w:val="left" w:pos="3119"/>
                <w:tab w:val="left" w:pos="4395"/>
              </w:tabs>
              <w:spacing w:before="40" w:afterLines="40" w:after="96"/>
              <w:jc w:val="center"/>
              <w:rPr>
                <w:sz w:val="18"/>
                <w:szCs w:val="18"/>
                <w:lang w:eastAsia="ja-JP"/>
              </w:rPr>
            </w:pPr>
            <w:r w:rsidRPr="002370C7">
              <w:rPr>
                <w:sz w:val="18"/>
                <w:szCs w:val="18"/>
                <w:lang w:eastAsia="ja-JP"/>
              </w:rPr>
              <w:t>Portable indoor</w:t>
            </w:r>
          </w:p>
        </w:tc>
        <w:tc>
          <w:tcPr>
            <w:tcW w:w="954" w:type="dxa"/>
            <w:vAlign w:val="center"/>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rPr>
              <w:t>36.1</w:t>
            </w:r>
          </w:p>
        </w:tc>
        <w:tc>
          <w:tcPr>
            <w:tcW w:w="1225" w:type="dxa"/>
            <w:vAlign w:val="center"/>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rPr>
              <w:t>-</w:t>
            </w:r>
          </w:p>
        </w:tc>
        <w:tc>
          <w:tcPr>
            <w:tcW w:w="1089" w:type="dxa"/>
            <w:vAlign w:val="center"/>
          </w:tcPr>
          <w:p w:rsidR="00503F0B" w:rsidRPr="002370C7" w:rsidRDefault="0013767E" w:rsidP="00305CC5">
            <w:pPr>
              <w:tabs>
                <w:tab w:val="left" w:pos="3119"/>
                <w:tab w:val="left" w:pos="4395"/>
              </w:tabs>
              <w:spacing w:before="40" w:afterLines="40" w:after="96"/>
              <w:jc w:val="center"/>
              <w:rPr>
                <w:sz w:val="18"/>
                <w:szCs w:val="18"/>
                <w:lang w:eastAsia="ja-JP"/>
              </w:rPr>
            </w:pPr>
            <w:r w:rsidRPr="002370C7">
              <w:rPr>
                <w:sz w:val="18"/>
                <w:szCs w:val="18"/>
                <w:lang w:eastAsia="ja-JP"/>
              </w:rPr>
              <w:t>8</w:t>
            </w:r>
            <w:r w:rsidR="00503F0B" w:rsidRPr="002370C7">
              <w:rPr>
                <w:sz w:val="18"/>
                <w:szCs w:val="18"/>
                <w:lang w:eastAsia="ja-JP"/>
              </w:rPr>
              <w:t>0%</w:t>
            </w:r>
          </w:p>
        </w:tc>
        <w:tc>
          <w:tcPr>
            <w:tcW w:w="1295" w:type="dxa"/>
            <w:vAlign w:val="center"/>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rPr>
              <w:t>6</w:t>
            </w:r>
            <w:r w:rsidR="00503F0B" w:rsidRPr="002370C7">
              <w:rPr>
                <w:sz w:val="18"/>
                <w:szCs w:val="18"/>
              </w:rPr>
              <w:t xml:space="preserve"> HD MPEG4</w:t>
            </w:r>
          </w:p>
        </w:tc>
        <w:tc>
          <w:tcPr>
            <w:tcW w:w="1067" w:type="dxa"/>
            <w:vAlign w:val="center"/>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rPr>
              <w:t>180</w:t>
            </w:r>
          </w:p>
        </w:tc>
        <w:tc>
          <w:tcPr>
            <w:tcW w:w="1361" w:type="dxa"/>
            <w:vAlign w:val="center"/>
          </w:tcPr>
          <w:p w:rsidR="00503F0B" w:rsidRPr="002370C7" w:rsidRDefault="0013767E" w:rsidP="00305CC5">
            <w:pPr>
              <w:tabs>
                <w:tab w:val="left" w:pos="3119"/>
                <w:tab w:val="left" w:pos="4395"/>
              </w:tabs>
              <w:spacing w:before="40" w:afterLines="40" w:after="96"/>
              <w:jc w:val="center"/>
              <w:rPr>
                <w:sz w:val="18"/>
                <w:szCs w:val="18"/>
              </w:rPr>
            </w:pPr>
            <w:r w:rsidRPr="002370C7">
              <w:rPr>
                <w:sz w:val="18"/>
                <w:szCs w:val="18"/>
              </w:rPr>
              <w:t>224</w:t>
            </w:r>
          </w:p>
        </w:tc>
        <w:tc>
          <w:tcPr>
            <w:tcW w:w="2061" w:type="dxa"/>
            <w:vAlign w:val="center"/>
          </w:tcPr>
          <w:p w:rsidR="00503F0B" w:rsidRPr="002370C7" w:rsidRDefault="00503F0B" w:rsidP="00305CC5">
            <w:pPr>
              <w:tabs>
                <w:tab w:val="left" w:pos="3119"/>
                <w:tab w:val="left" w:pos="4395"/>
              </w:tabs>
              <w:spacing w:before="40" w:afterLines="40" w:after="96"/>
              <w:jc w:val="center"/>
              <w:rPr>
                <w:sz w:val="18"/>
                <w:szCs w:val="18"/>
              </w:rPr>
            </w:pPr>
            <w:r w:rsidRPr="002370C7">
              <w:rPr>
                <w:sz w:val="18"/>
                <w:szCs w:val="18"/>
              </w:rPr>
              <w:t>From 2017</w:t>
            </w:r>
            <w:r w:rsidR="0013767E" w:rsidRPr="002370C7">
              <w:rPr>
                <w:sz w:val="18"/>
                <w:szCs w:val="18"/>
              </w:rPr>
              <w:t xml:space="preserve">. No final decisions on date and technology (DVB-T/DVB-T2) are made </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12" w:rsidRDefault="00BE5912">
      <w:r>
        <w:separator/>
      </w:r>
    </w:p>
  </w:endnote>
  <w:endnote w:type="continuationSeparator" w:id="0">
    <w:p w:rsidR="00BE5912" w:rsidRDefault="00BE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Default="00727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Pr="00982084" w:rsidRDefault="00BE5912">
    <w:pPr>
      <w:pStyle w:val="Footer"/>
      <w:rPr>
        <w:lang w:val="es-ES_tradnl"/>
      </w:rPr>
    </w:pPr>
    <w:fldSimple w:instr=" FILENAME \p \* MERGEFORMAT ">
      <w:r w:rsidR="007270BD" w:rsidRPr="002370C7">
        <w:rPr>
          <w:lang w:val="es-ES_tradnl"/>
        </w:rPr>
        <w:t>D</w:t>
      </w:r>
      <w:r w:rsidR="007270BD">
        <w:t>:\LT35746\nag788\Questionnaire ITU on DTT R0A070000380001MSWE the Netherlands V KH HNA.docx</w:t>
      </w:r>
    </w:fldSimple>
    <w:r w:rsidR="007270BD">
      <w:t xml:space="preserve"> ( )</w:t>
    </w:r>
    <w:r w:rsidR="007270BD" w:rsidRPr="00982084">
      <w:rPr>
        <w:lang w:val="es-ES_tradnl"/>
      </w:rPr>
      <w:tab/>
    </w:r>
    <w:r w:rsidR="007270BD">
      <w:fldChar w:fldCharType="begin"/>
    </w:r>
    <w:r w:rsidR="007270BD">
      <w:instrText xml:space="preserve"> savedate \@ dd.MM.yy </w:instrText>
    </w:r>
    <w:r w:rsidR="007270BD">
      <w:fldChar w:fldCharType="separate"/>
    </w:r>
    <w:r w:rsidR="00D45AB9">
      <w:t>01.10.14</w:t>
    </w:r>
    <w:r w:rsidR="007270BD">
      <w:fldChar w:fldCharType="end"/>
    </w:r>
    <w:r w:rsidR="007270BD" w:rsidRPr="00982084">
      <w:rPr>
        <w:lang w:val="es-ES_tradnl"/>
      </w:rPr>
      <w:tab/>
    </w:r>
    <w:r w:rsidR="007270BD">
      <w:fldChar w:fldCharType="begin"/>
    </w:r>
    <w:r w:rsidR="007270BD">
      <w:instrText xml:space="preserve"> printdate \@ dd.MM.yy </w:instrText>
    </w:r>
    <w:r w:rsidR="007270BD">
      <w:fldChar w:fldCharType="separate"/>
    </w:r>
    <w:r w:rsidR="007270BD">
      <w:t>26.09.14</w:t>
    </w:r>
    <w:r w:rsidR="007270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Pr="00503F0B" w:rsidRDefault="007270BD"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12" w:rsidRDefault="00BE5912">
      <w:r>
        <w:t>____________________</w:t>
      </w:r>
    </w:p>
  </w:footnote>
  <w:footnote w:type="continuationSeparator" w:id="0">
    <w:p w:rsidR="00BE5912" w:rsidRDefault="00BE5912">
      <w:r>
        <w:continuationSeparator/>
      </w:r>
    </w:p>
  </w:footnote>
  <w:footnote w:id="1">
    <w:p w:rsidR="007270BD" w:rsidRDefault="007270BD"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7270BD" w:rsidRPr="0091383A" w:rsidRDefault="007270BD"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Default="007270B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5AB9">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Default="007270B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5AB9">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Default="007270B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7270BD" w:rsidRDefault="007270BD">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BD" w:rsidRDefault="007270B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5AB9">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0047"/>
    <w:rsid w:val="000174AD"/>
    <w:rsid w:val="0002461B"/>
    <w:rsid w:val="00040DB6"/>
    <w:rsid w:val="00045CA5"/>
    <w:rsid w:val="00066C9B"/>
    <w:rsid w:val="00074FC9"/>
    <w:rsid w:val="00096963"/>
    <w:rsid w:val="000A0138"/>
    <w:rsid w:val="000A7D55"/>
    <w:rsid w:val="000B3C70"/>
    <w:rsid w:val="000C2E8E"/>
    <w:rsid w:val="000E0E7C"/>
    <w:rsid w:val="000F1B4B"/>
    <w:rsid w:val="000F5C31"/>
    <w:rsid w:val="0012744F"/>
    <w:rsid w:val="0012789B"/>
    <w:rsid w:val="001373F5"/>
    <w:rsid w:val="0013767E"/>
    <w:rsid w:val="00156F66"/>
    <w:rsid w:val="00182528"/>
    <w:rsid w:val="0018500B"/>
    <w:rsid w:val="00196A19"/>
    <w:rsid w:val="001D59DB"/>
    <w:rsid w:val="001E72CB"/>
    <w:rsid w:val="001F0D14"/>
    <w:rsid w:val="00202DC1"/>
    <w:rsid w:val="002116EE"/>
    <w:rsid w:val="002309D8"/>
    <w:rsid w:val="00232965"/>
    <w:rsid w:val="002370C7"/>
    <w:rsid w:val="002569A0"/>
    <w:rsid w:val="00282E4A"/>
    <w:rsid w:val="002A7FE2"/>
    <w:rsid w:val="002B1BB1"/>
    <w:rsid w:val="002B36A6"/>
    <w:rsid w:val="002E1B4F"/>
    <w:rsid w:val="002F2E67"/>
    <w:rsid w:val="00305CC5"/>
    <w:rsid w:val="00313787"/>
    <w:rsid w:val="00315546"/>
    <w:rsid w:val="00323A7E"/>
    <w:rsid w:val="00330567"/>
    <w:rsid w:val="00367524"/>
    <w:rsid w:val="00386A9D"/>
    <w:rsid w:val="00391081"/>
    <w:rsid w:val="003946A4"/>
    <w:rsid w:val="003B0154"/>
    <w:rsid w:val="003B2789"/>
    <w:rsid w:val="003C13CE"/>
    <w:rsid w:val="003E2518"/>
    <w:rsid w:val="003E7CEF"/>
    <w:rsid w:val="004653D0"/>
    <w:rsid w:val="004A1869"/>
    <w:rsid w:val="004B1EF7"/>
    <w:rsid w:val="004B3FAD"/>
    <w:rsid w:val="004F3054"/>
    <w:rsid w:val="004F6AB4"/>
    <w:rsid w:val="00501DCA"/>
    <w:rsid w:val="00503F0B"/>
    <w:rsid w:val="00513A47"/>
    <w:rsid w:val="005408DF"/>
    <w:rsid w:val="00550029"/>
    <w:rsid w:val="00573344"/>
    <w:rsid w:val="00583F9B"/>
    <w:rsid w:val="00584248"/>
    <w:rsid w:val="00591DA7"/>
    <w:rsid w:val="005E5C10"/>
    <w:rsid w:val="005F2C78"/>
    <w:rsid w:val="005F3704"/>
    <w:rsid w:val="0060669B"/>
    <w:rsid w:val="00613E97"/>
    <w:rsid w:val="006144E4"/>
    <w:rsid w:val="00650299"/>
    <w:rsid w:val="006533FC"/>
    <w:rsid w:val="00653E62"/>
    <w:rsid w:val="00655FC5"/>
    <w:rsid w:val="006E16D5"/>
    <w:rsid w:val="006F0386"/>
    <w:rsid w:val="007270BD"/>
    <w:rsid w:val="007B197F"/>
    <w:rsid w:val="007B4F11"/>
    <w:rsid w:val="007D2F52"/>
    <w:rsid w:val="00822581"/>
    <w:rsid w:val="008309DD"/>
    <w:rsid w:val="0083227A"/>
    <w:rsid w:val="00863B58"/>
    <w:rsid w:val="00866900"/>
    <w:rsid w:val="00873142"/>
    <w:rsid w:val="00881BA1"/>
    <w:rsid w:val="008C26B8"/>
    <w:rsid w:val="008F208F"/>
    <w:rsid w:val="009134C0"/>
    <w:rsid w:val="00940543"/>
    <w:rsid w:val="00952364"/>
    <w:rsid w:val="00982084"/>
    <w:rsid w:val="00995963"/>
    <w:rsid w:val="009B61EB"/>
    <w:rsid w:val="009C2064"/>
    <w:rsid w:val="009C3D6C"/>
    <w:rsid w:val="009D1697"/>
    <w:rsid w:val="00A014F8"/>
    <w:rsid w:val="00A17449"/>
    <w:rsid w:val="00A5173C"/>
    <w:rsid w:val="00A61AEF"/>
    <w:rsid w:val="00A84CB2"/>
    <w:rsid w:val="00AC1966"/>
    <w:rsid w:val="00AF173A"/>
    <w:rsid w:val="00B007B9"/>
    <w:rsid w:val="00B066A4"/>
    <w:rsid w:val="00B07A13"/>
    <w:rsid w:val="00B4279B"/>
    <w:rsid w:val="00B45FC9"/>
    <w:rsid w:val="00B53887"/>
    <w:rsid w:val="00B642CF"/>
    <w:rsid w:val="00BA7139"/>
    <w:rsid w:val="00BC491C"/>
    <w:rsid w:val="00BC7CCF"/>
    <w:rsid w:val="00BE470B"/>
    <w:rsid w:val="00BE5912"/>
    <w:rsid w:val="00C369F1"/>
    <w:rsid w:val="00C57A91"/>
    <w:rsid w:val="00C933EA"/>
    <w:rsid w:val="00CC01C2"/>
    <w:rsid w:val="00CE0301"/>
    <w:rsid w:val="00CF21F2"/>
    <w:rsid w:val="00D02712"/>
    <w:rsid w:val="00D214D0"/>
    <w:rsid w:val="00D45AB9"/>
    <w:rsid w:val="00D64EF0"/>
    <w:rsid w:val="00D6546B"/>
    <w:rsid w:val="00DD4BED"/>
    <w:rsid w:val="00DE39F0"/>
    <w:rsid w:val="00DF0AF3"/>
    <w:rsid w:val="00E27D7E"/>
    <w:rsid w:val="00E42E13"/>
    <w:rsid w:val="00E4613D"/>
    <w:rsid w:val="00E54490"/>
    <w:rsid w:val="00E55A0E"/>
    <w:rsid w:val="00E6257C"/>
    <w:rsid w:val="00E63C59"/>
    <w:rsid w:val="00E75289"/>
    <w:rsid w:val="00E81BEE"/>
    <w:rsid w:val="00E92096"/>
    <w:rsid w:val="00EE2665"/>
    <w:rsid w:val="00EF01FF"/>
    <w:rsid w:val="00F22E56"/>
    <w:rsid w:val="00F3440E"/>
    <w:rsid w:val="00F71836"/>
    <w:rsid w:val="00F9508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6BCD22-C590-4061-80F0-789C1B5F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paragraph" w:styleId="Revision">
    <w:name w:val="Revision"/>
    <w:hidden/>
    <w:uiPriority w:val="99"/>
    <w:semiHidden/>
    <w:rsid w:val="00E55A0E"/>
    <w:rPr>
      <w:rFonts w:ascii="Times New Roman" w:hAnsi="Times New Roman"/>
      <w:sz w:val="24"/>
      <w:lang w:val="en-GB" w:eastAsia="en-US"/>
    </w:rPr>
  </w:style>
  <w:style w:type="character" w:styleId="CommentReference">
    <w:name w:val="annotation reference"/>
    <w:basedOn w:val="DefaultParagraphFont"/>
    <w:rsid w:val="00C369F1"/>
    <w:rPr>
      <w:sz w:val="16"/>
      <w:szCs w:val="16"/>
    </w:rPr>
  </w:style>
  <w:style w:type="paragraph" w:styleId="CommentText">
    <w:name w:val="annotation text"/>
    <w:basedOn w:val="Normal"/>
    <w:link w:val="CommentTextChar"/>
    <w:rsid w:val="00C369F1"/>
    <w:rPr>
      <w:sz w:val="20"/>
    </w:rPr>
  </w:style>
  <w:style w:type="character" w:customStyle="1" w:styleId="CommentTextChar">
    <w:name w:val="Comment Text Char"/>
    <w:basedOn w:val="DefaultParagraphFont"/>
    <w:link w:val="CommentText"/>
    <w:rsid w:val="00C369F1"/>
    <w:rPr>
      <w:rFonts w:ascii="Times New Roman" w:hAnsi="Times New Roman"/>
      <w:lang w:val="en-GB" w:eastAsia="en-US"/>
    </w:rPr>
  </w:style>
  <w:style w:type="paragraph" w:styleId="CommentSubject">
    <w:name w:val="annotation subject"/>
    <w:basedOn w:val="CommentText"/>
    <w:next w:val="CommentText"/>
    <w:link w:val="CommentSubjectChar"/>
    <w:rsid w:val="00C369F1"/>
    <w:rPr>
      <w:b/>
      <w:bCs/>
    </w:rPr>
  </w:style>
  <w:style w:type="character" w:customStyle="1" w:styleId="CommentSubjectChar">
    <w:name w:val="Comment Subject Char"/>
    <w:basedOn w:val="CommentTextChar"/>
    <w:link w:val="CommentSubject"/>
    <w:rsid w:val="00C369F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uub.nagel@agentschaptelecom.n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4693-1FE7-4111-82D6-9E13A460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10</Pages>
  <Words>2548</Words>
  <Characters>14530</Characters>
  <Application>Microsoft Office Word</Application>
  <DocSecurity>4</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2014-09-26T10:32:00Z</cp:lastPrinted>
  <dcterms:created xsi:type="dcterms:W3CDTF">2014-10-06T16:03:00Z</dcterms:created>
  <dcterms:modified xsi:type="dcterms:W3CDTF">2014-10-06T16:03:00Z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