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060CAE" w:rsidTr="00A26780">
        <w:trPr>
          <w:cantSplit/>
        </w:trPr>
        <w:tc>
          <w:tcPr>
            <w:tcW w:w="6345" w:type="dxa"/>
          </w:tcPr>
          <w:p w:rsidR="00060CAE" w:rsidRPr="004844C1" w:rsidRDefault="00060CAE" w:rsidP="00D262CE">
            <w:pPr>
              <w:spacing w:before="400" w:after="48" w:line="240" w:lineRule="atLeast"/>
              <w:rPr>
                <w:rFonts w:ascii="Verdana" w:hAnsi="Verdana"/>
                <w:position w:val="6"/>
                <w:sz w:val="22"/>
                <w:szCs w:val="22"/>
              </w:rPr>
            </w:pPr>
            <w:bookmarkStart w:id="0" w:name="_GoBack"/>
            <w:bookmarkEnd w:id="0"/>
            <w:r w:rsidRPr="004844C1">
              <w:rPr>
                <w:rFonts w:ascii="Verdana" w:hAnsi="Verdana"/>
                <w:b/>
                <w:sz w:val="26"/>
                <w:szCs w:val="26"/>
              </w:rPr>
              <w:t>Radiocommunication Assembly</w:t>
            </w:r>
            <w:r>
              <w:rPr>
                <w:rFonts w:ascii="Verdana" w:hAnsi="Verdana"/>
                <w:b/>
                <w:sz w:val="26"/>
                <w:szCs w:val="26"/>
              </w:rPr>
              <w:t xml:space="preserve"> (RA-15)</w:t>
            </w:r>
            <w:r>
              <w:rPr>
                <w:rFonts w:ascii="Verdana" w:hAnsi="Verdana"/>
                <w:b/>
                <w:sz w:val="22"/>
                <w:szCs w:val="22"/>
              </w:rPr>
              <w:br/>
            </w:r>
            <w:r w:rsidRPr="0071246B">
              <w:rPr>
                <w:rFonts w:ascii="Verdana" w:hAnsi="Verdana"/>
                <w:b/>
                <w:bCs/>
                <w:sz w:val="20"/>
              </w:rPr>
              <w:t xml:space="preserve">Geneva, </w:t>
            </w:r>
            <w:r>
              <w:rPr>
                <w:rFonts w:ascii="Verdana" w:hAnsi="Verdana"/>
                <w:b/>
                <w:bCs/>
                <w:sz w:val="20"/>
              </w:rPr>
              <w:t>26</w:t>
            </w:r>
            <w:r w:rsidRPr="0071246B">
              <w:rPr>
                <w:rFonts w:ascii="Verdana" w:hAnsi="Verdana"/>
                <w:b/>
                <w:bCs/>
                <w:sz w:val="20"/>
              </w:rPr>
              <w:t>-</w:t>
            </w:r>
            <w:r>
              <w:rPr>
                <w:rFonts w:ascii="Verdana" w:hAnsi="Verdana"/>
                <w:b/>
                <w:bCs/>
                <w:sz w:val="20"/>
              </w:rPr>
              <w:t>30</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15</w:t>
            </w:r>
          </w:p>
        </w:tc>
        <w:tc>
          <w:tcPr>
            <w:tcW w:w="3686" w:type="dxa"/>
          </w:tcPr>
          <w:p w:rsidR="00060CAE" w:rsidRDefault="00060CAE" w:rsidP="00D262CE">
            <w:pPr>
              <w:spacing w:line="240" w:lineRule="atLeast"/>
              <w:jc w:val="right"/>
            </w:pPr>
            <w:r>
              <w:rPr>
                <w:noProof/>
                <w:lang w:eastAsia="zh-CN"/>
              </w:rPr>
              <w:drawing>
                <wp:inline distT="0" distB="0" distL="0" distR="0" wp14:anchorId="78119E0E" wp14:editId="56E96BC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60CAE" w:rsidRPr="00617BE4" w:rsidTr="00A26780">
        <w:trPr>
          <w:cantSplit/>
        </w:trPr>
        <w:tc>
          <w:tcPr>
            <w:tcW w:w="6345" w:type="dxa"/>
            <w:tcBorders>
              <w:bottom w:val="single" w:sz="12" w:space="0" w:color="auto"/>
            </w:tcBorders>
          </w:tcPr>
          <w:p w:rsidR="00060CAE" w:rsidRPr="00617BE4" w:rsidRDefault="00060CAE" w:rsidP="00060CAE">
            <w:pPr>
              <w:spacing w:before="0" w:after="48" w:line="240" w:lineRule="atLeast"/>
              <w:rPr>
                <w:b/>
                <w:smallCaps/>
                <w:szCs w:val="24"/>
              </w:rPr>
            </w:pPr>
            <w:bookmarkStart w:id="1" w:name="dhead"/>
            <w:r w:rsidRPr="00974431">
              <w:rPr>
                <w:rFonts w:ascii="Verdana" w:hAnsi="Verdana"/>
                <w:b/>
                <w:bCs/>
                <w:position w:val="6"/>
                <w:sz w:val="20"/>
              </w:rPr>
              <w:t>INTERNATIONAL TELECOMMUNICATION UNION</w:t>
            </w:r>
          </w:p>
        </w:tc>
        <w:tc>
          <w:tcPr>
            <w:tcW w:w="3686" w:type="dxa"/>
            <w:tcBorders>
              <w:bottom w:val="single" w:sz="12" w:space="0" w:color="auto"/>
            </w:tcBorders>
          </w:tcPr>
          <w:p w:rsidR="00060CAE" w:rsidRPr="00617BE4" w:rsidRDefault="00060CAE" w:rsidP="00060CAE">
            <w:pPr>
              <w:spacing w:before="0" w:line="240" w:lineRule="atLeast"/>
              <w:rPr>
                <w:rFonts w:ascii="Verdana" w:hAnsi="Verdana"/>
                <w:szCs w:val="24"/>
              </w:rPr>
            </w:pPr>
          </w:p>
        </w:tc>
      </w:tr>
      <w:tr w:rsidR="00060CAE" w:rsidRPr="00C324A8" w:rsidTr="00A26780">
        <w:trPr>
          <w:cantSplit/>
        </w:trPr>
        <w:tc>
          <w:tcPr>
            <w:tcW w:w="6345" w:type="dxa"/>
            <w:tcBorders>
              <w:top w:val="single" w:sz="12" w:space="0" w:color="auto"/>
            </w:tcBorders>
          </w:tcPr>
          <w:p w:rsidR="00060CAE" w:rsidRPr="00C324A8" w:rsidRDefault="00060CAE" w:rsidP="00060CAE">
            <w:pPr>
              <w:spacing w:before="0" w:after="48" w:line="240" w:lineRule="atLeast"/>
              <w:rPr>
                <w:rFonts w:ascii="Verdana" w:hAnsi="Verdana"/>
                <w:b/>
                <w:smallCaps/>
                <w:sz w:val="20"/>
              </w:rPr>
            </w:pPr>
          </w:p>
        </w:tc>
        <w:tc>
          <w:tcPr>
            <w:tcW w:w="3686" w:type="dxa"/>
            <w:tcBorders>
              <w:top w:val="single" w:sz="12" w:space="0" w:color="auto"/>
            </w:tcBorders>
          </w:tcPr>
          <w:p w:rsidR="00060CAE" w:rsidRPr="00C324A8" w:rsidRDefault="00060CAE" w:rsidP="00060CAE">
            <w:pPr>
              <w:spacing w:before="0" w:line="240" w:lineRule="atLeast"/>
              <w:rPr>
                <w:rFonts w:ascii="Verdana" w:hAnsi="Verdana"/>
                <w:sz w:val="20"/>
              </w:rPr>
            </w:pPr>
          </w:p>
        </w:tc>
      </w:tr>
      <w:tr w:rsidR="00060CAE" w:rsidRPr="00C324A8" w:rsidTr="00A26780">
        <w:trPr>
          <w:cantSplit/>
          <w:trHeight w:val="23"/>
        </w:trPr>
        <w:tc>
          <w:tcPr>
            <w:tcW w:w="6345" w:type="dxa"/>
            <w:vMerge w:val="restart"/>
          </w:tcPr>
          <w:p w:rsidR="00060CAE" w:rsidRPr="00060CAE" w:rsidRDefault="00060CAE" w:rsidP="00060CAE">
            <w:pPr>
              <w:tabs>
                <w:tab w:val="left" w:pos="851"/>
              </w:tabs>
              <w:spacing w:before="0" w:line="240" w:lineRule="atLeast"/>
              <w:rPr>
                <w:rFonts w:ascii="Verdana" w:hAnsi="Verdana"/>
                <w:sz w:val="20"/>
              </w:rPr>
            </w:pPr>
            <w:bookmarkStart w:id="2" w:name="dnum" w:colFirst="1" w:colLast="1"/>
            <w:bookmarkStart w:id="3" w:name="dmeeting" w:colFirst="0" w:colLast="0"/>
            <w:bookmarkEnd w:id="1"/>
          </w:p>
        </w:tc>
        <w:tc>
          <w:tcPr>
            <w:tcW w:w="3686" w:type="dxa"/>
          </w:tcPr>
          <w:p w:rsidR="00060CAE" w:rsidRPr="00060CAE" w:rsidRDefault="00060CAE" w:rsidP="00060CAE">
            <w:pPr>
              <w:tabs>
                <w:tab w:val="left" w:pos="851"/>
              </w:tabs>
              <w:spacing w:before="0" w:line="240" w:lineRule="atLeast"/>
              <w:rPr>
                <w:rFonts w:ascii="Verdana" w:hAnsi="Verdana"/>
                <w:sz w:val="20"/>
              </w:rPr>
            </w:pPr>
            <w:r>
              <w:rPr>
                <w:rFonts w:ascii="Verdana" w:hAnsi="Verdana"/>
                <w:b/>
                <w:sz w:val="20"/>
              </w:rPr>
              <w:t>Document 7/1001-E</w:t>
            </w:r>
          </w:p>
        </w:tc>
      </w:tr>
      <w:tr w:rsidR="00060CAE" w:rsidRPr="00C324A8" w:rsidTr="00A26780">
        <w:trPr>
          <w:cantSplit/>
          <w:trHeight w:val="23"/>
        </w:trPr>
        <w:tc>
          <w:tcPr>
            <w:tcW w:w="6345" w:type="dxa"/>
            <w:vMerge/>
          </w:tcPr>
          <w:p w:rsidR="00060CAE" w:rsidRPr="00C324A8" w:rsidRDefault="00060CAE">
            <w:pPr>
              <w:tabs>
                <w:tab w:val="left" w:pos="851"/>
              </w:tabs>
              <w:spacing w:line="240" w:lineRule="atLeast"/>
              <w:rPr>
                <w:rFonts w:ascii="Verdana" w:hAnsi="Verdana"/>
                <w:b/>
                <w:sz w:val="20"/>
              </w:rPr>
            </w:pPr>
            <w:bookmarkStart w:id="4" w:name="ddate" w:colFirst="1" w:colLast="1"/>
            <w:bookmarkEnd w:id="2"/>
            <w:bookmarkEnd w:id="3"/>
          </w:p>
        </w:tc>
        <w:tc>
          <w:tcPr>
            <w:tcW w:w="3686" w:type="dxa"/>
          </w:tcPr>
          <w:p w:rsidR="00060CAE" w:rsidRPr="00060CAE" w:rsidRDefault="00060CAE" w:rsidP="00060CAE">
            <w:pPr>
              <w:tabs>
                <w:tab w:val="left" w:pos="993"/>
              </w:tabs>
              <w:spacing w:before="0"/>
              <w:rPr>
                <w:rFonts w:ascii="Verdana" w:hAnsi="Verdana"/>
                <w:sz w:val="20"/>
              </w:rPr>
            </w:pPr>
            <w:r>
              <w:rPr>
                <w:rFonts w:ascii="Verdana" w:hAnsi="Verdana"/>
                <w:b/>
                <w:sz w:val="20"/>
              </w:rPr>
              <w:t>1 September 2015</w:t>
            </w:r>
          </w:p>
        </w:tc>
      </w:tr>
      <w:tr w:rsidR="00060CAE" w:rsidRPr="00C324A8" w:rsidTr="00A26780">
        <w:trPr>
          <w:cantSplit/>
          <w:trHeight w:val="23"/>
        </w:trPr>
        <w:tc>
          <w:tcPr>
            <w:tcW w:w="6345" w:type="dxa"/>
            <w:vMerge/>
          </w:tcPr>
          <w:p w:rsidR="00060CAE" w:rsidRPr="00C324A8" w:rsidRDefault="00060CAE">
            <w:pPr>
              <w:tabs>
                <w:tab w:val="left" w:pos="851"/>
              </w:tabs>
              <w:spacing w:line="240" w:lineRule="atLeast"/>
              <w:rPr>
                <w:rFonts w:ascii="Verdana" w:hAnsi="Verdana"/>
                <w:b/>
                <w:sz w:val="20"/>
              </w:rPr>
            </w:pPr>
            <w:bookmarkStart w:id="5" w:name="dorlang" w:colFirst="1" w:colLast="1"/>
            <w:bookmarkEnd w:id="4"/>
          </w:p>
        </w:tc>
        <w:tc>
          <w:tcPr>
            <w:tcW w:w="3686" w:type="dxa"/>
          </w:tcPr>
          <w:p w:rsidR="00060CAE" w:rsidRPr="00C324A8" w:rsidRDefault="00060CAE">
            <w:pPr>
              <w:tabs>
                <w:tab w:val="left" w:pos="993"/>
              </w:tabs>
              <w:rPr>
                <w:rFonts w:ascii="Verdana" w:hAnsi="Verdana"/>
                <w:b/>
                <w:sz w:val="20"/>
              </w:rPr>
            </w:pPr>
          </w:p>
        </w:tc>
      </w:tr>
      <w:tr w:rsidR="00A26780" w:rsidTr="00A26780">
        <w:trPr>
          <w:cantSplit/>
        </w:trPr>
        <w:tc>
          <w:tcPr>
            <w:tcW w:w="10031" w:type="dxa"/>
            <w:gridSpan w:val="2"/>
          </w:tcPr>
          <w:p w:rsidR="00A26780" w:rsidRPr="001D7F74" w:rsidRDefault="00A26780" w:rsidP="00A26780">
            <w:pPr>
              <w:pStyle w:val="Source"/>
            </w:pPr>
            <w:bookmarkStart w:id="6" w:name="dsource" w:colFirst="0" w:colLast="0"/>
            <w:bookmarkEnd w:id="5"/>
            <w:r w:rsidRPr="001D7F74">
              <w:t>Chairman, Radiocommunication Study Group 7</w:t>
            </w:r>
          </w:p>
        </w:tc>
      </w:tr>
      <w:tr w:rsidR="00A26780" w:rsidTr="00A26780">
        <w:trPr>
          <w:cantSplit/>
        </w:trPr>
        <w:tc>
          <w:tcPr>
            <w:tcW w:w="10031" w:type="dxa"/>
            <w:gridSpan w:val="2"/>
          </w:tcPr>
          <w:p w:rsidR="00A26780" w:rsidRPr="001D7F74" w:rsidRDefault="00A26780" w:rsidP="00A26780">
            <w:pPr>
              <w:pStyle w:val="Title1"/>
            </w:pPr>
            <w:bookmarkStart w:id="7" w:name="dtitle1" w:colFirst="0" w:colLast="0"/>
            <w:bookmarkEnd w:id="6"/>
            <w:r w:rsidRPr="001D7F74">
              <w:t>CHAIRMAN’S REPORT</w:t>
            </w:r>
          </w:p>
        </w:tc>
      </w:tr>
      <w:tr w:rsidR="00A26780" w:rsidTr="00A26780">
        <w:trPr>
          <w:cantSplit/>
        </w:trPr>
        <w:tc>
          <w:tcPr>
            <w:tcW w:w="10031" w:type="dxa"/>
            <w:gridSpan w:val="2"/>
          </w:tcPr>
          <w:p w:rsidR="00A26780" w:rsidRPr="001D7F74" w:rsidRDefault="00A26780" w:rsidP="00A26780">
            <w:pPr>
              <w:pStyle w:val="Title2"/>
            </w:pPr>
            <w:bookmarkStart w:id="8" w:name="dtitle2" w:colFirst="0" w:colLast="0"/>
            <w:bookmarkEnd w:id="7"/>
            <w:r w:rsidRPr="001D7F74">
              <w:t>SCIENCE SERVICES</w:t>
            </w:r>
          </w:p>
        </w:tc>
      </w:tr>
      <w:tr w:rsidR="00060CAE" w:rsidTr="00A26780">
        <w:trPr>
          <w:cantSplit/>
        </w:trPr>
        <w:tc>
          <w:tcPr>
            <w:tcW w:w="10031" w:type="dxa"/>
            <w:gridSpan w:val="2"/>
          </w:tcPr>
          <w:p w:rsidR="00060CAE" w:rsidRDefault="00060CAE">
            <w:pPr>
              <w:pStyle w:val="Title3"/>
            </w:pPr>
            <w:bookmarkStart w:id="9" w:name="dtitle3" w:colFirst="0" w:colLast="0"/>
            <w:bookmarkEnd w:id="8"/>
          </w:p>
        </w:tc>
      </w:tr>
    </w:tbl>
    <w:p w:rsidR="00A26780" w:rsidRPr="001D7F74" w:rsidRDefault="00A26780" w:rsidP="00A26780">
      <w:pPr>
        <w:pStyle w:val="Heading1"/>
      </w:pPr>
      <w:bookmarkStart w:id="10" w:name="dbreak"/>
      <w:bookmarkEnd w:id="9"/>
      <w:bookmarkEnd w:id="10"/>
      <w:r w:rsidRPr="001D7F74">
        <w:t>1</w:t>
      </w:r>
      <w:r w:rsidRPr="001D7F74">
        <w:tab/>
        <w:t>Introduction</w:t>
      </w:r>
    </w:p>
    <w:p w:rsidR="00A26780" w:rsidRPr="001D7F74" w:rsidRDefault="00A26780" w:rsidP="00A26780">
      <w:r w:rsidRPr="001D7F74">
        <w:t xml:space="preserve">In accordance with Resolution ITU-R 4-6, ITU-R Study Group 7 (SG 7) studies topics of concern and interest to the science services which include the </w:t>
      </w:r>
      <w:r>
        <w:t>t</w:t>
      </w:r>
      <w:r w:rsidRPr="001D7F74">
        <w:t xml:space="preserve">ime </w:t>
      </w:r>
      <w:r>
        <w:t>s</w:t>
      </w:r>
      <w:r w:rsidRPr="001D7F74">
        <w:t xml:space="preserve">ignal and </w:t>
      </w:r>
      <w:r>
        <w:t>f</w:t>
      </w:r>
      <w:r w:rsidRPr="001D7F74">
        <w:t xml:space="preserve">requency </w:t>
      </w:r>
      <w:r>
        <w:t>s</w:t>
      </w:r>
      <w:r w:rsidRPr="001D7F74">
        <w:t xml:space="preserve">tandard </w:t>
      </w:r>
      <w:r>
        <w:t>e</w:t>
      </w:r>
      <w:r w:rsidRPr="001D7F74">
        <w:t xml:space="preserve">missions, </w:t>
      </w:r>
      <w:r>
        <w:t>s</w:t>
      </w:r>
      <w:r w:rsidRPr="001D7F74">
        <w:t xml:space="preserve">pace </w:t>
      </w:r>
      <w:r>
        <w:t>r</w:t>
      </w:r>
      <w:r w:rsidRPr="001D7F74">
        <w:t xml:space="preserve">esearch, Earth </w:t>
      </w:r>
      <w:r>
        <w:t>e</w:t>
      </w:r>
      <w:r w:rsidRPr="001D7F74">
        <w:t>xploration-</w:t>
      </w:r>
      <w:r>
        <w:t>s</w:t>
      </w:r>
      <w:r w:rsidRPr="001D7F74">
        <w:t xml:space="preserve">atellite, </w:t>
      </w:r>
      <w:r>
        <w:t>s</w:t>
      </w:r>
      <w:r w:rsidRPr="001D7F74">
        <w:t xml:space="preserve">pace </w:t>
      </w:r>
      <w:r>
        <w:t>o</w:t>
      </w:r>
      <w:r w:rsidRPr="001D7F74">
        <w:t xml:space="preserve">peration, </w:t>
      </w:r>
      <w:r>
        <w:t>m</w:t>
      </w:r>
      <w:r w:rsidRPr="001D7F74">
        <w:t xml:space="preserve">eteorological, </w:t>
      </w:r>
      <w:r>
        <w:t>r</w:t>
      </w:r>
      <w:r w:rsidRPr="001D7F74">
        <w:t xml:space="preserve">adio </w:t>
      </w:r>
      <w:r>
        <w:t>a</w:t>
      </w:r>
      <w:r w:rsidRPr="001D7F74">
        <w:t xml:space="preserve">stronomy and </w:t>
      </w:r>
      <w:r>
        <w:t>r</w:t>
      </w:r>
      <w:r w:rsidRPr="001D7F74">
        <w:t xml:space="preserve">adar </w:t>
      </w:r>
      <w:r>
        <w:t>a</w:t>
      </w:r>
      <w:r w:rsidRPr="001D7F74">
        <w:t xml:space="preserve">stronomy </w:t>
      </w:r>
      <w:r>
        <w:t>s</w:t>
      </w:r>
      <w:r w:rsidRPr="001D7F74">
        <w:t>ervices. The elected officers of the Study Group are:</w:t>
      </w:r>
    </w:p>
    <w:p w:rsidR="00A26780" w:rsidRPr="001D7F74" w:rsidRDefault="00A26780" w:rsidP="00A26780">
      <w:r w:rsidRPr="001D7F74">
        <w:t>Chairman:</w:t>
      </w:r>
      <w:r w:rsidRPr="001D7F74">
        <w:tab/>
      </w:r>
      <w:r w:rsidRPr="001D7F74">
        <w:tab/>
      </w:r>
      <w:r w:rsidRPr="001D7F74">
        <w:tab/>
        <w:t>Mr V. MEENS</w:t>
      </w:r>
      <w:r w:rsidRPr="001D7F74">
        <w:tab/>
      </w:r>
      <w:r w:rsidRPr="001D7F74">
        <w:tab/>
      </w:r>
      <w:r w:rsidRPr="001D7F74">
        <w:tab/>
        <w:t>(France)</w:t>
      </w:r>
    </w:p>
    <w:p w:rsidR="00A26780" w:rsidRPr="001D7F74" w:rsidRDefault="00A26780" w:rsidP="00A26780">
      <w:pPr>
        <w:ind w:left="2265" w:hanging="2265"/>
      </w:pPr>
      <w:r>
        <w:t>Vice-Chairmen:</w:t>
      </w:r>
      <w:r>
        <w:tab/>
      </w:r>
      <w:r>
        <w:tab/>
      </w:r>
      <w:r w:rsidRPr="001D7F74">
        <w:t>Dr A. AL-ARAIMI</w:t>
      </w:r>
      <w:r w:rsidRPr="001D7F74">
        <w:tab/>
      </w:r>
      <w:r w:rsidRPr="001D7F74">
        <w:tab/>
      </w:r>
      <w:r w:rsidRPr="001D7F74">
        <w:tab/>
        <w:t>(</w:t>
      </w:r>
      <w:r>
        <w:t xml:space="preserve">Sultanate of </w:t>
      </w:r>
      <w:r w:rsidRPr="001D7F74">
        <w:t>Oman)</w:t>
      </w:r>
      <w:r w:rsidRPr="001D7F74">
        <w:br/>
        <w:t>Dr H.-S. CHUNG</w:t>
      </w:r>
      <w:r w:rsidRPr="001D7F74">
        <w:tab/>
      </w:r>
      <w:r w:rsidRPr="001D7F74">
        <w:tab/>
      </w:r>
      <w:r w:rsidRPr="001D7F74">
        <w:tab/>
        <w:t>(Republic</w:t>
      </w:r>
      <w:r>
        <w:t xml:space="preserve"> of Korea)</w:t>
      </w:r>
      <w:r>
        <w:br/>
      </w:r>
      <w:r>
        <w:tab/>
        <w:t>Mr U.K. SRIVASTAVA</w:t>
      </w:r>
      <w:r>
        <w:tab/>
      </w:r>
      <w:r>
        <w:tab/>
      </w:r>
      <w:r w:rsidRPr="001D7F74">
        <w:t>(</w:t>
      </w:r>
      <w:r>
        <w:t xml:space="preserve">Republic of </w:t>
      </w:r>
      <w:r w:rsidRPr="001D7F74">
        <w:t>India)</w:t>
      </w:r>
      <w:r w:rsidRPr="001D7F74">
        <w:br/>
        <w:t>Mr A.V. VASSILIEV</w:t>
      </w:r>
      <w:r w:rsidRPr="001D7F74">
        <w:tab/>
      </w:r>
      <w:r w:rsidRPr="001D7F74">
        <w:tab/>
        <w:t>(Russian Federation)</w:t>
      </w:r>
      <w:r w:rsidRPr="001D7F74">
        <w:br/>
        <w:t>Mr J. ZUZEK</w:t>
      </w:r>
      <w:r w:rsidRPr="001D7F74">
        <w:tab/>
      </w:r>
      <w:r w:rsidRPr="001D7F74">
        <w:tab/>
      </w:r>
      <w:r w:rsidRPr="001D7F74">
        <w:tab/>
        <w:t>(United States</w:t>
      </w:r>
      <w:r>
        <w:t xml:space="preserve"> of America</w:t>
      </w:r>
      <w:r w:rsidRPr="001D7F74">
        <w:t>)</w:t>
      </w:r>
    </w:p>
    <w:p w:rsidR="00A26780" w:rsidRPr="001D7F74" w:rsidRDefault="00A26780" w:rsidP="00A26780">
      <w:r w:rsidRPr="001D7F74">
        <w:t>In order to conduct its assigned studies in an efficient and effective manner, Study Group 7 delegates the specific studies to one of four Working Parties (WP):</w:t>
      </w:r>
    </w:p>
    <w:p w:rsidR="00A26780" w:rsidRPr="001D7F74" w:rsidRDefault="00A26780" w:rsidP="00A26780">
      <w:r w:rsidRPr="001D7F74">
        <w:t xml:space="preserve">WP 7A – Time </w:t>
      </w:r>
      <w:r>
        <w:t>s</w:t>
      </w:r>
      <w:r w:rsidRPr="001D7F74">
        <w:t xml:space="preserve">ignals and </w:t>
      </w:r>
      <w:r>
        <w:t>f</w:t>
      </w:r>
      <w:r w:rsidRPr="001D7F74">
        <w:t xml:space="preserve">requency </w:t>
      </w:r>
      <w:r>
        <w:t>s</w:t>
      </w:r>
      <w:r w:rsidRPr="001D7F74">
        <w:t xml:space="preserve">tandard </w:t>
      </w:r>
      <w:r>
        <w:t>e</w:t>
      </w:r>
      <w:r w:rsidRPr="001D7F74">
        <w:t>missions, chaired by Ronald BEARD (USA)</w:t>
      </w:r>
    </w:p>
    <w:p w:rsidR="00A26780" w:rsidRPr="001D7F74" w:rsidRDefault="00A26780" w:rsidP="00A26780">
      <w:r w:rsidRPr="001D7F74">
        <w:t xml:space="preserve">WP 7B – Space </w:t>
      </w:r>
      <w:r>
        <w:t>r</w:t>
      </w:r>
      <w:r w:rsidRPr="001D7F74">
        <w:t xml:space="preserve">adiocommunication </w:t>
      </w:r>
      <w:r>
        <w:t>a</w:t>
      </w:r>
      <w:r w:rsidRPr="001D7F74">
        <w:t>pplications, chaired by Bradford KAUFMAN (USA)</w:t>
      </w:r>
    </w:p>
    <w:p w:rsidR="00A26780" w:rsidRPr="001D7F74" w:rsidRDefault="00A26780" w:rsidP="00A26780">
      <w:r w:rsidRPr="001D7F74">
        <w:t xml:space="preserve">WP 7C – Remote </w:t>
      </w:r>
      <w:r>
        <w:t>s</w:t>
      </w:r>
      <w:r w:rsidRPr="001D7F74">
        <w:t xml:space="preserve">ensing </w:t>
      </w:r>
      <w:r>
        <w:t>s</w:t>
      </w:r>
      <w:r w:rsidRPr="001D7F74">
        <w:t>ystems, chaired by Edoardo MARELLI (ESA)</w:t>
      </w:r>
    </w:p>
    <w:p w:rsidR="00A26780" w:rsidRPr="001D7F74" w:rsidRDefault="00A26780" w:rsidP="00A26780">
      <w:r w:rsidRPr="001D7F74">
        <w:t xml:space="preserve">WP 7D – Radio </w:t>
      </w:r>
      <w:r>
        <w:t>a</w:t>
      </w:r>
      <w:r w:rsidRPr="001D7F74">
        <w:t>stronomy, chaired by Anastasios TZIOUMIS (AUS)</w:t>
      </w:r>
    </w:p>
    <w:p w:rsidR="00A26780" w:rsidRPr="001D7F74" w:rsidRDefault="00A26780" w:rsidP="00A26780">
      <w:pPr>
        <w:pStyle w:val="Heading1"/>
      </w:pPr>
      <w:r w:rsidRPr="001D7F74">
        <w:t>2</w:t>
      </w:r>
      <w:r w:rsidRPr="001D7F74">
        <w:tab/>
        <w:t>Transparency</w:t>
      </w:r>
    </w:p>
    <w:p w:rsidR="00A26780" w:rsidRPr="001D7F74" w:rsidRDefault="00A26780" w:rsidP="00A26780">
      <w:r w:rsidRPr="001D7F74">
        <w:t>The management of the SG is overseen by the SG Steering Group. The Steering Group comprises the SG Chairman and Vice-Chairmen and the WP Chairmen, advised by the BR Counsellor. Decisions of the Steering Group are presented to the SG as a whole for concurrence by the participants. The Steering Group meets at least once during the SG meeting and the WP meetings, and conducts some of its preparatory work by electronic correspondence.</w:t>
      </w:r>
    </w:p>
    <w:p w:rsidR="00A26780" w:rsidRPr="001D7F74" w:rsidRDefault="00A26780" w:rsidP="00A26780">
      <w:pPr>
        <w:pStyle w:val="Heading1"/>
      </w:pPr>
      <w:r w:rsidRPr="001D7F74">
        <w:lastRenderedPageBreak/>
        <w:t>3</w:t>
      </w:r>
      <w:r w:rsidRPr="001D7F74">
        <w:tab/>
        <w:t>Meetings</w:t>
      </w:r>
    </w:p>
    <w:p w:rsidR="00A26780" w:rsidRPr="001D7F74" w:rsidRDefault="00A26780" w:rsidP="00A26780">
      <w:r w:rsidRPr="001D7F74">
        <w:t>During the rep</w:t>
      </w:r>
      <w:r w:rsidR="00F85105">
        <w:t>orting period (20 January 2012 -</w:t>
      </w:r>
      <w:r w:rsidRPr="001D7F74">
        <w:t xml:space="preserve"> 26 October 2015), SG 7 held four </w:t>
      </w:r>
      <w:r>
        <w:t>(two one-day and two two-day)</w:t>
      </w:r>
      <w:r w:rsidRPr="008C6AB5">
        <w:t xml:space="preserve"> </w:t>
      </w:r>
      <w:r w:rsidRPr="001D7F74">
        <w:t>meetings. The two-day meetings were held on two non</w:t>
      </w:r>
      <w:r>
        <w:noBreakHyphen/>
      </w:r>
      <w:r w:rsidRPr="001D7F74">
        <w:t>consecutive working days, separated by the Working Group meetings. The reasons for this method of working are more fully described later in the “Working methods” section of this document. The Summary Records of each of these meetings may be found at</w:t>
      </w:r>
      <w:r w:rsidR="00D934EF">
        <w:t xml:space="preserve"> </w:t>
      </w:r>
      <w:hyperlink r:id="rId8" w:history="1">
        <w:r w:rsidR="00D934EF" w:rsidRPr="000300A7">
          <w:rPr>
            <w:rStyle w:val="Hyperlink"/>
            <w:color w:val="0000FF" w:themeColor="hyperlink"/>
            <w:u w:val="single"/>
          </w:rPr>
          <w:t>http://www.itu.int/md/R12-SG07-C/en</w:t>
        </w:r>
      </w:hyperlink>
      <w:r w:rsidRPr="001D7F74">
        <w:t>.</w:t>
      </w:r>
    </w:p>
    <w:p w:rsidR="00A26780" w:rsidRPr="001D7F74" w:rsidRDefault="00A26780" w:rsidP="00A26780">
      <w:r w:rsidRPr="001D7F74">
        <w:t>As indicated in the table below, during this period WPs 7A, 7B, 7C and 7D each met six times, once in 2012, twice in 2013 and 2014 and once in 2015.</w:t>
      </w:r>
    </w:p>
    <w:p w:rsidR="00A26780" w:rsidRPr="001D7F74" w:rsidRDefault="00A26780" w:rsidP="00D934EF">
      <w:pPr>
        <w:spacing w:before="0"/>
      </w:pPr>
    </w:p>
    <w:tbl>
      <w:tblPr>
        <w:tblW w:w="7797" w:type="dxa"/>
        <w:jc w:val="center"/>
        <w:tblCellMar>
          <w:left w:w="70" w:type="dxa"/>
          <w:right w:w="70" w:type="dxa"/>
        </w:tblCellMar>
        <w:tblLook w:val="0000" w:firstRow="0" w:lastRow="0" w:firstColumn="0" w:lastColumn="0" w:noHBand="0" w:noVBand="0"/>
      </w:tblPr>
      <w:tblGrid>
        <w:gridCol w:w="916"/>
        <w:gridCol w:w="851"/>
        <w:gridCol w:w="850"/>
        <w:gridCol w:w="851"/>
        <w:gridCol w:w="440"/>
        <w:gridCol w:w="505"/>
        <w:gridCol w:w="407"/>
        <w:gridCol w:w="818"/>
        <w:gridCol w:w="440"/>
        <w:gridCol w:w="463"/>
        <w:gridCol w:w="440"/>
        <w:gridCol w:w="463"/>
        <w:gridCol w:w="407"/>
      </w:tblGrid>
      <w:tr w:rsidR="00A26780" w:rsidRPr="001D7F74" w:rsidTr="00D934EF">
        <w:trPr>
          <w:trHeight w:val="270"/>
          <w:jc w:val="center"/>
        </w:trPr>
        <w:tc>
          <w:tcPr>
            <w:tcW w:w="916" w:type="dxa"/>
            <w:tcBorders>
              <w:bottom w:val="nil"/>
              <w:right w:val="nil"/>
            </w:tcBorders>
            <w:shd w:val="clear" w:color="auto" w:fill="auto"/>
            <w:noWrap/>
            <w:vAlign w:val="bottom"/>
          </w:tcPr>
          <w:p w:rsidR="00A26780" w:rsidRPr="001D7F74" w:rsidRDefault="00A26780" w:rsidP="00D934EF">
            <w:pPr>
              <w:pStyle w:val="Tabletext"/>
              <w:jc w:val="center"/>
            </w:pPr>
          </w:p>
        </w:tc>
        <w:tc>
          <w:tcPr>
            <w:tcW w:w="851" w:type="dxa"/>
            <w:vMerge w:val="restart"/>
            <w:tcBorders>
              <w:top w:val="double" w:sz="6" w:space="0" w:color="auto"/>
              <w:left w:val="double" w:sz="6" w:space="0" w:color="auto"/>
              <w:bottom w:val="double" w:sz="6" w:space="0" w:color="auto"/>
              <w:right w:val="double" w:sz="6" w:space="0" w:color="auto"/>
            </w:tcBorders>
            <w:shd w:val="clear" w:color="auto" w:fill="FBD4B4" w:themeFill="accent6" w:themeFillTint="66"/>
            <w:noWrap/>
            <w:vAlign w:val="center"/>
          </w:tcPr>
          <w:p w:rsidR="00A26780" w:rsidRPr="001D7F74" w:rsidRDefault="00A26780" w:rsidP="00D934EF">
            <w:pPr>
              <w:jc w:val="center"/>
              <w:rPr>
                <w:b/>
                <w:sz w:val="20"/>
              </w:rPr>
            </w:pPr>
            <w:r w:rsidRPr="001D7F74">
              <w:rPr>
                <w:b/>
                <w:sz w:val="20"/>
              </w:rPr>
              <w:t>May-12</w:t>
            </w:r>
          </w:p>
        </w:tc>
        <w:tc>
          <w:tcPr>
            <w:tcW w:w="850" w:type="dxa"/>
            <w:vMerge w:val="restart"/>
            <w:tcBorders>
              <w:top w:val="double" w:sz="6" w:space="0" w:color="auto"/>
              <w:left w:val="nil"/>
              <w:bottom w:val="double" w:sz="6" w:space="0" w:color="auto"/>
              <w:right w:val="double" w:sz="6" w:space="0" w:color="auto"/>
            </w:tcBorders>
            <w:shd w:val="clear" w:color="auto" w:fill="FBD4B4" w:themeFill="accent6" w:themeFillTint="66"/>
            <w:noWrap/>
            <w:vAlign w:val="center"/>
          </w:tcPr>
          <w:p w:rsidR="00A26780" w:rsidRPr="001D7F74" w:rsidRDefault="00A26780" w:rsidP="00D934EF">
            <w:pPr>
              <w:jc w:val="center"/>
              <w:rPr>
                <w:b/>
                <w:sz w:val="20"/>
              </w:rPr>
            </w:pPr>
            <w:r w:rsidRPr="001D7F74">
              <w:rPr>
                <w:b/>
                <w:sz w:val="20"/>
              </w:rPr>
              <w:t>Sep</w:t>
            </w:r>
            <w:r w:rsidR="00F85105">
              <w:rPr>
                <w:b/>
                <w:sz w:val="20"/>
              </w:rPr>
              <w:t>t</w:t>
            </w:r>
            <w:r w:rsidRPr="001D7F74">
              <w:rPr>
                <w:b/>
                <w:sz w:val="20"/>
              </w:rPr>
              <w:t>-12</w:t>
            </w:r>
          </w:p>
        </w:tc>
        <w:tc>
          <w:tcPr>
            <w:tcW w:w="851" w:type="dxa"/>
            <w:vMerge w:val="restart"/>
            <w:tcBorders>
              <w:top w:val="double" w:sz="6" w:space="0" w:color="auto"/>
              <w:left w:val="double" w:sz="6" w:space="0" w:color="auto"/>
              <w:bottom w:val="double" w:sz="6" w:space="0" w:color="auto"/>
              <w:right w:val="double" w:sz="6" w:space="0" w:color="auto"/>
            </w:tcBorders>
            <w:shd w:val="clear" w:color="auto" w:fill="FBD4B4" w:themeFill="accent6" w:themeFillTint="66"/>
            <w:noWrap/>
            <w:vAlign w:val="center"/>
          </w:tcPr>
          <w:p w:rsidR="00A26780" w:rsidRPr="001D7F74" w:rsidRDefault="00A26780" w:rsidP="00D934EF">
            <w:pPr>
              <w:jc w:val="center"/>
              <w:rPr>
                <w:b/>
                <w:sz w:val="20"/>
              </w:rPr>
            </w:pPr>
            <w:r w:rsidRPr="001D7F74">
              <w:rPr>
                <w:b/>
                <w:sz w:val="20"/>
              </w:rPr>
              <w:t>Apr-13</w:t>
            </w:r>
          </w:p>
        </w:tc>
        <w:tc>
          <w:tcPr>
            <w:tcW w:w="1352" w:type="dxa"/>
            <w:gridSpan w:val="3"/>
            <w:tcBorders>
              <w:top w:val="double" w:sz="6" w:space="0" w:color="auto"/>
              <w:left w:val="double" w:sz="6" w:space="0" w:color="auto"/>
              <w:right w:val="double" w:sz="6" w:space="0" w:color="auto"/>
            </w:tcBorders>
            <w:shd w:val="clear" w:color="auto" w:fill="FBD4B4" w:themeFill="accent6" w:themeFillTint="66"/>
            <w:noWrap/>
            <w:vAlign w:val="center"/>
          </w:tcPr>
          <w:p w:rsidR="00A26780" w:rsidRPr="001D7F74" w:rsidRDefault="00A26780" w:rsidP="00D934EF">
            <w:pPr>
              <w:jc w:val="center"/>
              <w:rPr>
                <w:b/>
                <w:sz w:val="20"/>
              </w:rPr>
            </w:pPr>
            <w:r w:rsidRPr="001D7F74">
              <w:rPr>
                <w:b/>
                <w:sz w:val="20"/>
              </w:rPr>
              <w:t>Sep</w:t>
            </w:r>
            <w:r w:rsidR="00F85105">
              <w:rPr>
                <w:b/>
                <w:sz w:val="20"/>
              </w:rPr>
              <w:t>t</w:t>
            </w:r>
            <w:r w:rsidRPr="001D7F74">
              <w:rPr>
                <w:b/>
                <w:sz w:val="20"/>
              </w:rPr>
              <w:t>-13</w:t>
            </w:r>
          </w:p>
        </w:tc>
        <w:tc>
          <w:tcPr>
            <w:tcW w:w="818" w:type="dxa"/>
            <w:vMerge w:val="restart"/>
            <w:tcBorders>
              <w:top w:val="double" w:sz="6" w:space="0" w:color="auto"/>
              <w:left w:val="double" w:sz="6" w:space="0" w:color="auto"/>
              <w:bottom w:val="double" w:sz="6" w:space="0" w:color="auto"/>
              <w:right w:val="double" w:sz="6" w:space="0" w:color="auto"/>
            </w:tcBorders>
            <w:shd w:val="clear" w:color="auto" w:fill="FBD4B4" w:themeFill="accent6" w:themeFillTint="66"/>
            <w:vAlign w:val="center"/>
          </w:tcPr>
          <w:p w:rsidR="00A26780" w:rsidRPr="001D7F74" w:rsidRDefault="00A26780" w:rsidP="00D934EF">
            <w:pPr>
              <w:jc w:val="center"/>
              <w:rPr>
                <w:b/>
                <w:sz w:val="20"/>
              </w:rPr>
            </w:pPr>
            <w:r w:rsidRPr="001D7F74">
              <w:rPr>
                <w:b/>
                <w:sz w:val="20"/>
              </w:rPr>
              <w:t>May-14</w:t>
            </w:r>
          </w:p>
          <w:p w:rsidR="00A26780" w:rsidRPr="001D7F74" w:rsidRDefault="00A26780" w:rsidP="00D934EF">
            <w:pPr>
              <w:jc w:val="center"/>
              <w:rPr>
                <w:b/>
                <w:sz w:val="20"/>
              </w:rPr>
            </w:pPr>
          </w:p>
        </w:tc>
        <w:tc>
          <w:tcPr>
            <w:tcW w:w="1320" w:type="dxa"/>
            <w:gridSpan w:val="3"/>
            <w:tcBorders>
              <w:top w:val="double" w:sz="6" w:space="0" w:color="auto"/>
              <w:left w:val="double" w:sz="6" w:space="0" w:color="auto"/>
              <w:right w:val="double" w:sz="6" w:space="0" w:color="auto"/>
            </w:tcBorders>
            <w:shd w:val="clear" w:color="auto" w:fill="FBD4B4" w:themeFill="accent6" w:themeFillTint="66"/>
            <w:noWrap/>
            <w:vAlign w:val="center"/>
          </w:tcPr>
          <w:p w:rsidR="00A26780" w:rsidRPr="001D7F74" w:rsidRDefault="00A26780" w:rsidP="00D934EF">
            <w:pPr>
              <w:jc w:val="center"/>
              <w:rPr>
                <w:b/>
                <w:sz w:val="20"/>
              </w:rPr>
            </w:pPr>
            <w:r w:rsidRPr="001D7F74">
              <w:rPr>
                <w:b/>
                <w:sz w:val="20"/>
              </w:rPr>
              <w:t>Oct-14</w:t>
            </w:r>
          </w:p>
        </w:tc>
        <w:tc>
          <w:tcPr>
            <w:tcW w:w="839" w:type="dxa"/>
            <w:gridSpan w:val="2"/>
            <w:tcBorders>
              <w:top w:val="double" w:sz="6" w:space="0" w:color="auto"/>
              <w:left w:val="double" w:sz="6" w:space="0" w:color="auto"/>
              <w:right w:val="double" w:sz="6" w:space="0" w:color="auto"/>
            </w:tcBorders>
            <w:shd w:val="clear" w:color="auto" w:fill="FBD4B4" w:themeFill="accent6" w:themeFillTint="66"/>
            <w:noWrap/>
            <w:vAlign w:val="center"/>
          </w:tcPr>
          <w:p w:rsidR="00A26780" w:rsidRPr="001D7F74" w:rsidRDefault="00A26780" w:rsidP="00D934EF">
            <w:pPr>
              <w:jc w:val="center"/>
              <w:rPr>
                <w:b/>
                <w:sz w:val="20"/>
              </w:rPr>
            </w:pPr>
            <w:r w:rsidRPr="001D7F74">
              <w:rPr>
                <w:b/>
                <w:sz w:val="20"/>
              </w:rPr>
              <w:t>May-15</w:t>
            </w:r>
          </w:p>
        </w:tc>
      </w:tr>
      <w:tr w:rsidR="00A26780" w:rsidRPr="001D7F74" w:rsidTr="00D934EF">
        <w:trPr>
          <w:trHeight w:val="270"/>
          <w:jc w:val="center"/>
        </w:trPr>
        <w:tc>
          <w:tcPr>
            <w:tcW w:w="916" w:type="dxa"/>
            <w:tcBorders>
              <w:top w:val="nil"/>
              <w:bottom w:val="nil"/>
              <w:right w:val="nil"/>
            </w:tcBorders>
            <w:shd w:val="clear" w:color="auto" w:fill="auto"/>
            <w:noWrap/>
            <w:vAlign w:val="bottom"/>
          </w:tcPr>
          <w:p w:rsidR="00A26780" w:rsidRPr="001D7F74" w:rsidRDefault="00A26780" w:rsidP="00D934EF">
            <w:pPr>
              <w:pStyle w:val="Tabletext"/>
              <w:jc w:val="center"/>
            </w:pPr>
          </w:p>
        </w:tc>
        <w:tc>
          <w:tcPr>
            <w:tcW w:w="851" w:type="dxa"/>
            <w:vMerge/>
            <w:tcBorders>
              <w:left w:val="double" w:sz="6" w:space="0" w:color="auto"/>
              <w:bottom w:val="double" w:sz="6" w:space="0" w:color="auto"/>
              <w:right w:val="double" w:sz="6" w:space="0" w:color="auto"/>
            </w:tcBorders>
            <w:shd w:val="clear" w:color="auto" w:fill="FBD4B4" w:themeFill="accent6" w:themeFillTint="66"/>
            <w:noWrap/>
            <w:vAlign w:val="center"/>
          </w:tcPr>
          <w:p w:rsidR="00A26780" w:rsidRPr="001D7F74" w:rsidRDefault="00A26780" w:rsidP="00D934EF">
            <w:pPr>
              <w:jc w:val="center"/>
              <w:rPr>
                <w:b/>
                <w:sz w:val="20"/>
              </w:rPr>
            </w:pPr>
          </w:p>
        </w:tc>
        <w:tc>
          <w:tcPr>
            <w:tcW w:w="850" w:type="dxa"/>
            <w:vMerge/>
            <w:tcBorders>
              <w:left w:val="nil"/>
              <w:bottom w:val="double" w:sz="6" w:space="0" w:color="auto"/>
              <w:right w:val="double" w:sz="6" w:space="0" w:color="auto"/>
            </w:tcBorders>
            <w:shd w:val="clear" w:color="auto" w:fill="FBD4B4" w:themeFill="accent6" w:themeFillTint="66"/>
            <w:noWrap/>
            <w:vAlign w:val="center"/>
          </w:tcPr>
          <w:p w:rsidR="00A26780" w:rsidRPr="001D7F74" w:rsidRDefault="00A26780" w:rsidP="00D934EF">
            <w:pPr>
              <w:jc w:val="center"/>
              <w:rPr>
                <w:b/>
                <w:sz w:val="20"/>
              </w:rPr>
            </w:pPr>
          </w:p>
        </w:tc>
        <w:tc>
          <w:tcPr>
            <w:tcW w:w="851" w:type="dxa"/>
            <w:vMerge/>
            <w:tcBorders>
              <w:left w:val="double" w:sz="6" w:space="0" w:color="auto"/>
              <w:bottom w:val="double" w:sz="6" w:space="0" w:color="auto"/>
              <w:right w:val="double" w:sz="6" w:space="0" w:color="auto"/>
            </w:tcBorders>
            <w:shd w:val="clear" w:color="auto" w:fill="FBD4B4" w:themeFill="accent6" w:themeFillTint="66"/>
            <w:noWrap/>
            <w:vAlign w:val="center"/>
          </w:tcPr>
          <w:p w:rsidR="00A26780" w:rsidRPr="001D7F74" w:rsidRDefault="00A26780" w:rsidP="00D934EF">
            <w:pPr>
              <w:jc w:val="center"/>
              <w:rPr>
                <w:b/>
                <w:sz w:val="20"/>
              </w:rPr>
            </w:pPr>
          </w:p>
        </w:tc>
        <w:tc>
          <w:tcPr>
            <w:tcW w:w="440" w:type="dxa"/>
            <w:tcBorders>
              <w:top w:val="nil"/>
              <w:left w:val="double" w:sz="6" w:space="0" w:color="auto"/>
              <w:bottom w:val="double" w:sz="6" w:space="0" w:color="auto"/>
            </w:tcBorders>
            <w:shd w:val="clear" w:color="auto" w:fill="FBD4B4" w:themeFill="accent6" w:themeFillTint="66"/>
            <w:noWrap/>
            <w:vAlign w:val="center"/>
          </w:tcPr>
          <w:p w:rsidR="00A26780" w:rsidRPr="001D7F74" w:rsidRDefault="00A26780" w:rsidP="00D934EF">
            <w:pPr>
              <w:jc w:val="center"/>
              <w:rPr>
                <w:b/>
                <w:sz w:val="20"/>
              </w:rPr>
            </w:pPr>
            <w:r w:rsidRPr="001D7F74">
              <w:rPr>
                <w:b/>
                <w:sz w:val="20"/>
              </w:rPr>
              <w:t>SG</w:t>
            </w:r>
          </w:p>
        </w:tc>
        <w:tc>
          <w:tcPr>
            <w:tcW w:w="516" w:type="dxa"/>
            <w:tcBorders>
              <w:top w:val="nil"/>
              <w:bottom w:val="double" w:sz="6" w:space="0" w:color="auto"/>
            </w:tcBorders>
            <w:shd w:val="clear" w:color="auto" w:fill="FBD4B4" w:themeFill="accent6" w:themeFillTint="66"/>
            <w:vAlign w:val="center"/>
          </w:tcPr>
          <w:p w:rsidR="00A26780" w:rsidRPr="001D7F74" w:rsidRDefault="00A26780" w:rsidP="00D934EF">
            <w:pPr>
              <w:jc w:val="center"/>
              <w:rPr>
                <w:b/>
                <w:sz w:val="20"/>
              </w:rPr>
            </w:pPr>
            <w:r w:rsidRPr="001D7F74">
              <w:rPr>
                <w:b/>
                <w:sz w:val="20"/>
              </w:rPr>
              <w:t>WP</w:t>
            </w:r>
          </w:p>
        </w:tc>
        <w:tc>
          <w:tcPr>
            <w:tcW w:w="396" w:type="dxa"/>
            <w:tcBorders>
              <w:top w:val="nil"/>
              <w:bottom w:val="double" w:sz="6" w:space="0" w:color="auto"/>
              <w:right w:val="double" w:sz="6" w:space="0" w:color="auto"/>
            </w:tcBorders>
            <w:shd w:val="clear" w:color="auto" w:fill="FBD4B4" w:themeFill="accent6" w:themeFillTint="66"/>
            <w:noWrap/>
            <w:vAlign w:val="center"/>
          </w:tcPr>
          <w:p w:rsidR="00A26780" w:rsidRPr="001D7F74" w:rsidRDefault="00A26780" w:rsidP="00D934EF">
            <w:pPr>
              <w:jc w:val="center"/>
              <w:rPr>
                <w:b/>
                <w:sz w:val="20"/>
              </w:rPr>
            </w:pPr>
            <w:r w:rsidRPr="001D7F74">
              <w:rPr>
                <w:b/>
                <w:sz w:val="20"/>
              </w:rPr>
              <w:t>SG</w:t>
            </w:r>
          </w:p>
        </w:tc>
        <w:tc>
          <w:tcPr>
            <w:tcW w:w="818" w:type="dxa"/>
            <w:vMerge/>
            <w:tcBorders>
              <w:left w:val="double" w:sz="6" w:space="0" w:color="auto"/>
              <w:bottom w:val="double" w:sz="6" w:space="0" w:color="auto"/>
              <w:right w:val="double" w:sz="6" w:space="0" w:color="auto"/>
            </w:tcBorders>
            <w:shd w:val="clear" w:color="auto" w:fill="FBD4B4" w:themeFill="accent6" w:themeFillTint="66"/>
            <w:vAlign w:val="center"/>
          </w:tcPr>
          <w:p w:rsidR="00A26780" w:rsidRPr="001D7F74" w:rsidRDefault="00A26780" w:rsidP="00D934EF">
            <w:pPr>
              <w:jc w:val="center"/>
              <w:rPr>
                <w:b/>
                <w:sz w:val="20"/>
              </w:rPr>
            </w:pPr>
          </w:p>
        </w:tc>
        <w:tc>
          <w:tcPr>
            <w:tcW w:w="440" w:type="dxa"/>
            <w:tcBorders>
              <w:top w:val="nil"/>
              <w:left w:val="double" w:sz="6" w:space="0" w:color="auto"/>
              <w:bottom w:val="double" w:sz="6" w:space="0" w:color="auto"/>
            </w:tcBorders>
            <w:shd w:val="clear" w:color="auto" w:fill="FBD4B4" w:themeFill="accent6" w:themeFillTint="66"/>
            <w:noWrap/>
            <w:vAlign w:val="center"/>
          </w:tcPr>
          <w:p w:rsidR="00A26780" w:rsidRPr="001D7F74" w:rsidRDefault="00A26780" w:rsidP="00D934EF">
            <w:pPr>
              <w:jc w:val="center"/>
              <w:rPr>
                <w:b/>
                <w:sz w:val="20"/>
              </w:rPr>
            </w:pPr>
            <w:r w:rsidRPr="001D7F74">
              <w:rPr>
                <w:b/>
                <w:sz w:val="20"/>
              </w:rPr>
              <w:t>SG</w:t>
            </w:r>
          </w:p>
        </w:tc>
        <w:tc>
          <w:tcPr>
            <w:tcW w:w="440" w:type="dxa"/>
            <w:tcBorders>
              <w:top w:val="nil"/>
              <w:bottom w:val="double" w:sz="6" w:space="0" w:color="auto"/>
            </w:tcBorders>
            <w:shd w:val="clear" w:color="auto" w:fill="FBD4B4" w:themeFill="accent6" w:themeFillTint="66"/>
            <w:vAlign w:val="center"/>
          </w:tcPr>
          <w:p w:rsidR="00A26780" w:rsidRPr="001D7F74" w:rsidRDefault="00A26780" w:rsidP="00D934EF">
            <w:pPr>
              <w:jc w:val="center"/>
              <w:rPr>
                <w:b/>
                <w:sz w:val="20"/>
              </w:rPr>
            </w:pPr>
            <w:r w:rsidRPr="001D7F74">
              <w:rPr>
                <w:b/>
                <w:sz w:val="20"/>
              </w:rPr>
              <w:t>WP</w:t>
            </w:r>
          </w:p>
        </w:tc>
        <w:tc>
          <w:tcPr>
            <w:tcW w:w="440" w:type="dxa"/>
            <w:tcBorders>
              <w:top w:val="nil"/>
              <w:bottom w:val="double" w:sz="6" w:space="0" w:color="auto"/>
              <w:right w:val="double" w:sz="6" w:space="0" w:color="auto"/>
            </w:tcBorders>
            <w:shd w:val="clear" w:color="auto" w:fill="FBD4B4" w:themeFill="accent6" w:themeFillTint="66"/>
            <w:noWrap/>
            <w:vAlign w:val="center"/>
          </w:tcPr>
          <w:p w:rsidR="00A26780" w:rsidRPr="001D7F74" w:rsidRDefault="00A26780" w:rsidP="00D934EF">
            <w:pPr>
              <w:jc w:val="center"/>
              <w:rPr>
                <w:b/>
                <w:sz w:val="20"/>
              </w:rPr>
            </w:pPr>
            <w:r w:rsidRPr="001D7F74">
              <w:rPr>
                <w:b/>
                <w:sz w:val="20"/>
              </w:rPr>
              <w:t>SG</w:t>
            </w:r>
          </w:p>
        </w:tc>
        <w:tc>
          <w:tcPr>
            <w:tcW w:w="440" w:type="dxa"/>
            <w:tcBorders>
              <w:top w:val="nil"/>
              <w:left w:val="double" w:sz="6" w:space="0" w:color="auto"/>
              <w:bottom w:val="double" w:sz="6" w:space="0" w:color="auto"/>
            </w:tcBorders>
            <w:shd w:val="clear" w:color="auto" w:fill="FBD4B4" w:themeFill="accent6" w:themeFillTint="66"/>
            <w:noWrap/>
            <w:vAlign w:val="center"/>
          </w:tcPr>
          <w:p w:rsidR="00A26780" w:rsidRPr="001D7F74" w:rsidRDefault="00A26780" w:rsidP="00D934EF">
            <w:pPr>
              <w:jc w:val="center"/>
              <w:rPr>
                <w:b/>
                <w:sz w:val="20"/>
              </w:rPr>
            </w:pPr>
            <w:r w:rsidRPr="001D7F74">
              <w:rPr>
                <w:b/>
                <w:sz w:val="20"/>
              </w:rPr>
              <w:t>WP</w:t>
            </w:r>
          </w:p>
        </w:tc>
        <w:tc>
          <w:tcPr>
            <w:tcW w:w="399" w:type="dxa"/>
            <w:tcBorders>
              <w:top w:val="nil"/>
              <w:bottom w:val="double" w:sz="6" w:space="0" w:color="auto"/>
              <w:right w:val="double" w:sz="6" w:space="0" w:color="auto"/>
            </w:tcBorders>
            <w:shd w:val="clear" w:color="auto" w:fill="FBD4B4" w:themeFill="accent6" w:themeFillTint="66"/>
            <w:noWrap/>
            <w:vAlign w:val="center"/>
          </w:tcPr>
          <w:p w:rsidR="00A26780" w:rsidRPr="001D7F74" w:rsidRDefault="00A26780" w:rsidP="00D934EF">
            <w:pPr>
              <w:jc w:val="center"/>
              <w:rPr>
                <w:b/>
                <w:sz w:val="20"/>
              </w:rPr>
            </w:pPr>
            <w:r w:rsidRPr="001D7F74">
              <w:rPr>
                <w:b/>
                <w:sz w:val="20"/>
              </w:rPr>
              <w:t>SG</w:t>
            </w:r>
          </w:p>
        </w:tc>
      </w:tr>
      <w:tr w:rsidR="00A26780" w:rsidRPr="001D7F74" w:rsidTr="00D934EF">
        <w:trPr>
          <w:trHeight w:val="270"/>
          <w:jc w:val="center"/>
        </w:trPr>
        <w:tc>
          <w:tcPr>
            <w:tcW w:w="916" w:type="dxa"/>
            <w:tcBorders>
              <w:top w:val="nil"/>
              <w:bottom w:val="nil"/>
              <w:right w:val="nil"/>
            </w:tcBorders>
            <w:shd w:val="clear" w:color="auto" w:fill="auto"/>
            <w:noWrap/>
            <w:vAlign w:val="bottom"/>
          </w:tcPr>
          <w:p w:rsidR="00A26780" w:rsidRPr="001D7F74" w:rsidRDefault="00A26780" w:rsidP="00D934EF">
            <w:pPr>
              <w:pStyle w:val="Tabletext"/>
              <w:jc w:val="center"/>
            </w:pPr>
            <w:r w:rsidRPr="001D7F74">
              <w:t>SG 7</w:t>
            </w:r>
          </w:p>
        </w:tc>
        <w:tc>
          <w:tcPr>
            <w:tcW w:w="851" w:type="dxa"/>
            <w:tcBorders>
              <w:top w:val="double" w:sz="6" w:space="0" w:color="auto"/>
              <w:left w:val="double" w:sz="6" w:space="0" w:color="auto"/>
              <w:bottom w:val="single" w:sz="4" w:space="0" w:color="auto"/>
              <w:right w:val="double" w:sz="6" w:space="0" w:color="auto"/>
            </w:tcBorders>
            <w:shd w:val="clear" w:color="auto" w:fill="00FF00"/>
            <w:noWrap/>
            <w:vAlign w:val="center"/>
          </w:tcPr>
          <w:p w:rsidR="00A26780" w:rsidRPr="001D7F74" w:rsidRDefault="00A26780" w:rsidP="00D934EF">
            <w:pPr>
              <w:jc w:val="center"/>
            </w:pPr>
          </w:p>
        </w:tc>
        <w:tc>
          <w:tcPr>
            <w:tcW w:w="850" w:type="dxa"/>
            <w:tcBorders>
              <w:top w:val="double" w:sz="6" w:space="0" w:color="auto"/>
              <w:left w:val="nil"/>
              <w:bottom w:val="single" w:sz="4" w:space="0" w:color="auto"/>
              <w:right w:val="double" w:sz="6" w:space="0" w:color="auto"/>
            </w:tcBorders>
            <w:shd w:val="clear" w:color="auto" w:fill="FFFF99"/>
            <w:noWrap/>
            <w:vAlign w:val="center"/>
          </w:tcPr>
          <w:p w:rsidR="00A26780" w:rsidRPr="001D7F74" w:rsidRDefault="00A26780" w:rsidP="00D934EF">
            <w:pPr>
              <w:jc w:val="center"/>
            </w:pPr>
          </w:p>
        </w:tc>
        <w:tc>
          <w:tcPr>
            <w:tcW w:w="851" w:type="dxa"/>
            <w:tcBorders>
              <w:top w:val="double" w:sz="6" w:space="0" w:color="auto"/>
              <w:left w:val="double" w:sz="6" w:space="0" w:color="auto"/>
              <w:bottom w:val="single" w:sz="4" w:space="0" w:color="auto"/>
              <w:right w:val="double" w:sz="6" w:space="0" w:color="auto"/>
            </w:tcBorders>
            <w:shd w:val="clear" w:color="auto" w:fill="FFFF99"/>
            <w:noWrap/>
            <w:vAlign w:val="center"/>
          </w:tcPr>
          <w:p w:rsidR="00A26780" w:rsidRPr="001D7F74" w:rsidRDefault="00A26780" w:rsidP="00D934EF">
            <w:pPr>
              <w:jc w:val="center"/>
            </w:pPr>
          </w:p>
        </w:tc>
        <w:tc>
          <w:tcPr>
            <w:tcW w:w="440" w:type="dxa"/>
            <w:tcBorders>
              <w:top w:val="double" w:sz="6" w:space="0" w:color="auto"/>
              <w:left w:val="double" w:sz="6" w:space="0" w:color="auto"/>
              <w:bottom w:val="single" w:sz="4" w:space="0" w:color="auto"/>
              <w:right w:val="single" w:sz="4" w:space="0" w:color="auto"/>
            </w:tcBorders>
            <w:shd w:val="clear" w:color="auto" w:fill="00FF00"/>
            <w:noWrap/>
            <w:vAlign w:val="center"/>
          </w:tcPr>
          <w:p w:rsidR="00A26780" w:rsidRPr="001D7F74" w:rsidRDefault="00A26780" w:rsidP="00D934EF">
            <w:pPr>
              <w:jc w:val="center"/>
            </w:pPr>
          </w:p>
        </w:tc>
        <w:tc>
          <w:tcPr>
            <w:tcW w:w="516" w:type="dxa"/>
            <w:tcBorders>
              <w:top w:val="double" w:sz="6" w:space="0" w:color="auto"/>
              <w:left w:val="single" w:sz="4" w:space="0" w:color="auto"/>
              <w:bottom w:val="single" w:sz="4" w:space="0" w:color="auto"/>
              <w:right w:val="single" w:sz="4" w:space="0" w:color="auto"/>
            </w:tcBorders>
            <w:shd w:val="clear" w:color="auto" w:fill="FFFF99"/>
            <w:vAlign w:val="center"/>
          </w:tcPr>
          <w:p w:rsidR="00A26780" w:rsidRPr="001D7F74" w:rsidRDefault="00A26780" w:rsidP="00D934EF">
            <w:pPr>
              <w:jc w:val="center"/>
            </w:pPr>
          </w:p>
        </w:tc>
        <w:tc>
          <w:tcPr>
            <w:tcW w:w="396" w:type="dxa"/>
            <w:tcBorders>
              <w:top w:val="double" w:sz="6" w:space="0" w:color="auto"/>
              <w:left w:val="single" w:sz="4" w:space="0" w:color="auto"/>
              <w:bottom w:val="single" w:sz="4" w:space="0" w:color="auto"/>
              <w:right w:val="double" w:sz="6" w:space="0" w:color="auto"/>
            </w:tcBorders>
            <w:shd w:val="clear" w:color="auto" w:fill="00FF00"/>
            <w:noWrap/>
            <w:vAlign w:val="center"/>
          </w:tcPr>
          <w:p w:rsidR="00A26780" w:rsidRPr="001D7F74" w:rsidRDefault="00A26780" w:rsidP="00D934EF">
            <w:pPr>
              <w:jc w:val="center"/>
            </w:pPr>
          </w:p>
        </w:tc>
        <w:tc>
          <w:tcPr>
            <w:tcW w:w="818" w:type="dxa"/>
            <w:tcBorders>
              <w:top w:val="double" w:sz="6" w:space="0" w:color="auto"/>
              <w:left w:val="double" w:sz="6" w:space="0" w:color="auto"/>
              <w:bottom w:val="single" w:sz="4" w:space="0" w:color="auto"/>
              <w:right w:val="double" w:sz="6" w:space="0" w:color="auto"/>
            </w:tcBorders>
            <w:shd w:val="clear" w:color="auto" w:fill="FFFF99"/>
            <w:vAlign w:val="center"/>
          </w:tcPr>
          <w:p w:rsidR="00A26780" w:rsidRPr="001D7F74" w:rsidRDefault="00A26780" w:rsidP="00D934EF">
            <w:pPr>
              <w:jc w:val="center"/>
            </w:pPr>
          </w:p>
        </w:tc>
        <w:tc>
          <w:tcPr>
            <w:tcW w:w="440" w:type="dxa"/>
            <w:tcBorders>
              <w:top w:val="double" w:sz="6" w:space="0" w:color="auto"/>
              <w:left w:val="double" w:sz="6" w:space="0" w:color="auto"/>
              <w:bottom w:val="single" w:sz="4" w:space="0" w:color="auto"/>
              <w:right w:val="single" w:sz="4" w:space="0" w:color="auto"/>
            </w:tcBorders>
            <w:shd w:val="clear" w:color="auto" w:fill="00FF00"/>
            <w:noWrap/>
            <w:vAlign w:val="center"/>
          </w:tcPr>
          <w:p w:rsidR="00A26780" w:rsidRPr="001D7F74" w:rsidRDefault="00A26780" w:rsidP="00D934EF">
            <w:pPr>
              <w:jc w:val="center"/>
            </w:pPr>
          </w:p>
        </w:tc>
        <w:tc>
          <w:tcPr>
            <w:tcW w:w="440" w:type="dxa"/>
            <w:tcBorders>
              <w:top w:val="double" w:sz="6" w:space="0" w:color="auto"/>
              <w:left w:val="single" w:sz="4" w:space="0" w:color="auto"/>
              <w:bottom w:val="single" w:sz="4" w:space="0" w:color="auto"/>
              <w:right w:val="single" w:sz="4" w:space="0" w:color="auto"/>
            </w:tcBorders>
            <w:shd w:val="clear" w:color="auto" w:fill="FFFF99"/>
            <w:vAlign w:val="center"/>
          </w:tcPr>
          <w:p w:rsidR="00A26780" w:rsidRPr="001D7F74" w:rsidRDefault="00A26780" w:rsidP="00D934EF">
            <w:pPr>
              <w:jc w:val="center"/>
            </w:pPr>
          </w:p>
        </w:tc>
        <w:tc>
          <w:tcPr>
            <w:tcW w:w="440" w:type="dxa"/>
            <w:tcBorders>
              <w:top w:val="double" w:sz="6" w:space="0" w:color="auto"/>
              <w:left w:val="single" w:sz="4" w:space="0" w:color="auto"/>
              <w:bottom w:val="single" w:sz="4" w:space="0" w:color="auto"/>
              <w:right w:val="double" w:sz="6" w:space="0" w:color="auto"/>
            </w:tcBorders>
            <w:shd w:val="clear" w:color="auto" w:fill="00FF00"/>
            <w:noWrap/>
            <w:vAlign w:val="center"/>
          </w:tcPr>
          <w:p w:rsidR="00A26780" w:rsidRPr="001D7F74" w:rsidRDefault="00A26780" w:rsidP="00D934EF">
            <w:pPr>
              <w:jc w:val="center"/>
            </w:pPr>
          </w:p>
        </w:tc>
        <w:tc>
          <w:tcPr>
            <w:tcW w:w="440" w:type="dxa"/>
            <w:tcBorders>
              <w:top w:val="double" w:sz="6" w:space="0" w:color="auto"/>
              <w:left w:val="double" w:sz="6" w:space="0" w:color="auto"/>
              <w:bottom w:val="single" w:sz="4" w:space="0" w:color="auto"/>
              <w:right w:val="single" w:sz="4" w:space="0" w:color="auto"/>
            </w:tcBorders>
            <w:shd w:val="clear" w:color="auto" w:fill="FFFF99"/>
            <w:noWrap/>
            <w:vAlign w:val="center"/>
          </w:tcPr>
          <w:p w:rsidR="00A26780" w:rsidRPr="001D7F74" w:rsidRDefault="00A26780" w:rsidP="00D934EF">
            <w:pPr>
              <w:jc w:val="center"/>
            </w:pPr>
          </w:p>
        </w:tc>
        <w:tc>
          <w:tcPr>
            <w:tcW w:w="399" w:type="dxa"/>
            <w:tcBorders>
              <w:top w:val="double" w:sz="6" w:space="0" w:color="auto"/>
              <w:left w:val="nil"/>
              <w:bottom w:val="single" w:sz="4" w:space="0" w:color="auto"/>
              <w:right w:val="double" w:sz="6" w:space="0" w:color="auto"/>
            </w:tcBorders>
            <w:shd w:val="clear" w:color="auto" w:fill="00FF00"/>
            <w:noWrap/>
            <w:vAlign w:val="center"/>
          </w:tcPr>
          <w:p w:rsidR="00A26780" w:rsidRPr="001D7F74" w:rsidRDefault="00A26780" w:rsidP="00D934EF">
            <w:pPr>
              <w:jc w:val="center"/>
            </w:pPr>
          </w:p>
        </w:tc>
      </w:tr>
      <w:tr w:rsidR="00A26780" w:rsidRPr="001D7F74" w:rsidTr="00D934EF">
        <w:trPr>
          <w:trHeight w:val="255"/>
          <w:jc w:val="center"/>
        </w:trPr>
        <w:tc>
          <w:tcPr>
            <w:tcW w:w="916" w:type="dxa"/>
            <w:tcBorders>
              <w:top w:val="nil"/>
              <w:bottom w:val="nil"/>
              <w:right w:val="nil"/>
            </w:tcBorders>
            <w:shd w:val="clear" w:color="auto" w:fill="auto"/>
            <w:noWrap/>
            <w:vAlign w:val="bottom"/>
          </w:tcPr>
          <w:p w:rsidR="00A26780" w:rsidRPr="001D7F74" w:rsidRDefault="00A26780" w:rsidP="00D934EF">
            <w:pPr>
              <w:pStyle w:val="Tabletext"/>
              <w:jc w:val="center"/>
            </w:pPr>
            <w:r w:rsidRPr="001D7F74">
              <w:t>WP 7A</w:t>
            </w:r>
          </w:p>
        </w:tc>
        <w:tc>
          <w:tcPr>
            <w:tcW w:w="851" w:type="dxa"/>
            <w:tcBorders>
              <w:top w:val="single" w:sz="4" w:space="0" w:color="auto"/>
              <w:left w:val="double" w:sz="6" w:space="0" w:color="auto"/>
              <w:bottom w:val="single" w:sz="4" w:space="0" w:color="auto"/>
              <w:right w:val="double" w:sz="6" w:space="0" w:color="auto"/>
            </w:tcBorders>
            <w:shd w:val="clear" w:color="auto" w:fill="FFFF99"/>
            <w:noWrap/>
            <w:vAlign w:val="center"/>
          </w:tcPr>
          <w:p w:rsidR="00A26780" w:rsidRPr="001D7F74" w:rsidRDefault="00A26780" w:rsidP="00D934EF">
            <w:pPr>
              <w:jc w:val="center"/>
            </w:pPr>
          </w:p>
        </w:tc>
        <w:tc>
          <w:tcPr>
            <w:tcW w:w="850" w:type="dxa"/>
            <w:tcBorders>
              <w:top w:val="single" w:sz="4" w:space="0" w:color="auto"/>
              <w:left w:val="nil"/>
              <w:bottom w:val="single" w:sz="4" w:space="0" w:color="auto"/>
              <w:right w:val="double" w:sz="6" w:space="0" w:color="auto"/>
            </w:tcBorders>
            <w:shd w:val="clear" w:color="auto" w:fill="00FF00"/>
            <w:noWrap/>
            <w:vAlign w:val="center"/>
          </w:tcPr>
          <w:p w:rsidR="00A26780" w:rsidRPr="001D7F74" w:rsidRDefault="00A26780" w:rsidP="00D934EF">
            <w:pPr>
              <w:jc w:val="center"/>
            </w:pPr>
          </w:p>
        </w:tc>
        <w:tc>
          <w:tcPr>
            <w:tcW w:w="851" w:type="dxa"/>
            <w:tcBorders>
              <w:top w:val="single" w:sz="4" w:space="0" w:color="auto"/>
              <w:left w:val="double" w:sz="6" w:space="0" w:color="auto"/>
              <w:bottom w:val="single" w:sz="4" w:space="0" w:color="auto"/>
              <w:right w:val="double" w:sz="6" w:space="0" w:color="auto"/>
            </w:tcBorders>
            <w:shd w:val="clear" w:color="auto" w:fill="00FF00"/>
            <w:vAlign w:val="center"/>
          </w:tcPr>
          <w:p w:rsidR="00A26780" w:rsidRPr="001D7F74" w:rsidRDefault="00A26780" w:rsidP="00D934EF">
            <w:pPr>
              <w:jc w:val="center"/>
            </w:pPr>
          </w:p>
        </w:tc>
        <w:tc>
          <w:tcPr>
            <w:tcW w:w="440" w:type="dxa"/>
            <w:tcBorders>
              <w:top w:val="single" w:sz="4" w:space="0" w:color="auto"/>
              <w:left w:val="double" w:sz="6" w:space="0" w:color="auto"/>
              <w:bottom w:val="single" w:sz="4" w:space="0" w:color="auto"/>
              <w:right w:val="single" w:sz="4" w:space="0" w:color="auto"/>
            </w:tcBorders>
            <w:shd w:val="clear" w:color="auto" w:fill="FFFF99"/>
            <w:noWrap/>
            <w:vAlign w:val="center"/>
          </w:tcPr>
          <w:p w:rsidR="00A26780" w:rsidRPr="001D7F74" w:rsidRDefault="00A26780" w:rsidP="00D934EF">
            <w:pPr>
              <w:jc w:val="center"/>
            </w:pPr>
          </w:p>
        </w:tc>
        <w:tc>
          <w:tcPr>
            <w:tcW w:w="516" w:type="dxa"/>
            <w:tcBorders>
              <w:top w:val="single" w:sz="4" w:space="0" w:color="auto"/>
              <w:left w:val="single" w:sz="4" w:space="0" w:color="auto"/>
              <w:bottom w:val="single" w:sz="4" w:space="0" w:color="auto"/>
              <w:right w:val="single" w:sz="4" w:space="0" w:color="auto"/>
            </w:tcBorders>
            <w:shd w:val="clear" w:color="auto" w:fill="00FF00"/>
            <w:vAlign w:val="center"/>
          </w:tcPr>
          <w:p w:rsidR="00A26780" w:rsidRPr="001D7F74" w:rsidRDefault="00A26780" w:rsidP="00D934EF">
            <w:pPr>
              <w:jc w:val="center"/>
            </w:pPr>
          </w:p>
        </w:tc>
        <w:tc>
          <w:tcPr>
            <w:tcW w:w="396" w:type="dxa"/>
            <w:tcBorders>
              <w:top w:val="single" w:sz="4" w:space="0" w:color="auto"/>
              <w:left w:val="single" w:sz="4" w:space="0" w:color="auto"/>
              <w:bottom w:val="single" w:sz="4" w:space="0" w:color="auto"/>
              <w:right w:val="double" w:sz="6" w:space="0" w:color="auto"/>
            </w:tcBorders>
            <w:shd w:val="clear" w:color="auto" w:fill="FFFF99"/>
            <w:noWrap/>
            <w:vAlign w:val="center"/>
          </w:tcPr>
          <w:p w:rsidR="00A26780" w:rsidRPr="001D7F74" w:rsidRDefault="00A26780" w:rsidP="00D934EF">
            <w:pPr>
              <w:jc w:val="center"/>
            </w:pPr>
          </w:p>
        </w:tc>
        <w:tc>
          <w:tcPr>
            <w:tcW w:w="818" w:type="dxa"/>
            <w:tcBorders>
              <w:top w:val="single" w:sz="4" w:space="0" w:color="auto"/>
              <w:left w:val="double" w:sz="6" w:space="0" w:color="auto"/>
              <w:bottom w:val="single" w:sz="4" w:space="0" w:color="auto"/>
              <w:right w:val="double" w:sz="6" w:space="0" w:color="auto"/>
            </w:tcBorders>
            <w:shd w:val="clear" w:color="auto" w:fill="00FF00"/>
            <w:noWrap/>
            <w:vAlign w:val="center"/>
          </w:tcPr>
          <w:p w:rsidR="00A26780" w:rsidRPr="001D7F74" w:rsidRDefault="00A26780" w:rsidP="00D934EF">
            <w:pPr>
              <w:jc w:val="center"/>
            </w:pPr>
          </w:p>
        </w:tc>
        <w:tc>
          <w:tcPr>
            <w:tcW w:w="440" w:type="dxa"/>
            <w:tcBorders>
              <w:top w:val="single" w:sz="4" w:space="0" w:color="auto"/>
              <w:left w:val="double" w:sz="6" w:space="0" w:color="auto"/>
              <w:bottom w:val="single" w:sz="4" w:space="0" w:color="auto"/>
              <w:right w:val="single" w:sz="4" w:space="0" w:color="auto"/>
            </w:tcBorders>
            <w:shd w:val="clear" w:color="auto" w:fill="FFFF99"/>
            <w:noWrap/>
            <w:vAlign w:val="center"/>
          </w:tcPr>
          <w:p w:rsidR="00A26780" w:rsidRPr="001D7F74" w:rsidRDefault="00A26780" w:rsidP="00D934EF">
            <w:pPr>
              <w:jc w:val="center"/>
            </w:pPr>
          </w:p>
        </w:tc>
        <w:tc>
          <w:tcPr>
            <w:tcW w:w="440" w:type="dxa"/>
            <w:tcBorders>
              <w:top w:val="single" w:sz="4" w:space="0" w:color="auto"/>
              <w:left w:val="single" w:sz="4" w:space="0" w:color="auto"/>
              <w:bottom w:val="single" w:sz="4" w:space="0" w:color="auto"/>
              <w:right w:val="single" w:sz="4" w:space="0" w:color="auto"/>
            </w:tcBorders>
            <w:shd w:val="clear" w:color="auto" w:fill="00FF00"/>
            <w:noWrap/>
            <w:vAlign w:val="center"/>
          </w:tcPr>
          <w:p w:rsidR="00A26780" w:rsidRPr="001D7F74" w:rsidRDefault="00A26780" w:rsidP="00D934EF">
            <w:pPr>
              <w:jc w:val="center"/>
            </w:pPr>
          </w:p>
        </w:tc>
        <w:tc>
          <w:tcPr>
            <w:tcW w:w="440" w:type="dxa"/>
            <w:tcBorders>
              <w:top w:val="single" w:sz="4" w:space="0" w:color="auto"/>
              <w:left w:val="single" w:sz="4" w:space="0" w:color="auto"/>
              <w:bottom w:val="single" w:sz="4" w:space="0" w:color="auto"/>
              <w:right w:val="double" w:sz="6" w:space="0" w:color="auto"/>
            </w:tcBorders>
            <w:shd w:val="clear" w:color="auto" w:fill="FFFF99"/>
            <w:noWrap/>
            <w:vAlign w:val="center"/>
          </w:tcPr>
          <w:p w:rsidR="00A26780" w:rsidRPr="001D7F74" w:rsidRDefault="00A26780" w:rsidP="00D934EF">
            <w:pPr>
              <w:jc w:val="center"/>
            </w:pPr>
          </w:p>
        </w:tc>
        <w:tc>
          <w:tcPr>
            <w:tcW w:w="440" w:type="dxa"/>
            <w:tcBorders>
              <w:top w:val="single" w:sz="4" w:space="0" w:color="auto"/>
              <w:left w:val="double" w:sz="6" w:space="0" w:color="auto"/>
              <w:bottom w:val="single" w:sz="4" w:space="0" w:color="auto"/>
              <w:right w:val="single" w:sz="4" w:space="0" w:color="auto"/>
            </w:tcBorders>
            <w:shd w:val="clear" w:color="auto" w:fill="00FF00"/>
            <w:noWrap/>
            <w:vAlign w:val="center"/>
          </w:tcPr>
          <w:p w:rsidR="00A26780" w:rsidRPr="001D7F74" w:rsidRDefault="00A26780" w:rsidP="00D934EF">
            <w:pPr>
              <w:jc w:val="center"/>
            </w:pPr>
          </w:p>
        </w:tc>
        <w:tc>
          <w:tcPr>
            <w:tcW w:w="399" w:type="dxa"/>
            <w:tcBorders>
              <w:top w:val="single" w:sz="4" w:space="0" w:color="auto"/>
              <w:left w:val="nil"/>
              <w:bottom w:val="single" w:sz="4" w:space="0" w:color="auto"/>
              <w:right w:val="double" w:sz="6" w:space="0" w:color="auto"/>
            </w:tcBorders>
            <w:shd w:val="clear" w:color="auto" w:fill="FFFF99"/>
            <w:noWrap/>
            <w:vAlign w:val="center"/>
          </w:tcPr>
          <w:p w:rsidR="00A26780" w:rsidRPr="001D7F74" w:rsidRDefault="00A26780" w:rsidP="00D934EF">
            <w:pPr>
              <w:jc w:val="center"/>
            </w:pPr>
          </w:p>
        </w:tc>
      </w:tr>
      <w:tr w:rsidR="00A26780" w:rsidRPr="001D7F74" w:rsidTr="00D934EF">
        <w:trPr>
          <w:trHeight w:val="255"/>
          <w:jc w:val="center"/>
        </w:trPr>
        <w:tc>
          <w:tcPr>
            <w:tcW w:w="916" w:type="dxa"/>
            <w:tcBorders>
              <w:top w:val="nil"/>
              <w:bottom w:val="nil"/>
              <w:right w:val="nil"/>
            </w:tcBorders>
            <w:shd w:val="clear" w:color="auto" w:fill="auto"/>
            <w:noWrap/>
            <w:vAlign w:val="bottom"/>
          </w:tcPr>
          <w:p w:rsidR="00A26780" w:rsidRPr="001D7F74" w:rsidRDefault="00A26780" w:rsidP="00D934EF">
            <w:pPr>
              <w:pStyle w:val="Tabletext"/>
              <w:jc w:val="center"/>
            </w:pPr>
            <w:r w:rsidRPr="001D7F74">
              <w:t>WP 7B</w:t>
            </w:r>
          </w:p>
        </w:tc>
        <w:tc>
          <w:tcPr>
            <w:tcW w:w="851" w:type="dxa"/>
            <w:tcBorders>
              <w:top w:val="single" w:sz="4" w:space="0" w:color="auto"/>
              <w:left w:val="double" w:sz="6" w:space="0" w:color="auto"/>
              <w:bottom w:val="single" w:sz="4" w:space="0" w:color="auto"/>
              <w:right w:val="double" w:sz="6" w:space="0" w:color="auto"/>
            </w:tcBorders>
            <w:shd w:val="clear" w:color="auto" w:fill="FFFF99"/>
            <w:noWrap/>
            <w:vAlign w:val="center"/>
          </w:tcPr>
          <w:p w:rsidR="00A26780" w:rsidRPr="001D7F74" w:rsidRDefault="00A26780" w:rsidP="00D934EF">
            <w:pPr>
              <w:jc w:val="center"/>
            </w:pPr>
          </w:p>
        </w:tc>
        <w:tc>
          <w:tcPr>
            <w:tcW w:w="850" w:type="dxa"/>
            <w:tcBorders>
              <w:top w:val="single" w:sz="4" w:space="0" w:color="auto"/>
              <w:left w:val="nil"/>
              <w:bottom w:val="single" w:sz="4" w:space="0" w:color="auto"/>
              <w:right w:val="double" w:sz="6" w:space="0" w:color="auto"/>
            </w:tcBorders>
            <w:shd w:val="clear" w:color="auto" w:fill="00FF00"/>
            <w:noWrap/>
            <w:vAlign w:val="center"/>
          </w:tcPr>
          <w:p w:rsidR="00A26780" w:rsidRPr="001D7F74" w:rsidRDefault="00A26780" w:rsidP="00D934EF">
            <w:pPr>
              <w:jc w:val="center"/>
            </w:pPr>
          </w:p>
        </w:tc>
        <w:tc>
          <w:tcPr>
            <w:tcW w:w="851" w:type="dxa"/>
            <w:tcBorders>
              <w:top w:val="single" w:sz="4" w:space="0" w:color="auto"/>
              <w:left w:val="double" w:sz="6" w:space="0" w:color="auto"/>
              <w:bottom w:val="single" w:sz="4" w:space="0" w:color="auto"/>
              <w:right w:val="double" w:sz="6" w:space="0" w:color="auto"/>
            </w:tcBorders>
            <w:shd w:val="clear" w:color="auto" w:fill="00FF00"/>
            <w:vAlign w:val="center"/>
          </w:tcPr>
          <w:p w:rsidR="00A26780" w:rsidRPr="001D7F74" w:rsidRDefault="00A26780" w:rsidP="00D934EF">
            <w:pPr>
              <w:jc w:val="center"/>
            </w:pPr>
          </w:p>
        </w:tc>
        <w:tc>
          <w:tcPr>
            <w:tcW w:w="440" w:type="dxa"/>
            <w:tcBorders>
              <w:top w:val="single" w:sz="4" w:space="0" w:color="auto"/>
              <w:left w:val="double" w:sz="6" w:space="0" w:color="auto"/>
              <w:bottom w:val="single" w:sz="4" w:space="0" w:color="auto"/>
              <w:right w:val="single" w:sz="4" w:space="0" w:color="auto"/>
            </w:tcBorders>
            <w:shd w:val="clear" w:color="auto" w:fill="FFFF99"/>
            <w:noWrap/>
            <w:vAlign w:val="center"/>
          </w:tcPr>
          <w:p w:rsidR="00A26780" w:rsidRPr="001D7F74" w:rsidRDefault="00A26780" w:rsidP="00D934EF">
            <w:pPr>
              <w:jc w:val="center"/>
            </w:pPr>
          </w:p>
        </w:tc>
        <w:tc>
          <w:tcPr>
            <w:tcW w:w="516" w:type="dxa"/>
            <w:tcBorders>
              <w:top w:val="single" w:sz="4" w:space="0" w:color="auto"/>
              <w:left w:val="single" w:sz="4" w:space="0" w:color="auto"/>
              <w:bottom w:val="single" w:sz="4" w:space="0" w:color="auto"/>
              <w:right w:val="single" w:sz="4" w:space="0" w:color="auto"/>
            </w:tcBorders>
            <w:shd w:val="clear" w:color="auto" w:fill="00FF00"/>
            <w:vAlign w:val="center"/>
          </w:tcPr>
          <w:p w:rsidR="00A26780" w:rsidRPr="001D7F74" w:rsidRDefault="00A26780" w:rsidP="00D934EF">
            <w:pPr>
              <w:jc w:val="center"/>
            </w:pPr>
          </w:p>
        </w:tc>
        <w:tc>
          <w:tcPr>
            <w:tcW w:w="396" w:type="dxa"/>
            <w:tcBorders>
              <w:top w:val="single" w:sz="4" w:space="0" w:color="auto"/>
              <w:left w:val="single" w:sz="4" w:space="0" w:color="auto"/>
              <w:bottom w:val="single" w:sz="4" w:space="0" w:color="auto"/>
              <w:right w:val="double" w:sz="6" w:space="0" w:color="auto"/>
            </w:tcBorders>
            <w:shd w:val="clear" w:color="auto" w:fill="FFFF99"/>
            <w:noWrap/>
            <w:vAlign w:val="center"/>
          </w:tcPr>
          <w:p w:rsidR="00A26780" w:rsidRPr="001D7F74" w:rsidRDefault="00A26780" w:rsidP="00D934EF">
            <w:pPr>
              <w:jc w:val="center"/>
            </w:pPr>
          </w:p>
        </w:tc>
        <w:tc>
          <w:tcPr>
            <w:tcW w:w="818" w:type="dxa"/>
            <w:tcBorders>
              <w:top w:val="single" w:sz="4" w:space="0" w:color="auto"/>
              <w:left w:val="double" w:sz="6" w:space="0" w:color="auto"/>
              <w:bottom w:val="single" w:sz="4" w:space="0" w:color="auto"/>
              <w:right w:val="double" w:sz="6" w:space="0" w:color="auto"/>
            </w:tcBorders>
            <w:shd w:val="clear" w:color="auto" w:fill="00FF00"/>
            <w:vAlign w:val="center"/>
          </w:tcPr>
          <w:p w:rsidR="00A26780" w:rsidRPr="001D7F74" w:rsidRDefault="00A26780" w:rsidP="00D934EF">
            <w:pPr>
              <w:jc w:val="center"/>
            </w:pPr>
          </w:p>
        </w:tc>
        <w:tc>
          <w:tcPr>
            <w:tcW w:w="440" w:type="dxa"/>
            <w:tcBorders>
              <w:top w:val="single" w:sz="4" w:space="0" w:color="auto"/>
              <w:left w:val="double" w:sz="6" w:space="0" w:color="auto"/>
              <w:bottom w:val="single" w:sz="4" w:space="0" w:color="auto"/>
              <w:right w:val="single" w:sz="4" w:space="0" w:color="auto"/>
            </w:tcBorders>
            <w:shd w:val="clear" w:color="auto" w:fill="FFFF99"/>
            <w:noWrap/>
            <w:vAlign w:val="center"/>
          </w:tcPr>
          <w:p w:rsidR="00A26780" w:rsidRPr="001D7F74" w:rsidRDefault="00A26780" w:rsidP="00D934EF">
            <w:pPr>
              <w:jc w:val="center"/>
            </w:pPr>
          </w:p>
        </w:tc>
        <w:tc>
          <w:tcPr>
            <w:tcW w:w="440" w:type="dxa"/>
            <w:tcBorders>
              <w:top w:val="single" w:sz="4" w:space="0" w:color="auto"/>
              <w:left w:val="single" w:sz="4" w:space="0" w:color="auto"/>
              <w:bottom w:val="single" w:sz="4" w:space="0" w:color="auto"/>
              <w:right w:val="single" w:sz="4" w:space="0" w:color="auto"/>
            </w:tcBorders>
            <w:shd w:val="clear" w:color="auto" w:fill="00FF00"/>
            <w:vAlign w:val="center"/>
          </w:tcPr>
          <w:p w:rsidR="00A26780" w:rsidRPr="001D7F74" w:rsidRDefault="00A26780" w:rsidP="00D934EF">
            <w:pPr>
              <w:jc w:val="center"/>
            </w:pPr>
          </w:p>
        </w:tc>
        <w:tc>
          <w:tcPr>
            <w:tcW w:w="440" w:type="dxa"/>
            <w:tcBorders>
              <w:top w:val="single" w:sz="4" w:space="0" w:color="auto"/>
              <w:left w:val="single" w:sz="4" w:space="0" w:color="auto"/>
              <w:bottom w:val="single" w:sz="4" w:space="0" w:color="auto"/>
              <w:right w:val="double" w:sz="6" w:space="0" w:color="auto"/>
            </w:tcBorders>
            <w:shd w:val="clear" w:color="auto" w:fill="FFFF99"/>
            <w:noWrap/>
            <w:vAlign w:val="center"/>
          </w:tcPr>
          <w:p w:rsidR="00A26780" w:rsidRPr="001D7F74" w:rsidRDefault="00A26780" w:rsidP="00D934EF">
            <w:pPr>
              <w:jc w:val="center"/>
            </w:pPr>
          </w:p>
        </w:tc>
        <w:tc>
          <w:tcPr>
            <w:tcW w:w="440" w:type="dxa"/>
            <w:tcBorders>
              <w:top w:val="single" w:sz="4" w:space="0" w:color="auto"/>
              <w:left w:val="double" w:sz="6" w:space="0" w:color="auto"/>
              <w:bottom w:val="single" w:sz="4" w:space="0" w:color="auto"/>
              <w:right w:val="single" w:sz="4" w:space="0" w:color="auto"/>
            </w:tcBorders>
            <w:shd w:val="clear" w:color="auto" w:fill="00FF00"/>
            <w:noWrap/>
            <w:vAlign w:val="center"/>
          </w:tcPr>
          <w:p w:rsidR="00A26780" w:rsidRPr="001D7F74" w:rsidRDefault="00A26780" w:rsidP="00D934EF">
            <w:pPr>
              <w:jc w:val="center"/>
            </w:pPr>
          </w:p>
        </w:tc>
        <w:tc>
          <w:tcPr>
            <w:tcW w:w="399" w:type="dxa"/>
            <w:tcBorders>
              <w:top w:val="single" w:sz="4" w:space="0" w:color="auto"/>
              <w:left w:val="nil"/>
              <w:bottom w:val="single" w:sz="4" w:space="0" w:color="auto"/>
              <w:right w:val="double" w:sz="6" w:space="0" w:color="auto"/>
            </w:tcBorders>
            <w:shd w:val="clear" w:color="auto" w:fill="FFFF99"/>
            <w:noWrap/>
            <w:vAlign w:val="center"/>
          </w:tcPr>
          <w:p w:rsidR="00A26780" w:rsidRPr="001D7F74" w:rsidRDefault="00A26780" w:rsidP="00D934EF">
            <w:pPr>
              <w:jc w:val="center"/>
            </w:pPr>
          </w:p>
        </w:tc>
      </w:tr>
      <w:tr w:rsidR="00A26780" w:rsidRPr="001D7F74" w:rsidTr="00D934EF">
        <w:trPr>
          <w:trHeight w:val="255"/>
          <w:jc w:val="center"/>
        </w:trPr>
        <w:tc>
          <w:tcPr>
            <w:tcW w:w="916" w:type="dxa"/>
            <w:tcBorders>
              <w:top w:val="nil"/>
              <w:bottom w:val="nil"/>
              <w:right w:val="nil"/>
            </w:tcBorders>
            <w:shd w:val="clear" w:color="auto" w:fill="auto"/>
            <w:noWrap/>
            <w:vAlign w:val="bottom"/>
          </w:tcPr>
          <w:p w:rsidR="00A26780" w:rsidRPr="001D7F74" w:rsidRDefault="00A26780" w:rsidP="00D934EF">
            <w:pPr>
              <w:pStyle w:val="Tabletext"/>
              <w:jc w:val="center"/>
            </w:pPr>
            <w:r w:rsidRPr="001D7F74">
              <w:t>WP 7C</w:t>
            </w:r>
          </w:p>
        </w:tc>
        <w:tc>
          <w:tcPr>
            <w:tcW w:w="851" w:type="dxa"/>
            <w:tcBorders>
              <w:top w:val="single" w:sz="4" w:space="0" w:color="auto"/>
              <w:left w:val="double" w:sz="6" w:space="0" w:color="auto"/>
              <w:bottom w:val="single" w:sz="4" w:space="0" w:color="auto"/>
              <w:right w:val="double" w:sz="6" w:space="0" w:color="auto"/>
            </w:tcBorders>
            <w:shd w:val="clear" w:color="auto" w:fill="FFFF99"/>
            <w:noWrap/>
            <w:vAlign w:val="center"/>
          </w:tcPr>
          <w:p w:rsidR="00A26780" w:rsidRPr="001D7F74" w:rsidRDefault="00A26780" w:rsidP="00D934EF">
            <w:pPr>
              <w:jc w:val="center"/>
            </w:pPr>
          </w:p>
        </w:tc>
        <w:tc>
          <w:tcPr>
            <w:tcW w:w="850" w:type="dxa"/>
            <w:tcBorders>
              <w:top w:val="single" w:sz="4" w:space="0" w:color="auto"/>
              <w:left w:val="nil"/>
              <w:bottom w:val="single" w:sz="4" w:space="0" w:color="auto"/>
              <w:right w:val="double" w:sz="6" w:space="0" w:color="auto"/>
            </w:tcBorders>
            <w:shd w:val="clear" w:color="auto" w:fill="00FF00"/>
            <w:noWrap/>
            <w:vAlign w:val="center"/>
          </w:tcPr>
          <w:p w:rsidR="00A26780" w:rsidRPr="001D7F74" w:rsidRDefault="00A26780" w:rsidP="00D934EF">
            <w:pPr>
              <w:jc w:val="center"/>
            </w:pPr>
          </w:p>
        </w:tc>
        <w:tc>
          <w:tcPr>
            <w:tcW w:w="851" w:type="dxa"/>
            <w:tcBorders>
              <w:top w:val="single" w:sz="4" w:space="0" w:color="auto"/>
              <w:left w:val="double" w:sz="6" w:space="0" w:color="auto"/>
              <w:bottom w:val="single" w:sz="4" w:space="0" w:color="auto"/>
              <w:right w:val="double" w:sz="6" w:space="0" w:color="auto"/>
            </w:tcBorders>
            <w:shd w:val="clear" w:color="auto" w:fill="00FF00"/>
            <w:vAlign w:val="center"/>
          </w:tcPr>
          <w:p w:rsidR="00A26780" w:rsidRPr="001D7F74" w:rsidRDefault="00A26780" w:rsidP="00D934EF">
            <w:pPr>
              <w:jc w:val="center"/>
            </w:pPr>
          </w:p>
        </w:tc>
        <w:tc>
          <w:tcPr>
            <w:tcW w:w="440" w:type="dxa"/>
            <w:tcBorders>
              <w:top w:val="single" w:sz="4" w:space="0" w:color="auto"/>
              <w:left w:val="double" w:sz="6" w:space="0" w:color="auto"/>
              <w:bottom w:val="single" w:sz="4" w:space="0" w:color="auto"/>
              <w:right w:val="single" w:sz="4" w:space="0" w:color="auto"/>
            </w:tcBorders>
            <w:shd w:val="clear" w:color="auto" w:fill="FFFF99"/>
            <w:noWrap/>
            <w:vAlign w:val="center"/>
          </w:tcPr>
          <w:p w:rsidR="00A26780" w:rsidRPr="001D7F74" w:rsidRDefault="00A26780" w:rsidP="00D934EF">
            <w:pPr>
              <w:jc w:val="center"/>
            </w:pPr>
          </w:p>
        </w:tc>
        <w:tc>
          <w:tcPr>
            <w:tcW w:w="516" w:type="dxa"/>
            <w:tcBorders>
              <w:top w:val="single" w:sz="4" w:space="0" w:color="auto"/>
              <w:left w:val="single" w:sz="4" w:space="0" w:color="auto"/>
              <w:bottom w:val="single" w:sz="4" w:space="0" w:color="auto"/>
              <w:right w:val="single" w:sz="4" w:space="0" w:color="auto"/>
            </w:tcBorders>
            <w:shd w:val="clear" w:color="auto" w:fill="00FF00"/>
            <w:vAlign w:val="center"/>
          </w:tcPr>
          <w:p w:rsidR="00A26780" w:rsidRPr="001D7F74" w:rsidRDefault="00A26780" w:rsidP="00D934EF">
            <w:pPr>
              <w:jc w:val="center"/>
            </w:pPr>
          </w:p>
        </w:tc>
        <w:tc>
          <w:tcPr>
            <w:tcW w:w="396" w:type="dxa"/>
            <w:tcBorders>
              <w:top w:val="single" w:sz="4" w:space="0" w:color="auto"/>
              <w:left w:val="single" w:sz="4" w:space="0" w:color="auto"/>
              <w:bottom w:val="single" w:sz="4" w:space="0" w:color="auto"/>
              <w:right w:val="double" w:sz="6" w:space="0" w:color="auto"/>
            </w:tcBorders>
            <w:shd w:val="clear" w:color="auto" w:fill="FFFF99"/>
            <w:noWrap/>
            <w:vAlign w:val="center"/>
          </w:tcPr>
          <w:p w:rsidR="00A26780" w:rsidRPr="001D7F74" w:rsidRDefault="00A26780" w:rsidP="00D934EF">
            <w:pPr>
              <w:jc w:val="center"/>
            </w:pPr>
          </w:p>
        </w:tc>
        <w:tc>
          <w:tcPr>
            <w:tcW w:w="818" w:type="dxa"/>
            <w:tcBorders>
              <w:top w:val="single" w:sz="4" w:space="0" w:color="auto"/>
              <w:left w:val="double" w:sz="6" w:space="0" w:color="auto"/>
              <w:bottom w:val="single" w:sz="4" w:space="0" w:color="auto"/>
              <w:right w:val="double" w:sz="6" w:space="0" w:color="auto"/>
            </w:tcBorders>
            <w:shd w:val="clear" w:color="auto" w:fill="00FF00"/>
            <w:vAlign w:val="center"/>
          </w:tcPr>
          <w:p w:rsidR="00A26780" w:rsidRPr="001D7F74" w:rsidRDefault="00A26780" w:rsidP="00D934EF">
            <w:pPr>
              <w:jc w:val="center"/>
            </w:pPr>
          </w:p>
        </w:tc>
        <w:tc>
          <w:tcPr>
            <w:tcW w:w="440" w:type="dxa"/>
            <w:tcBorders>
              <w:top w:val="single" w:sz="4" w:space="0" w:color="auto"/>
              <w:left w:val="double" w:sz="6" w:space="0" w:color="auto"/>
              <w:bottom w:val="single" w:sz="4" w:space="0" w:color="auto"/>
              <w:right w:val="single" w:sz="4" w:space="0" w:color="auto"/>
            </w:tcBorders>
            <w:shd w:val="clear" w:color="auto" w:fill="FFFF99"/>
            <w:noWrap/>
            <w:vAlign w:val="center"/>
          </w:tcPr>
          <w:p w:rsidR="00A26780" w:rsidRPr="001D7F74" w:rsidRDefault="00A26780" w:rsidP="00D934EF">
            <w:pPr>
              <w:jc w:val="center"/>
            </w:pPr>
          </w:p>
        </w:tc>
        <w:tc>
          <w:tcPr>
            <w:tcW w:w="440" w:type="dxa"/>
            <w:tcBorders>
              <w:top w:val="single" w:sz="4" w:space="0" w:color="auto"/>
              <w:left w:val="single" w:sz="4" w:space="0" w:color="auto"/>
              <w:bottom w:val="single" w:sz="4" w:space="0" w:color="auto"/>
              <w:right w:val="single" w:sz="4" w:space="0" w:color="auto"/>
            </w:tcBorders>
            <w:shd w:val="clear" w:color="auto" w:fill="00FF00"/>
            <w:vAlign w:val="center"/>
          </w:tcPr>
          <w:p w:rsidR="00A26780" w:rsidRPr="001D7F74" w:rsidRDefault="00A26780" w:rsidP="00D934EF">
            <w:pPr>
              <w:jc w:val="center"/>
            </w:pPr>
          </w:p>
        </w:tc>
        <w:tc>
          <w:tcPr>
            <w:tcW w:w="440" w:type="dxa"/>
            <w:tcBorders>
              <w:top w:val="single" w:sz="4" w:space="0" w:color="auto"/>
              <w:left w:val="single" w:sz="4" w:space="0" w:color="auto"/>
              <w:bottom w:val="single" w:sz="4" w:space="0" w:color="auto"/>
              <w:right w:val="double" w:sz="6" w:space="0" w:color="auto"/>
            </w:tcBorders>
            <w:shd w:val="clear" w:color="auto" w:fill="FFFF99"/>
            <w:noWrap/>
            <w:vAlign w:val="center"/>
          </w:tcPr>
          <w:p w:rsidR="00A26780" w:rsidRPr="001D7F74" w:rsidRDefault="00A26780" w:rsidP="00D934EF">
            <w:pPr>
              <w:jc w:val="center"/>
            </w:pPr>
          </w:p>
        </w:tc>
        <w:tc>
          <w:tcPr>
            <w:tcW w:w="440" w:type="dxa"/>
            <w:tcBorders>
              <w:top w:val="single" w:sz="4" w:space="0" w:color="auto"/>
              <w:left w:val="double" w:sz="6" w:space="0" w:color="auto"/>
              <w:bottom w:val="single" w:sz="4" w:space="0" w:color="auto"/>
              <w:right w:val="single" w:sz="4" w:space="0" w:color="auto"/>
            </w:tcBorders>
            <w:shd w:val="clear" w:color="auto" w:fill="00FF00"/>
            <w:noWrap/>
            <w:vAlign w:val="center"/>
          </w:tcPr>
          <w:p w:rsidR="00A26780" w:rsidRPr="001D7F74" w:rsidRDefault="00A26780" w:rsidP="00D934EF">
            <w:pPr>
              <w:jc w:val="center"/>
            </w:pPr>
          </w:p>
        </w:tc>
        <w:tc>
          <w:tcPr>
            <w:tcW w:w="399" w:type="dxa"/>
            <w:tcBorders>
              <w:top w:val="single" w:sz="4" w:space="0" w:color="auto"/>
              <w:left w:val="nil"/>
              <w:bottom w:val="single" w:sz="4" w:space="0" w:color="auto"/>
              <w:right w:val="double" w:sz="6" w:space="0" w:color="auto"/>
            </w:tcBorders>
            <w:shd w:val="clear" w:color="auto" w:fill="FFFF99"/>
            <w:noWrap/>
            <w:vAlign w:val="center"/>
          </w:tcPr>
          <w:p w:rsidR="00A26780" w:rsidRPr="001D7F74" w:rsidRDefault="00A26780" w:rsidP="00D934EF">
            <w:pPr>
              <w:jc w:val="center"/>
            </w:pPr>
          </w:p>
        </w:tc>
      </w:tr>
      <w:tr w:rsidR="00A26780" w:rsidRPr="001D7F74" w:rsidTr="00D934EF">
        <w:trPr>
          <w:trHeight w:val="270"/>
          <w:jc w:val="center"/>
        </w:trPr>
        <w:tc>
          <w:tcPr>
            <w:tcW w:w="916" w:type="dxa"/>
            <w:tcBorders>
              <w:top w:val="nil"/>
              <w:right w:val="nil"/>
            </w:tcBorders>
            <w:shd w:val="clear" w:color="auto" w:fill="auto"/>
            <w:noWrap/>
            <w:vAlign w:val="bottom"/>
          </w:tcPr>
          <w:p w:rsidR="00A26780" w:rsidRPr="001D7F74" w:rsidRDefault="00A26780" w:rsidP="00D934EF">
            <w:pPr>
              <w:pStyle w:val="Tabletext"/>
              <w:jc w:val="center"/>
            </w:pPr>
            <w:r w:rsidRPr="001D7F74">
              <w:t>WP 7D</w:t>
            </w:r>
          </w:p>
        </w:tc>
        <w:tc>
          <w:tcPr>
            <w:tcW w:w="851" w:type="dxa"/>
            <w:tcBorders>
              <w:top w:val="single" w:sz="4" w:space="0" w:color="auto"/>
              <w:left w:val="double" w:sz="6" w:space="0" w:color="auto"/>
              <w:bottom w:val="double" w:sz="6" w:space="0" w:color="auto"/>
              <w:right w:val="double" w:sz="6" w:space="0" w:color="auto"/>
            </w:tcBorders>
            <w:shd w:val="clear" w:color="auto" w:fill="FFFF99"/>
            <w:noWrap/>
            <w:vAlign w:val="center"/>
          </w:tcPr>
          <w:p w:rsidR="00A26780" w:rsidRPr="001D7F74" w:rsidRDefault="00A26780" w:rsidP="00D934EF">
            <w:pPr>
              <w:jc w:val="center"/>
            </w:pPr>
          </w:p>
        </w:tc>
        <w:tc>
          <w:tcPr>
            <w:tcW w:w="850" w:type="dxa"/>
            <w:tcBorders>
              <w:top w:val="single" w:sz="4" w:space="0" w:color="auto"/>
              <w:left w:val="nil"/>
              <w:bottom w:val="double" w:sz="6" w:space="0" w:color="auto"/>
              <w:right w:val="double" w:sz="6" w:space="0" w:color="auto"/>
            </w:tcBorders>
            <w:shd w:val="clear" w:color="auto" w:fill="00FF00"/>
            <w:noWrap/>
            <w:vAlign w:val="center"/>
          </w:tcPr>
          <w:p w:rsidR="00A26780" w:rsidRPr="001D7F74" w:rsidRDefault="00A26780" w:rsidP="00D934EF">
            <w:pPr>
              <w:jc w:val="center"/>
            </w:pPr>
          </w:p>
        </w:tc>
        <w:tc>
          <w:tcPr>
            <w:tcW w:w="851" w:type="dxa"/>
            <w:tcBorders>
              <w:top w:val="single" w:sz="4" w:space="0" w:color="auto"/>
              <w:left w:val="double" w:sz="6" w:space="0" w:color="auto"/>
              <w:bottom w:val="double" w:sz="6" w:space="0" w:color="auto"/>
              <w:right w:val="double" w:sz="6" w:space="0" w:color="auto"/>
            </w:tcBorders>
            <w:shd w:val="clear" w:color="auto" w:fill="00FF00"/>
            <w:vAlign w:val="center"/>
          </w:tcPr>
          <w:p w:rsidR="00A26780" w:rsidRPr="001D7F74" w:rsidRDefault="00A26780" w:rsidP="00D934EF">
            <w:pPr>
              <w:jc w:val="center"/>
            </w:pPr>
          </w:p>
        </w:tc>
        <w:tc>
          <w:tcPr>
            <w:tcW w:w="440" w:type="dxa"/>
            <w:tcBorders>
              <w:top w:val="single" w:sz="4" w:space="0" w:color="auto"/>
              <w:left w:val="double" w:sz="6" w:space="0" w:color="auto"/>
              <w:bottom w:val="double" w:sz="6" w:space="0" w:color="auto"/>
              <w:right w:val="single" w:sz="4" w:space="0" w:color="auto"/>
            </w:tcBorders>
            <w:shd w:val="clear" w:color="auto" w:fill="FFFF99"/>
            <w:noWrap/>
            <w:vAlign w:val="center"/>
          </w:tcPr>
          <w:p w:rsidR="00A26780" w:rsidRPr="001D7F74" w:rsidRDefault="00A26780" w:rsidP="00D934EF">
            <w:pPr>
              <w:jc w:val="center"/>
            </w:pPr>
          </w:p>
        </w:tc>
        <w:tc>
          <w:tcPr>
            <w:tcW w:w="516" w:type="dxa"/>
            <w:tcBorders>
              <w:top w:val="single" w:sz="4" w:space="0" w:color="auto"/>
              <w:left w:val="single" w:sz="4" w:space="0" w:color="auto"/>
              <w:bottom w:val="double" w:sz="6" w:space="0" w:color="auto"/>
              <w:right w:val="single" w:sz="4" w:space="0" w:color="auto"/>
            </w:tcBorders>
            <w:shd w:val="clear" w:color="auto" w:fill="00FF00"/>
            <w:vAlign w:val="center"/>
          </w:tcPr>
          <w:p w:rsidR="00A26780" w:rsidRPr="001D7F74" w:rsidRDefault="00A26780" w:rsidP="00D934EF">
            <w:r w:rsidRPr="001D7F74">
              <w:t> </w:t>
            </w:r>
          </w:p>
        </w:tc>
        <w:tc>
          <w:tcPr>
            <w:tcW w:w="396" w:type="dxa"/>
            <w:tcBorders>
              <w:top w:val="single" w:sz="4" w:space="0" w:color="auto"/>
              <w:left w:val="single" w:sz="4" w:space="0" w:color="auto"/>
              <w:bottom w:val="double" w:sz="6" w:space="0" w:color="auto"/>
              <w:right w:val="double" w:sz="6" w:space="0" w:color="auto"/>
            </w:tcBorders>
            <w:shd w:val="clear" w:color="auto" w:fill="FFFF99"/>
            <w:noWrap/>
            <w:vAlign w:val="center"/>
          </w:tcPr>
          <w:p w:rsidR="00A26780" w:rsidRPr="001D7F74" w:rsidRDefault="00A26780" w:rsidP="00D934EF">
            <w:r w:rsidRPr="001D7F74">
              <w:t> </w:t>
            </w:r>
          </w:p>
        </w:tc>
        <w:tc>
          <w:tcPr>
            <w:tcW w:w="818" w:type="dxa"/>
            <w:tcBorders>
              <w:top w:val="single" w:sz="4" w:space="0" w:color="auto"/>
              <w:left w:val="double" w:sz="6" w:space="0" w:color="auto"/>
              <w:bottom w:val="double" w:sz="6" w:space="0" w:color="auto"/>
              <w:right w:val="double" w:sz="6" w:space="0" w:color="auto"/>
            </w:tcBorders>
            <w:shd w:val="clear" w:color="auto" w:fill="00FF00"/>
            <w:noWrap/>
            <w:vAlign w:val="center"/>
          </w:tcPr>
          <w:p w:rsidR="00A26780" w:rsidRPr="001D7F74" w:rsidRDefault="00A26780" w:rsidP="00D934EF">
            <w:r w:rsidRPr="001D7F74">
              <w:t> </w:t>
            </w:r>
          </w:p>
        </w:tc>
        <w:tc>
          <w:tcPr>
            <w:tcW w:w="440" w:type="dxa"/>
            <w:tcBorders>
              <w:top w:val="single" w:sz="4" w:space="0" w:color="auto"/>
              <w:left w:val="double" w:sz="6" w:space="0" w:color="auto"/>
              <w:bottom w:val="double" w:sz="6" w:space="0" w:color="auto"/>
              <w:right w:val="single" w:sz="4" w:space="0" w:color="auto"/>
            </w:tcBorders>
            <w:shd w:val="clear" w:color="auto" w:fill="FFFF99"/>
            <w:noWrap/>
            <w:vAlign w:val="center"/>
          </w:tcPr>
          <w:p w:rsidR="00A26780" w:rsidRPr="001D7F74" w:rsidRDefault="00A26780" w:rsidP="00D934EF">
            <w:r w:rsidRPr="001D7F74">
              <w:t> </w:t>
            </w:r>
          </w:p>
        </w:tc>
        <w:tc>
          <w:tcPr>
            <w:tcW w:w="440" w:type="dxa"/>
            <w:tcBorders>
              <w:top w:val="single" w:sz="4" w:space="0" w:color="auto"/>
              <w:left w:val="single" w:sz="4" w:space="0" w:color="auto"/>
              <w:bottom w:val="double" w:sz="6" w:space="0" w:color="auto"/>
              <w:right w:val="single" w:sz="4" w:space="0" w:color="auto"/>
            </w:tcBorders>
            <w:shd w:val="clear" w:color="auto" w:fill="00FF00"/>
            <w:noWrap/>
            <w:vAlign w:val="center"/>
          </w:tcPr>
          <w:p w:rsidR="00A26780" w:rsidRPr="001D7F74" w:rsidRDefault="00A26780" w:rsidP="00D934EF">
            <w:pPr>
              <w:jc w:val="center"/>
            </w:pPr>
          </w:p>
        </w:tc>
        <w:tc>
          <w:tcPr>
            <w:tcW w:w="440" w:type="dxa"/>
            <w:tcBorders>
              <w:top w:val="single" w:sz="4" w:space="0" w:color="auto"/>
              <w:left w:val="single" w:sz="4" w:space="0" w:color="auto"/>
              <w:bottom w:val="double" w:sz="6" w:space="0" w:color="auto"/>
              <w:right w:val="double" w:sz="6" w:space="0" w:color="auto"/>
            </w:tcBorders>
            <w:shd w:val="clear" w:color="auto" w:fill="FFFF99"/>
            <w:noWrap/>
            <w:vAlign w:val="center"/>
          </w:tcPr>
          <w:p w:rsidR="00A26780" w:rsidRPr="001D7F74" w:rsidRDefault="00A26780" w:rsidP="00D934EF">
            <w:pPr>
              <w:jc w:val="center"/>
            </w:pPr>
          </w:p>
        </w:tc>
        <w:tc>
          <w:tcPr>
            <w:tcW w:w="440" w:type="dxa"/>
            <w:tcBorders>
              <w:top w:val="single" w:sz="4" w:space="0" w:color="auto"/>
              <w:left w:val="double" w:sz="6" w:space="0" w:color="auto"/>
              <w:bottom w:val="double" w:sz="6" w:space="0" w:color="auto"/>
              <w:right w:val="single" w:sz="4" w:space="0" w:color="auto"/>
            </w:tcBorders>
            <w:shd w:val="clear" w:color="auto" w:fill="00FF00"/>
            <w:noWrap/>
            <w:vAlign w:val="center"/>
          </w:tcPr>
          <w:p w:rsidR="00A26780" w:rsidRPr="001D7F74" w:rsidRDefault="00A26780" w:rsidP="00D934EF">
            <w:pPr>
              <w:jc w:val="center"/>
            </w:pPr>
          </w:p>
        </w:tc>
        <w:tc>
          <w:tcPr>
            <w:tcW w:w="399" w:type="dxa"/>
            <w:tcBorders>
              <w:top w:val="single" w:sz="4" w:space="0" w:color="auto"/>
              <w:left w:val="nil"/>
              <w:bottom w:val="double" w:sz="6" w:space="0" w:color="auto"/>
              <w:right w:val="double" w:sz="6" w:space="0" w:color="auto"/>
            </w:tcBorders>
            <w:shd w:val="clear" w:color="auto" w:fill="FFFF99"/>
            <w:noWrap/>
            <w:vAlign w:val="center"/>
          </w:tcPr>
          <w:p w:rsidR="00A26780" w:rsidRPr="001D7F74" w:rsidRDefault="00A26780" w:rsidP="00D934EF">
            <w:pPr>
              <w:jc w:val="center"/>
            </w:pPr>
          </w:p>
        </w:tc>
      </w:tr>
    </w:tbl>
    <w:p w:rsidR="00A26780" w:rsidRPr="001D7F74" w:rsidRDefault="00A26780" w:rsidP="00A26780">
      <w:pPr>
        <w:pStyle w:val="Heading1"/>
      </w:pPr>
      <w:r>
        <w:t>4</w:t>
      </w:r>
      <w:r w:rsidRPr="001D7F74">
        <w:tab/>
        <w:t>Participation</w:t>
      </w:r>
    </w:p>
    <w:p w:rsidR="00A26780" w:rsidRPr="001D7F74" w:rsidRDefault="00A26780" w:rsidP="00A26780">
      <w:r w:rsidRPr="001D7F74">
        <w:t>Except for the first meeting in May 2012 the number of participants to the meetings of SG 7 ranged between 50 and 70. The May 2012 meeting was a short meeting to set up the new team and objectives for the cycles and was not tied to other meeting</w:t>
      </w:r>
      <w:r>
        <w:t xml:space="preserve">s of the WP, the participation </w:t>
      </w:r>
      <w:r w:rsidRPr="001D7F74">
        <w:t>w</w:t>
      </w:r>
      <w:r>
        <w:t>a</w:t>
      </w:r>
      <w:r w:rsidRPr="001D7F74">
        <w:t>s in the range of 25.</w:t>
      </w:r>
    </w:p>
    <w:p w:rsidR="00A26780" w:rsidRPr="001D7F74" w:rsidRDefault="00A26780" w:rsidP="00A26780">
      <w:r w:rsidRPr="001D7F74">
        <w:t>The participation in WP meetings ranged from approximately 40 to 50 for WPs 7A and 7D and 60 to 70 for WPs 7B and 7C.</w:t>
      </w:r>
    </w:p>
    <w:p w:rsidR="00A26780" w:rsidRPr="001D7F74" w:rsidRDefault="00A26780" w:rsidP="00A26780">
      <w:pPr>
        <w:pStyle w:val="Heading1"/>
      </w:pPr>
      <w:r w:rsidRPr="001D7F74">
        <w:t>5</w:t>
      </w:r>
      <w:r w:rsidRPr="001D7F74">
        <w:tab/>
        <w:t>Productivity</w:t>
      </w:r>
    </w:p>
    <w:p w:rsidR="00A26780" w:rsidRPr="001D7F74" w:rsidRDefault="00A26780" w:rsidP="00A26780">
      <w:r w:rsidRPr="001D7F74">
        <w:t>The Radiocommunication Assembly 2012 assigned 35 Questions to SG 7. During the SG cycle one Question was revised, two Questions were deleted and three new Questions were drafted.</w:t>
      </w:r>
    </w:p>
    <w:p w:rsidR="00A26780" w:rsidRPr="001D7F74" w:rsidRDefault="00A26780" w:rsidP="003F6D56">
      <w:r w:rsidRPr="001D7F74">
        <w:t>Additionally, the SG is responsible for the maintenance of 1</w:t>
      </w:r>
      <w:r w:rsidR="003F6D56">
        <w:t>38</w:t>
      </w:r>
      <w:r w:rsidRPr="001D7F74">
        <w:t xml:space="preserve"> ITU-R Recommendations. These Recommendations are published in one of four </w:t>
      </w:r>
      <w:r>
        <w:t>series</w:t>
      </w:r>
      <w:r w:rsidRPr="001D7F74">
        <w:t xml:space="preserve"> of Recommendations: </w:t>
      </w:r>
    </w:p>
    <w:p w:rsidR="00A26780" w:rsidRPr="001D7F74" w:rsidRDefault="00A26780" w:rsidP="00A26780">
      <w:pPr>
        <w:pStyle w:val="enumlev1"/>
      </w:pPr>
      <w:r w:rsidRPr="001D7F74">
        <w:t>•</w:t>
      </w:r>
      <w:r w:rsidRPr="001D7F74">
        <w:tab/>
        <w:t>The RA-</w:t>
      </w:r>
      <w:r>
        <w:t>series</w:t>
      </w:r>
      <w:r w:rsidRPr="001D7F74">
        <w:t xml:space="preserve"> concerning </w:t>
      </w:r>
      <w:r>
        <w:t>r</w:t>
      </w:r>
      <w:r w:rsidRPr="001D7F74">
        <w:t xml:space="preserve">adio and </w:t>
      </w:r>
      <w:r>
        <w:t>r</w:t>
      </w:r>
      <w:r w:rsidRPr="001D7F74">
        <w:t xml:space="preserve">adar </w:t>
      </w:r>
      <w:r>
        <w:t>a</w:t>
      </w:r>
      <w:r w:rsidR="00965453">
        <w:t>stronomy (14 Recommendations)</w:t>
      </w:r>
    </w:p>
    <w:p w:rsidR="00A26780" w:rsidRPr="001D7F74" w:rsidRDefault="00A26780" w:rsidP="00A26780">
      <w:pPr>
        <w:pStyle w:val="enumlev1"/>
      </w:pPr>
      <w:r w:rsidRPr="001D7F74">
        <w:t>•</w:t>
      </w:r>
      <w:r w:rsidRPr="001D7F74">
        <w:tab/>
        <w:t>The SA-</w:t>
      </w:r>
      <w:r>
        <w:t>series</w:t>
      </w:r>
      <w:r w:rsidRPr="001D7F74">
        <w:t xml:space="preserve"> concerning </w:t>
      </w:r>
      <w:r>
        <w:t>s</w:t>
      </w:r>
      <w:r w:rsidRPr="001D7F74">
        <w:t xml:space="preserve">pace </w:t>
      </w:r>
      <w:r>
        <w:t>r</w:t>
      </w:r>
      <w:r w:rsidRPr="001D7F74">
        <w:t xml:space="preserve">adio </w:t>
      </w:r>
      <w:r>
        <w:t>a</w:t>
      </w:r>
      <w:r w:rsidRPr="001D7F74">
        <w:t>p</w:t>
      </w:r>
      <w:r w:rsidR="00965453">
        <w:t>plications (65 Recommendations)</w:t>
      </w:r>
    </w:p>
    <w:p w:rsidR="00A26780" w:rsidRPr="001D7F74" w:rsidRDefault="00A26780" w:rsidP="00A26780">
      <w:pPr>
        <w:pStyle w:val="enumlev1"/>
      </w:pPr>
      <w:r w:rsidRPr="001D7F74">
        <w:t>•</w:t>
      </w:r>
      <w:r w:rsidRPr="001D7F74">
        <w:tab/>
        <w:t>The RS</w:t>
      </w:r>
      <w:r>
        <w:t>-series</w:t>
      </w:r>
      <w:r w:rsidRPr="001D7F74">
        <w:t xml:space="preserve"> concerning </w:t>
      </w:r>
      <w:r>
        <w:t>r</w:t>
      </w:r>
      <w:r w:rsidRPr="001D7F74">
        <w:t xml:space="preserve">emote </w:t>
      </w:r>
      <w:r>
        <w:t>s</w:t>
      </w:r>
      <w:r w:rsidRPr="001D7F74">
        <w:t xml:space="preserve">ensing </w:t>
      </w:r>
      <w:r>
        <w:t>s</w:t>
      </w:r>
      <w:r w:rsidR="00965453">
        <w:t>ystems (36 Recommendations)</w:t>
      </w:r>
      <w:r w:rsidRPr="001D7F74">
        <w:t xml:space="preserve"> and </w:t>
      </w:r>
    </w:p>
    <w:p w:rsidR="00A26780" w:rsidRPr="001D7F74" w:rsidRDefault="00A26780" w:rsidP="00A26780">
      <w:pPr>
        <w:pStyle w:val="enumlev1"/>
      </w:pPr>
      <w:r w:rsidRPr="001D7F74">
        <w:t>•</w:t>
      </w:r>
      <w:r w:rsidRPr="001D7F74">
        <w:tab/>
        <w:t>The TF-</w:t>
      </w:r>
      <w:r>
        <w:t>series</w:t>
      </w:r>
      <w:r w:rsidRPr="001D7F74">
        <w:t xml:space="preserve"> concerning </w:t>
      </w:r>
      <w:r>
        <w:t>t</w:t>
      </w:r>
      <w:r w:rsidRPr="001D7F74">
        <w:t xml:space="preserve">ime </w:t>
      </w:r>
      <w:r>
        <w:t>s</w:t>
      </w:r>
      <w:r w:rsidRPr="001D7F74">
        <w:t xml:space="preserve">ignals and </w:t>
      </w:r>
      <w:r>
        <w:t>frequency s</w:t>
      </w:r>
      <w:r w:rsidRPr="001D7F74">
        <w:t xml:space="preserve">tandards </w:t>
      </w:r>
      <w:r>
        <w:t>e</w:t>
      </w:r>
      <w:r w:rsidRPr="001D7F74">
        <w:t>missions (23 Recommendations).</w:t>
      </w:r>
    </w:p>
    <w:p w:rsidR="00A26780" w:rsidRPr="001D7F74" w:rsidRDefault="00A26780" w:rsidP="00A26780">
      <w:r w:rsidRPr="001D7F74">
        <w:t xml:space="preserve">During the reporting period the SG adopted, and the Member States approved, 12 revised Recommendations and 11 new ITU-R Recommendations while </w:t>
      </w:r>
      <w:r>
        <w:t>two</w:t>
      </w:r>
      <w:r w:rsidRPr="001D7F74">
        <w:t xml:space="preserve"> Recommendations were suppress</w:t>
      </w:r>
      <w:r>
        <w:t>ed</w:t>
      </w:r>
      <w:r w:rsidRPr="001D7F74">
        <w:t xml:space="preserve">. </w:t>
      </w:r>
    </w:p>
    <w:p w:rsidR="00A26780" w:rsidRPr="001D7F74" w:rsidRDefault="00A26780" w:rsidP="00A26780">
      <w:r w:rsidRPr="001D7F74">
        <w:t xml:space="preserve">The SG also revised </w:t>
      </w:r>
      <w:r>
        <w:t>four</w:t>
      </w:r>
      <w:r w:rsidRPr="001D7F74">
        <w:t xml:space="preserve"> ITU-R Reports and developed and approved 25 new ITU-R Reports. </w:t>
      </w:r>
      <w:r>
        <w:t>Four</w:t>
      </w:r>
      <w:r w:rsidRPr="001D7F74">
        <w:t xml:space="preserve"> of these Reports were developed by the JTG 4-5-6-7 and </w:t>
      </w:r>
      <w:r>
        <w:t>a</w:t>
      </w:r>
      <w:r w:rsidRPr="001D7F74">
        <w:t>pproved by SG 7.</w:t>
      </w:r>
    </w:p>
    <w:p w:rsidR="00A26780" w:rsidRPr="001D7F74" w:rsidRDefault="00A26780" w:rsidP="00A26780">
      <w:r w:rsidRPr="001D7F74">
        <w:t>Some of the new Recommendations and Reports have relevance to items on the agenda of WRC-15.</w:t>
      </w:r>
    </w:p>
    <w:p w:rsidR="00A26780" w:rsidRPr="001D7F74" w:rsidRDefault="00A26780" w:rsidP="00A267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3210"/>
        <w:gridCol w:w="3210"/>
      </w:tblGrid>
      <w:tr w:rsidR="00A26780" w:rsidRPr="001D7F74" w:rsidTr="00351BD7">
        <w:tc>
          <w:tcPr>
            <w:tcW w:w="3259" w:type="dxa"/>
            <w:shd w:val="clear" w:color="auto" w:fill="auto"/>
          </w:tcPr>
          <w:p w:rsidR="00A26780" w:rsidRPr="001D7F74" w:rsidRDefault="00A26780" w:rsidP="00351BD7">
            <w:pPr>
              <w:pStyle w:val="Tablehead"/>
            </w:pPr>
            <w:r w:rsidRPr="001D7F74">
              <w:t>Revised Questions</w:t>
            </w:r>
          </w:p>
        </w:tc>
        <w:tc>
          <w:tcPr>
            <w:tcW w:w="3260" w:type="dxa"/>
            <w:shd w:val="clear" w:color="auto" w:fill="auto"/>
          </w:tcPr>
          <w:p w:rsidR="00A26780" w:rsidRPr="001D7F74" w:rsidRDefault="00A26780" w:rsidP="00351BD7">
            <w:pPr>
              <w:pStyle w:val="Tablehead"/>
            </w:pPr>
            <w:r w:rsidRPr="001D7F74">
              <w:t>New Questions</w:t>
            </w:r>
          </w:p>
        </w:tc>
        <w:tc>
          <w:tcPr>
            <w:tcW w:w="3260" w:type="dxa"/>
            <w:shd w:val="clear" w:color="auto" w:fill="auto"/>
          </w:tcPr>
          <w:p w:rsidR="00A26780" w:rsidRPr="001D7F74" w:rsidRDefault="00A26780" w:rsidP="00351BD7">
            <w:pPr>
              <w:pStyle w:val="Tablehead"/>
            </w:pPr>
            <w:r w:rsidRPr="001D7F74">
              <w:t>Deleted Questions</w:t>
            </w:r>
          </w:p>
        </w:tc>
      </w:tr>
      <w:tr w:rsidR="00A26780" w:rsidRPr="001D7F74" w:rsidTr="00351BD7">
        <w:tc>
          <w:tcPr>
            <w:tcW w:w="3259" w:type="dxa"/>
            <w:shd w:val="clear" w:color="auto" w:fill="auto"/>
            <w:vAlign w:val="center"/>
          </w:tcPr>
          <w:p w:rsidR="00A26780" w:rsidRPr="001D7F74" w:rsidRDefault="00A26780" w:rsidP="00351BD7">
            <w:pPr>
              <w:pStyle w:val="Tabletext"/>
              <w:jc w:val="center"/>
            </w:pPr>
            <w:r w:rsidRPr="001D7F74">
              <w:t>236-1/7</w:t>
            </w:r>
          </w:p>
        </w:tc>
        <w:tc>
          <w:tcPr>
            <w:tcW w:w="3260" w:type="dxa"/>
            <w:shd w:val="clear" w:color="auto" w:fill="auto"/>
            <w:vAlign w:val="center"/>
          </w:tcPr>
          <w:p w:rsidR="00A26780" w:rsidRPr="001D7F74" w:rsidRDefault="00A26780" w:rsidP="00351BD7">
            <w:pPr>
              <w:pStyle w:val="Tabletext"/>
              <w:jc w:val="center"/>
            </w:pPr>
            <w:r w:rsidRPr="001D7F74">
              <w:t>254/7, 255/7, 256/7</w:t>
            </w:r>
          </w:p>
        </w:tc>
        <w:tc>
          <w:tcPr>
            <w:tcW w:w="3260" w:type="dxa"/>
            <w:shd w:val="clear" w:color="auto" w:fill="auto"/>
            <w:vAlign w:val="center"/>
          </w:tcPr>
          <w:p w:rsidR="00A26780" w:rsidRPr="001D7F74" w:rsidRDefault="00A26780" w:rsidP="00351BD7">
            <w:pPr>
              <w:pStyle w:val="Tabletext"/>
              <w:jc w:val="center"/>
            </w:pPr>
            <w:r w:rsidRPr="001D7F74">
              <w:t>149-1/7, 235-1/7</w:t>
            </w:r>
          </w:p>
        </w:tc>
      </w:tr>
    </w:tbl>
    <w:p w:rsidR="00A26780" w:rsidRPr="001D7F74" w:rsidRDefault="00A26780" w:rsidP="00A267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3210"/>
        <w:gridCol w:w="3210"/>
      </w:tblGrid>
      <w:tr w:rsidR="00A26780" w:rsidRPr="001D7F74" w:rsidTr="00351BD7">
        <w:tc>
          <w:tcPr>
            <w:tcW w:w="3259" w:type="dxa"/>
            <w:shd w:val="clear" w:color="auto" w:fill="auto"/>
            <w:vAlign w:val="center"/>
          </w:tcPr>
          <w:p w:rsidR="00A26780" w:rsidRPr="001D7F74" w:rsidRDefault="00A26780" w:rsidP="00351BD7">
            <w:pPr>
              <w:pStyle w:val="Tablehead"/>
            </w:pPr>
            <w:r w:rsidRPr="001D7F74">
              <w:t>Revised Recommendations</w:t>
            </w:r>
          </w:p>
        </w:tc>
        <w:tc>
          <w:tcPr>
            <w:tcW w:w="3260" w:type="dxa"/>
            <w:shd w:val="clear" w:color="auto" w:fill="auto"/>
            <w:vAlign w:val="center"/>
          </w:tcPr>
          <w:p w:rsidR="00A26780" w:rsidRPr="001D7F74" w:rsidRDefault="00A26780" w:rsidP="00351BD7">
            <w:pPr>
              <w:pStyle w:val="Tablehead"/>
            </w:pPr>
            <w:r w:rsidRPr="001D7F74">
              <w:t>New Recommendations</w:t>
            </w:r>
          </w:p>
        </w:tc>
        <w:tc>
          <w:tcPr>
            <w:tcW w:w="3260" w:type="dxa"/>
            <w:shd w:val="clear" w:color="auto" w:fill="auto"/>
            <w:vAlign w:val="center"/>
          </w:tcPr>
          <w:p w:rsidR="00A26780" w:rsidRPr="001D7F74" w:rsidRDefault="00A26780" w:rsidP="00351BD7">
            <w:pPr>
              <w:pStyle w:val="Tablehead"/>
            </w:pPr>
            <w:r w:rsidRPr="001D7F74">
              <w:t>Deleted Recommendations</w:t>
            </w:r>
          </w:p>
        </w:tc>
      </w:tr>
      <w:tr w:rsidR="00A26780" w:rsidRPr="001D7F74" w:rsidTr="00351BD7">
        <w:tc>
          <w:tcPr>
            <w:tcW w:w="3259" w:type="dxa"/>
            <w:shd w:val="clear" w:color="auto" w:fill="auto"/>
            <w:vAlign w:val="center"/>
          </w:tcPr>
          <w:p w:rsidR="00A26780" w:rsidRPr="001D7F74" w:rsidRDefault="00A26780" w:rsidP="00351BD7">
            <w:pPr>
              <w:pStyle w:val="Tabletext"/>
              <w:jc w:val="center"/>
            </w:pPr>
            <w:r w:rsidRPr="001D7F74">
              <w:t>RA.1417-1, RA.1513-2</w:t>
            </w:r>
          </w:p>
        </w:tc>
        <w:tc>
          <w:tcPr>
            <w:tcW w:w="3260" w:type="dxa"/>
            <w:shd w:val="clear" w:color="auto" w:fill="auto"/>
            <w:vAlign w:val="center"/>
          </w:tcPr>
          <w:p w:rsidR="00A26780" w:rsidRPr="001D7F74" w:rsidRDefault="00A26780" w:rsidP="00351BD7">
            <w:pPr>
              <w:pStyle w:val="Tabletext"/>
              <w:jc w:val="center"/>
            </w:pPr>
          </w:p>
        </w:tc>
        <w:tc>
          <w:tcPr>
            <w:tcW w:w="3260" w:type="dxa"/>
            <w:shd w:val="clear" w:color="auto" w:fill="auto"/>
            <w:vAlign w:val="center"/>
          </w:tcPr>
          <w:p w:rsidR="00A26780" w:rsidRPr="001D7F74" w:rsidRDefault="00A26780" w:rsidP="00351BD7">
            <w:pPr>
              <w:pStyle w:val="Tabletext"/>
              <w:jc w:val="center"/>
            </w:pPr>
          </w:p>
        </w:tc>
      </w:tr>
      <w:tr w:rsidR="00A26780" w:rsidRPr="005F3790" w:rsidTr="00351BD7">
        <w:tc>
          <w:tcPr>
            <w:tcW w:w="3259" w:type="dxa"/>
            <w:shd w:val="clear" w:color="auto" w:fill="auto"/>
            <w:vAlign w:val="center"/>
          </w:tcPr>
          <w:p w:rsidR="00A26780" w:rsidRPr="001D7F74" w:rsidRDefault="00A26780" w:rsidP="00351BD7">
            <w:pPr>
              <w:pStyle w:val="Tabletext"/>
              <w:jc w:val="center"/>
              <w:rPr>
                <w:lang w:val="fr-CH"/>
              </w:rPr>
            </w:pPr>
            <w:r w:rsidRPr="001D7F74">
              <w:rPr>
                <w:lang w:val="fr-CH"/>
              </w:rPr>
              <w:t>SA.509-3, SA.1155-1, SA.1275-4, SA.1276-4, SA.1414-1, SA.1626-1</w:t>
            </w:r>
          </w:p>
        </w:tc>
        <w:tc>
          <w:tcPr>
            <w:tcW w:w="3260" w:type="dxa"/>
            <w:shd w:val="clear" w:color="auto" w:fill="auto"/>
            <w:vAlign w:val="center"/>
          </w:tcPr>
          <w:p w:rsidR="00A26780" w:rsidRPr="001D7F74" w:rsidRDefault="00A26780" w:rsidP="00351BD7">
            <w:pPr>
              <w:pStyle w:val="Tabletext"/>
              <w:jc w:val="center"/>
              <w:rPr>
                <w:lang w:val="fr-FR"/>
              </w:rPr>
            </w:pPr>
            <w:r w:rsidRPr="001D7F74">
              <w:rPr>
                <w:lang w:val="fr-FR"/>
              </w:rPr>
              <w:t xml:space="preserve">SA.2044-0, SA.2045-0, </w:t>
            </w:r>
            <w:r w:rsidRPr="001D7F74">
              <w:rPr>
                <w:lang w:val="fr-FR"/>
              </w:rPr>
              <w:br/>
              <w:t>SA.</w:t>
            </w:r>
            <w:r>
              <w:rPr>
                <w:lang w:val="fr-FR"/>
              </w:rPr>
              <w:t>2078</w:t>
            </w:r>
            <w:r w:rsidRPr="001D7F74">
              <w:rPr>
                <w:lang w:val="fr-FR"/>
              </w:rPr>
              <w:t>-0, SA.</w:t>
            </w:r>
            <w:r>
              <w:rPr>
                <w:lang w:val="fr-FR"/>
              </w:rPr>
              <w:t>2079</w:t>
            </w:r>
            <w:r w:rsidRPr="001D7F74">
              <w:rPr>
                <w:lang w:val="fr-FR"/>
              </w:rPr>
              <w:t>-0</w:t>
            </w:r>
          </w:p>
        </w:tc>
        <w:tc>
          <w:tcPr>
            <w:tcW w:w="3260" w:type="dxa"/>
            <w:shd w:val="clear" w:color="auto" w:fill="auto"/>
            <w:vAlign w:val="center"/>
          </w:tcPr>
          <w:p w:rsidR="00A26780" w:rsidRPr="001D7F74" w:rsidRDefault="00A26780" w:rsidP="00351BD7">
            <w:pPr>
              <w:pStyle w:val="Tabletext"/>
              <w:jc w:val="center"/>
              <w:rPr>
                <w:lang w:val="fr-CH"/>
              </w:rPr>
            </w:pPr>
          </w:p>
        </w:tc>
      </w:tr>
      <w:tr w:rsidR="00A26780" w:rsidRPr="001D7F74" w:rsidTr="00351BD7">
        <w:tc>
          <w:tcPr>
            <w:tcW w:w="3259" w:type="dxa"/>
            <w:shd w:val="clear" w:color="auto" w:fill="auto"/>
            <w:vAlign w:val="center"/>
          </w:tcPr>
          <w:p w:rsidR="00A26780" w:rsidRPr="001D7F74" w:rsidRDefault="00A26780" w:rsidP="00351BD7">
            <w:pPr>
              <w:pStyle w:val="Tabletext"/>
              <w:jc w:val="center"/>
            </w:pPr>
            <w:r w:rsidRPr="001D7F74">
              <w:t>RS.515-5</w:t>
            </w:r>
          </w:p>
        </w:tc>
        <w:tc>
          <w:tcPr>
            <w:tcW w:w="3260" w:type="dxa"/>
            <w:shd w:val="clear" w:color="auto" w:fill="auto"/>
            <w:vAlign w:val="center"/>
          </w:tcPr>
          <w:p w:rsidR="00A26780" w:rsidRPr="001D7F74" w:rsidRDefault="00A26780" w:rsidP="00351BD7">
            <w:pPr>
              <w:pStyle w:val="Tabletext"/>
              <w:jc w:val="center"/>
              <w:rPr>
                <w:lang w:val="fr-CH"/>
              </w:rPr>
            </w:pPr>
            <w:r w:rsidRPr="001D7F74">
              <w:rPr>
                <w:lang w:val="fr-CH"/>
              </w:rPr>
              <w:t>RS.2017-0, RS.2042-0, RS.2043-0, RS.2064-0, RS.2065-0, RS.2066-0</w:t>
            </w:r>
          </w:p>
        </w:tc>
        <w:tc>
          <w:tcPr>
            <w:tcW w:w="3260" w:type="dxa"/>
            <w:shd w:val="clear" w:color="auto" w:fill="auto"/>
            <w:vAlign w:val="center"/>
          </w:tcPr>
          <w:p w:rsidR="00A26780" w:rsidRPr="001D7F74" w:rsidRDefault="00A26780" w:rsidP="00351BD7">
            <w:pPr>
              <w:pStyle w:val="Tabletext"/>
              <w:jc w:val="center"/>
            </w:pPr>
            <w:r w:rsidRPr="001D7F74">
              <w:t>RS.1028-3, RS.1029-3</w:t>
            </w:r>
          </w:p>
        </w:tc>
      </w:tr>
      <w:tr w:rsidR="00A26780" w:rsidRPr="001D7F74" w:rsidTr="00351BD7">
        <w:tc>
          <w:tcPr>
            <w:tcW w:w="3259" w:type="dxa"/>
            <w:shd w:val="clear" w:color="auto" w:fill="auto"/>
            <w:vAlign w:val="center"/>
          </w:tcPr>
          <w:p w:rsidR="00A26780" w:rsidRPr="001D7F74" w:rsidRDefault="00A26780" w:rsidP="00351BD7">
            <w:pPr>
              <w:pStyle w:val="Tabletext"/>
              <w:jc w:val="center"/>
            </w:pPr>
            <w:r w:rsidRPr="001D7F74">
              <w:t>TF.374-6, TF.686-3, TF.1153-4</w:t>
            </w:r>
          </w:p>
        </w:tc>
        <w:tc>
          <w:tcPr>
            <w:tcW w:w="3260" w:type="dxa"/>
            <w:shd w:val="clear" w:color="auto" w:fill="auto"/>
            <w:vAlign w:val="center"/>
          </w:tcPr>
          <w:p w:rsidR="00A26780" w:rsidRPr="001D7F74" w:rsidRDefault="00A26780" w:rsidP="00351BD7">
            <w:pPr>
              <w:pStyle w:val="Tabletext"/>
              <w:jc w:val="center"/>
            </w:pPr>
            <w:r w:rsidRPr="001D7F74">
              <w:t>TF.2018-0</w:t>
            </w:r>
          </w:p>
        </w:tc>
        <w:tc>
          <w:tcPr>
            <w:tcW w:w="3260" w:type="dxa"/>
            <w:shd w:val="clear" w:color="auto" w:fill="auto"/>
            <w:vAlign w:val="center"/>
          </w:tcPr>
          <w:p w:rsidR="00A26780" w:rsidRPr="001D7F74" w:rsidRDefault="00A26780" w:rsidP="00351BD7">
            <w:pPr>
              <w:pStyle w:val="Tabletext"/>
              <w:jc w:val="center"/>
            </w:pPr>
          </w:p>
        </w:tc>
      </w:tr>
    </w:tbl>
    <w:p w:rsidR="00A26780" w:rsidRPr="001D7F74" w:rsidRDefault="00A26780" w:rsidP="00A26780"/>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260"/>
      </w:tblGrid>
      <w:tr w:rsidR="00A26780" w:rsidRPr="001D7F74" w:rsidTr="00351BD7">
        <w:tc>
          <w:tcPr>
            <w:tcW w:w="3261" w:type="dxa"/>
            <w:shd w:val="clear" w:color="auto" w:fill="auto"/>
            <w:vAlign w:val="center"/>
          </w:tcPr>
          <w:p w:rsidR="00A26780" w:rsidRPr="001D7F74" w:rsidRDefault="00A26780" w:rsidP="00351BD7">
            <w:pPr>
              <w:pStyle w:val="Tablehead"/>
            </w:pPr>
            <w:r w:rsidRPr="001D7F74">
              <w:t>Revised Reports</w:t>
            </w:r>
          </w:p>
        </w:tc>
        <w:tc>
          <w:tcPr>
            <w:tcW w:w="3260" w:type="dxa"/>
            <w:shd w:val="clear" w:color="auto" w:fill="auto"/>
            <w:vAlign w:val="center"/>
          </w:tcPr>
          <w:p w:rsidR="00A26780" w:rsidRPr="001D7F74" w:rsidRDefault="00A26780" w:rsidP="00351BD7">
            <w:pPr>
              <w:pStyle w:val="Tablehead"/>
            </w:pPr>
            <w:r w:rsidRPr="001D7F74">
              <w:t>New Reports</w:t>
            </w:r>
          </w:p>
        </w:tc>
      </w:tr>
      <w:tr w:rsidR="00A26780" w:rsidRPr="001D7F74" w:rsidTr="00351BD7">
        <w:tc>
          <w:tcPr>
            <w:tcW w:w="3261" w:type="dxa"/>
            <w:shd w:val="clear" w:color="auto" w:fill="auto"/>
            <w:vAlign w:val="center"/>
          </w:tcPr>
          <w:p w:rsidR="00A26780" w:rsidRPr="001D7F74" w:rsidRDefault="00A26780" w:rsidP="00351BD7">
            <w:pPr>
              <w:pStyle w:val="Tabletext"/>
              <w:jc w:val="center"/>
            </w:pPr>
            <w:r w:rsidRPr="001D7F74">
              <w:t>RA.2099-1, RA.2126-1</w:t>
            </w:r>
          </w:p>
        </w:tc>
        <w:tc>
          <w:tcPr>
            <w:tcW w:w="3260" w:type="dxa"/>
            <w:shd w:val="clear" w:color="auto" w:fill="auto"/>
            <w:vAlign w:val="center"/>
          </w:tcPr>
          <w:p w:rsidR="00A26780" w:rsidRPr="001D7F74" w:rsidRDefault="00A26780" w:rsidP="00351BD7">
            <w:pPr>
              <w:pStyle w:val="Tabletext"/>
              <w:jc w:val="center"/>
            </w:pPr>
            <w:r w:rsidRPr="001D7F74">
              <w:t>RA.2259-0, RA.2332-0</w:t>
            </w:r>
          </w:p>
        </w:tc>
      </w:tr>
      <w:tr w:rsidR="00A26780" w:rsidRPr="001722C9" w:rsidTr="00351BD7">
        <w:tc>
          <w:tcPr>
            <w:tcW w:w="3261" w:type="dxa"/>
            <w:shd w:val="clear" w:color="auto" w:fill="auto"/>
            <w:vAlign w:val="center"/>
          </w:tcPr>
          <w:p w:rsidR="00A26780" w:rsidRPr="001D7F74" w:rsidRDefault="00A26780" w:rsidP="00351BD7">
            <w:pPr>
              <w:pStyle w:val="Tabletext"/>
              <w:jc w:val="center"/>
              <w:rPr>
                <w:lang w:val="fr-CH"/>
              </w:rPr>
            </w:pPr>
            <w:r w:rsidRPr="001D7F74">
              <w:rPr>
                <w:lang w:val="fr-CH"/>
              </w:rPr>
              <w:t>SA.2164-1</w:t>
            </w:r>
          </w:p>
        </w:tc>
        <w:tc>
          <w:tcPr>
            <w:tcW w:w="3260" w:type="dxa"/>
            <w:shd w:val="clear" w:color="auto" w:fill="auto"/>
            <w:vAlign w:val="center"/>
          </w:tcPr>
          <w:p w:rsidR="00A26780" w:rsidRPr="001D7F74" w:rsidRDefault="00A26780" w:rsidP="00351BD7">
            <w:pPr>
              <w:pStyle w:val="Tabletext"/>
              <w:jc w:val="center"/>
              <w:rPr>
                <w:lang w:val="fr-FR"/>
              </w:rPr>
            </w:pPr>
            <w:r w:rsidRPr="001D7F74">
              <w:rPr>
                <w:lang w:val="fr-FR"/>
              </w:rPr>
              <w:t>SA.2271-0, SA.2272-0, SA.2275-0, SA.2276-1, SA.2277-0, SA.2307-0, SA.2309-0, SA.2312-0, SA.2325-0, SA.2329-0, SA.2348-0, SA.2349-0</w:t>
            </w:r>
          </w:p>
        </w:tc>
      </w:tr>
      <w:tr w:rsidR="00A26780" w:rsidRPr="001722C9" w:rsidTr="00351BD7">
        <w:tc>
          <w:tcPr>
            <w:tcW w:w="3261" w:type="dxa"/>
            <w:shd w:val="clear" w:color="auto" w:fill="auto"/>
            <w:vAlign w:val="center"/>
          </w:tcPr>
          <w:p w:rsidR="00A26780" w:rsidRPr="001D7F74" w:rsidRDefault="00A26780" w:rsidP="00351BD7">
            <w:pPr>
              <w:pStyle w:val="Tabletext"/>
              <w:jc w:val="center"/>
              <w:rPr>
                <w:lang w:val="fr-FR"/>
              </w:rPr>
            </w:pPr>
            <w:r w:rsidRPr="001D7F74">
              <w:rPr>
                <w:lang w:val="fr-FR"/>
              </w:rPr>
              <w:t>RS.2068-1</w:t>
            </w:r>
          </w:p>
        </w:tc>
        <w:tc>
          <w:tcPr>
            <w:tcW w:w="3260" w:type="dxa"/>
            <w:shd w:val="clear" w:color="auto" w:fill="auto"/>
            <w:vAlign w:val="center"/>
          </w:tcPr>
          <w:p w:rsidR="00A26780" w:rsidRPr="001D7F74" w:rsidRDefault="00A26780" w:rsidP="00351BD7">
            <w:pPr>
              <w:pStyle w:val="Tabletext"/>
              <w:jc w:val="center"/>
              <w:rPr>
                <w:lang w:val="fr-FR"/>
              </w:rPr>
            </w:pPr>
            <w:r w:rsidRPr="001D7F74">
              <w:rPr>
                <w:lang w:val="fr-FR"/>
              </w:rPr>
              <w:t xml:space="preserve">RS.2260-0, RS.2273-0, RS.2274-0, RS.2308-0, RS.2310-1, RS.2311-0, RS.2313-0, RS.2314-0, RS.2315-0, RS.2336-0, RS.2350-0, </w:t>
            </w:r>
          </w:p>
        </w:tc>
      </w:tr>
    </w:tbl>
    <w:p w:rsidR="00A26780" w:rsidRPr="001D7F74" w:rsidRDefault="00A26780" w:rsidP="00A26780">
      <w:r w:rsidRPr="001D7F74">
        <w:t>SG 7 currently has six existing Handbooks, two of the handbooks were edited during this cycle:</w:t>
      </w:r>
    </w:p>
    <w:p w:rsidR="00A26780" w:rsidRPr="001D7F74" w:rsidRDefault="00A26780" w:rsidP="00A26780">
      <w:r w:rsidRPr="001D7F74">
        <w:rPr>
          <w:b/>
          <w:bCs/>
        </w:rPr>
        <w:t>Use of Radio Spectrum for Weather, Water and Climate Monitoring and Prediction</w:t>
      </w:r>
      <w:r w:rsidRPr="001D7F74">
        <w:t xml:space="preserve"> – this is the second edition of the joint ITU/WMO Meteorology Handbook published in 2008. This Handbook was signed jointly by the Secretary Generals of two United Nations Organizations, the ITU and the WMO.</w:t>
      </w:r>
    </w:p>
    <w:p w:rsidR="00A26780" w:rsidRPr="001D7F74" w:rsidRDefault="00A26780" w:rsidP="00A26780">
      <w:r w:rsidRPr="001D7F74">
        <w:rPr>
          <w:b/>
          <w:bCs/>
        </w:rPr>
        <w:t>Radio Astronomy</w:t>
      </w:r>
      <w:r w:rsidRPr="001D7F74">
        <w:t xml:space="preserve"> – this is the third edition of the Radio Astronomy Handbook which was extensively revised in 2013.</w:t>
      </w:r>
    </w:p>
    <w:p w:rsidR="00A26780" w:rsidRPr="001D7F74" w:rsidRDefault="00A26780" w:rsidP="00A26780">
      <w:r w:rsidRPr="001D7F74">
        <w:rPr>
          <w:b/>
          <w:bCs/>
        </w:rPr>
        <w:t>Selection and Use of Precise Frequency and Time Systems</w:t>
      </w:r>
      <w:r w:rsidRPr="001D7F74">
        <w:t xml:space="preserve"> – this is the first edition of the Selection and Use of Precise Frequency and Time Systems Handbook developed by Working Party 7A and published in 1997.</w:t>
      </w:r>
    </w:p>
    <w:p w:rsidR="00A26780" w:rsidRPr="001D7F74" w:rsidRDefault="00A26780" w:rsidP="00A26780">
      <w:r w:rsidRPr="001D7F74">
        <w:rPr>
          <w:b/>
          <w:bCs/>
        </w:rPr>
        <w:t>Space Research Communications</w:t>
      </w:r>
      <w:r w:rsidRPr="001D7F74">
        <w:t xml:space="preserve"> – this is the second edition of the Space Research Handbook which was published in 2014. </w:t>
      </w:r>
    </w:p>
    <w:p w:rsidR="00A26780" w:rsidRPr="001D7F74" w:rsidRDefault="00A26780" w:rsidP="00A26780">
      <w:r w:rsidRPr="001D7F74">
        <w:rPr>
          <w:b/>
          <w:bCs/>
        </w:rPr>
        <w:t>Satellite Time and Frequency Transfer and Dissemination</w:t>
      </w:r>
      <w:r w:rsidRPr="001D7F74">
        <w:t xml:space="preserve"> – this is the first edition of this Handbook developed by Working Party 7A and published in 2010.</w:t>
      </w:r>
    </w:p>
    <w:p w:rsidR="00A26780" w:rsidRPr="001D7F74" w:rsidRDefault="00A26780" w:rsidP="00A26780">
      <w:r w:rsidRPr="001D7F74">
        <w:rPr>
          <w:b/>
          <w:bCs/>
        </w:rPr>
        <w:t>Earth Exploration-Satellite Handbook</w:t>
      </w:r>
      <w:r w:rsidRPr="001D7F74">
        <w:t xml:space="preserve"> – this is a new handbook published in 2011. This Handbook is also recognized in Resolution </w:t>
      </w:r>
      <w:r w:rsidRPr="001D7F74">
        <w:rPr>
          <w:b/>
        </w:rPr>
        <w:t>673 (Rev.WRC-12)</w:t>
      </w:r>
      <w:r w:rsidRPr="001D7F74">
        <w:rPr>
          <w:bCs/>
        </w:rPr>
        <w:t>.</w:t>
      </w:r>
      <w:r w:rsidRPr="001D7F74">
        <w:t xml:space="preserve"> </w:t>
      </w:r>
    </w:p>
    <w:p w:rsidR="00A26780" w:rsidRPr="001D7F74" w:rsidRDefault="00A26780" w:rsidP="00A26780">
      <w:pPr>
        <w:pStyle w:val="Heading1"/>
      </w:pPr>
      <w:r w:rsidRPr="001D7F74">
        <w:t>6</w:t>
      </w:r>
      <w:r w:rsidRPr="001D7F74">
        <w:tab/>
        <w:t xml:space="preserve">Radiocommunication conference preparation </w:t>
      </w:r>
    </w:p>
    <w:p w:rsidR="00A26780" w:rsidRPr="001D7F74" w:rsidRDefault="00A26780" w:rsidP="00A26780">
      <w:r w:rsidRPr="001D7F74">
        <w:t xml:space="preserve">The agenda for the 2015 World Radiocommunication Conference has provided significant sources of activity for SG 7 and its Working Parties since 2012. </w:t>
      </w:r>
    </w:p>
    <w:p w:rsidR="00A26780" w:rsidRPr="001D7F74" w:rsidRDefault="00A26780" w:rsidP="00A26780">
      <w:r w:rsidRPr="001D7F74">
        <w:t xml:space="preserve">The WG of SG 7 have been contributing </w:t>
      </w:r>
      <w:r>
        <w:t>g</w:t>
      </w:r>
      <w:r w:rsidRPr="001D7F74">
        <w:t xml:space="preserve">roups regarding </w:t>
      </w:r>
      <w:r>
        <w:t>a</w:t>
      </w:r>
      <w:r w:rsidRPr="001D7F74">
        <w:t>genda item 1.1, 1.6, 1.9, 1.0, 1.17, 1.18 and 9.1.1.</w:t>
      </w:r>
    </w:p>
    <w:p w:rsidR="00A26780" w:rsidRPr="001D7F74" w:rsidRDefault="00A26780" w:rsidP="00A26780">
      <w:r w:rsidRPr="001D7F74">
        <w:t xml:space="preserve">WP 7A was the responsible group for </w:t>
      </w:r>
      <w:r>
        <w:t>a</w:t>
      </w:r>
      <w:r w:rsidRPr="001D7F74">
        <w:t>genda item 1.14 on the feasibility of achieving a continuous time scale. This agenda item was a direct consequence of the discussion during RA-12 concerning the approval of the proposed modifications to Recommendations ITU-R TF.460-6. These modifications concerned the suppression of the leap second in the definition of UTC. Since there was no consensus and thus no possibility to adopt the Recommendation at the SG level, the Chairman of SG</w:t>
      </w:r>
      <w:r>
        <w:t> </w:t>
      </w:r>
      <w:r w:rsidRPr="001D7F74">
        <w:t>7 decided to bring it forward to the RA</w:t>
      </w:r>
      <w:r w:rsidR="00D934EF">
        <w:t>,</w:t>
      </w:r>
      <w:r w:rsidRPr="001D7F74">
        <w:t xml:space="preserve"> however the lack of knowledge and position from a large number of administrations led to the decision to give it a larger audience by making it an </w:t>
      </w:r>
      <w:r>
        <w:t>a</w:t>
      </w:r>
      <w:r w:rsidRPr="001D7F74">
        <w:t>genda</w:t>
      </w:r>
      <w:r>
        <w:t xml:space="preserve"> i</w:t>
      </w:r>
      <w:r w:rsidRPr="001D7F74">
        <w:t>tem f</w:t>
      </w:r>
      <w:r>
        <w:t>o</w:t>
      </w:r>
      <w:r w:rsidRPr="001D7F74">
        <w:t>r WRC-15.</w:t>
      </w:r>
    </w:p>
    <w:p w:rsidR="00A26780" w:rsidRPr="001D7F74" w:rsidRDefault="00A26780" w:rsidP="00A26780">
      <w:r w:rsidRPr="001D7F74">
        <w:t xml:space="preserve">WP 7B was the responsible group for </w:t>
      </w:r>
      <w:r>
        <w:t>a</w:t>
      </w:r>
      <w:r w:rsidRPr="001D7F74">
        <w:t xml:space="preserve">genda items 1.11, 1.13 and 9.1.8. </w:t>
      </w:r>
    </w:p>
    <w:p w:rsidR="00A26780" w:rsidRPr="001D7F74" w:rsidRDefault="00020254" w:rsidP="00D934EF">
      <w:pPr>
        <w:pStyle w:val="enumlev1"/>
      </w:pPr>
      <w:r>
        <w:t>•</w:t>
      </w:r>
      <w:r>
        <w:tab/>
      </w:r>
      <w:r w:rsidR="00A26780" w:rsidRPr="001D7F74">
        <w:t xml:space="preserve">Agenda item1.11 relates to a new allocation for EESS (Earth-to-space) in the 7-8 GHz range for which WP 7B developed </w:t>
      </w:r>
      <w:r w:rsidR="00D934EF">
        <w:t>five</w:t>
      </w:r>
      <w:r w:rsidR="00A26780" w:rsidRPr="001D7F74">
        <w:t xml:space="preserve"> new reports. </w:t>
      </w:r>
    </w:p>
    <w:p w:rsidR="00A26780" w:rsidRPr="001D7F74" w:rsidRDefault="00020254" w:rsidP="00A26780">
      <w:pPr>
        <w:pStyle w:val="enumlev1"/>
      </w:pPr>
      <w:r>
        <w:t>•</w:t>
      </w:r>
      <w:r>
        <w:tab/>
      </w:r>
      <w:r w:rsidR="00A26780" w:rsidRPr="001D7F74">
        <w:t xml:space="preserve">Agenda item 1.13 relates to the feasibility of increasing the 5 km distance limitation for the space research service (space-to-space) </w:t>
      </w:r>
      <w:r w:rsidRPr="001D7F74">
        <w:t>allowing</w:t>
      </w:r>
      <w:r w:rsidR="00A26780" w:rsidRPr="001D7F74">
        <w:t xml:space="preserve"> the use of the band 401-420 MHz for proximity operation for space vehicle communicating with a manned spacecraft; this agenda item led to the development of a new report.</w:t>
      </w:r>
    </w:p>
    <w:p w:rsidR="00A26780" w:rsidRPr="001D7F74" w:rsidRDefault="00020254" w:rsidP="00A26780">
      <w:pPr>
        <w:pStyle w:val="enumlev1"/>
      </w:pPr>
      <w:r>
        <w:t>•</w:t>
      </w:r>
      <w:r>
        <w:tab/>
      </w:r>
      <w:r w:rsidR="00A26780" w:rsidRPr="001D7F74">
        <w:t xml:space="preserve">Agenda item 9.1.8 relates </w:t>
      </w:r>
      <w:r w:rsidRPr="001D7F74">
        <w:t>to regulatory</w:t>
      </w:r>
      <w:r w:rsidR="00A26780" w:rsidRPr="001D7F74">
        <w:t xml:space="preserve"> aspects for nanosatellites and picosatellites for which WP 7B produces a Report.</w:t>
      </w:r>
    </w:p>
    <w:p w:rsidR="00A26780" w:rsidRPr="001D7F74" w:rsidRDefault="00A26780" w:rsidP="00020254">
      <w:r w:rsidRPr="001D7F74">
        <w:t xml:space="preserve">WP 7C was the responsible group for </w:t>
      </w:r>
      <w:r>
        <w:t>a</w:t>
      </w:r>
      <w:r w:rsidRPr="001D7F74">
        <w:t>genda item 1.12 relative to the extension of the EESS</w:t>
      </w:r>
      <w:r>
        <w:t xml:space="preserve"> </w:t>
      </w:r>
      <w:r w:rsidRPr="001D7F74">
        <w:t>(active band 9</w:t>
      </w:r>
      <w:r>
        <w:t> </w:t>
      </w:r>
      <w:r w:rsidRPr="001D7F74">
        <w:t>300</w:t>
      </w:r>
      <w:r>
        <w:noBreakHyphen/>
      </w:r>
      <w:r w:rsidRPr="001D7F74">
        <w:t>9</w:t>
      </w:r>
      <w:r>
        <w:t> </w:t>
      </w:r>
      <w:r w:rsidRPr="001D7F74">
        <w:t xml:space="preserve">900 MHz by up to 600 MHz. WP 7C developed </w:t>
      </w:r>
      <w:r w:rsidR="00020254">
        <w:t>three</w:t>
      </w:r>
      <w:r w:rsidRPr="001D7F74">
        <w:t xml:space="preserve"> Recommendations and </w:t>
      </w:r>
      <w:r w:rsidR="00020254">
        <w:t>four</w:t>
      </w:r>
      <w:r w:rsidRPr="001D7F74">
        <w:t xml:space="preserve"> Reports on this issue.</w:t>
      </w:r>
    </w:p>
    <w:p w:rsidR="00A26780" w:rsidRPr="001D7F74" w:rsidRDefault="00A26780" w:rsidP="00A26780">
      <w:pPr>
        <w:pStyle w:val="Heading1"/>
      </w:pPr>
      <w:r w:rsidRPr="001D7F74">
        <w:t>7</w:t>
      </w:r>
      <w:r w:rsidRPr="001D7F74">
        <w:tab/>
        <w:t>Personnel</w:t>
      </w:r>
    </w:p>
    <w:p w:rsidR="00A26780" w:rsidRPr="001D7F74" w:rsidRDefault="00A26780" w:rsidP="00A26780">
      <w:r w:rsidRPr="001D7F74">
        <w:t>The team set-up at the beginning of the Study cycle remained as is at the end of the cycle. The work of the SG and the WPs was done under the very capable chairmanship of those people mentioned in Section 1 of this report but also with the help and good spirit of cooperation of all delegates having participated in the work of SG 7 and its WGs.</w:t>
      </w:r>
    </w:p>
    <w:p w:rsidR="00A26780" w:rsidRPr="001D7F74" w:rsidRDefault="00A26780" w:rsidP="00A26780">
      <w:r w:rsidRPr="001D7F74">
        <w:t>As Chairman of SG</w:t>
      </w:r>
      <w:r>
        <w:t> </w:t>
      </w:r>
      <w:r w:rsidRPr="001D7F74">
        <w:t>7 I would like to express my gratitude to all pa</w:t>
      </w:r>
      <w:r w:rsidR="00020254">
        <w:t xml:space="preserve">rticipants during these almost four </w:t>
      </w:r>
      <w:r w:rsidRPr="001D7F74">
        <w:t>years of hard work.</w:t>
      </w:r>
    </w:p>
    <w:p w:rsidR="00A26780" w:rsidRPr="001D7F74" w:rsidRDefault="00A26780" w:rsidP="00D934EF">
      <w:r w:rsidRPr="001D7F74">
        <w:t>Mr MARELLI, Chairman of WP 7C</w:t>
      </w:r>
      <w:r w:rsidR="00D934EF">
        <w:t>,</w:t>
      </w:r>
      <w:r w:rsidRPr="001D7F74">
        <w:t xml:space="preserve"> mentioned his upcoming retirement</w:t>
      </w:r>
      <w:r w:rsidR="00D934EF">
        <w:t>;</w:t>
      </w:r>
      <w:r w:rsidRPr="001D7F74">
        <w:t xml:space="preserve"> it will up to the new team to decide on the organization of the work for which at least one WP Chairman will be replaced. My sincere appreciation to Mr MARELLI for his work as Chairman of WP 7C.</w:t>
      </w:r>
    </w:p>
    <w:p w:rsidR="00A26780" w:rsidRPr="001D7F74" w:rsidRDefault="00A26780" w:rsidP="00A26780">
      <w:pPr>
        <w:pStyle w:val="Heading1"/>
      </w:pPr>
      <w:r w:rsidRPr="001D7F74">
        <w:t>8</w:t>
      </w:r>
      <w:r w:rsidRPr="001D7F74">
        <w:tab/>
        <w:t>Working method</w:t>
      </w:r>
    </w:p>
    <w:p w:rsidR="00A26780" w:rsidRPr="001D7F74" w:rsidRDefault="00A26780" w:rsidP="00A26780">
      <w:pPr>
        <w:pStyle w:val="Heading2"/>
      </w:pPr>
      <w:r w:rsidRPr="001D7F74">
        <w:t>8.1</w:t>
      </w:r>
      <w:r w:rsidRPr="001D7F74">
        <w:tab/>
        <w:t xml:space="preserve">Meetings </w:t>
      </w:r>
    </w:p>
    <w:p w:rsidR="00A26780" w:rsidRPr="001D7F74" w:rsidRDefault="00A26780" w:rsidP="00A26780">
      <w:r w:rsidRPr="001D7F74">
        <w:t>The number and duration of SG meetings was closely aligned with the product delivery from the WPs. It is useful to be able to plan dates for the annual SG meeting about one year in advance to enable the cancellation of a meeting six months prior to the planned date(s) if the WP’s report has insufficient documents for discussion. Considering the outcome from the steering group meetings, it was then decided not to have SG meetings every year.</w:t>
      </w:r>
    </w:p>
    <w:p w:rsidR="00A26780" w:rsidRPr="001D7F74" w:rsidRDefault="00A26780" w:rsidP="00A26780">
      <w:r w:rsidRPr="001D7F74">
        <w:t>On two occasion</w:t>
      </w:r>
      <w:r w:rsidR="00D934EF">
        <w:t>s</w:t>
      </w:r>
      <w:r w:rsidRPr="001D7F74">
        <w:t xml:space="preserve"> the SG meetings were held on two non-consecutive working days, separated by the Working </w:t>
      </w:r>
      <w:r>
        <w:t>Party</w:t>
      </w:r>
      <w:r w:rsidRPr="001D7F74">
        <w:t xml:space="preserve"> meetings. This allowed, in case of difficulties in the adoption or approval of a Recommendation, Report or Question</w:t>
      </w:r>
      <w:r w:rsidR="00D934EF">
        <w:t>,</w:t>
      </w:r>
      <w:r w:rsidRPr="001D7F74">
        <w:t xml:space="preserve"> to keep it within the SG and have informal discussions that allowed to resolve the difficulty during the second day of the meeting. In many instances this working method has proved to be a very useful tool in resolving the difficulties.</w:t>
      </w:r>
    </w:p>
    <w:p w:rsidR="00A26780" w:rsidRPr="001D7F74" w:rsidRDefault="00A26780" w:rsidP="00A26780">
      <w:r w:rsidRPr="001D7F74">
        <w:t>The four Working Parties held their meeting</w:t>
      </w:r>
      <w:r>
        <w:t>s</w:t>
      </w:r>
      <w:r w:rsidRPr="001D7F74">
        <w:t xml:space="preserve"> in parallel, however to try to make it easier for small delegations to participate fully in the discussions and decisions that concern them, the opening and closing of WP meetings were staggered wherever feasible to provide better access and to accommodate the needs of the BR Counsellor where necessary.</w:t>
      </w:r>
    </w:p>
    <w:p w:rsidR="00A26780" w:rsidRPr="001D7F74" w:rsidRDefault="00A26780" w:rsidP="00020254">
      <w:pPr>
        <w:pStyle w:val="Heading2"/>
      </w:pPr>
      <w:r w:rsidRPr="001D7F74">
        <w:t>8.2</w:t>
      </w:r>
      <w:r w:rsidRPr="001D7F74">
        <w:tab/>
        <w:t xml:space="preserve">Consent </w:t>
      </w:r>
      <w:r w:rsidR="00020254">
        <w:t>A</w:t>
      </w:r>
      <w:r w:rsidRPr="001D7F74">
        <w:t>genda</w:t>
      </w:r>
    </w:p>
    <w:p w:rsidR="00A26780" w:rsidRPr="001D7F74" w:rsidRDefault="00A26780" w:rsidP="00A26780">
      <w:r w:rsidRPr="001D7F74">
        <w:t xml:space="preserve">The SG meeting is scheduled for two non-contiguous days separated by a four-day meeting of the WPs. On the first day of the SG documents from the published agenda are considered one-by-one. If no objections are received to a given document’s text, that document, along with the appropriate method of submission for approval by the Member States, is “agreed” (not adopted). All documents with “agreed text” are appended to a Consent Agenda for early block consideration at the opening of the second day of the SG meeting. The Consent Agenda is published within 24 hours </w:t>
      </w:r>
      <w:r>
        <w:t>on</w:t>
      </w:r>
      <w:r w:rsidRPr="001D7F74">
        <w:t xml:space="preserve"> the ITU website. This is done for the convenience of members/delegations that cannot afford to have their executives out of the office for six days or more, and choose to participate only in the second day of the SG meeting.</w:t>
      </w:r>
    </w:p>
    <w:p w:rsidR="00A26780" w:rsidRPr="001D7F74" w:rsidRDefault="00A26780" w:rsidP="00A26780">
      <w:r w:rsidRPr="001D7F74">
        <w:t>In the case of an objection or contention during the first day of the SG the discourse is curtailed and the document is either sent back to the appropriate WP for detailed discussion and modification, or in case of minor difficulties, kept within the SG for informal discussions to resolve the difficulty before the second day of the SG meeting. The WP can take advantage of the presence of the objector to resolve any difficulty.</w:t>
      </w:r>
    </w:p>
    <w:p w:rsidR="00A26780" w:rsidRPr="001D7F74" w:rsidRDefault="00A26780" w:rsidP="00A26780">
      <w:r w:rsidRPr="001D7F74">
        <w:t>An early item on the agenda of the second day of the SG meeting is the Consent Agenda. The list of documents (Consent Agenda) is read as one item and, if agreed again, then all items on the list are considered adopted. Any objection being raised to an item on the Consent Agenda simply means that the item is removed from the Consent Agenda for more detailed discussion later that same day.</w:t>
      </w:r>
    </w:p>
    <w:p w:rsidR="00A26780" w:rsidRPr="001D7F74" w:rsidRDefault="00A26780" w:rsidP="00A26780">
      <w:r w:rsidRPr="001D7F74">
        <w:t>The remainder of the second day of the SG meeting is given to consideration of those documents that were not agreed on day one (if the issues have been resolved amicably) and new items coming from the WP meeting that are either a) “mature” as described above or b) urgently required (such as for a WRC). These new items would not be adopted but would be sent for Simultaneous Adoption and Approval (PSAA).</w:t>
      </w:r>
    </w:p>
    <w:p w:rsidR="00A26780" w:rsidRPr="001D7F74" w:rsidRDefault="00A26780" w:rsidP="00A26780">
      <w:r w:rsidRPr="001D7F74">
        <w:t>In the case of Recommendations that were foreseen to be discussed on the second day of the SG meeting, if agreed by the SG, they would be sent for Adoption by correspondence and then Approval by correspondence.</w:t>
      </w:r>
    </w:p>
    <w:p w:rsidR="00A26780" w:rsidRPr="001D7F74" w:rsidRDefault="00A26780" w:rsidP="00A26780">
      <w:r w:rsidRPr="001D7F74">
        <w:t>The method has been used throughout the reporting period and has improved the efficiency and effectiveness of the SG.</w:t>
      </w:r>
    </w:p>
    <w:p w:rsidR="00A26780" w:rsidRPr="001D7F74" w:rsidRDefault="00A26780" w:rsidP="00A26780">
      <w:pPr>
        <w:pStyle w:val="Heading1"/>
      </w:pPr>
      <w:r>
        <w:t>9</w:t>
      </w:r>
      <w:r w:rsidRPr="001D7F74">
        <w:tab/>
        <w:t>Proposed modification of Appendix 7</w:t>
      </w:r>
    </w:p>
    <w:p w:rsidR="00A26780" w:rsidRPr="001D7F74" w:rsidRDefault="00A26780" w:rsidP="00A26780">
      <w:r w:rsidRPr="001D7F74">
        <w:t xml:space="preserve">In the current study period, Working Party 7B has prepared a report on the protection of SRS earth stations from aircraft stations in the 2 200-2 290 MHz band (Report ITU-R </w:t>
      </w:r>
      <w:hyperlink r:id="rId9" w:history="1">
        <w:r w:rsidRPr="001D7F74">
          <w:rPr>
            <w:rStyle w:val="Hyperlink"/>
          </w:rPr>
          <w:t>SA.2276</w:t>
        </w:r>
      </w:hyperlink>
      <w:r w:rsidRPr="001D7F74">
        <w:t>), which was consequently adopted by Study Group 7. This Report gives separation distances between aircraft stations and several SRS earth stations as a function of aircraft altitudes to protect the SRS earth stations. The results show that the current 500 km predetermined coordination distance given in Table 10/Annex 7/Appendix </w:t>
      </w:r>
      <w:r w:rsidRPr="001D7F74">
        <w:rPr>
          <w:b/>
          <w:bCs/>
        </w:rPr>
        <w:t>7</w:t>
      </w:r>
      <w:r w:rsidRPr="001D7F74">
        <w:t xml:space="preserve"> of </w:t>
      </w:r>
      <w:r>
        <w:t>the Radio Regulations (</w:t>
      </w:r>
      <w:r w:rsidRPr="001D7F74">
        <w:t>RR</w:t>
      </w:r>
      <w:r>
        <w:t>)</w:t>
      </w:r>
      <w:r w:rsidRPr="001D7F74">
        <w:t xml:space="preserve"> is not sufficient to protect the SRS earth stations and actually 880</w:t>
      </w:r>
      <w:r>
        <w:t> </w:t>
      </w:r>
      <w:r w:rsidRPr="001D7F74">
        <w:t> km would be needed to protect them. Based on this report, Study Group 7 has approved Recommendation ITU-R SA.2078-0 which recommends to use 880 km as the coordination distance between SRS earth stations and aircraft stations.</w:t>
      </w:r>
    </w:p>
    <w:p w:rsidR="00A26780" w:rsidRPr="001D7F74" w:rsidRDefault="00A26780" w:rsidP="00A26780">
      <w:r w:rsidRPr="001D7F74">
        <w:t xml:space="preserve">The last row of Table 10/Annex 7/Appendix </w:t>
      </w:r>
      <w:r w:rsidRPr="001D7F74">
        <w:rPr>
          <w:b/>
          <w:bCs/>
        </w:rPr>
        <w:t>7</w:t>
      </w:r>
      <w:r w:rsidRPr="001D7F74">
        <w:t xml:space="preserve"> of the current RR specifies a 500</w:t>
      </w:r>
      <w:r>
        <w:t> </w:t>
      </w:r>
      <w:r w:rsidRPr="001D7F74">
        <w:t xml:space="preserve">km predetermined coordination distance between mobile (aircraft) stations and ground-based stations in the bands in which the frequency sharing situation is not covered in the other rows. Since the current Table 10 does not include a row that specifies the required coordination distance between space research earth stations and mobile (aircraft) stations in the 2 200-2 290 MHz band, the administrations are likely to use 500 km as the coordination distance between these stations. </w:t>
      </w:r>
    </w:p>
    <w:p w:rsidR="00A26780" w:rsidRPr="001D7F74" w:rsidRDefault="001722C9" w:rsidP="00A26780">
      <w:hyperlink r:id="rId10" w:history="1">
        <w:r w:rsidR="00A26780" w:rsidRPr="00D934EF">
          <w:rPr>
            <w:rStyle w:val="Hyperlink"/>
            <w:color w:val="0000FF" w:themeColor="hyperlink"/>
            <w:u w:val="single"/>
          </w:rPr>
          <w:t>Document 7/1005</w:t>
        </w:r>
      </w:hyperlink>
      <w:r w:rsidR="00A26780">
        <w:t>,</w:t>
      </w:r>
      <w:r w:rsidR="00A26780" w:rsidRPr="001D7F74">
        <w:t xml:space="preserve"> therefore, proposes to add a new row to Table 10, Annex 7 in Appendix </w:t>
      </w:r>
      <w:r w:rsidR="00A26780" w:rsidRPr="001D7F74">
        <w:rPr>
          <w:b/>
          <w:bCs/>
        </w:rPr>
        <w:t>7</w:t>
      </w:r>
      <w:r w:rsidR="00A26780" w:rsidRPr="001D7F74">
        <w:t xml:space="preserve"> of </w:t>
      </w:r>
      <w:r w:rsidR="00A26780">
        <w:t xml:space="preserve">the </w:t>
      </w:r>
      <w:r w:rsidR="00A26780" w:rsidRPr="001D7F74">
        <w:t xml:space="preserve">RR that specifies the required coordination distance between aircraft stations and SRS earth stations in the 2 200-2 290 MHz band. </w:t>
      </w:r>
    </w:p>
    <w:p w:rsidR="00A26780" w:rsidRPr="001D7F74" w:rsidRDefault="00A26780" w:rsidP="00A26780">
      <w:r w:rsidRPr="001D7F74">
        <w:t xml:space="preserve">Under Resolution </w:t>
      </w:r>
      <w:r w:rsidRPr="001D7F74">
        <w:rPr>
          <w:b/>
        </w:rPr>
        <w:t>74</w:t>
      </w:r>
      <w:r w:rsidRPr="001D7F74">
        <w:t xml:space="preserve"> </w:t>
      </w:r>
      <w:r w:rsidRPr="001D7F74">
        <w:rPr>
          <w:b/>
          <w:bCs/>
        </w:rPr>
        <w:t>(Rev.WRC-03)</w:t>
      </w:r>
      <w:r w:rsidRPr="001D7F74">
        <w:t xml:space="preserve"> which outlines the process to keep the technical bases of Appendix </w:t>
      </w:r>
      <w:r w:rsidRPr="001D7F74">
        <w:rPr>
          <w:b/>
          <w:bCs/>
        </w:rPr>
        <w:t>7</w:t>
      </w:r>
      <w:r w:rsidRPr="001D7F74">
        <w:t xml:space="preserve"> current, Study Group 7 seeks the view of the Radiocommunication Assembly to confirm the need to modify Appendix 7 coordination  parameters. If so under </w:t>
      </w:r>
      <w:r w:rsidRPr="00020254">
        <w:rPr>
          <w:i/>
          <w:iCs/>
        </w:rPr>
        <w:t>resolves</w:t>
      </w:r>
      <w:r w:rsidRPr="001D7F74">
        <w:t xml:space="preserve"> 2 of Resolution </w:t>
      </w:r>
      <w:r w:rsidRPr="001D7F74">
        <w:rPr>
          <w:b/>
        </w:rPr>
        <w:t>74 (Rev.WRC-03)</w:t>
      </w:r>
      <w:r w:rsidRPr="001D7F74">
        <w:t>, the Director of the Radiocommunication Bureau shall identify the matter in the Director’s report to WRC-15</w:t>
      </w:r>
      <w:r>
        <w:t>.</w:t>
      </w:r>
    </w:p>
    <w:p w:rsidR="00A26780" w:rsidRPr="001D7F74" w:rsidRDefault="00A26780" w:rsidP="00A26780">
      <w:pPr>
        <w:pStyle w:val="Heading1"/>
      </w:pPr>
      <w:r w:rsidRPr="001D7F74">
        <w:t>1</w:t>
      </w:r>
      <w:r>
        <w:t>0</w:t>
      </w:r>
      <w:r w:rsidRPr="001D7F74">
        <w:tab/>
        <w:t>Conclusions</w:t>
      </w:r>
    </w:p>
    <w:p w:rsidR="00A26780" w:rsidRPr="001D7F74" w:rsidRDefault="00A26780" w:rsidP="00A26780">
      <w:r w:rsidRPr="001D7F74">
        <w:t xml:space="preserve">The SG has worked well during this </w:t>
      </w:r>
      <w:r>
        <w:t xml:space="preserve">study </w:t>
      </w:r>
      <w:r w:rsidRPr="001D7F74">
        <w:t>period. It has been able to complete all its work related to the preparation of WRC-15, adopting and approving all Reports and Recommendations that were essential in the proposed methods described in the CPM Report. The cooperation between all administrations and Sector Members was exemplary.</w:t>
      </w:r>
    </w:p>
    <w:p w:rsidR="00A26780" w:rsidRPr="001D7F74" w:rsidRDefault="00A26780" w:rsidP="00A26780">
      <w:r w:rsidRPr="001D7F74">
        <w:t>The review of Recommendations and Questions led by the Vice-Chairmen and the WP Chairmen implied that several Recommendations were deleted and replaced by more appropriate Reports, all in all leading to a cleaner distribution of Recommendations vs. Reports while keeping studies that have valuable information in the work of the SG.</w:t>
      </w:r>
    </w:p>
    <w:p w:rsidR="00A26780" w:rsidRPr="001D7F74" w:rsidRDefault="00A26780" w:rsidP="00A26780">
      <w:pPr>
        <w:pStyle w:val="Heading1"/>
      </w:pPr>
      <w:r w:rsidRPr="001D7F74">
        <w:t>1</w:t>
      </w:r>
      <w:r>
        <w:t>1</w:t>
      </w:r>
      <w:r w:rsidRPr="001D7F74">
        <w:tab/>
        <w:t>Closing</w:t>
      </w:r>
    </w:p>
    <w:p w:rsidR="00A26780" w:rsidRPr="001D7F74" w:rsidRDefault="00A26780" w:rsidP="00A26780">
      <w:r w:rsidRPr="001D7F74">
        <w:t xml:space="preserve">As Chairman of SG 7, I would like to offer my sincere thanks to the Working Party Chairmen who have led the studies during the last four years. Their work has been exemplary and their leadership appreciated by the whole SG. I also wish to thank the Vice-Chairmen of the SG who cooperated well, and addressed assigned tasks diligently. Their advice within the Steering Group was invaluable in a number of cases and helped the SG achieve its goals. </w:t>
      </w:r>
    </w:p>
    <w:p w:rsidR="00A26780" w:rsidRPr="001D7F74" w:rsidRDefault="00A26780" w:rsidP="00A26780">
      <w:r w:rsidRPr="001D7F74">
        <w:t>I cannot adequately express my respect and admiration for the staff of the Radiocommunication Bureau, from the Director on down. I have had the privilege of working Mr Vadim NOZDRIN as coun</w:t>
      </w:r>
      <w:r>
        <w:t>s</w:t>
      </w:r>
      <w:r w:rsidRPr="001D7F74">
        <w:t>ellor. It has been a great pleasure to work with him.</w:t>
      </w:r>
    </w:p>
    <w:p w:rsidR="00A26780" w:rsidRPr="001D7F74" w:rsidRDefault="00A26780" w:rsidP="00A26780">
      <w:r w:rsidRPr="001D7F74">
        <w:t>A big “thank you” to all SG participants. It has been an honour and a privilege to serve you for the past four years.</w:t>
      </w:r>
    </w:p>
    <w:p w:rsidR="00A26780" w:rsidRDefault="00A26780" w:rsidP="00A26780">
      <w:pPr>
        <w:pStyle w:val="Reasons"/>
      </w:pPr>
    </w:p>
    <w:p w:rsidR="00A26780" w:rsidRDefault="00A26780" w:rsidP="00A26780">
      <w:pPr>
        <w:jc w:val="center"/>
      </w:pPr>
      <w:r>
        <w:t>______________</w:t>
      </w:r>
    </w:p>
    <w:sectPr w:rsidR="00A26780" w:rsidSect="009447A3">
      <w:headerReference w:type="default" r:id="rId11"/>
      <w:footerReference w:type="even" r:id="rId12"/>
      <w:footerReference w:type="default" r:id="rId13"/>
      <w:footerReference w:type="first" r:id="rId1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CAE" w:rsidRDefault="00060CAE">
      <w:r>
        <w:separator/>
      </w:r>
    </w:p>
  </w:endnote>
  <w:endnote w:type="continuationSeparator" w:id="0">
    <w:p w:rsidR="00060CAE" w:rsidRDefault="00060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1722C9">
      <w:rPr>
        <w:noProof/>
        <w:lang w:val="es-ES_tradnl"/>
      </w:rPr>
      <w:t>P:\ENG\ITU-R\SG-R\SG07\1000\1001E.docx</w:t>
    </w:r>
    <w:r>
      <w:fldChar w:fldCharType="end"/>
    </w:r>
    <w:r w:rsidRPr="009447A3">
      <w:rPr>
        <w:lang w:val="es-ES_tradnl"/>
      </w:rPr>
      <w:tab/>
    </w:r>
    <w:r>
      <w:fldChar w:fldCharType="begin"/>
    </w:r>
    <w:r>
      <w:instrText xml:space="preserve"> SAVEDATE \@ DD.MM.YY </w:instrText>
    </w:r>
    <w:r>
      <w:fldChar w:fldCharType="separate"/>
    </w:r>
    <w:r w:rsidR="001722C9">
      <w:rPr>
        <w:noProof/>
      </w:rPr>
      <w:t>11.09.15</w:t>
    </w:r>
    <w:r>
      <w:fldChar w:fldCharType="end"/>
    </w:r>
    <w:r w:rsidRPr="009447A3">
      <w:rPr>
        <w:lang w:val="es-ES_tradnl"/>
      </w:rPr>
      <w:tab/>
    </w:r>
    <w:r>
      <w:fldChar w:fldCharType="begin"/>
    </w:r>
    <w:r>
      <w:instrText xml:space="preserve"> PRINTDATE \@ DD.MM.YY </w:instrText>
    </w:r>
    <w:r>
      <w:fldChar w:fldCharType="separate"/>
    </w:r>
    <w:r w:rsidR="001722C9">
      <w:rPr>
        <w:noProof/>
      </w:rPr>
      <w:t>14.09.15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780" w:rsidRDefault="000300A7" w:rsidP="00A26780">
    <w:pPr>
      <w:pStyle w:val="Footer"/>
    </w:pPr>
    <w:fldSimple w:instr=" FILENAME \p  \* MERGEFORMAT ">
      <w:r w:rsidR="001722C9">
        <w:t>P:\ENG\ITU-R\SG-R\SG07\1000\1001E.docx</w:t>
      </w:r>
    </w:fldSimple>
    <w:r w:rsidR="00A26780">
      <w:t xml:space="preserve"> (383155)</w:t>
    </w:r>
    <w:r w:rsidR="00A26780">
      <w:tab/>
    </w:r>
    <w:r w:rsidR="00A26780">
      <w:fldChar w:fldCharType="begin"/>
    </w:r>
    <w:r w:rsidR="00A26780">
      <w:instrText xml:space="preserve"> SAVEDATE \@ DD.MM.YY </w:instrText>
    </w:r>
    <w:r w:rsidR="00A26780">
      <w:fldChar w:fldCharType="separate"/>
    </w:r>
    <w:r w:rsidR="001722C9">
      <w:t>11.09.15</w:t>
    </w:r>
    <w:r w:rsidR="00A26780">
      <w:fldChar w:fldCharType="end"/>
    </w:r>
    <w:r w:rsidR="00A26780">
      <w:tab/>
    </w:r>
    <w:r w:rsidR="00A26780">
      <w:fldChar w:fldCharType="begin"/>
    </w:r>
    <w:r w:rsidR="00A26780">
      <w:instrText xml:space="preserve"> PRINTDATE \@ DD.MM.YY </w:instrText>
    </w:r>
    <w:r w:rsidR="00A26780">
      <w:fldChar w:fldCharType="separate"/>
    </w:r>
    <w:r w:rsidR="001722C9">
      <w:t>14.09.15</w:t>
    </w:r>
    <w:r w:rsidR="00A2678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780" w:rsidRDefault="001722C9">
    <w:pPr>
      <w:pStyle w:val="Footer"/>
    </w:pPr>
    <w:r>
      <w:fldChar w:fldCharType="begin"/>
    </w:r>
    <w:r>
      <w:instrText xml:space="preserve"> FILENAME \p  \* MERGEFORMAT </w:instrText>
    </w:r>
    <w:r>
      <w:fldChar w:fldCharType="separate"/>
    </w:r>
    <w:r>
      <w:t>P:\ENG\ITU-R\SG-R\SG07\1000\1001E.docx</w:t>
    </w:r>
    <w:r>
      <w:fldChar w:fldCharType="end"/>
    </w:r>
    <w:r w:rsidR="00A26780">
      <w:t xml:space="preserve"> (383155)</w:t>
    </w:r>
    <w:r w:rsidR="00A26780">
      <w:tab/>
    </w:r>
    <w:r w:rsidR="00A26780">
      <w:fldChar w:fldCharType="begin"/>
    </w:r>
    <w:r w:rsidR="00A26780">
      <w:instrText xml:space="preserve"> SAVEDATE \@ DD.MM.YY </w:instrText>
    </w:r>
    <w:r w:rsidR="00A26780">
      <w:fldChar w:fldCharType="separate"/>
    </w:r>
    <w:r>
      <w:t>11.09.15</w:t>
    </w:r>
    <w:r w:rsidR="00A26780">
      <w:fldChar w:fldCharType="end"/>
    </w:r>
    <w:r w:rsidR="00A26780">
      <w:tab/>
    </w:r>
    <w:r w:rsidR="00A26780">
      <w:fldChar w:fldCharType="begin"/>
    </w:r>
    <w:r w:rsidR="00A26780">
      <w:instrText xml:space="preserve"> PRINTDATE \@ DD.MM.YY </w:instrText>
    </w:r>
    <w:r w:rsidR="00A26780">
      <w:fldChar w:fldCharType="separate"/>
    </w:r>
    <w:r>
      <w:t>14.09.15</w:t>
    </w:r>
    <w:r w:rsidR="00A2678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CAE" w:rsidRDefault="00060CAE">
      <w:r>
        <w:rPr>
          <w:b/>
        </w:rPr>
        <w:t>_______________</w:t>
      </w:r>
    </w:p>
  </w:footnote>
  <w:footnote w:type="continuationSeparator" w:id="0">
    <w:p w:rsidR="00060CAE" w:rsidRDefault="00060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CAE" w:rsidRDefault="00060CAE">
    <w:pPr>
      <w:pStyle w:val="Header"/>
    </w:pPr>
    <w:r>
      <w:fldChar w:fldCharType="begin"/>
    </w:r>
    <w:r>
      <w:instrText xml:space="preserve"> PAGE  \* MERGEFORMAT </w:instrText>
    </w:r>
    <w:r>
      <w:fldChar w:fldCharType="separate"/>
    </w:r>
    <w:r w:rsidR="001722C9">
      <w:rPr>
        <w:noProof/>
      </w:rPr>
      <w:t>3</w:t>
    </w:r>
    <w:r>
      <w:fldChar w:fldCharType="end"/>
    </w:r>
  </w:p>
  <w:p w:rsidR="00060CAE" w:rsidRDefault="00060CAE">
    <w:pPr>
      <w:pStyle w:val="Header"/>
    </w:pPr>
    <w:r>
      <w:t>7/1001-E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8EF6E11"/>
    <w:multiLevelType w:val="hybridMultilevel"/>
    <w:tmpl w:val="B7B2A2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CAE"/>
    <w:rsid w:val="00020254"/>
    <w:rsid w:val="000300A7"/>
    <w:rsid w:val="00060CAE"/>
    <w:rsid w:val="000D1293"/>
    <w:rsid w:val="001722C9"/>
    <w:rsid w:val="001B225D"/>
    <w:rsid w:val="00206408"/>
    <w:rsid w:val="0030579C"/>
    <w:rsid w:val="003F6D56"/>
    <w:rsid w:val="00425F3D"/>
    <w:rsid w:val="004844C1"/>
    <w:rsid w:val="004D6FFE"/>
    <w:rsid w:val="005E0BE1"/>
    <w:rsid w:val="005F1974"/>
    <w:rsid w:val="0071246B"/>
    <w:rsid w:val="00756B1C"/>
    <w:rsid w:val="007C6911"/>
    <w:rsid w:val="008145E1"/>
    <w:rsid w:val="00880578"/>
    <w:rsid w:val="008A7B8E"/>
    <w:rsid w:val="009447A3"/>
    <w:rsid w:val="00965453"/>
    <w:rsid w:val="00993768"/>
    <w:rsid w:val="009E375D"/>
    <w:rsid w:val="00A05CE9"/>
    <w:rsid w:val="00A26780"/>
    <w:rsid w:val="00BB03AF"/>
    <w:rsid w:val="00BE5003"/>
    <w:rsid w:val="00BF5E61"/>
    <w:rsid w:val="00C46060"/>
    <w:rsid w:val="00CB1338"/>
    <w:rsid w:val="00D262CE"/>
    <w:rsid w:val="00D471A9"/>
    <w:rsid w:val="00D50D44"/>
    <w:rsid w:val="00D934EF"/>
    <w:rsid w:val="00DA716F"/>
    <w:rsid w:val="00E424C3"/>
    <w:rsid w:val="00EE1A06"/>
    <w:rsid w:val="00EE4AD6"/>
    <w:rsid w:val="00F329B0"/>
    <w:rsid w:val="00F85105"/>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6D4ECC7-2486-4AF3-A25D-421C2BFA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styleId="Hyperlink">
    <w:name w:val="Hyperlink"/>
    <w:rsid w:val="00A26780"/>
    <w:rPr>
      <w:color w:val="0000FF"/>
      <w:u w:val="none"/>
    </w:rPr>
  </w:style>
  <w:style w:type="paragraph" w:styleId="ListParagraph">
    <w:name w:val="List Paragraph"/>
    <w:basedOn w:val="Normal"/>
    <w:uiPriority w:val="34"/>
    <w:qFormat/>
    <w:rsid w:val="00A26780"/>
    <w:pPr>
      <w:ind w:left="720"/>
      <w:contextualSpacing/>
    </w:pPr>
  </w:style>
  <w:style w:type="character" w:styleId="FollowedHyperlink">
    <w:name w:val="FollowedHyperlink"/>
    <w:basedOn w:val="DefaultParagraphFont"/>
    <w:semiHidden/>
    <w:unhideWhenUsed/>
    <w:rsid w:val="00D934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7-C/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tu.int/md/R12-SG07-RP-1005/en" TargetMode="External"/><Relationship Id="rId4" Type="http://schemas.openxmlformats.org/officeDocument/2006/relationships/webSettings" Target="webSettings.xml"/><Relationship Id="rId9" Type="http://schemas.openxmlformats.org/officeDocument/2006/relationships/hyperlink" Target="http://www.itu.int/pub/R-REP-SA.2276-2013"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44</TotalTime>
  <Pages>6</Pages>
  <Words>2546</Words>
  <Characters>13163</Characters>
  <Application>Microsoft Office Word</Application>
  <DocSecurity>0</DocSecurity>
  <Lines>342</Lines>
  <Paragraphs>124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15636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Currie, Jane</dc:creator>
  <cp:keywords/>
  <dc:description>PE_RA12.dotm  For: _x000d_Document date: _x000d_Saved by MM-106465 at 11:44:53 on 04/04/11</dc:description>
  <cp:lastModifiedBy>Currie, Jane</cp:lastModifiedBy>
  <cp:revision>7</cp:revision>
  <cp:lastPrinted>2015-09-14T09:09:00Z</cp:lastPrinted>
  <dcterms:created xsi:type="dcterms:W3CDTF">2015-09-02T07:39:00Z</dcterms:created>
  <dcterms:modified xsi:type="dcterms:W3CDTF">2015-09-14T09:09:00Z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