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8615C" w:rsidRPr="003120C9">
        <w:trPr>
          <w:cantSplit/>
        </w:trPr>
        <w:tc>
          <w:tcPr>
            <w:tcW w:w="6629" w:type="dxa"/>
          </w:tcPr>
          <w:p w:rsidR="00A8615C" w:rsidRPr="003120C9" w:rsidRDefault="00A8615C" w:rsidP="00D32C36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3120C9">
              <w:rPr>
                <w:rFonts w:ascii="Verdana" w:hAnsi="Verdana" w:cs="Times New Roman Bold"/>
                <w:b/>
                <w:szCs w:val="24"/>
              </w:rPr>
              <w:t>Assemblée des Radiocommunications (AR-15)</w:t>
            </w:r>
            <w:r w:rsidRPr="003120C9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3120C9">
              <w:rPr>
                <w:rFonts w:ascii="Verdana" w:hAnsi="Verdana" w:cs="Times"/>
                <w:b/>
                <w:sz w:val="20"/>
              </w:rPr>
              <w:t>Genève, 26-30 octobre 2015</w:t>
            </w:r>
          </w:p>
        </w:tc>
        <w:tc>
          <w:tcPr>
            <w:tcW w:w="3402" w:type="dxa"/>
          </w:tcPr>
          <w:p w:rsidR="00A8615C" w:rsidRPr="003120C9" w:rsidRDefault="00A8615C" w:rsidP="00D32C36">
            <w:pPr>
              <w:jc w:val="right"/>
            </w:pPr>
            <w:bookmarkStart w:id="0" w:name="ditulogo"/>
            <w:bookmarkEnd w:id="0"/>
            <w:r w:rsidRPr="003120C9">
              <w:rPr>
                <w:noProof/>
                <w:lang w:val="en-US" w:eastAsia="zh-CN"/>
              </w:rPr>
              <w:drawing>
                <wp:inline distT="0" distB="0" distL="0" distR="0" wp14:anchorId="4CFEFA8C" wp14:editId="6CDEA32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15C" w:rsidRPr="003120C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A8615C" w:rsidRPr="003120C9" w:rsidRDefault="00A8615C" w:rsidP="00D32C3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3120C9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8615C" w:rsidRPr="003120C9" w:rsidRDefault="00A8615C" w:rsidP="00D32C3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8615C" w:rsidRPr="003120C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A8615C" w:rsidRPr="003120C9" w:rsidRDefault="00A8615C" w:rsidP="00D32C3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8615C" w:rsidRPr="003120C9" w:rsidRDefault="00A8615C" w:rsidP="00D32C3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8615C" w:rsidRPr="003120C9">
        <w:trPr>
          <w:cantSplit/>
          <w:trHeight w:val="23"/>
        </w:trPr>
        <w:tc>
          <w:tcPr>
            <w:tcW w:w="6629" w:type="dxa"/>
            <w:vMerge w:val="restart"/>
          </w:tcPr>
          <w:p w:rsidR="00A8615C" w:rsidRPr="003120C9" w:rsidRDefault="00A8615C" w:rsidP="00D32C36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3120C9">
              <w:rPr>
                <w:rFonts w:ascii="Verdana" w:hAnsi="Verdana"/>
                <w:sz w:val="20"/>
              </w:rPr>
              <w:t>Source: Document 5/2</w:t>
            </w:r>
            <w:r w:rsidR="00EC5339">
              <w:rPr>
                <w:rFonts w:ascii="Verdana" w:hAnsi="Verdana"/>
                <w:sz w:val="20"/>
              </w:rPr>
              <w:t>14</w:t>
            </w:r>
          </w:p>
        </w:tc>
        <w:tc>
          <w:tcPr>
            <w:tcW w:w="3402" w:type="dxa"/>
          </w:tcPr>
          <w:p w:rsidR="00A8615C" w:rsidRPr="003120C9" w:rsidRDefault="00EC5339" w:rsidP="00D32C36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5/1009</w:t>
            </w:r>
            <w:r w:rsidR="00A8615C" w:rsidRPr="003120C9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A8615C" w:rsidRPr="003120C9">
        <w:trPr>
          <w:cantSplit/>
          <w:trHeight w:val="23"/>
        </w:trPr>
        <w:tc>
          <w:tcPr>
            <w:tcW w:w="6629" w:type="dxa"/>
            <w:vMerge/>
          </w:tcPr>
          <w:p w:rsidR="00A8615C" w:rsidRPr="003120C9" w:rsidRDefault="00A8615C" w:rsidP="00D32C36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A8615C" w:rsidRPr="003120C9" w:rsidRDefault="00A8615C" w:rsidP="00D32C3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120C9">
              <w:rPr>
                <w:rFonts w:ascii="Verdana" w:hAnsi="Verdana"/>
                <w:b/>
                <w:sz w:val="20"/>
              </w:rPr>
              <w:t>28 août 2015</w:t>
            </w:r>
          </w:p>
        </w:tc>
      </w:tr>
      <w:tr w:rsidR="00A8615C" w:rsidRPr="003120C9">
        <w:trPr>
          <w:cantSplit/>
          <w:trHeight w:val="23"/>
        </w:trPr>
        <w:tc>
          <w:tcPr>
            <w:tcW w:w="6629" w:type="dxa"/>
            <w:vMerge/>
          </w:tcPr>
          <w:p w:rsidR="00A8615C" w:rsidRPr="003120C9" w:rsidRDefault="00A8615C" w:rsidP="00D32C36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A8615C" w:rsidRPr="003120C9" w:rsidRDefault="00A8615C" w:rsidP="00D32C36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8615C" w:rsidRPr="003120C9">
        <w:trPr>
          <w:cantSplit/>
        </w:trPr>
        <w:tc>
          <w:tcPr>
            <w:tcW w:w="10031" w:type="dxa"/>
          </w:tcPr>
          <w:p w:rsidR="00A8615C" w:rsidRPr="003120C9" w:rsidRDefault="00864AE4" w:rsidP="00D32C36">
            <w:pPr>
              <w:pStyle w:val="Source"/>
            </w:pPr>
            <w:bookmarkStart w:id="7" w:name="dsource" w:colFirst="0" w:colLast="0"/>
            <w:bookmarkEnd w:id="4"/>
            <w:bookmarkEnd w:id="6"/>
            <w:r w:rsidRPr="003120C9">
              <w:t>Commission d</w:t>
            </w:r>
            <w:r w:rsidR="00AC209A">
              <w:t>'</w:t>
            </w:r>
            <w:r w:rsidRPr="003120C9">
              <w:t>études 5 des radiocommunicati</w:t>
            </w:r>
            <w:bookmarkStart w:id="8" w:name="_GoBack"/>
            <w:bookmarkEnd w:id="8"/>
            <w:r w:rsidRPr="003120C9">
              <w:t>ons</w:t>
            </w:r>
          </w:p>
        </w:tc>
      </w:tr>
      <w:tr w:rsidR="00A8615C" w:rsidRPr="003120C9">
        <w:trPr>
          <w:cantSplit/>
        </w:trPr>
        <w:tc>
          <w:tcPr>
            <w:tcW w:w="10031" w:type="dxa"/>
          </w:tcPr>
          <w:p w:rsidR="00A8615C" w:rsidRPr="003120C9" w:rsidRDefault="00864AE4" w:rsidP="00D32C36">
            <w:pPr>
              <w:pStyle w:val="Title1"/>
            </w:pPr>
            <w:bookmarkStart w:id="9" w:name="dtitle1" w:colFirst="0" w:colLast="0"/>
            <w:bookmarkEnd w:id="7"/>
            <w:r w:rsidRPr="003120C9">
              <w:t>Projet de nouvelle Recommandation UIT-R M</w:t>
            </w:r>
            <w:r w:rsidR="00EC5339" w:rsidRPr="00192777">
              <w:rPr>
                <w:lang w:val="fr-CH"/>
              </w:rPr>
              <w:t>.[BSMS700]</w:t>
            </w:r>
          </w:p>
        </w:tc>
      </w:tr>
      <w:tr w:rsidR="00A8615C" w:rsidRPr="003120C9">
        <w:trPr>
          <w:cantSplit/>
        </w:trPr>
        <w:tc>
          <w:tcPr>
            <w:tcW w:w="10031" w:type="dxa"/>
          </w:tcPr>
          <w:p w:rsidR="00A8615C" w:rsidRPr="001852F0" w:rsidRDefault="00EC5339" w:rsidP="00D32C36">
            <w:pPr>
              <w:pStyle w:val="Title2"/>
              <w:rPr>
                <w:b/>
              </w:rPr>
            </w:pPr>
            <w:bookmarkStart w:id="10" w:name="dtitle2" w:colFirst="0" w:colLast="0"/>
            <w:bookmarkEnd w:id="9"/>
            <w:r w:rsidRPr="001852F0">
              <w:rPr>
                <w:b/>
                <w:caps w:val="0"/>
                <w:lang w:val="fr-CH" w:eastAsia="ja-JP"/>
              </w:rPr>
              <w:t>Limites spécifiques des émissions hors bande applicables aux station</w:t>
            </w:r>
            <w:r w:rsidR="00AC209A" w:rsidRPr="001852F0">
              <w:rPr>
                <w:b/>
                <w:caps w:val="0"/>
                <w:lang w:val="fr-CH" w:eastAsia="ja-JP"/>
              </w:rPr>
              <w:t>s mobiles</w:t>
            </w:r>
            <w:r w:rsidR="00D32C36">
              <w:rPr>
                <w:b/>
                <w:caps w:val="0"/>
                <w:lang w:val="fr-CH" w:eastAsia="ja-JP"/>
              </w:rPr>
              <w:t xml:space="preserve"> </w:t>
            </w:r>
            <w:r w:rsidRPr="001852F0">
              <w:rPr>
                <w:b/>
                <w:caps w:val="0"/>
                <w:lang w:val="fr-CH" w:eastAsia="ja-JP"/>
              </w:rPr>
              <w:t xml:space="preserve">IMT </w:t>
            </w:r>
            <w:r w:rsidR="00AC209A" w:rsidRPr="001852F0">
              <w:rPr>
                <w:b/>
                <w:caps w:val="0"/>
                <w:lang w:val="fr-CH" w:eastAsia="ja-JP"/>
              </w:rPr>
              <w:t>exploitées</w:t>
            </w:r>
            <w:r w:rsidRPr="001852F0">
              <w:rPr>
                <w:b/>
                <w:caps w:val="0"/>
                <w:lang w:val="fr-CH" w:eastAsia="ja-JP"/>
              </w:rPr>
              <w:t xml:space="preserve"> dans la bande de fréquences 694-790 MHz pour la protection </w:t>
            </w:r>
            <w:r w:rsidR="00D32C36">
              <w:rPr>
                <w:b/>
                <w:caps w:val="0"/>
                <w:lang w:val="fr-CH" w:eastAsia="ja-JP"/>
              </w:rPr>
              <w:br/>
            </w:r>
            <w:r w:rsidRPr="001852F0">
              <w:rPr>
                <w:b/>
                <w:caps w:val="0"/>
                <w:lang w:val="fr-CH" w:eastAsia="ja-JP"/>
              </w:rPr>
              <w:t>des services existants en</w:t>
            </w:r>
            <w:r w:rsidR="00AC209A" w:rsidRPr="001852F0">
              <w:rPr>
                <w:b/>
                <w:caps w:val="0"/>
                <w:lang w:val="fr-CH" w:eastAsia="ja-JP"/>
              </w:rPr>
              <w:t xml:space="preserve"> Région 1</w:t>
            </w:r>
            <w:r w:rsidRPr="001852F0">
              <w:rPr>
                <w:b/>
                <w:caps w:val="0"/>
                <w:lang w:val="fr-CH" w:eastAsia="ja-JP"/>
              </w:rPr>
              <w:t xml:space="preserve"> </w:t>
            </w:r>
            <w:r w:rsidR="00AC209A" w:rsidRPr="001852F0">
              <w:rPr>
                <w:b/>
                <w:caps w:val="0"/>
                <w:lang w:val="fr-CH" w:eastAsia="ja-JP"/>
              </w:rPr>
              <w:t xml:space="preserve">fonctionnant dans la bande </w:t>
            </w:r>
            <w:r w:rsidR="00D32C36">
              <w:rPr>
                <w:b/>
                <w:caps w:val="0"/>
                <w:lang w:val="fr-CH" w:eastAsia="ja-JP"/>
              </w:rPr>
              <w:br/>
            </w:r>
            <w:r w:rsidR="00AC209A" w:rsidRPr="001852F0">
              <w:rPr>
                <w:b/>
                <w:caps w:val="0"/>
                <w:lang w:val="fr-CH" w:eastAsia="ja-JP"/>
              </w:rPr>
              <w:t>de fréquences au</w:t>
            </w:r>
            <w:r w:rsidR="00AC209A" w:rsidRPr="001852F0">
              <w:rPr>
                <w:b/>
                <w:caps w:val="0"/>
                <w:lang w:val="fr-CH" w:eastAsia="ja-JP"/>
              </w:rPr>
              <w:noBreakHyphen/>
            </w:r>
            <w:r w:rsidRPr="001852F0">
              <w:rPr>
                <w:b/>
                <w:caps w:val="0"/>
                <w:lang w:val="fr-CH" w:eastAsia="ja-JP"/>
              </w:rPr>
              <w:t xml:space="preserve">dessous </w:t>
            </w:r>
            <w:r w:rsidR="001852F0">
              <w:rPr>
                <w:b/>
                <w:caps w:val="0"/>
                <w:lang w:val="fr-CH" w:eastAsia="ja-JP"/>
              </w:rPr>
              <w:t xml:space="preserve">de </w:t>
            </w:r>
            <w:r w:rsidRPr="001852F0">
              <w:rPr>
                <w:b/>
                <w:caps w:val="0"/>
                <w:lang w:val="fr-CH" w:eastAsia="ja-JP"/>
              </w:rPr>
              <w:t>694 MHz</w:t>
            </w:r>
          </w:p>
        </w:tc>
      </w:tr>
    </w:tbl>
    <w:bookmarkEnd w:id="10"/>
    <w:p w:rsidR="00EC5339" w:rsidRPr="00653F05" w:rsidRDefault="00EC5339" w:rsidP="00D32C36">
      <w:pPr>
        <w:pStyle w:val="Headingb"/>
        <w:spacing w:before="360"/>
        <w:rPr>
          <w:lang w:val="fr-CH" w:eastAsia="ja-JP"/>
        </w:rPr>
      </w:pPr>
      <w:r w:rsidRPr="00653F05">
        <w:rPr>
          <w:lang w:val="fr-CH" w:eastAsia="ja-JP"/>
        </w:rPr>
        <w:t>Résumé de</w:t>
      </w:r>
      <w:r w:rsidR="00AC209A">
        <w:rPr>
          <w:lang w:val="fr-CH" w:eastAsia="ja-JP"/>
        </w:rPr>
        <w:t xml:space="preserve">s </w:t>
      </w:r>
      <w:r w:rsidRPr="00653F05">
        <w:rPr>
          <w:lang w:val="fr-CH" w:eastAsia="ja-JP"/>
        </w:rPr>
        <w:t>discussion</w:t>
      </w:r>
      <w:r w:rsidR="00AC209A">
        <w:rPr>
          <w:lang w:val="fr-CH" w:eastAsia="ja-JP"/>
        </w:rPr>
        <w:t>s</w:t>
      </w:r>
      <w:r w:rsidRPr="00653F05">
        <w:rPr>
          <w:lang w:val="fr-CH" w:eastAsia="ja-JP"/>
        </w:rPr>
        <w:t xml:space="preserve"> concernant le projet de nouvelle Recommandation </w:t>
      </w:r>
      <w:r>
        <w:rPr>
          <w:lang w:val="fr-CH" w:eastAsia="ja-JP"/>
        </w:rPr>
        <w:t>UIT</w:t>
      </w:r>
      <w:r w:rsidR="00C93D2A">
        <w:rPr>
          <w:lang w:val="fr-CH" w:eastAsia="ja-JP"/>
        </w:rPr>
        <w:t>-</w:t>
      </w:r>
      <w:r w:rsidRPr="00653F05">
        <w:rPr>
          <w:rFonts w:hint="eastAsia"/>
          <w:lang w:val="fr-CH" w:eastAsia="ja-JP"/>
        </w:rPr>
        <w:t>R M.[BSMS700]</w:t>
      </w:r>
      <w:r>
        <w:rPr>
          <w:lang w:val="fr-CH" w:eastAsia="ja-JP"/>
        </w:rPr>
        <w:t xml:space="preserve"> et raisons motivant l</w:t>
      </w:r>
      <w:r w:rsidR="00AC209A">
        <w:rPr>
          <w:lang w:val="fr-CH" w:eastAsia="ja-JP"/>
        </w:rPr>
        <w:t>'</w:t>
      </w:r>
      <w:r>
        <w:rPr>
          <w:lang w:val="fr-CH" w:eastAsia="ja-JP"/>
        </w:rPr>
        <w:t>objection à son adoption</w:t>
      </w:r>
    </w:p>
    <w:p w:rsidR="00EC5339" w:rsidRPr="00653F05" w:rsidRDefault="00EC5339" w:rsidP="00D32C36">
      <w:pPr>
        <w:pStyle w:val="Heading1"/>
        <w:rPr>
          <w:lang w:val="fr-CH" w:eastAsia="ja-JP"/>
        </w:rPr>
      </w:pPr>
      <w:r w:rsidRPr="00653F05">
        <w:rPr>
          <w:rFonts w:hint="eastAsia"/>
          <w:lang w:val="fr-CH" w:eastAsia="ja-JP"/>
        </w:rPr>
        <w:t>1</w:t>
      </w:r>
      <w:r w:rsidRPr="00653F05">
        <w:rPr>
          <w:lang w:val="fr-CH" w:eastAsia="ja-JP"/>
        </w:rPr>
        <w:tab/>
        <w:t>Résumé de</w:t>
      </w:r>
      <w:r w:rsidR="00AC209A">
        <w:rPr>
          <w:lang w:val="fr-CH" w:eastAsia="ja-JP"/>
        </w:rPr>
        <w:t>s</w:t>
      </w:r>
      <w:r w:rsidRPr="00653F05">
        <w:rPr>
          <w:lang w:val="fr-CH" w:eastAsia="ja-JP"/>
        </w:rPr>
        <w:t xml:space="preserve"> discussion</w:t>
      </w:r>
      <w:r w:rsidR="00AC209A">
        <w:rPr>
          <w:lang w:val="fr-CH" w:eastAsia="ja-JP"/>
        </w:rPr>
        <w:t>s</w:t>
      </w:r>
      <w:r w:rsidRPr="00653F05">
        <w:rPr>
          <w:lang w:val="fr-CH" w:eastAsia="ja-JP"/>
        </w:rPr>
        <w:t xml:space="preserve"> concernant le projet de nouvelle Recommandation </w:t>
      </w:r>
      <w:r>
        <w:rPr>
          <w:lang w:val="fr-CH" w:eastAsia="ja-JP"/>
        </w:rPr>
        <w:t>UIT</w:t>
      </w:r>
      <w:r w:rsidR="00C93D2A">
        <w:rPr>
          <w:lang w:val="fr-CH" w:eastAsia="ja-JP"/>
        </w:rPr>
        <w:t>-</w:t>
      </w:r>
      <w:r w:rsidRPr="00653F05">
        <w:rPr>
          <w:rFonts w:hint="eastAsia"/>
          <w:lang w:val="fr-CH" w:eastAsia="ja-JP"/>
        </w:rPr>
        <w:t>R M.[BSMS700]</w:t>
      </w:r>
      <w:r w:rsidR="00AC209A">
        <w:rPr>
          <w:lang w:val="fr-CH" w:eastAsia="ja-JP"/>
        </w:rPr>
        <w:t xml:space="preserve"> qui ont eu lieu à la réunion de </w:t>
      </w:r>
      <w:r>
        <w:rPr>
          <w:lang w:val="fr-CH" w:eastAsia="ja-JP"/>
        </w:rPr>
        <w:t>juillet 2015 de la Commission d</w:t>
      </w:r>
      <w:r w:rsidR="00AC209A">
        <w:rPr>
          <w:lang w:val="fr-CH" w:eastAsia="ja-JP"/>
        </w:rPr>
        <w:t>'</w:t>
      </w:r>
      <w:r>
        <w:rPr>
          <w:lang w:val="fr-CH" w:eastAsia="ja-JP"/>
        </w:rPr>
        <w:t>études 5</w:t>
      </w:r>
    </w:p>
    <w:p w:rsidR="00EC5339" w:rsidRPr="00653F05" w:rsidRDefault="00EC5339" w:rsidP="00D32C36">
      <w:pPr>
        <w:tabs>
          <w:tab w:val="clear" w:pos="2268"/>
          <w:tab w:val="left" w:pos="1905"/>
          <w:tab w:val="center" w:pos="8080"/>
        </w:tabs>
        <w:spacing w:beforeLines="50"/>
        <w:rPr>
          <w:bCs/>
          <w:lang w:val="fr-CH" w:eastAsia="ja-JP"/>
        </w:rPr>
      </w:pPr>
      <w:r w:rsidRPr="00653F05">
        <w:rPr>
          <w:bCs/>
          <w:lang w:val="fr-CH" w:eastAsia="ja-JP"/>
        </w:rPr>
        <w:t xml:space="preserve">Le Président a noté que de nombreux documents avaient été reçus concernant </w:t>
      </w:r>
      <w:r>
        <w:rPr>
          <w:bCs/>
          <w:lang w:val="fr-CH" w:eastAsia="ja-JP"/>
        </w:rPr>
        <w:t xml:space="preserve">la question traitée dans </w:t>
      </w:r>
      <w:r w:rsidRPr="00653F05">
        <w:rPr>
          <w:bCs/>
          <w:lang w:val="fr-CH" w:eastAsia="ja-JP"/>
        </w:rPr>
        <w:t>le projet de nouvelle Recommandation UIT</w:t>
      </w:r>
      <w:r w:rsidR="00AC209A">
        <w:rPr>
          <w:bCs/>
          <w:lang w:val="fr-CH" w:eastAsia="ja-JP"/>
        </w:rPr>
        <w:t>-</w:t>
      </w:r>
      <w:r w:rsidRPr="00653F05">
        <w:rPr>
          <w:bCs/>
          <w:lang w:val="fr-CH" w:eastAsia="ja-JP"/>
        </w:rPr>
        <w:t xml:space="preserve">R M.[BSMS700]. Il a également pris note des réserves exprimées </w:t>
      </w:r>
      <w:r>
        <w:rPr>
          <w:bCs/>
          <w:lang w:val="fr-CH" w:eastAsia="ja-JP"/>
        </w:rPr>
        <w:t>par une administration e</w:t>
      </w:r>
      <w:r w:rsidRPr="00653F05">
        <w:rPr>
          <w:bCs/>
          <w:lang w:val="fr-CH" w:eastAsia="ja-JP"/>
        </w:rPr>
        <w:t xml:space="preserve">t par certains Membres de </w:t>
      </w:r>
      <w:r>
        <w:rPr>
          <w:bCs/>
          <w:lang w:val="fr-CH" w:eastAsia="ja-JP"/>
        </w:rPr>
        <w:t>S</w:t>
      </w:r>
      <w:r w:rsidRPr="00653F05">
        <w:rPr>
          <w:bCs/>
          <w:lang w:val="fr-CH" w:eastAsia="ja-JP"/>
        </w:rPr>
        <w:t>ecteur</w:t>
      </w:r>
      <w:r>
        <w:rPr>
          <w:bCs/>
          <w:lang w:val="fr-CH" w:eastAsia="ja-JP"/>
        </w:rPr>
        <w:t xml:space="preserve">, </w:t>
      </w:r>
      <w:r w:rsidR="00AC209A">
        <w:rPr>
          <w:bCs/>
          <w:lang w:val="fr-CH" w:eastAsia="ja-JP"/>
        </w:rPr>
        <w:t>qui sont reproduites</w:t>
      </w:r>
      <w:r>
        <w:rPr>
          <w:bCs/>
          <w:lang w:val="fr-CH" w:eastAsia="ja-JP"/>
        </w:rPr>
        <w:t xml:space="preserve"> dans le Rapport du Président du</w:t>
      </w:r>
      <w:r w:rsidRPr="00653F05">
        <w:rPr>
          <w:bCs/>
          <w:lang w:val="fr-CH" w:eastAsia="ja-JP"/>
        </w:rPr>
        <w:t xml:space="preserve"> </w:t>
      </w:r>
      <w:r>
        <w:rPr>
          <w:bCs/>
          <w:lang w:val="fr-CH" w:eastAsia="ja-JP"/>
        </w:rPr>
        <w:t xml:space="preserve">GT </w:t>
      </w:r>
      <w:r w:rsidRPr="00653F05">
        <w:rPr>
          <w:bCs/>
          <w:lang w:val="fr-CH" w:eastAsia="ja-JP"/>
        </w:rPr>
        <w:t>5D</w:t>
      </w:r>
      <w:r w:rsidRPr="00653F05">
        <w:rPr>
          <w:rFonts w:hint="eastAsia"/>
          <w:bCs/>
          <w:lang w:val="fr-CH" w:eastAsia="ja-JP"/>
        </w:rPr>
        <w:t xml:space="preserve"> </w:t>
      </w:r>
      <w:r>
        <w:rPr>
          <w:bCs/>
          <w:lang w:val="fr-CH" w:eastAsia="ja-JP"/>
        </w:rPr>
        <w:t>(</w:t>
      </w:r>
      <w:r w:rsidRPr="00653F05">
        <w:rPr>
          <w:rFonts w:hint="eastAsia"/>
          <w:bCs/>
          <w:lang w:val="fr-CH" w:eastAsia="ja-JP"/>
        </w:rPr>
        <w:t>Document</w:t>
      </w:r>
      <w:r w:rsidRPr="00653F05">
        <w:rPr>
          <w:bCs/>
          <w:lang w:val="fr-CH" w:eastAsia="ja-JP"/>
        </w:rPr>
        <w:t> </w:t>
      </w:r>
      <w:hyperlink r:id="rId8" w:history="1">
        <w:r w:rsidRPr="00653F05">
          <w:rPr>
            <w:rStyle w:val="Hyperlink"/>
            <w:rFonts w:hint="eastAsia"/>
            <w:bCs/>
            <w:lang w:val="fr-CH" w:eastAsia="ja-JP"/>
          </w:rPr>
          <w:t>5/245</w:t>
        </w:r>
      </w:hyperlink>
      <w:r w:rsidRPr="00653F05">
        <w:rPr>
          <w:bCs/>
          <w:lang w:val="fr-CH" w:eastAsia="ja-JP"/>
        </w:rPr>
        <w:t xml:space="preserve">). </w:t>
      </w:r>
    </w:p>
    <w:p w:rsidR="00EC5339" w:rsidRPr="00C93BA2" w:rsidRDefault="00EC5339" w:rsidP="00D32C36">
      <w:pPr>
        <w:tabs>
          <w:tab w:val="clear" w:pos="1134"/>
          <w:tab w:val="clear" w:pos="1871"/>
          <w:tab w:val="left" w:pos="1020"/>
          <w:tab w:val="left" w:pos="1995"/>
          <w:tab w:val="center" w:pos="8080"/>
        </w:tabs>
        <w:spacing w:beforeLines="50"/>
        <w:rPr>
          <w:bCs/>
          <w:lang w:val="fr-CH" w:eastAsia="ja-JP"/>
        </w:rPr>
      </w:pPr>
      <w:r w:rsidRPr="00653F05">
        <w:rPr>
          <w:bCs/>
          <w:lang w:val="fr-CH" w:eastAsia="ja-JP"/>
        </w:rPr>
        <w:t xml:space="preserve">La Fédération de Russie, se basant sur sa contribution </w:t>
      </w:r>
      <w:r w:rsidRPr="00653F05">
        <w:rPr>
          <w:rFonts w:hint="eastAsia"/>
          <w:bCs/>
          <w:lang w:val="fr-CH" w:eastAsia="ja-JP"/>
        </w:rPr>
        <w:t>(Doc</w:t>
      </w:r>
      <w:r>
        <w:rPr>
          <w:bCs/>
          <w:lang w:val="fr-CH" w:eastAsia="ja-JP"/>
        </w:rPr>
        <w:t>ument</w:t>
      </w:r>
      <w:r w:rsidR="00AC209A">
        <w:rPr>
          <w:bCs/>
          <w:lang w:val="fr-CH" w:eastAsia="ja-JP"/>
        </w:rPr>
        <w:t xml:space="preserve"> </w:t>
      </w:r>
      <w:hyperlink r:id="rId9" w:history="1">
        <w:r w:rsidRPr="00653F05">
          <w:rPr>
            <w:rStyle w:val="Hyperlink"/>
            <w:rFonts w:hint="eastAsia"/>
            <w:bCs/>
            <w:lang w:val="fr-CH" w:eastAsia="ja-JP"/>
          </w:rPr>
          <w:t>5/217</w:t>
        </w:r>
      </w:hyperlink>
      <w:r w:rsidRPr="00AC209A">
        <w:rPr>
          <w:rStyle w:val="Hyperlink"/>
          <w:rFonts w:hint="eastAsia"/>
          <w:bCs/>
          <w:color w:val="auto"/>
          <w:u w:val="none"/>
          <w:lang w:val="fr-CH" w:eastAsia="ja-JP"/>
        </w:rPr>
        <w:t>)</w:t>
      </w:r>
      <w:r w:rsidRPr="00AC209A">
        <w:rPr>
          <w:rStyle w:val="Hyperlink"/>
          <w:bCs/>
          <w:color w:val="auto"/>
          <w:u w:val="none"/>
          <w:lang w:val="fr-CH" w:eastAsia="ja-JP"/>
        </w:rPr>
        <w:t>,</w:t>
      </w:r>
      <w:r w:rsidRPr="00653F05">
        <w:rPr>
          <w:bCs/>
          <w:lang w:val="fr-CH" w:eastAsia="ja-JP"/>
        </w:rPr>
        <w:t xml:space="preserve"> s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 xml:space="preserve">est opposée </w:t>
      </w:r>
      <w:r w:rsidRPr="00653F05">
        <w:rPr>
          <w:bCs/>
          <w:lang w:val="fr-CH" w:eastAsia="ja-JP"/>
        </w:rPr>
        <w:t>à l</w:t>
      </w:r>
      <w:r w:rsidR="00AC209A">
        <w:rPr>
          <w:bCs/>
          <w:lang w:val="fr-CH" w:eastAsia="ja-JP"/>
        </w:rPr>
        <w:t>'</w:t>
      </w:r>
      <w:r w:rsidRPr="00653F05">
        <w:rPr>
          <w:bCs/>
          <w:lang w:val="fr-CH" w:eastAsia="ja-JP"/>
        </w:rPr>
        <w:t xml:space="preserve">adoption de ce projet de nouvelle Recommandation, sous sa forme actuelle, et </w:t>
      </w:r>
      <w:r>
        <w:rPr>
          <w:bCs/>
          <w:lang w:val="fr-CH" w:eastAsia="ja-JP"/>
        </w:rPr>
        <w:t>a proposé</w:t>
      </w:r>
      <w:r w:rsidRPr="00653F05">
        <w:rPr>
          <w:bCs/>
          <w:lang w:val="fr-CH" w:eastAsia="ja-JP"/>
        </w:rPr>
        <w:t xml:space="preserve"> </w:t>
      </w:r>
      <w:r w:rsidR="00AC209A">
        <w:rPr>
          <w:bCs/>
          <w:lang w:val="fr-CH" w:eastAsia="ja-JP"/>
        </w:rPr>
        <w:t xml:space="preserve">qu'il </w:t>
      </w:r>
      <w:r>
        <w:rPr>
          <w:bCs/>
          <w:lang w:val="fr-CH" w:eastAsia="ja-JP"/>
        </w:rPr>
        <w:t xml:space="preserve">soit examiné plus avant, </w:t>
      </w:r>
      <w:r w:rsidRPr="00653F05">
        <w:rPr>
          <w:bCs/>
          <w:lang w:val="fr-CH" w:eastAsia="ja-JP"/>
        </w:rPr>
        <w:t xml:space="preserve">en collaboration avec le GT </w:t>
      </w:r>
      <w:r w:rsidRPr="00653F05">
        <w:rPr>
          <w:rFonts w:hint="eastAsia"/>
          <w:bCs/>
          <w:lang w:val="fr-CH" w:eastAsia="ja-JP"/>
        </w:rPr>
        <w:t>6A</w:t>
      </w:r>
      <w:r>
        <w:rPr>
          <w:bCs/>
          <w:lang w:val="fr-CH" w:eastAsia="ja-JP"/>
        </w:rPr>
        <w:t>,</w:t>
      </w:r>
      <w:r>
        <w:rPr>
          <w:iCs/>
          <w:lang w:val="fr-CH" w:eastAsia="ja-JP"/>
        </w:rPr>
        <w:t xml:space="preserve"> afin d</w:t>
      </w:r>
      <w:r w:rsidR="00AC209A">
        <w:rPr>
          <w:iCs/>
          <w:lang w:val="fr-CH" w:eastAsia="ja-JP"/>
        </w:rPr>
        <w:t>'</w:t>
      </w:r>
      <w:r>
        <w:rPr>
          <w:iCs/>
          <w:lang w:val="fr-CH" w:eastAsia="ja-JP"/>
        </w:rPr>
        <w:t>y ajouter tous les éléments manquants concernant la protection du service de radiodiffusion.</w:t>
      </w:r>
    </w:p>
    <w:p w:rsidR="00EC5339" w:rsidRPr="00006CB5" w:rsidRDefault="00EC5339" w:rsidP="00D32C36">
      <w:pPr>
        <w:tabs>
          <w:tab w:val="clear" w:pos="1134"/>
          <w:tab w:val="clear" w:pos="1871"/>
          <w:tab w:val="left" w:pos="1020"/>
          <w:tab w:val="left" w:pos="1995"/>
          <w:tab w:val="center" w:pos="8080"/>
        </w:tabs>
        <w:spacing w:beforeLines="50"/>
        <w:rPr>
          <w:bCs/>
          <w:lang w:val="fr-CH" w:eastAsia="ja-JP"/>
        </w:rPr>
      </w:pPr>
      <w:r w:rsidRPr="00C93BA2">
        <w:rPr>
          <w:bCs/>
          <w:lang w:val="fr-CH" w:eastAsia="ja-JP"/>
        </w:rPr>
        <w:t>La République islamique d</w:t>
      </w:r>
      <w:r w:rsidR="00AC209A">
        <w:rPr>
          <w:bCs/>
          <w:lang w:val="fr-CH" w:eastAsia="ja-JP"/>
        </w:rPr>
        <w:t>'</w:t>
      </w:r>
      <w:r w:rsidRPr="00C93BA2">
        <w:rPr>
          <w:bCs/>
          <w:lang w:val="fr-CH" w:eastAsia="ja-JP"/>
        </w:rPr>
        <w:t xml:space="preserve">Iran, se basant sur sa contribution </w:t>
      </w:r>
      <w:r w:rsidRPr="00C93BA2">
        <w:rPr>
          <w:rFonts w:hint="eastAsia"/>
          <w:bCs/>
          <w:lang w:val="fr-CH" w:eastAsia="ja-JP"/>
        </w:rPr>
        <w:t>(Doc</w:t>
      </w:r>
      <w:r>
        <w:rPr>
          <w:bCs/>
          <w:lang w:val="fr-CH" w:eastAsia="ja-JP"/>
        </w:rPr>
        <w:t>ument</w:t>
      </w:r>
      <w:r w:rsidRPr="00C93BA2">
        <w:rPr>
          <w:bCs/>
          <w:lang w:val="fr-CH" w:eastAsia="ja-JP"/>
        </w:rPr>
        <w:t xml:space="preserve"> </w:t>
      </w:r>
      <w:hyperlink r:id="rId10" w:history="1">
        <w:r w:rsidRPr="00C93BA2">
          <w:rPr>
            <w:rStyle w:val="Hyperlink"/>
            <w:rFonts w:hint="eastAsia"/>
            <w:bCs/>
            <w:lang w:val="fr-CH" w:eastAsia="ja-JP"/>
          </w:rPr>
          <w:t>5/224</w:t>
        </w:r>
      </w:hyperlink>
      <w:r w:rsidRPr="00D714FF">
        <w:rPr>
          <w:rStyle w:val="Hyperlink"/>
          <w:rFonts w:hint="eastAsia"/>
          <w:bCs/>
          <w:color w:val="auto"/>
          <w:u w:val="none"/>
          <w:lang w:val="fr-CH" w:eastAsia="ja-JP"/>
        </w:rPr>
        <w:t>)</w:t>
      </w:r>
      <w:r w:rsidRPr="00D714FF">
        <w:rPr>
          <w:bCs/>
          <w:lang w:val="fr-CH" w:eastAsia="ja-JP"/>
        </w:rPr>
        <w:t>,</w:t>
      </w:r>
      <w:r w:rsidRPr="00C93BA2">
        <w:rPr>
          <w:bCs/>
          <w:lang w:val="fr-CH" w:eastAsia="ja-JP"/>
        </w:rPr>
        <w:t xml:space="preserve"> </w:t>
      </w:r>
      <w:r>
        <w:rPr>
          <w:bCs/>
          <w:lang w:val="fr-CH" w:eastAsia="ja-JP"/>
        </w:rPr>
        <w:t>s</w:t>
      </w:r>
      <w:r w:rsidR="00AC209A">
        <w:rPr>
          <w:bCs/>
          <w:lang w:val="fr-CH" w:eastAsia="ja-JP"/>
        </w:rPr>
        <w:t>'</w:t>
      </w:r>
      <w:r w:rsidRPr="00C93BA2">
        <w:rPr>
          <w:bCs/>
          <w:lang w:val="fr-CH" w:eastAsia="ja-JP"/>
        </w:rPr>
        <w:t>est elle aussi opposée à l</w:t>
      </w:r>
      <w:r w:rsidR="00AC209A">
        <w:rPr>
          <w:bCs/>
          <w:lang w:val="fr-CH" w:eastAsia="ja-JP"/>
        </w:rPr>
        <w:t>'</w:t>
      </w:r>
      <w:r w:rsidRPr="00C93BA2">
        <w:rPr>
          <w:bCs/>
          <w:lang w:val="fr-CH" w:eastAsia="ja-JP"/>
        </w:rPr>
        <w:t>adoption du proj</w:t>
      </w:r>
      <w:r>
        <w:rPr>
          <w:bCs/>
          <w:lang w:val="fr-CH" w:eastAsia="ja-JP"/>
        </w:rPr>
        <w:t>et de nouvelle Recommandation et a indiqué</w:t>
      </w:r>
      <w:r w:rsidRPr="00C93BA2">
        <w:rPr>
          <w:bCs/>
          <w:lang w:val="fr-CH" w:eastAsia="ja-JP"/>
        </w:rPr>
        <w:t xml:space="preserve"> les mesures à prendre </w:t>
      </w:r>
      <w:r>
        <w:rPr>
          <w:bCs/>
          <w:lang w:val="fr-CH" w:eastAsia="ja-JP"/>
        </w:rPr>
        <w:t>concernant ce nouveau projet de Recommandation, notamment sa transmission au GT</w:t>
      </w:r>
      <w:r w:rsidR="00AC0503">
        <w:rPr>
          <w:bCs/>
          <w:lang w:val="fr-CH" w:eastAsia="ja-JP"/>
        </w:rPr>
        <w:t> </w:t>
      </w:r>
      <w:r>
        <w:rPr>
          <w:bCs/>
          <w:lang w:val="fr-CH" w:eastAsia="ja-JP"/>
        </w:rPr>
        <w:t>6A pour examen.</w:t>
      </w:r>
    </w:p>
    <w:p w:rsidR="00EC5339" w:rsidRPr="00C93BA2" w:rsidRDefault="00EC5339" w:rsidP="00D32C36">
      <w:pPr>
        <w:tabs>
          <w:tab w:val="clear" w:pos="1134"/>
          <w:tab w:val="clear" w:pos="1871"/>
          <w:tab w:val="left" w:pos="1020"/>
          <w:tab w:val="left" w:pos="1995"/>
          <w:tab w:val="center" w:pos="8080"/>
        </w:tabs>
        <w:spacing w:beforeLines="50"/>
        <w:rPr>
          <w:bCs/>
          <w:lang w:val="fr-CH" w:eastAsia="ja-JP"/>
        </w:rPr>
      </w:pPr>
      <w:r w:rsidRPr="00C93BA2">
        <w:rPr>
          <w:bCs/>
          <w:lang w:val="fr-CH" w:eastAsia="ja-JP"/>
        </w:rPr>
        <w:t>La France</w:t>
      </w:r>
      <w:r w:rsidRPr="00C93BA2">
        <w:rPr>
          <w:rFonts w:hint="eastAsia"/>
          <w:bCs/>
          <w:lang w:val="fr-CH" w:eastAsia="ja-JP"/>
        </w:rPr>
        <w:t>,</w:t>
      </w:r>
      <w:r w:rsidRPr="00C93BA2">
        <w:rPr>
          <w:bCs/>
          <w:lang w:val="fr-CH" w:eastAsia="ja-JP"/>
        </w:rPr>
        <w:t xml:space="preserve"> au nom de plusieurs administrations </w:t>
      </w:r>
      <w:r w:rsidRPr="00C93BA2">
        <w:rPr>
          <w:rFonts w:hint="eastAsia"/>
          <w:bCs/>
          <w:lang w:val="fr-CH" w:eastAsia="ja-JP"/>
        </w:rPr>
        <w:t xml:space="preserve">(43 </w:t>
      </w:r>
      <w:r>
        <w:rPr>
          <w:bCs/>
          <w:lang w:val="fr-CH" w:eastAsia="ja-JP"/>
        </w:rPr>
        <w:t>pays</w:t>
      </w:r>
      <w:r w:rsidRPr="00C93BA2">
        <w:rPr>
          <w:rFonts w:hint="eastAsia"/>
          <w:bCs/>
          <w:lang w:val="fr-CH" w:eastAsia="ja-JP"/>
        </w:rPr>
        <w:t>)</w:t>
      </w:r>
      <w:r>
        <w:rPr>
          <w:bCs/>
          <w:lang w:val="fr-CH" w:eastAsia="ja-JP"/>
        </w:rPr>
        <w:t xml:space="preserve"> de la </w:t>
      </w:r>
      <w:r w:rsidRPr="00C93BA2">
        <w:rPr>
          <w:bCs/>
          <w:lang w:val="fr-CH" w:eastAsia="ja-JP"/>
        </w:rPr>
        <w:t>CEPT,</w:t>
      </w:r>
      <w:r>
        <w:rPr>
          <w:bCs/>
          <w:lang w:val="fr-CH" w:eastAsia="ja-JP"/>
        </w:rPr>
        <w:t xml:space="preserve"> de l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 xml:space="preserve">UAT et du groupe </w:t>
      </w:r>
      <w:r w:rsidRPr="00C93BA2">
        <w:rPr>
          <w:bCs/>
          <w:lang w:val="fr-CH" w:eastAsia="ja-JP"/>
        </w:rPr>
        <w:t>ASMG</w:t>
      </w:r>
      <w:r w:rsidRPr="00C93BA2">
        <w:rPr>
          <w:rFonts w:hint="eastAsia"/>
          <w:bCs/>
          <w:lang w:val="fr-CH" w:eastAsia="ja-JP"/>
        </w:rPr>
        <w:t xml:space="preserve"> (Doc</w:t>
      </w:r>
      <w:r>
        <w:rPr>
          <w:bCs/>
          <w:lang w:val="fr-CH" w:eastAsia="ja-JP"/>
        </w:rPr>
        <w:t>ument</w:t>
      </w:r>
      <w:r w:rsidRPr="00C93BA2">
        <w:rPr>
          <w:rFonts w:hint="eastAsia"/>
          <w:bCs/>
          <w:lang w:val="fr-CH" w:eastAsia="ja-JP"/>
        </w:rPr>
        <w:t xml:space="preserve"> </w:t>
      </w:r>
      <w:hyperlink r:id="rId11" w:history="1">
        <w:r w:rsidRPr="00C93BA2">
          <w:rPr>
            <w:rStyle w:val="Hyperlink"/>
            <w:rFonts w:hint="eastAsia"/>
            <w:bCs/>
            <w:lang w:val="fr-CH" w:eastAsia="ja-JP"/>
          </w:rPr>
          <w:t>5/240</w:t>
        </w:r>
      </w:hyperlink>
      <w:r w:rsidRPr="00C93BA2">
        <w:rPr>
          <w:rFonts w:hint="eastAsia"/>
          <w:bCs/>
          <w:lang w:val="fr-CH" w:eastAsia="ja-JP"/>
        </w:rPr>
        <w:t>),</w:t>
      </w:r>
      <w:r w:rsidRPr="00C93BA2">
        <w:rPr>
          <w:bCs/>
          <w:lang w:val="fr-CH" w:eastAsia="ja-JP"/>
        </w:rPr>
        <w:t xml:space="preserve"> a proposé d</w:t>
      </w:r>
      <w:r w:rsidR="00AC209A">
        <w:rPr>
          <w:bCs/>
          <w:lang w:val="fr-CH" w:eastAsia="ja-JP"/>
        </w:rPr>
        <w:t>'</w:t>
      </w:r>
      <w:r w:rsidRPr="00C93BA2">
        <w:rPr>
          <w:bCs/>
          <w:lang w:val="fr-CH" w:eastAsia="ja-JP"/>
        </w:rPr>
        <w:t>adopter le projet de nouvelle Recommandation en l</w:t>
      </w:r>
      <w:r w:rsidR="00AC209A">
        <w:rPr>
          <w:bCs/>
          <w:lang w:val="fr-CH" w:eastAsia="ja-JP"/>
        </w:rPr>
        <w:t>'</w:t>
      </w:r>
      <w:r w:rsidRPr="00C93BA2">
        <w:rPr>
          <w:bCs/>
          <w:lang w:val="fr-CH" w:eastAsia="ja-JP"/>
        </w:rPr>
        <w:t>état.</w:t>
      </w:r>
    </w:p>
    <w:p w:rsidR="00EC5339" w:rsidRPr="00C93BA2" w:rsidRDefault="00EC5339" w:rsidP="00D32C36">
      <w:pPr>
        <w:tabs>
          <w:tab w:val="clear" w:pos="1134"/>
          <w:tab w:val="clear" w:pos="1871"/>
          <w:tab w:val="left" w:pos="1020"/>
          <w:tab w:val="left" w:pos="1995"/>
          <w:tab w:val="center" w:pos="8080"/>
        </w:tabs>
        <w:spacing w:beforeLines="50"/>
        <w:rPr>
          <w:bCs/>
          <w:lang w:val="fr-CH" w:eastAsia="ja-JP"/>
        </w:rPr>
      </w:pPr>
      <w:r w:rsidRPr="00C93BA2">
        <w:rPr>
          <w:bCs/>
          <w:lang w:val="fr-CH" w:eastAsia="ja-JP"/>
        </w:rPr>
        <w:t>Le Nigéria s</w:t>
      </w:r>
      <w:r w:rsidR="00AC209A">
        <w:rPr>
          <w:bCs/>
          <w:lang w:val="fr-CH" w:eastAsia="ja-JP"/>
        </w:rPr>
        <w:t>'</w:t>
      </w:r>
      <w:r w:rsidRPr="00C93BA2">
        <w:rPr>
          <w:bCs/>
          <w:lang w:val="fr-CH" w:eastAsia="ja-JP"/>
        </w:rPr>
        <w:t>est déclaré favorable à l</w:t>
      </w:r>
      <w:r w:rsidR="00AC209A">
        <w:rPr>
          <w:bCs/>
          <w:lang w:val="fr-CH" w:eastAsia="ja-JP"/>
        </w:rPr>
        <w:t>'</w:t>
      </w:r>
      <w:r w:rsidRPr="00C93BA2">
        <w:rPr>
          <w:bCs/>
          <w:lang w:val="fr-CH" w:eastAsia="ja-JP"/>
        </w:rPr>
        <w:t xml:space="preserve">approbation de la Recommandation, estimant que le texte de cette Recommandation est suffisamment stable </w:t>
      </w:r>
      <w:r>
        <w:rPr>
          <w:bCs/>
          <w:lang w:val="fr-CH" w:eastAsia="ja-JP"/>
        </w:rPr>
        <w:t>et a ajouté que les pays africains sont déterminés à aller de l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 xml:space="preserve">avant en ce qui concerne la mise en </w:t>
      </w:r>
      <w:r w:rsidR="00AC0503">
        <w:rPr>
          <w:bCs/>
          <w:lang w:val="fr-CH" w:eastAsia="ja-JP"/>
        </w:rPr>
        <w:t>oe</w:t>
      </w:r>
      <w:r>
        <w:rPr>
          <w:bCs/>
          <w:lang w:val="fr-CH" w:eastAsia="ja-JP"/>
        </w:rPr>
        <w:t xml:space="preserve">uvre des IMT dans la bande. </w:t>
      </w:r>
      <w:r w:rsidRPr="00C93BA2">
        <w:rPr>
          <w:bCs/>
          <w:lang w:val="fr-CH" w:eastAsia="ja-JP"/>
        </w:rPr>
        <w:t xml:space="preserve">Le Royaume-Uni a souscrit </w:t>
      </w:r>
      <w:r>
        <w:rPr>
          <w:bCs/>
          <w:lang w:val="fr-CH" w:eastAsia="ja-JP"/>
        </w:rPr>
        <w:t>au point de vue du Nigéria</w:t>
      </w:r>
      <w:r w:rsidRPr="00C93BA2">
        <w:rPr>
          <w:bCs/>
          <w:lang w:val="fr-CH" w:eastAsia="ja-JP"/>
        </w:rPr>
        <w:t xml:space="preserve">. </w:t>
      </w:r>
    </w:p>
    <w:p w:rsidR="00EC5339" w:rsidRPr="00006CB5" w:rsidRDefault="00EC5339" w:rsidP="00D32C36">
      <w:pPr>
        <w:tabs>
          <w:tab w:val="clear" w:pos="1134"/>
          <w:tab w:val="clear" w:pos="1871"/>
          <w:tab w:val="left" w:pos="1020"/>
          <w:tab w:val="left" w:pos="1995"/>
          <w:tab w:val="center" w:pos="8080"/>
        </w:tabs>
        <w:spacing w:beforeLines="50"/>
        <w:rPr>
          <w:bCs/>
          <w:lang w:val="fr-CH" w:eastAsia="ja-JP"/>
        </w:rPr>
      </w:pPr>
      <w:r w:rsidRPr="00C93BA2">
        <w:rPr>
          <w:bCs/>
          <w:lang w:val="fr-CH" w:eastAsia="ja-JP"/>
        </w:rPr>
        <w:lastRenderedPageBreak/>
        <w:t xml:space="preserve">Le Vatican </w:t>
      </w:r>
      <w:r w:rsidR="00F226DB">
        <w:rPr>
          <w:bCs/>
          <w:lang w:val="fr-CH" w:eastAsia="ja-JP"/>
        </w:rPr>
        <w:t>ne partageait pas l'opinion qu'un</w:t>
      </w:r>
      <w:r w:rsidRPr="00C93BA2">
        <w:rPr>
          <w:bCs/>
          <w:lang w:val="fr-CH" w:eastAsia="ja-JP"/>
        </w:rPr>
        <w:t xml:space="preserve"> accord </w:t>
      </w:r>
      <w:r w:rsidR="00F226DB">
        <w:rPr>
          <w:bCs/>
          <w:lang w:val="fr-CH" w:eastAsia="ja-JP"/>
        </w:rPr>
        <w:t xml:space="preserve">avait été trouvé </w:t>
      </w:r>
      <w:r w:rsidRPr="00C93BA2">
        <w:rPr>
          <w:bCs/>
          <w:lang w:val="fr-CH" w:eastAsia="ja-JP"/>
        </w:rPr>
        <w:t>au sein du GAM et partageait l</w:t>
      </w:r>
      <w:r w:rsidR="00AC209A">
        <w:rPr>
          <w:bCs/>
          <w:lang w:val="fr-CH" w:eastAsia="ja-JP"/>
        </w:rPr>
        <w:t>'</w:t>
      </w:r>
      <w:r w:rsidRPr="00C93BA2">
        <w:rPr>
          <w:bCs/>
          <w:lang w:val="fr-CH" w:eastAsia="ja-JP"/>
        </w:rPr>
        <w:t xml:space="preserve">avis de ceux qui demandaient </w:t>
      </w:r>
      <w:r w:rsidR="00F226DB">
        <w:rPr>
          <w:bCs/>
          <w:lang w:val="fr-CH" w:eastAsia="ja-JP"/>
        </w:rPr>
        <w:t>de n</w:t>
      </w:r>
      <w:r>
        <w:rPr>
          <w:bCs/>
          <w:lang w:val="fr-CH" w:eastAsia="ja-JP"/>
        </w:rPr>
        <w:t>ouvelles consultations avec la Commission d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 xml:space="preserve">études 6. </w:t>
      </w:r>
    </w:p>
    <w:p w:rsidR="00EC5339" w:rsidRPr="005B34CA" w:rsidRDefault="00EC5339" w:rsidP="00D32C36">
      <w:pPr>
        <w:tabs>
          <w:tab w:val="clear" w:pos="1134"/>
          <w:tab w:val="clear" w:pos="1871"/>
          <w:tab w:val="left" w:pos="1020"/>
          <w:tab w:val="left" w:pos="1995"/>
          <w:tab w:val="center" w:pos="8080"/>
        </w:tabs>
        <w:spacing w:beforeLines="50"/>
        <w:rPr>
          <w:bCs/>
          <w:lang w:val="fr-CH" w:eastAsia="ja-JP"/>
        </w:rPr>
      </w:pPr>
      <w:r w:rsidRPr="00C93BA2">
        <w:rPr>
          <w:bCs/>
          <w:lang w:val="fr-CH" w:eastAsia="ja-JP"/>
        </w:rPr>
        <w:t xml:space="preserve">Les </w:t>
      </w:r>
      <w:r w:rsidR="00F226DB">
        <w:rPr>
          <w:bCs/>
          <w:lang w:val="fr-CH" w:eastAsia="ja-JP"/>
        </w:rPr>
        <w:t>E</w:t>
      </w:r>
      <w:r w:rsidRPr="00C93BA2">
        <w:rPr>
          <w:bCs/>
          <w:lang w:val="fr-CH" w:eastAsia="ja-JP"/>
        </w:rPr>
        <w:t>mirats arabes unis ont souligné que le GT</w:t>
      </w:r>
      <w:r w:rsidR="00AC0503">
        <w:rPr>
          <w:bCs/>
          <w:lang w:val="fr-CH" w:eastAsia="ja-JP"/>
        </w:rPr>
        <w:t> </w:t>
      </w:r>
      <w:r w:rsidRPr="00C93BA2">
        <w:rPr>
          <w:bCs/>
          <w:lang w:val="fr-CH" w:eastAsia="ja-JP"/>
        </w:rPr>
        <w:t>5D n</w:t>
      </w:r>
      <w:r w:rsidR="00AC209A">
        <w:rPr>
          <w:bCs/>
          <w:lang w:val="fr-CH" w:eastAsia="ja-JP"/>
        </w:rPr>
        <w:t>'</w:t>
      </w:r>
      <w:r w:rsidRPr="00C93BA2">
        <w:rPr>
          <w:bCs/>
          <w:lang w:val="fr-CH" w:eastAsia="ja-JP"/>
        </w:rPr>
        <w:t>avait pas ménagé ses efforts pour parvenir à un compromis mais aucun accord n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>avait pu être trouvé</w:t>
      </w:r>
      <w:r w:rsidRPr="00C93BA2">
        <w:rPr>
          <w:bCs/>
          <w:lang w:val="fr-CH" w:eastAsia="ja-JP"/>
        </w:rPr>
        <w:t>. Ils ont demandé que le projet de nouvelle Recommandation soit adopté à la réunion</w:t>
      </w:r>
      <w:r>
        <w:rPr>
          <w:bCs/>
          <w:lang w:val="fr-CH" w:eastAsia="ja-JP"/>
        </w:rPr>
        <w:t xml:space="preserve"> ou</w:t>
      </w:r>
      <w:r w:rsidR="00F226DB">
        <w:rPr>
          <w:bCs/>
          <w:lang w:val="fr-CH" w:eastAsia="ja-JP"/>
        </w:rPr>
        <w:t>,</w:t>
      </w:r>
      <w:r>
        <w:rPr>
          <w:bCs/>
          <w:lang w:val="fr-CH" w:eastAsia="ja-JP"/>
        </w:rPr>
        <w:t xml:space="preserve"> si tel n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>était pas le cas, qu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>il soit transmis à l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>Assemblée des radiocommunications</w:t>
      </w:r>
      <w:r w:rsidRPr="005B34CA">
        <w:rPr>
          <w:bCs/>
          <w:lang w:val="fr-CH" w:eastAsia="ja-JP"/>
        </w:rPr>
        <w:t xml:space="preserve">. </w:t>
      </w:r>
    </w:p>
    <w:p w:rsidR="00EC5339" w:rsidRPr="005B34CA" w:rsidRDefault="00EC5339" w:rsidP="00D32C36">
      <w:pPr>
        <w:tabs>
          <w:tab w:val="clear" w:pos="1134"/>
          <w:tab w:val="clear" w:pos="1871"/>
          <w:tab w:val="left" w:pos="1020"/>
          <w:tab w:val="left" w:pos="1995"/>
          <w:tab w:val="center" w:pos="8080"/>
        </w:tabs>
        <w:spacing w:beforeLines="50"/>
        <w:rPr>
          <w:bCs/>
          <w:lang w:val="fr-CH" w:eastAsia="ja-JP"/>
        </w:rPr>
      </w:pPr>
      <w:r w:rsidRPr="005B34CA">
        <w:rPr>
          <w:bCs/>
          <w:lang w:val="fr-CH" w:eastAsia="ja-JP"/>
        </w:rPr>
        <w:t xml:space="preserve">La Fédération de Russie a réitéré ses préoccupations concernant la maturité technique de ce </w:t>
      </w:r>
      <w:r>
        <w:rPr>
          <w:bCs/>
          <w:lang w:val="fr-CH" w:eastAsia="ja-JP"/>
        </w:rPr>
        <w:t>document</w:t>
      </w:r>
      <w:r w:rsidRPr="005B34CA">
        <w:rPr>
          <w:bCs/>
          <w:lang w:val="fr-CH" w:eastAsia="ja-JP"/>
        </w:rPr>
        <w:t xml:space="preserve"> de l</w:t>
      </w:r>
      <w:r w:rsidR="00AC209A">
        <w:rPr>
          <w:bCs/>
          <w:lang w:val="fr-CH" w:eastAsia="ja-JP"/>
        </w:rPr>
        <w:t>'</w:t>
      </w:r>
      <w:r w:rsidR="00F226DB">
        <w:rPr>
          <w:bCs/>
          <w:lang w:val="fr-CH" w:eastAsia="ja-JP"/>
        </w:rPr>
        <w:t>UIT-</w:t>
      </w:r>
      <w:r w:rsidRPr="005B34CA">
        <w:rPr>
          <w:bCs/>
          <w:lang w:val="fr-CH" w:eastAsia="ja-JP"/>
        </w:rPr>
        <w:t xml:space="preserve">R </w:t>
      </w:r>
      <w:r>
        <w:rPr>
          <w:bCs/>
          <w:lang w:val="fr-CH" w:eastAsia="ja-JP"/>
        </w:rPr>
        <w:t>et s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>est fermement opposé</w:t>
      </w:r>
      <w:r w:rsidR="00F226DB">
        <w:rPr>
          <w:bCs/>
          <w:lang w:val="fr-CH" w:eastAsia="ja-JP"/>
        </w:rPr>
        <w:t>e</w:t>
      </w:r>
      <w:r>
        <w:rPr>
          <w:bCs/>
          <w:lang w:val="fr-CH" w:eastAsia="ja-JP"/>
        </w:rPr>
        <w:t xml:space="preserve"> à son adoption par la Commission d</w:t>
      </w:r>
      <w:r w:rsidR="00AC209A">
        <w:rPr>
          <w:bCs/>
          <w:lang w:val="fr-CH" w:eastAsia="ja-JP"/>
        </w:rPr>
        <w:t>'</w:t>
      </w:r>
      <w:r>
        <w:rPr>
          <w:bCs/>
          <w:lang w:val="fr-CH" w:eastAsia="ja-JP"/>
        </w:rPr>
        <w:t>études 5</w:t>
      </w:r>
      <w:r w:rsidRPr="005B34CA">
        <w:rPr>
          <w:bCs/>
          <w:lang w:val="fr-CH" w:eastAsia="ja-JP"/>
        </w:rPr>
        <w:t xml:space="preserve">. </w:t>
      </w:r>
    </w:p>
    <w:p w:rsidR="00EC5339" w:rsidRPr="005B34CA" w:rsidRDefault="00EC5339" w:rsidP="00D32C36">
      <w:pPr>
        <w:tabs>
          <w:tab w:val="clear" w:pos="1134"/>
          <w:tab w:val="clear" w:pos="1871"/>
          <w:tab w:val="left" w:pos="1020"/>
          <w:tab w:val="left" w:pos="1995"/>
          <w:tab w:val="center" w:pos="8080"/>
        </w:tabs>
        <w:spacing w:beforeLines="50"/>
        <w:rPr>
          <w:bCs/>
          <w:lang w:val="fr-CH" w:eastAsia="ja-JP"/>
        </w:rPr>
      </w:pPr>
      <w:r w:rsidRPr="005B34CA">
        <w:rPr>
          <w:bCs/>
          <w:lang w:val="fr-CH" w:eastAsia="ja-JP"/>
        </w:rPr>
        <w:t xml:space="preserve">La France a rappelé aux participants les efforts importants déployés pour parvenir à un compromis. </w:t>
      </w:r>
    </w:p>
    <w:p w:rsidR="00EC5339" w:rsidRPr="005B34CA" w:rsidRDefault="00EC5339" w:rsidP="00D32C36">
      <w:pPr>
        <w:tabs>
          <w:tab w:val="clear" w:pos="1134"/>
          <w:tab w:val="clear" w:pos="1871"/>
          <w:tab w:val="left" w:pos="1020"/>
          <w:tab w:val="left" w:pos="1995"/>
          <w:tab w:val="center" w:pos="8080"/>
        </w:tabs>
        <w:spacing w:beforeLines="50"/>
        <w:rPr>
          <w:bCs/>
          <w:lang w:val="fr-CH" w:eastAsia="ja-JP"/>
        </w:rPr>
      </w:pPr>
      <w:r w:rsidRPr="005B34CA">
        <w:rPr>
          <w:bCs/>
          <w:lang w:val="fr-CH" w:eastAsia="ja-JP"/>
        </w:rPr>
        <w:t xml:space="preserve">Compte tenu de ces discussions, le Président a indiqué que les participants devraient </w:t>
      </w:r>
      <w:r>
        <w:rPr>
          <w:bCs/>
          <w:lang w:val="fr-CH" w:eastAsia="ja-JP"/>
        </w:rPr>
        <w:t>convenir</w:t>
      </w:r>
      <w:r w:rsidR="00F226DB">
        <w:rPr>
          <w:bCs/>
          <w:lang w:val="fr-CH" w:eastAsia="ja-JP"/>
        </w:rPr>
        <w:t xml:space="preserve"> de </w:t>
      </w:r>
      <w:r w:rsidRPr="005B34CA">
        <w:rPr>
          <w:bCs/>
          <w:lang w:val="fr-CH" w:eastAsia="ja-JP"/>
        </w:rPr>
        <w:t>transmettre le texte à la prochaine Assemblée des radi</w:t>
      </w:r>
      <w:r w:rsidR="00F226DB">
        <w:rPr>
          <w:bCs/>
          <w:lang w:val="fr-CH" w:eastAsia="ja-JP"/>
        </w:rPr>
        <w:t>ocommunications, conformément au § </w:t>
      </w:r>
      <w:r w:rsidRPr="005B34CA">
        <w:rPr>
          <w:rFonts w:hint="eastAsia"/>
          <w:bCs/>
          <w:lang w:val="fr-CH" w:eastAsia="ja-JP"/>
        </w:rPr>
        <w:t>10.2.1.2</w:t>
      </w:r>
      <w:r>
        <w:rPr>
          <w:bCs/>
          <w:lang w:val="fr-CH" w:eastAsia="ja-JP"/>
        </w:rPr>
        <w:t xml:space="preserve"> alinéa </w:t>
      </w:r>
      <w:r w:rsidRPr="005B34CA">
        <w:rPr>
          <w:rFonts w:hint="eastAsia"/>
          <w:bCs/>
          <w:lang w:val="fr-CH" w:eastAsia="ja-JP"/>
        </w:rPr>
        <w:t xml:space="preserve">a) </w:t>
      </w:r>
      <w:r>
        <w:rPr>
          <w:bCs/>
          <w:lang w:val="fr-CH" w:eastAsia="ja-JP"/>
        </w:rPr>
        <w:t>de la Résolution UIT</w:t>
      </w:r>
      <w:r w:rsidRPr="005B34CA">
        <w:rPr>
          <w:rFonts w:hint="eastAsia"/>
          <w:bCs/>
          <w:lang w:val="fr-CH" w:eastAsia="ja-JP"/>
        </w:rPr>
        <w:t>-R 1-6</w:t>
      </w:r>
      <w:r w:rsidRPr="005B34CA">
        <w:rPr>
          <w:bCs/>
          <w:lang w:val="fr-CH" w:eastAsia="ja-JP"/>
        </w:rPr>
        <w:t xml:space="preserve">. </w:t>
      </w:r>
    </w:p>
    <w:p w:rsidR="00EC5339" w:rsidRPr="005B34CA" w:rsidRDefault="00EC5339" w:rsidP="00D32C36">
      <w:pPr>
        <w:pStyle w:val="AppendixNo"/>
        <w:rPr>
          <w:lang w:val="fr-CH" w:eastAsia="ja-JP"/>
        </w:rPr>
      </w:pPr>
      <w:r w:rsidRPr="005B34CA">
        <w:rPr>
          <w:rFonts w:hint="eastAsia"/>
          <w:lang w:val="fr-CH" w:eastAsia="ja-JP"/>
        </w:rPr>
        <w:t>Appendi</w:t>
      </w:r>
      <w:r w:rsidRPr="005B34CA">
        <w:rPr>
          <w:lang w:val="fr-CH" w:eastAsia="ja-JP"/>
        </w:rPr>
        <w:t>CE</w:t>
      </w:r>
    </w:p>
    <w:p w:rsidR="00EC5339" w:rsidRPr="005B34CA" w:rsidRDefault="00EC5339" w:rsidP="00D32C36">
      <w:pPr>
        <w:pStyle w:val="Appendixtitle"/>
        <w:rPr>
          <w:lang w:val="fr-CH" w:eastAsia="ja-JP"/>
        </w:rPr>
      </w:pPr>
      <w:r w:rsidRPr="005B34CA">
        <w:rPr>
          <w:lang w:val="fr-CH" w:eastAsia="ja-JP"/>
        </w:rPr>
        <w:t xml:space="preserve">Déclaration de la Fédération de Russie </w:t>
      </w:r>
      <w:r>
        <w:rPr>
          <w:lang w:val="fr-CH" w:eastAsia="ja-JP"/>
        </w:rPr>
        <w:t>concernant le projet de révis</w:t>
      </w:r>
      <w:r w:rsidR="00F226DB">
        <w:rPr>
          <w:lang w:val="fr-CH" w:eastAsia="ja-JP"/>
        </w:rPr>
        <w:t xml:space="preserve">ion </w:t>
      </w:r>
      <w:r w:rsidR="00F226DB">
        <w:rPr>
          <w:lang w:val="fr-CH" w:eastAsia="ja-JP"/>
        </w:rPr>
        <w:br/>
        <w:t>de la Recommandation UIT</w:t>
      </w:r>
      <w:r w:rsidRPr="005B34CA">
        <w:rPr>
          <w:lang w:val="fr-CH" w:eastAsia="ja-JP"/>
        </w:rPr>
        <w:t>-R M.[BSMS700] (Document 5/214)</w:t>
      </w:r>
    </w:p>
    <w:p w:rsidR="00EC5339" w:rsidRPr="005B34CA" w:rsidRDefault="00EC5339" w:rsidP="00AC0503">
      <w:pPr>
        <w:spacing w:before="0"/>
        <w:rPr>
          <w:spacing w:val="-4"/>
          <w:szCs w:val="28"/>
          <w:lang w:val="fr-CH"/>
        </w:rPr>
      </w:pPr>
      <w:r w:rsidRPr="005B34CA">
        <w:rPr>
          <w:spacing w:val="-4"/>
          <w:szCs w:val="28"/>
          <w:lang w:val="fr-CH"/>
        </w:rPr>
        <w:t>La Fédération de Russie est opposée à l</w:t>
      </w:r>
      <w:r w:rsidR="00AC209A">
        <w:rPr>
          <w:spacing w:val="-4"/>
          <w:szCs w:val="28"/>
          <w:lang w:val="fr-CH"/>
        </w:rPr>
        <w:t>'</w:t>
      </w:r>
      <w:r w:rsidRPr="005B34CA">
        <w:rPr>
          <w:spacing w:val="-4"/>
          <w:szCs w:val="28"/>
          <w:lang w:val="fr-CH"/>
        </w:rPr>
        <w:t>examen du projet de nouvelle Recommandation UIT</w:t>
      </w:r>
      <w:r w:rsidR="00AC0503">
        <w:rPr>
          <w:spacing w:val="-4"/>
          <w:szCs w:val="28"/>
          <w:lang w:val="fr-CH"/>
        </w:rPr>
        <w:t>-</w:t>
      </w:r>
      <w:r w:rsidRPr="005B34CA">
        <w:rPr>
          <w:spacing w:val="-4"/>
          <w:szCs w:val="28"/>
          <w:lang w:val="fr-CH"/>
        </w:rPr>
        <w:t>R M.[BSMS700] à la réunion de la</w:t>
      </w:r>
      <w:r>
        <w:rPr>
          <w:spacing w:val="-4"/>
          <w:szCs w:val="28"/>
          <w:lang w:val="fr-CH"/>
        </w:rPr>
        <w:t xml:space="preserve"> </w:t>
      </w:r>
      <w:r w:rsidRPr="005B34CA">
        <w:rPr>
          <w:spacing w:val="-4"/>
          <w:szCs w:val="28"/>
          <w:lang w:val="fr-CH"/>
        </w:rPr>
        <w:t>CE</w:t>
      </w:r>
      <w:r w:rsidR="00F226DB">
        <w:rPr>
          <w:spacing w:val="-4"/>
          <w:szCs w:val="28"/>
          <w:lang w:val="fr-CH"/>
        </w:rPr>
        <w:t xml:space="preserve"> </w:t>
      </w:r>
      <w:r w:rsidRPr="005B34CA">
        <w:rPr>
          <w:spacing w:val="-4"/>
          <w:szCs w:val="28"/>
          <w:lang w:val="fr-CH"/>
        </w:rPr>
        <w:t xml:space="preserve">5 </w:t>
      </w:r>
      <w:r>
        <w:rPr>
          <w:spacing w:val="-4"/>
          <w:szCs w:val="28"/>
          <w:lang w:val="fr-CH"/>
        </w:rPr>
        <w:t>et à la soumission de ce projet de nouvelle Recommandation à l</w:t>
      </w:r>
      <w:r w:rsidR="00AC209A">
        <w:rPr>
          <w:spacing w:val="-4"/>
          <w:szCs w:val="28"/>
          <w:lang w:val="fr-CH"/>
        </w:rPr>
        <w:t>'</w:t>
      </w:r>
      <w:r>
        <w:rPr>
          <w:spacing w:val="-4"/>
          <w:szCs w:val="28"/>
          <w:lang w:val="fr-CH"/>
        </w:rPr>
        <w:t xml:space="preserve">Assemblée des radiocommunications de 2015 car les études sur le sujet considéré ne sont pas terminées. </w:t>
      </w:r>
      <w:r w:rsidRPr="005B34CA">
        <w:rPr>
          <w:spacing w:val="-4"/>
          <w:szCs w:val="28"/>
          <w:lang w:val="fr-CH"/>
        </w:rPr>
        <w:t>Des précisions concernant les lacunes dans les études sont données ci-après.</w:t>
      </w:r>
    </w:p>
    <w:p w:rsidR="00EC5339" w:rsidRPr="00993003" w:rsidRDefault="00EC5339" w:rsidP="00AC0503">
      <w:pPr>
        <w:rPr>
          <w:lang w:val="fr-CH"/>
        </w:rPr>
      </w:pPr>
      <w:r w:rsidRPr="005B34CA">
        <w:rPr>
          <w:lang w:val="fr-CH"/>
        </w:rPr>
        <w:t xml:space="preserve">Dans la partie </w:t>
      </w:r>
      <w:r w:rsidRPr="005B34CA">
        <w:rPr>
          <w:i/>
          <w:lang w:val="fr-CH"/>
        </w:rPr>
        <w:t xml:space="preserve">recommande </w:t>
      </w:r>
      <w:r w:rsidRPr="005B34CA">
        <w:rPr>
          <w:lang w:val="fr-CH"/>
        </w:rPr>
        <w:t>du projet de nouvelle Recommandation UIT</w:t>
      </w:r>
      <w:r w:rsidR="00AC0503">
        <w:rPr>
          <w:lang w:val="fr-CH"/>
        </w:rPr>
        <w:t>-</w:t>
      </w:r>
      <w:r w:rsidRPr="005B34CA">
        <w:rPr>
          <w:lang w:val="fr-CH"/>
        </w:rPr>
        <w:t>R M.[BSMS700]</w:t>
      </w:r>
      <w:r w:rsidRPr="005B34CA">
        <w:rPr>
          <w:rFonts w:hint="eastAsia"/>
          <w:lang w:val="fr-CH"/>
        </w:rPr>
        <w:t xml:space="preserve"> </w:t>
      </w:r>
      <w:r w:rsidRPr="005B34CA">
        <w:rPr>
          <w:lang w:val="fr-CH"/>
        </w:rPr>
        <w:t>deux niveaux sont proposés pour les émissions hors bande (</w:t>
      </w:r>
      <w:r>
        <w:rPr>
          <w:lang w:val="fr-CH"/>
        </w:rPr>
        <w:t xml:space="preserve">ou pour être plus précis les </w:t>
      </w:r>
      <w:r w:rsidR="00F226DB">
        <w:rPr>
          <w:lang w:val="fr-CH"/>
        </w:rPr>
        <w:t>«rayonnements non désirés»</w:t>
      </w:r>
      <w:r w:rsidRPr="005B34CA">
        <w:rPr>
          <w:lang w:val="fr-CH"/>
        </w:rPr>
        <w:t xml:space="preserve">) </w:t>
      </w:r>
      <w:r w:rsidR="00F226DB">
        <w:rPr>
          <w:lang w:val="fr-CH"/>
        </w:rPr>
        <w:t>des</w:t>
      </w:r>
      <w:r>
        <w:rPr>
          <w:lang w:val="fr-CH"/>
        </w:rPr>
        <w:t xml:space="preserve"> stations mobiles </w:t>
      </w:r>
      <w:r w:rsidRPr="005B34CA">
        <w:rPr>
          <w:lang w:val="fr-CH"/>
        </w:rPr>
        <w:t>IMT</w:t>
      </w:r>
      <w:r>
        <w:rPr>
          <w:lang w:val="fr-CH"/>
        </w:rPr>
        <w:t xml:space="preserve"> fonctionnant dans la bande de fréquences au-dessous de </w:t>
      </w:r>
      <w:r w:rsidRPr="005B34CA">
        <w:rPr>
          <w:lang w:val="fr-CH"/>
        </w:rPr>
        <w:t>694 MHz</w:t>
      </w:r>
      <w:r>
        <w:rPr>
          <w:lang w:val="fr-CH"/>
        </w:rPr>
        <w:t>, pour assurer la protection des services existants. Or, les deux niveaux proposés ne permettent pas d</w:t>
      </w:r>
      <w:r w:rsidR="00AC209A">
        <w:rPr>
          <w:lang w:val="fr-CH"/>
        </w:rPr>
        <w:t>'</w:t>
      </w:r>
      <w:r>
        <w:rPr>
          <w:lang w:val="fr-CH"/>
        </w:rPr>
        <w:t xml:space="preserve">assurer pleinement la protection des services existants ayant des attributions au-dessous de </w:t>
      </w:r>
      <w:r w:rsidRPr="00993003">
        <w:rPr>
          <w:lang w:val="fr-CH"/>
        </w:rPr>
        <w:t xml:space="preserve">694 MHz </w:t>
      </w:r>
      <w:r>
        <w:rPr>
          <w:lang w:val="fr-CH"/>
        </w:rPr>
        <w:t>et n</w:t>
      </w:r>
      <w:r w:rsidR="00AC209A">
        <w:rPr>
          <w:lang w:val="fr-CH"/>
        </w:rPr>
        <w:t>'</w:t>
      </w:r>
      <w:r>
        <w:rPr>
          <w:lang w:val="fr-CH"/>
        </w:rPr>
        <w:t>apportent pas d</w:t>
      </w:r>
      <w:r w:rsidR="00AC209A">
        <w:rPr>
          <w:lang w:val="fr-CH"/>
        </w:rPr>
        <w:t>'</w:t>
      </w:r>
      <w:r>
        <w:rPr>
          <w:lang w:val="fr-CH"/>
        </w:rPr>
        <w:t>indications claires aux administrations en ce qui c</w:t>
      </w:r>
      <w:r w:rsidR="001852F0">
        <w:rPr>
          <w:lang w:val="fr-CH"/>
        </w:rPr>
        <w:t>oncerne les niveaux spécifiques </w:t>
      </w:r>
      <w:r>
        <w:rPr>
          <w:lang w:val="fr-CH"/>
        </w:rPr>
        <w:t xml:space="preserve">des émissions hors bande </w:t>
      </w:r>
      <w:r w:rsidR="001852F0">
        <w:rPr>
          <w:lang w:val="fr-CH"/>
        </w:rPr>
        <w:t xml:space="preserve">des </w:t>
      </w:r>
      <w:r>
        <w:rPr>
          <w:lang w:val="fr-CH"/>
        </w:rPr>
        <w:t xml:space="preserve">stations mobiles </w:t>
      </w:r>
      <w:r w:rsidRPr="00993003">
        <w:rPr>
          <w:lang w:val="fr-CH"/>
        </w:rPr>
        <w:t>IMT</w:t>
      </w:r>
      <w:r>
        <w:rPr>
          <w:lang w:val="fr-CH"/>
        </w:rPr>
        <w:t xml:space="preserve"> fonctionnant dans la bande de fréquences</w:t>
      </w:r>
      <w:r w:rsidRPr="00993003">
        <w:rPr>
          <w:lang w:val="fr-CH"/>
        </w:rPr>
        <w:t xml:space="preserve"> </w:t>
      </w:r>
      <w:r w:rsidRPr="00993003">
        <w:rPr>
          <w:szCs w:val="24"/>
          <w:lang w:val="fr-CH"/>
        </w:rPr>
        <w:t xml:space="preserve">694-790 MHz. Le contenu de ce projet de nouvelle Recommandation est en contradiction avec </w:t>
      </w:r>
      <w:r>
        <w:rPr>
          <w:szCs w:val="24"/>
          <w:lang w:val="fr-CH"/>
        </w:rPr>
        <w:t>le</w:t>
      </w:r>
      <w:r w:rsidRPr="00993003">
        <w:rPr>
          <w:szCs w:val="24"/>
          <w:lang w:val="fr-CH"/>
        </w:rPr>
        <w:t xml:space="preserve"> titre et </w:t>
      </w:r>
      <w:r>
        <w:rPr>
          <w:szCs w:val="24"/>
          <w:lang w:val="fr-CH"/>
        </w:rPr>
        <w:t xml:space="preserve">le </w:t>
      </w:r>
      <w:r w:rsidRPr="00993003">
        <w:rPr>
          <w:szCs w:val="24"/>
          <w:lang w:val="fr-CH"/>
        </w:rPr>
        <w:t>champ d</w:t>
      </w:r>
      <w:r w:rsidR="00AC209A">
        <w:rPr>
          <w:szCs w:val="24"/>
          <w:lang w:val="fr-CH"/>
        </w:rPr>
        <w:t>'</w:t>
      </w:r>
      <w:r w:rsidRPr="00993003">
        <w:rPr>
          <w:szCs w:val="24"/>
          <w:lang w:val="fr-CH"/>
        </w:rPr>
        <w:t xml:space="preserve">application </w:t>
      </w:r>
      <w:r w:rsidR="001852F0">
        <w:rPr>
          <w:szCs w:val="24"/>
          <w:lang w:val="fr-CH"/>
        </w:rPr>
        <w:t>dont l'</w:t>
      </w:r>
      <w:r>
        <w:rPr>
          <w:szCs w:val="24"/>
          <w:lang w:val="fr-CH"/>
        </w:rPr>
        <w:t xml:space="preserve">objet </w:t>
      </w:r>
      <w:r w:rsidR="001852F0">
        <w:rPr>
          <w:szCs w:val="24"/>
          <w:lang w:val="fr-CH"/>
        </w:rPr>
        <w:t>est «</w:t>
      </w:r>
      <w:r>
        <w:rPr>
          <w:szCs w:val="24"/>
          <w:lang w:val="fr-CH"/>
        </w:rPr>
        <w:t>d</w:t>
      </w:r>
      <w:r w:rsidR="00AC209A">
        <w:rPr>
          <w:szCs w:val="24"/>
          <w:lang w:val="fr-CH"/>
        </w:rPr>
        <w:t>'</w:t>
      </w:r>
      <w:r>
        <w:rPr>
          <w:szCs w:val="24"/>
          <w:lang w:val="fr-CH"/>
        </w:rPr>
        <w:t>assurer la protection des services existants dans la Région 1 dans la bande de fréquences</w:t>
      </w:r>
      <w:r w:rsidRPr="00993003">
        <w:rPr>
          <w:szCs w:val="24"/>
          <w:lang w:val="fr-CH"/>
        </w:rPr>
        <w:t xml:space="preserve"> </w:t>
      </w:r>
      <w:r>
        <w:rPr>
          <w:szCs w:val="24"/>
          <w:lang w:val="fr-CH"/>
        </w:rPr>
        <w:t xml:space="preserve">au-dessous de </w:t>
      </w:r>
      <w:r w:rsidRPr="00993003">
        <w:rPr>
          <w:szCs w:val="24"/>
          <w:lang w:val="fr-CH" w:eastAsia="ja-JP"/>
        </w:rPr>
        <w:t>694 MHz</w:t>
      </w:r>
      <w:r w:rsidR="001852F0">
        <w:rPr>
          <w:szCs w:val="24"/>
          <w:lang w:val="fr-CH" w:eastAsia="ja-JP"/>
        </w:rPr>
        <w:t>»</w:t>
      </w:r>
      <w:r w:rsidRPr="00993003">
        <w:rPr>
          <w:lang w:val="fr-CH"/>
        </w:rPr>
        <w:t xml:space="preserve">. Par exemple, les points 1 et 2 du </w:t>
      </w:r>
      <w:r w:rsidRPr="00993003">
        <w:rPr>
          <w:i/>
          <w:lang w:val="fr-CH"/>
        </w:rPr>
        <w:t>recommande</w:t>
      </w:r>
      <w:r w:rsidRPr="00993003">
        <w:rPr>
          <w:lang w:val="fr-CH"/>
        </w:rPr>
        <w:t xml:space="preserve"> </w:t>
      </w:r>
      <w:r>
        <w:rPr>
          <w:lang w:val="fr-CH"/>
        </w:rPr>
        <w:t>de ce projet de Recommandation s</w:t>
      </w:r>
      <w:r w:rsidRPr="00993003">
        <w:rPr>
          <w:lang w:val="fr-CH"/>
        </w:rPr>
        <w:t>e contredisent l</w:t>
      </w:r>
      <w:r w:rsidR="00AC209A">
        <w:rPr>
          <w:lang w:val="fr-CH"/>
        </w:rPr>
        <w:t>'</w:t>
      </w:r>
      <w:r w:rsidRPr="00993003">
        <w:rPr>
          <w:lang w:val="fr-CH"/>
        </w:rPr>
        <w:t>un l</w:t>
      </w:r>
      <w:r w:rsidR="00AC209A">
        <w:rPr>
          <w:lang w:val="fr-CH"/>
        </w:rPr>
        <w:t>'</w:t>
      </w:r>
      <w:r w:rsidRPr="00993003">
        <w:rPr>
          <w:lang w:val="fr-CH"/>
        </w:rPr>
        <w:t>autre dans la mesure où ils</w:t>
      </w:r>
      <w:r>
        <w:rPr>
          <w:lang w:val="fr-CH"/>
        </w:rPr>
        <w:t xml:space="preserve"> donnent des niveaux différents pour assurer la protection des services existants sans préciser quel est le lien avec la protection des autres services ou les brouillages que pourraient </w:t>
      </w:r>
      <w:r w:rsidR="001852F0">
        <w:rPr>
          <w:lang w:val="fr-CH"/>
        </w:rPr>
        <w:t xml:space="preserve">subir les </w:t>
      </w:r>
      <w:r>
        <w:rPr>
          <w:lang w:val="fr-CH"/>
        </w:rPr>
        <w:t>récepteurs</w:t>
      </w:r>
      <w:r w:rsidRPr="00993003">
        <w:rPr>
          <w:lang w:val="fr-CH"/>
        </w:rPr>
        <w:t xml:space="preserve">. </w:t>
      </w:r>
    </w:p>
    <w:p w:rsidR="00AC0503" w:rsidRDefault="00EC5339" w:rsidP="00AC0503">
      <w:pPr>
        <w:rPr>
          <w:szCs w:val="24"/>
          <w:lang w:val="fr-CH"/>
        </w:rPr>
      </w:pPr>
      <w:r w:rsidRPr="007522FE">
        <w:rPr>
          <w:lang w:val="fr-CH"/>
        </w:rPr>
        <w:t>Il est impossible, à partir du texte du nouveau projet de Recommandation UIT</w:t>
      </w:r>
      <w:r w:rsidR="001852F0">
        <w:rPr>
          <w:lang w:val="fr-CH"/>
        </w:rPr>
        <w:t>-</w:t>
      </w:r>
      <w:r w:rsidRPr="007522FE">
        <w:rPr>
          <w:lang w:val="fr-CH"/>
        </w:rPr>
        <w:t>R M.[BSMS700]</w:t>
      </w:r>
      <w:r>
        <w:rPr>
          <w:lang w:val="fr-CH"/>
        </w:rPr>
        <w:t>,</w:t>
      </w:r>
      <w:r w:rsidRPr="007522FE">
        <w:rPr>
          <w:lang w:val="fr-CH"/>
        </w:rPr>
        <w:t xml:space="preserve"> de savoir quels services</w:t>
      </w:r>
      <w:r>
        <w:rPr>
          <w:lang w:val="fr-CH"/>
        </w:rPr>
        <w:t xml:space="preserve"> il a été recommandé de protéger même si les valeurs proposées ont été au départ envisagées par le GAM </w:t>
      </w:r>
      <w:r w:rsidRPr="007522FE">
        <w:rPr>
          <w:lang w:val="fr-CH"/>
        </w:rPr>
        <w:t xml:space="preserve">4-5-6-7 </w:t>
      </w:r>
      <w:r>
        <w:rPr>
          <w:lang w:val="fr-CH"/>
        </w:rPr>
        <w:t>uniquement pour le service de radiodiffusion</w:t>
      </w:r>
      <w:r w:rsidRPr="007522FE">
        <w:rPr>
          <w:lang w:val="fr-CH"/>
        </w:rPr>
        <w:t>. Il est nécessaire d</w:t>
      </w:r>
      <w:r w:rsidR="00AC209A">
        <w:rPr>
          <w:lang w:val="fr-CH"/>
        </w:rPr>
        <w:t>'</w:t>
      </w:r>
      <w:r w:rsidRPr="007522FE">
        <w:rPr>
          <w:lang w:val="fr-CH"/>
        </w:rPr>
        <w:t xml:space="preserve">examiner plus avant la question de la protection des stations du service de radiodiffusion en collaboration étroite avec </w:t>
      </w:r>
      <w:r>
        <w:rPr>
          <w:lang w:val="fr-CH"/>
        </w:rPr>
        <w:t xml:space="preserve">le GT </w:t>
      </w:r>
      <w:r w:rsidRPr="007522FE">
        <w:rPr>
          <w:szCs w:val="24"/>
          <w:lang w:val="fr-CH"/>
        </w:rPr>
        <w:t>6A</w:t>
      </w:r>
      <w:r>
        <w:rPr>
          <w:szCs w:val="24"/>
          <w:lang w:val="fr-CH"/>
        </w:rPr>
        <w:t xml:space="preserve"> et la CE</w:t>
      </w:r>
      <w:r w:rsidR="001852F0">
        <w:rPr>
          <w:szCs w:val="24"/>
          <w:lang w:val="fr-CH"/>
        </w:rPr>
        <w:t xml:space="preserve"> </w:t>
      </w:r>
      <w:r w:rsidRPr="007522FE">
        <w:rPr>
          <w:szCs w:val="24"/>
          <w:lang w:val="fr-CH"/>
        </w:rPr>
        <w:t xml:space="preserve">6 </w:t>
      </w:r>
      <w:r>
        <w:rPr>
          <w:szCs w:val="24"/>
          <w:lang w:val="fr-CH"/>
        </w:rPr>
        <w:t>afin de remédier à toutes les lacunes. Il faut procéder à d</w:t>
      </w:r>
      <w:r w:rsidR="00AC209A">
        <w:rPr>
          <w:szCs w:val="24"/>
          <w:lang w:val="fr-CH"/>
        </w:rPr>
        <w:t>'</w:t>
      </w:r>
      <w:r>
        <w:rPr>
          <w:szCs w:val="24"/>
          <w:lang w:val="fr-CH"/>
        </w:rPr>
        <w:t>autres études en ce qui concerne la p</w:t>
      </w:r>
      <w:r w:rsidR="00AC0503">
        <w:rPr>
          <w:szCs w:val="24"/>
          <w:lang w:val="fr-CH"/>
        </w:rPr>
        <w:t xml:space="preserve">rotection de plusieurs services </w:t>
      </w:r>
      <w:r>
        <w:rPr>
          <w:szCs w:val="24"/>
          <w:lang w:val="fr-CH"/>
        </w:rPr>
        <w:t xml:space="preserve">ayant des attributions dans la bande de fréquences au-dessous de </w:t>
      </w:r>
      <w:r w:rsidRPr="007522FE">
        <w:rPr>
          <w:szCs w:val="24"/>
          <w:lang w:val="fr-CH"/>
        </w:rPr>
        <w:t xml:space="preserve">694 MHz. </w:t>
      </w:r>
      <w:r w:rsidR="00AD29C0">
        <w:rPr>
          <w:szCs w:val="24"/>
          <w:lang w:val="fr-CH"/>
        </w:rPr>
        <w:t>Conformément à la </w:t>
      </w:r>
      <w:r w:rsidRPr="00194803">
        <w:rPr>
          <w:szCs w:val="24"/>
          <w:lang w:val="fr-CH"/>
        </w:rPr>
        <w:t>NOTE 3 relative au § 6.1.2 de la</w:t>
      </w:r>
      <w:r w:rsidR="001852F0">
        <w:rPr>
          <w:szCs w:val="24"/>
          <w:lang w:val="fr-CH"/>
        </w:rPr>
        <w:t xml:space="preserve"> R</w:t>
      </w:r>
      <w:r w:rsidRPr="00194803">
        <w:rPr>
          <w:szCs w:val="24"/>
          <w:lang w:val="fr-CH"/>
        </w:rPr>
        <w:t xml:space="preserve">ésolution UIT-R 1-6 </w:t>
      </w:r>
      <w:r w:rsidR="001852F0">
        <w:rPr>
          <w:szCs w:val="24"/>
          <w:lang w:val="fr-CH"/>
        </w:rPr>
        <w:t>«</w:t>
      </w:r>
      <w:r>
        <w:rPr>
          <w:szCs w:val="24"/>
          <w:lang w:val="fr-CH"/>
        </w:rPr>
        <w:t>Les C</w:t>
      </w:r>
      <w:r w:rsidRPr="00194803">
        <w:rPr>
          <w:szCs w:val="24"/>
          <w:lang w:val="fr-CH"/>
        </w:rPr>
        <w:t>ommissions d</w:t>
      </w:r>
      <w:r w:rsidR="00AC209A">
        <w:rPr>
          <w:szCs w:val="24"/>
          <w:lang w:val="fr-CH"/>
        </w:rPr>
        <w:t>'</w:t>
      </w:r>
      <w:r w:rsidR="00AD29C0">
        <w:rPr>
          <w:szCs w:val="24"/>
          <w:lang w:val="fr-CH"/>
        </w:rPr>
        <w:t>études qui élaborent </w:t>
      </w:r>
      <w:r>
        <w:rPr>
          <w:szCs w:val="24"/>
          <w:lang w:val="fr-CH"/>
        </w:rPr>
        <w:t xml:space="preserve">des Recommandations comprenant des critères de partage applicable à des services de </w:t>
      </w:r>
      <w:r w:rsidR="00AC0503">
        <w:rPr>
          <w:szCs w:val="24"/>
          <w:lang w:val="fr-CH"/>
        </w:rPr>
        <w:br w:type="page"/>
      </w:r>
    </w:p>
    <w:p w:rsidR="00EC5339" w:rsidRPr="00194803" w:rsidRDefault="00EC5339" w:rsidP="00AC0503">
      <w:pPr>
        <w:rPr>
          <w:lang w:val="fr-CH"/>
        </w:rPr>
      </w:pPr>
      <w:r>
        <w:rPr>
          <w:szCs w:val="24"/>
          <w:lang w:val="fr-CH"/>
        </w:rPr>
        <w:lastRenderedPageBreak/>
        <w:t>radiocommunication doivent, avant l</w:t>
      </w:r>
      <w:r w:rsidR="00AC209A">
        <w:rPr>
          <w:szCs w:val="24"/>
          <w:lang w:val="fr-CH"/>
        </w:rPr>
        <w:t>'</w:t>
      </w:r>
      <w:r>
        <w:rPr>
          <w:szCs w:val="24"/>
          <w:lang w:val="fr-CH"/>
        </w:rPr>
        <w:t>adoption de ces Recommandations, obtenir l</w:t>
      </w:r>
      <w:r w:rsidR="00AC209A">
        <w:rPr>
          <w:szCs w:val="24"/>
          <w:lang w:val="fr-CH"/>
        </w:rPr>
        <w:t>'</w:t>
      </w:r>
      <w:r>
        <w:rPr>
          <w:szCs w:val="24"/>
          <w:lang w:val="fr-CH"/>
        </w:rPr>
        <w:t>accord des Commissions d</w:t>
      </w:r>
      <w:r w:rsidR="00AC209A">
        <w:rPr>
          <w:szCs w:val="24"/>
          <w:lang w:val="fr-CH"/>
        </w:rPr>
        <w:t>'</w:t>
      </w:r>
      <w:r>
        <w:rPr>
          <w:szCs w:val="24"/>
          <w:lang w:val="fr-CH"/>
        </w:rPr>
        <w:t>études responsables de ces services</w:t>
      </w:r>
      <w:r w:rsidR="001852F0">
        <w:rPr>
          <w:szCs w:val="24"/>
          <w:lang w:val="fr-CH"/>
        </w:rPr>
        <w:t>»</w:t>
      </w:r>
      <w:r w:rsidRPr="00194803">
        <w:rPr>
          <w:szCs w:val="24"/>
          <w:lang w:val="fr-CH"/>
        </w:rPr>
        <w:t xml:space="preserve">. </w:t>
      </w:r>
      <w:r>
        <w:rPr>
          <w:szCs w:val="24"/>
          <w:lang w:val="fr-CH"/>
        </w:rPr>
        <w:t>Ces études complémentaires doivent être menées en étroite collaboration avec les Commissions d</w:t>
      </w:r>
      <w:r w:rsidR="00AC209A">
        <w:rPr>
          <w:szCs w:val="24"/>
          <w:lang w:val="fr-CH"/>
        </w:rPr>
        <w:t>'</w:t>
      </w:r>
      <w:r>
        <w:rPr>
          <w:szCs w:val="24"/>
          <w:lang w:val="fr-CH"/>
        </w:rPr>
        <w:t>études/Groupes de travail compétents</w:t>
      </w:r>
      <w:r w:rsidRPr="00194803">
        <w:rPr>
          <w:lang w:val="fr-CH"/>
        </w:rPr>
        <w:t xml:space="preserve">. </w:t>
      </w:r>
    </w:p>
    <w:p w:rsidR="00EC5339" w:rsidRPr="00194803" w:rsidRDefault="00EC5339" w:rsidP="00AC0503">
      <w:pPr>
        <w:rPr>
          <w:lang w:val="fr-CH"/>
        </w:rPr>
      </w:pPr>
      <w:r w:rsidRPr="00194803">
        <w:rPr>
          <w:lang w:val="fr-CH"/>
        </w:rPr>
        <w:t>Par ailleurs, le projet</w:t>
      </w:r>
      <w:r w:rsidR="00AD29C0">
        <w:rPr>
          <w:lang w:val="fr-CH"/>
        </w:rPr>
        <w:t xml:space="preserve"> de nouvelle Recommandation UIT</w:t>
      </w:r>
      <w:r w:rsidRPr="00194803">
        <w:rPr>
          <w:lang w:val="fr-CH"/>
        </w:rPr>
        <w:t>-R M.[BSMS700] n</w:t>
      </w:r>
      <w:r w:rsidR="00AC209A">
        <w:rPr>
          <w:lang w:val="fr-CH"/>
        </w:rPr>
        <w:t>'</w:t>
      </w:r>
      <w:r w:rsidRPr="00194803">
        <w:rPr>
          <w:lang w:val="fr-CH"/>
        </w:rPr>
        <w:t xml:space="preserve">apporte aucune information supplémentaire </w:t>
      </w:r>
      <w:r>
        <w:rPr>
          <w:lang w:val="fr-CH"/>
        </w:rPr>
        <w:t xml:space="preserve">sur les rayonnements non désirés par </w:t>
      </w:r>
      <w:r w:rsidR="001852F0">
        <w:rPr>
          <w:lang w:val="fr-CH"/>
        </w:rPr>
        <w:t>rapport à la Recommandation UIT</w:t>
      </w:r>
      <w:r w:rsidRPr="00194803">
        <w:rPr>
          <w:lang w:val="fr-CH"/>
        </w:rPr>
        <w:t xml:space="preserve">-R M.2071 </w:t>
      </w:r>
      <w:r>
        <w:rPr>
          <w:lang w:val="fr-CH"/>
        </w:rPr>
        <w:t xml:space="preserve">relative aux caractéristiques génériques des rayonnements non désirés des stations mobiles utilisant les interfaces radioélectriques de Terre des IMT évoluées. </w:t>
      </w:r>
      <w:r w:rsidRPr="00194803">
        <w:rPr>
          <w:lang w:val="fr-CH"/>
        </w:rPr>
        <w:t>En outre, la Recommandation UIT-R M.2071</w:t>
      </w:r>
      <w:r>
        <w:rPr>
          <w:lang w:val="fr-CH"/>
        </w:rPr>
        <w:t xml:space="preserve"> a été </w:t>
      </w:r>
      <w:r w:rsidRPr="00194803">
        <w:rPr>
          <w:lang w:val="fr-CH"/>
        </w:rPr>
        <w:t>élaborée de manière plus détaillée et plus constructive</w:t>
      </w:r>
      <w:r w:rsidR="001852F0">
        <w:rPr>
          <w:lang w:val="fr-CH"/>
        </w:rPr>
        <w:t>,</w:t>
      </w:r>
      <w:r>
        <w:rPr>
          <w:lang w:val="fr-CH"/>
        </w:rPr>
        <w:t xml:space="preserve"> après consultation des organismes de normalisation compétents</w:t>
      </w:r>
      <w:r w:rsidRPr="00194803">
        <w:rPr>
          <w:lang w:val="fr-CH"/>
        </w:rPr>
        <w:t>. Le fait d</w:t>
      </w:r>
      <w:r w:rsidR="00AC209A">
        <w:rPr>
          <w:lang w:val="fr-CH"/>
        </w:rPr>
        <w:t>'</w:t>
      </w:r>
      <w:r w:rsidRPr="00194803">
        <w:rPr>
          <w:lang w:val="fr-CH"/>
        </w:rPr>
        <w:t>avoir deux Recommandations UIT-R fournissant des indications sur les mêmes</w:t>
      </w:r>
      <w:r>
        <w:rPr>
          <w:lang w:val="fr-CH"/>
        </w:rPr>
        <w:t xml:space="preserve"> questions risque de faire double emploi et peut conduire à des incohérences entre ces deux Recommandations dans l</w:t>
      </w:r>
      <w:r w:rsidR="00AC209A">
        <w:rPr>
          <w:lang w:val="fr-CH"/>
        </w:rPr>
        <w:t>'</w:t>
      </w:r>
      <w:r>
        <w:rPr>
          <w:lang w:val="fr-CH"/>
        </w:rPr>
        <w:t>avenir.</w:t>
      </w:r>
    </w:p>
    <w:p w:rsidR="00EC5339" w:rsidRPr="009A2A9F" w:rsidRDefault="00EC5339" w:rsidP="00AC0503">
      <w:pPr>
        <w:rPr>
          <w:lang w:val="fr-CH" w:eastAsia="ja-JP"/>
        </w:rPr>
      </w:pPr>
      <w:r w:rsidRPr="00194803">
        <w:rPr>
          <w:lang w:val="fr-CH"/>
        </w:rPr>
        <w:t>Il convient de noter que le projet</w:t>
      </w:r>
      <w:r w:rsidR="001852F0">
        <w:rPr>
          <w:lang w:val="fr-CH"/>
        </w:rPr>
        <w:t xml:space="preserve"> de nouvelle Recommandation UIT</w:t>
      </w:r>
      <w:r w:rsidRPr="00194803">
        <w:rPr>
          <w:lang w:val="fr-CH"/>
        </w:rPr>
        <w:t>-R M.[BSMS700] comporte un nombre important de questions techniques non résolues</w:t>
      </w:r>
      <w:r>
        <w:rPr>
          <w:lang w:val="fr-CH"/>
        </w:rPr>
        <w:t xml:space="preserve"> et ne saurait être examiné par l</w:t>
      </w:r>
      <w:r w:rsidR="00AC209A">
        <w:rPr>
          <w:lang w:val="fr-CH"/>
        </w:rPr>
        <w:t>'</w:t>
      </w:r>
      <w:r>
        <w:rPr>
          <w:lang w:val="fr-CH"/>
        </w:rPr>
        <w:t>A</w:t>
      </w:r>
      <w:r w:rsidR="001852F0">
        <w:rPr>
          <w:lang w:val="fr-CH"/>
        </w:rPr>
        <w:t>R-</w:t>
      </w:r>
      <w:r>
        <w:rPr>
          <w:lang w:val="fr-CH"/>
        </w:rPr>
        <w:t xml:space="preserve">15 conformément à la Résolution </w:t>
      </w:r>
      <w:r w:rsidR="001852F0">
        <w:rPr>
          <w:lang w:val="fr-CH"/>
        </w:rPr>
        <w:t>UIT</w:t>
      </w:r>
      <w:r w:rsidRPr="00194803">
        <w:rPr>
          <w:lang w:val="fr-CH"/>
        </w:rPr>
        <w:t xml:space="preserve">-R 1-6. </w:t>
      </w:r>
      <w:r w:rsidR="00F226DB">
        <w:rPr>
          <w:lang w:val="fr-CH"/>
        </w:rPr>
        <w:t>E</w:t>
      </w:r>
      <w:r w:rsidRPr="009A2A9F">
        <w:rPr>
          <w:lang w:val="fr-CH"/>
        </w:rPr>
        <w:t xml:space="preserve">tant donné que ni le GT 5D ni la CE 5 </w:t>
      </w:r>
      <w:r>
        <w:rPr>
          <w:lang w:val="fr-CH"/>
        </w:rPr>
        <w:t>ne sont habilité</w:t>
      </w:r>
      <w:r w:rsidRPr="009A2A9F">
        <w:rPr>
          <w:lang w:val="fr-CH"/>
        </w:rPr>
        <w:t>s à élaborer des Reco</w:t>
      </w:r>
      <w:r w:rsidR="001852F0">
        <w:rPr>
          <w:lang w:val="fr-CH"/>
        </w:rPr>
        <w:t>mmandations ou des Rapports UIT-</w:t>
      </w:r>
      <w:r w:rsidRPr="009A2A9F">
        <w:rPr>
          <w:lang w:val="fr-CH"/>
        </w:rPr>
        <w:t xml:space="preserve">R </w:t>
      </w:r>
      <w:r>
        <w:rPr>
          <w:lang w:val="fr-CH"/>
        </w:rPr>
        <w:t>ayant trait au</w:t>
      </w:r>
      <w:r w:rsidR="001852F0">
        <w:rPr>
          <w:lang w:val="fr-CH"/>
        </w:rPr>
        <w:t xml:space="preserve"> point 1.</w:t>
      </w:r>
      <w:r w:rsidRPr="009A2A9F">
        <w:rPr>
          <w:lang w:val="fr-CH"/>
        </w:rPr>
        <w:t>2 de l</w:t>
      </w:r>
      <w:r w:rsidR="00AC209A">
        <w:rPr>
          <w:lang w:val="fr-CH"/>
        </w:rPr>
        <w:t>'</w:t>
      </w:r>
      <w:r w:rsidR="001852F0">
        <w:rPr>
          <w:lang w:val="fr-CH"/>
        </w:rPr>
        <w:t>ordre du jour de la CMR</w:t>
      </w:r>
      <w:r w:rsidR="001852F0">
        <w:rPr>
          <w:lang w:val="fr-CH"/>
        </w:rPr>
        <w:noBreakHyphen/>
      </w:r>
      <w:r w:rsidRPr="009A2A9F">
        <w:rPr>
          <w:lang w:val="fr-CH"/>
        </w:rPr>
        <w:t>15, l</w:t>
      </w:r>
      <w:r w:rsidR="00AC209A">
        <w:rPr>
          <w:lang w:val="fr-CH"/>
        </w:rPr>
        <w:t>'</w:t>
      </w:r>
      <w:r w:rsidRPr="009A2A9F">
        <w:rPr>
          <w:lang w:val="fr-CH"/>
        </w:rPr>
        <w:t>examen du projet</w:t>
      </w:r>
      <w:r w:rsidR="001852F0">
        <w:rPr>
          <w:lang w:val="fr-CH"/>
        </w:rPr>
        <w:t xml:space="preserve"> de nouvelle Recommandation UIT</w:t>
      </w:r>
      <w:r w:rsidRPr="009A2A9F">
        <w:rPr>
          <w:lang w:val="fr-CH"/>
        </w:rPr>
        <w:t xml:space="preserve">-R M.[BSMS700] </w:t>
      </w:r>
      <w:r w:rsidR="001852F0">
        <w:rPr>
          <w:lang w:val="fr-CH"/>
        </w:rPr>
        <w:t>relève du </w:t>
      </w:r>
      <w:r w:rsidRPr="009A2A9F">
        <w:rPr>
          <w:lang w:val="fr-CH"/>
        </w:rPr>
        <w:t>§</w:t>
      </w:r>
      <w:r w:rsidR="001852F0">
        <w:rPr>
          <w:lang w:val="fr-CH"/>
        </w:rPr>
        <w:t> </w:t>
      </w:r>
      <w:r w:rsidRPr="009A2A9F">
        <w:rPr>
          <w:lang w:val="fr-CH"/>
        </w:rPr>
        <w:t>10.2.1.2</w:t>
      </w:r>
      <w:r>
        <w:rPr>
          <w:lang w:val="fr-CH"/>
        </w:rPr>
        <w:t>, alinéa</w:t>
      </w:r>
      <w:r w:rsidRPr="009A2A9F">
        <w:rPr>
          <w:lang w:val="fr-CH"/>
        </w:rPr>
        <w:t xml:space="preserve"> b) </w:t>
      </w:r>
      <w:r>
        <w:rPr>
          <w:lang w:val="fr-CH"/>
        </w:rPr>
        <w:t>de la Résolution UIT</w:t>
      </w:r>
      <w:r w:rsidRPr="009A2A9F">
        <w:rPr>
          <w:lang w:val="fr-CH"/>
        </w:rPr>
        <w:t>-R 1-6.</w:t>
      </w:r>
      <w:r>
        <w:rPr>
          <w:lang w:val="fr-CH"/>
        </w:rPr>
        <w:t xml:space="preserve"> </w:t>
      </w:r>
      <w:r w:rsidRPr="009A2A9F">
        <w:rPr>
          <w:lang w:val="fr-CH"/>
        </w:rPr>
        <w:t>Conformément à ce paragraphe</w:t>
      </w:r>
      <w:r w:rsidR="001852F0">
        <w:rPr>
          <w:lang w:val="fr-CH"/>
        </w:rPr>
        <w:t>,</w:t>
      </w:r>
      <w:r w:rsidRPr="009A2A9F">
        <w:rPr>
          <w:lang w:val="fr-CH"/>
        </w:rPr>
        <w:t xml:space="preserve"> le projet de nouvelle Recommandation UIT-R M.[BSMS700] </w:t>
      </w:r>
      <w:r w:rsidR="001852F0">
        <w:rPr>
          <w:lang w:val="fr-CH"/>
        </w:rPr>
        <w:t xml:space="preserve">ne </w:t>
      </w:r>
      <w:r w:rsidRPr="009A2A9F">
        <w:rPr>
          <w:lang w:val="fr-CH"/>
        </w:rPr>
        <w:t>pourrait être transmis à l</w:t>
      </w:r>
      <w:r w:rsidR="00AC209A">
        <w:rPr>
          <w:lang w:val="fr-CH"/>
        </w:rPr>
        <w:t>'</w:t>
      </w:r>
      <w:r w:rsidR="001852F0">
        <w:rPr>
          <w:lang w:val="fr-CH"/>
        </w:rPr>
        <w:t>AR-15 pour examen «</w:t>
      </w:r>
      <w:r w:rsidRPr="009A2A9F">
        <w:rPr>
          <w:lang w:val="fr-CH"/>
        </w:rPr>
        <w:t>avec suffisamment d</w:t>
      </w:r>
      <w:r w:rsidR="00AC209A">
        <w:rPr>
          <w:lang w:val="fr-CH"/>
        </w:rPr>
        <w:t>'</w:t>
      </w:r>
      <w:r w:rsidRPr="009A2A9F">
        <w:rPr>
          <w:lang w:val="fr-CH"/>
        </w:rPr>
        <w:t>éléments, obtenus par consensus, prouvant que l</w:t>
      </w:r>
      <w:r w:rsidR="00AC209A">
        <w:rPr>
          <w:lang w:val="fr-CH"/>
        </w:rPr>
        <w:t>'</w:t>
      </w:r>
      <w:r w:rsidRPr="009A2A9F">
        <w:rPr>
          <w:lang w:val="fr-CH"/>
        </w:rPr>
        <w:t>objection technique a</w:t>
      </w:r>
      <w:r w:rsidR="001852F0">
        <w:rPr>
          <w:lang w:val="fr-CH"/>
        </w:rPr>
        <w:t xml:space="preserve"> déjà été correctement examinée</w:t>
      </w:r>
      <w:r w:rsidR="00AC0503">
        <w:rPr>
          <w:lang w:val="fr-CH"/>
        </w:rPr>
        <w:t>»</w:t>
      </w:r>
      <w:r>
        <w:rPr>
          <w:lang w:val="fr-CH"/>
        </w:rPr>
        <w:t>, ce qui n</w:t>
      </w:r>
      <w:r w:rsidR="00AC209A">
        <w:rPr>
          <w:lang w:val="fr-CH"/>
        </w:rPr>
        <w:t>'</w:t>
      </w:r>
      <w:r>
        <w:rPr>
          <w:lang w:val="fr-CH"/>
        </w:rPr>
        <w:t>a pas été fait ni par le GT</w:t>
      </w:r>
      <w:r w:rsidR="001852F0">
        <w:rPr>
          <w:lang w:val="fr-CH"/>
        </w:rPr>
        <w:t xml:space="preserve"> </w:t>
      </w:r>
      <w:r w:rsidRPr="009A2A9F">
        <w:rPr>
          <w:lang w:val="fr-CH"/>
        </w:rPr>
        <w:t xml:space="preserve">5D </w:t>
      </w:r>
      <w:r>
        <w:rPr>
          <w:lang w:val="fr-CH"/>
        </w:rPr>
        <w:t>ni par la CE</w:t>
      </w:r>
      <w:r w:rsidR="001852F0">
        <w:rPr>
          <w:lang w:val="fr-CH"/>
        </w:rPr>
        <w:t xml:space="preserve"> </w:t>
      </w:r>
      <w:r>
        <w:rPr>
          <w:lang w:val="fr-CH"/>
        </w:rPr>
        <w:t>5</w:t>
      </w:r>
      <w:r w:rsidRPr="009A2A9F">
        <w:rPr>
          <w:lang w:val="fr-CH"/>
        </w:rPr>
        <w:t xml:space="preserve">. </w:t>
      </w:r>
    </w:p>
    <w:p w:rsidR="00EC5339" w:rsidRPr="00006CB5" w:rsidRDefault="00EC5339" w:rsidP="00D32C36">
      <w:pPr>
        <w:pStyle w:val="headingb0"/>
        <w:spacing w:before="360"/>
        <w:rPr>
          <w:lang w:val="fr-CH" w:eastAsia="ja-JP"/>
        </w:rPr>
      </w:pPr>
      <w:r w:rsidRPr="00006CB5">
        <w:rPr>
          <w:lang w:val="fr-CH"/>
        </w:rPr>
        <w:t xml:space="preserve">Résumé </w:t>
      </w:r>
    </w:p>
    <w:p w:rsidR="00EC5339" w:rsidRPr="009A2A9F" w:rsidRDefault="00EC5339" w:rsidP="00D32C36">
      <w:pPr>
        <w:rPr>
          <w:lang w:val="fr-CH" w:eastAsia="ja-JP"/>
        </w:rPr>
      </w:pPr>
      <w:r w:rsidRPr="009A2A9F">
        <w:rPr>
          <w:lang w:val="fr-CH" w:eastAsia="ja-JP"/>
        </w:rPr>
        <w:t>Cette Recommandation donne des indications aux administrations concernant les limites spécifiques des émissions hors bande</w:t>
      </w:r>
      <w:r>
        <w:rPr>
          <w:lang w:val="fr-CH" w:eastAsia="ja-JP"/>
        </w:rPr>
        <w:t xml:space="preserve"> </w:t>
      </w:r>
      <w:r w:rsidR="001852F0">
        <w:rPr>
          <w:lang w:val="fr-CH" w:eastAsia="ja-JP"/>
        </w:rPr>
        <w:t>applicables aux</w:t>
      </w:r>
      <w:r>
        <w:rPr>
          <w:lang w:val="fr-CH" w:eastAsia="ja-JP"/>
        </w:rPr>
        <w:t xml:space="preserve"> </w:t>
      </w:r>
      <w:r w:rsidRPr="009A2A9F">
        <w:rPr>
          <w:lang w:val="fr-CH" w:eastAsia="ja-JP"/>
        </w:rPr>
        <w:t>stations mobiles IMT fonctionnant dans</w:t>
      </w:r>
      <w:r w:rsidR="001852F0">
        <w:rPr>
          <w:lang w:val="fr-CH" w:eastAsia="ja-JP"/>
        </w:rPr>
        <w:t xml:space="preserve"> la bande de fréquences 694-</w:t>
      </w:r>
      <w:r>
        <w:rPr>
          <w:lang w:val="fr-CH" w:eastAsia="ja-JP"/>
        </w:rPr>
        <w:t xml:space="preserve">790 MHz pour la protection des services existants dans la Région 1 exploités dans la bande de fréquences au-dessous de </w:t>
      </w:r>
      <w:r w:rsidR="001852F0">
        <w:rPr>
          <w:lang w:val="fr-CH" w:eastAsia="ja-JP"/>
        </w:rPr>
        <w:t>694 MHz</w:t>
      </w:r>
      <w:r w:rsidRPr="009A2A9F">
        <w:rPr>
          <w:lang w:val="fr-CH"/>
        </w:rPr>
        <w:t>.</w:t>
      </w:r>
      <w:r w:rsidRPr="009A2A9F">
        <w:rPr>
          <w:rFonts w:hint="eastAsia"/>
          <w:lang w:val="fr-CH" w:eastAsia="ja-JP"/>
        </w:rPr>
        <w:t xml:space="preserve"> </w:t>
      </w:r>
    </w:p>
    <w:p w:rsidR="00EC5339" w:rsidRPr="009A2A9F" w:rsidRDefault="00EC5339" w:rsidP="00D32C36">
      <w:pPr>
        <w:rPr>
          <w:lang w:val="fr-CH" w:eastAsia="ja-JP"/>
        </w:rPr>
      </w:pPr>
      <w:r w:rsidRPr="009A2A9F">
        <w:rPr>
          <w:sz w:val="22"/>
          <w:szCs w:val="22"/>
          <w:lang w:val="fr-CH" w:eastAsia="ja-JP"/>
        </w:rPr>
        <w:br w:type="page"/>
      </w:r>
    </w:p>
    <w:p w:rsidR="00EC5339" w:rsidRPr="009A2A9F" w:rsidRDefault="00EC5339" w:rsidP="00AD29C0">
      <w:pPr>
        <w:pStyle w:val="RecNo"/>
        <w:rPr>
          <w:lang w:val="fr-CH" w:eastAsia="ja-JP"/>
        </w:rPr>
      </w:pPr>
      <w:r w:rsidRPr="009A2A9F">
        <w:rPr>
          <w:lang w:val="fr-CH"/>
        </w:rPr>
        <w:lastRenderedPageBreak/>
        <w:t>Projet</w:t>
      </w:r>
      <w:r w:rsidR="00AD29C0">
        <w:rPr>
          <w:lang w:val="fr-CH"/>
        </w:rPr>
        <w:t xml:space="preserve"> de nouvelle recommandation UIT-</w:t>
      </w:r>
      <w:r w:rsidRPr="009A2A9F">
        <w:rPr>
          <w:lang w:val="fr-CH"/>
        </w:rPr>
        <w:t>R M.[BSMS700]</w:t>
      </w:r>
    </w:p>
    <w:p w:rsidR="00EC5339" w:rsidRPr="00AE1454" w:rsidRDefault="001852F0" w:rsidP="00D32C36">
      <w:pPr>
        <w:pStyle w:val="Rectitle"/>
        <w:rPr>
          <w:lang w:val="fr-CH" w:eastAsia="ja-JP"/>
        </w:rPr>
      </w:pPr>
      <w:r w:rsidRPr="001852F0">
        <w:rPr>
          <w:b w:val="0"/>
          <w:lang w:val="fr-CH" w:eastAsia="ja-JP"/>
        </w:rPr>
        <w:t xml:space="preserve">Limites spécifiques des émissions hors bande applicables aux </w:t>
      </w:r>
      <w:r w:rsidR="00D32C36" w:rsidRPr="001852F0">
        <w:rPr>
          <w:b w:val="0"/>
          <w:lang w:val="fr-CH" w:eastAsia="ja-JP"/>
        </w:rPr>
        <w:t>stations mobiles</w:t>
      </w:r>
      <w:r w:rsidR="00D32C36">
        <w:rPr>
          <w:b w:val="0"/>
          <w:lang w:val="fr-CH" w:eastAsia="ja-JP"/>
        </w:rPr>
        <w:t xml:space="preserve"> </w:t>
      </w:r>
      <w:r w:rsidR="00D32C36" w:rsidRPr="001852F0">
        <w:rPr>
          <w:b w:val="0"/>
          <w:lang w:val="fr-CH" w:eastAsia="ja-JP"/>
        </w:rPr>
        <w:t>IMT exploitées</w:t>
      </w:r>
      <w:r w:rsidRPr="001852F0">
        <w:rPr>
          <w:b w:val="0"/>
          <w:lang w:val="fr-CH" w:eastAsia="ja-JP"/>
        </w:rPr>
        <w:t xml:space="preserve"> dans la bande de fréquences 694-790 MHz pour la protection </w:t>
      </w:r>
      <w:r w:rsidR="00D32C36">
        <w:rPr>
          <w:b w:val="0"/>
          <w:lang w:val="fr-CH" w:eastAsia="ja-JP"/>
        </w:rPr>
        <w:br/>
      </w:r>
      <w:r w:rsidRPr="001852F0">
        <w:rPr>
          <w:b w:val="0"/>
          <w:lang w:val="fr-CH" w:eastAsia="ja-JP"/>
        </w:rPr>
        <w:t>des services existants en</w:t>
      </w:r>
      <w:r w:rsidRPr="001852F0">
        <w:rPr>
          <w:b w:val="0"/>
          <w:caps/>
          <w:lang w:val="fr-CH" w:eastAsia="ja-JP"/>
        </w:rPr>
        <w:t xml:space="preserve"> </w:t>
      </w:r>
      <w:r>
        <w:rPr>
          <w:b w:val="0"/>
          <w:lang w:val="fr-CH" w:eastAsia="ja-JP"/>
        </w:rPr>
        <w:t>R</w:t>
      </w:r>
      <w:r w:rsidRPr="001852F0">
        <w:rPr>
          <w:b w:val="0"/>
          <w:lang w:val="fr-CH" w:eastAsia="ja-JP"/>
        </w:rPr>
        <w:t xml:space="preserve">égion 1 fonctionnant dans la bande </w:t>
      </w:r>
      <w:r w:rsidR="00D32C36">
        <w:rPr>
          <w:b w:val="0"/>
          <w:lang w:val="fr-CH" w:eastAsia="ja-JP"/>
        </w:rPr>
        <w:br/>
      </w:r>
      <w:r w:rsidRPr="001852F0">
        <w:rPr>
          <w:b w:val="0"/>
          <w:lang w:val="fr-CH" w:eastAsia="ja-JP"/>
        </w:rPr>
        <w:t>de fréquences au</w:t>
      </w:r>
      <w:r w:rsidRPr="001852F0">
        <w:rPr>
          <w:b w:val="0"/>
          <w:lang w:val="fr-CH" w:eastAsia="ja-JP"/>
        </w:rPr>
        <w:noBreakHyphen/>
        <w:t xml:space="preserve">dessous </w:t>
      </w:r>
      <w:r>
        <w:rPr>
          <w:b w:val="0"/>
          <w:lang w:val="fr-CH" w:eastAsia="ja-JP"/>
        </w:rPr>
        <w:t xml:space="preserve">de </w:t>
      </w:r>
      <w:r w:rsidRPr="001852F0">
        <w:rPr>
          <w:b w:val="0"/>
          <w:lang w:val="fr-CH" w:eastAsia="ja-JP"/>
        </w:rPr>
        <w:t>694 MHz</w:t>
      </w:r>
    </w:p>
    <w:p w:rsidR="00EC5339" w:rsidRPr="00006CB5" w:rsidRDefault="00EC5339" w:rsidP="00D32C36">
      <w:pPr>
        <w:pStyle w:val="Headingb"/>
        <w:spacing w:before="360"/>
        <w:rPr>
          <w:sz w:val="22"/>
          <w:szCs w:val="22"/>
          <w:lang w:val="fr-CH" w:eastAsia="ja-JP"/>
        </w:rPr>
      </w:pPr>
      <w:r w:rsidRPr="00006CB5">
        <w:rPr>
          <w:sz w:val="22"/>
          <w:szCs w:val="22"/>
          <w:lang w:val="fr-CH" w:eastAsia="ja-JP"/>
        </w:rPr>
        <w:t>Champ d</w:t>
      </w:r>
      <w:r w:rsidR="00AC209A">
        <w:rPr>
          <w:sz w:val="22"/>
          <w:szCs w:val="22"/>
          <w:lang w:val="fr-CH" w:eastAsia="ja-JP"/>
        </w:rPr>
        <w:t>'</w:t>
      </w:r>
      <w:r w:rsidRPr="00006CB5">
        <w:rPr>
          <w:sz w:val="22"/>
          <w:szCs w:val="22"/>
          <w:lang w:val="fr-CH" w:eastAsia="ja-JP"/>
        </w:rPr>
        <w:t>application</w:t>
      </w:r>
    </w:p>
    <w:p w:rsidR="00EC5339" w:rsidRPr="00AE1454" w:rsidRDefault="00EC5339" w:rsidP="00D32C36">
      <w:pPr>
        <w:rPr>
          <w:sz w:val="22"/>
          <w:szCs w:val="22"/>
          <w:lang w:val="fr-CH"/>
        </w:rPr>
      </w:pPr>
      <w:r w:rsidRPr="00AE1454">
        <w:rPr>
          <w:sz w:val="22"/>
          <w:szCs w:val="22"/>
          <w:lang w:val="fr-CH" w:eastAsia="ja-JP"/>
        </w:rPr>
        <w:t>La présente Recommandation fournit des indications aux administrations con</w:t>
      </w:r>
      <w:r w:rsidR="00D32C36">
        <w:rPr>
          <w:sz w:val="22"/>
          <w:szCs w:val="22"/>
          <w:lang w:val="fr-CH" w:eastAsia="ja-JP"/>
        </w:rPr>
        <w:t>cernant les niveaux spécifiques </w:t>
      </w:r>
      <w:r w:rsidRPr="00AE1454">
        <w:rPr>
          <w:sz w:val="22"/>
          <w:szCs w:val="22"/>
          <w:lang w:val="fr-CH" w:eastAsia="ja-JP"/>
        </w:rPr>
        <w:t>des émissions hors bande rayonnée</w:t>
      </w:r>
      <w:r>
        <w:rPr>
          <w:sz w:val="22"/>
          <w:szCs w:val="22"/>
          <w:lang w:val="fr-CH" w:eastAsia="ja-JP"/>
        </w:rPr>
        <w:t>s</w:t>
      </w:r>
      <w:r w:rsidRPr="00AE1454">
        <w:rPr>
          <w:sz w:val="22"/>
          <w:szCs w:val="22"/>
          <w:lang w:val="fr-CH" w:eastAsia="ja-JP"/>
        </w:rPr>
        <w:t xml:space="preserve"> par les stations mobiles IMT fonctionnant dans la bande de fréquences 694-790 MHz </w:t>
      </w:r>
      <w:r>
        <w:rPr>
          <w:sz w:val="22"/>
          <w:szCs w:val="22"/>
          <w:lang w:val="fr-CH" w:eastAsia="ja-JP"/>
        </w:rPr>
        <w:t>à respecter pour assurer la protection des services ex</w:t>
      </w:r>
      <w:r w:rsidR="00D32C36">
        <w:rPr>
          <w:sz w:val="22"/>
          <w:szCs w:val="22"/>
          <w:lang w:val="fr-CH" w:eastAsia="ja-JP"/>
        </w:rPr>
        <w:t>istants exploités au-dessous de </w:t>
      </w:r>
      <w:r w:rsidRPr="00AE1454">
        <w:rPr>
          <w:sz w:val="22"/>
          <w:szCs w:val="22"/>
          <w:lang w:val="fr-CH" w:eastAsia="ja-JP"/>
        </w:rPr>
        <w:t>694 MHz</w:t>
      </w:r>
      <w:r>
        <w:rPr>
          <w:sz w:val="22"/>
          <w:szCs w:val="22"/>
          <w:lang w:val="fr-CH" w:eastAsia="ja-JP"/>
        </w:rPr>
        <w:t xml:space="preserve"> dans la Région </w:t>
      </w:r>
      <w:r w:rsidRPr="00AE1454">
        <w:rPr>
          <w:sz w:val="22"/>
          <w:szCs w:val="22"/>
          <w:lang w:val="fr-CH" w:eastAsia="ja-JP"/>
        </w:rPr>
        <w:t>1</w:t>
      </w:r>
      <w:r w:rsidRPr="00AE1454">
        <w:rPr>
          <w:sz w:val="22"/>
          <w:szCs w:val="22"/>
          <w:lang w:val="fr-CH"/>
        </w:rPr>
        <w:t>.</w:t>
      </w:r>
    </w:p>
    <w:p w:rsidR="00EC5339" w:rsidRPr="00AE1454" w:rsidRDefault="00EC5339" w:rsidP="00D32C36">
      <w:pPr>
        <w:pStyle w:val="Normalaftertitle0"/>
        <w:rPr>
          <w:lang w:val="fr-CH"/>
        </w:rPr>
      </w:pPr>
      <w:r w:rsidRPr="00AE1454">
        <w:rPr>
          <w:lang w:val="fr-CH"/>
        </w:rPr>
        <w:t>L</w:t>
      </w:r>
      <w:r w:rsidR="00AC209A">
        <w:rPr>
          <w:lang w:val="fr-CH"/>
        </w:rPr>
        <w:t>'</w:t>
      </w:r>
      <w:r w:rsidRPr="00AE1454">
        <w:rPr>
          <w:lang w:val="fr-CH"/>
        </w:rPr>
        <w:t>Assemblée des radiocommunications de l</w:t>
      </w:r>
      <w:r w:rsidR="00AC209A">
        <w:rPr>
          <w:lang w:val="fr-CH"/>
        </w:rPr>
        <w:t>'</w:t>
      </w:r>
      <w:r w:rsidRPr="00AE1454">
        <w:rPr>
          <w:lang w:val="fr-CH"/>
        </w:rPr>
        <w:t>UIT,</w:t>
      </w:r>
    </w:p>
    <w:p w:rsidR="00EC5339" w:rsidRPr="00006CB5" w:rsidRDefault="00EC5339" w:rsidP="00D32C36">
      <w:pPr>
        <w:pStyle w:val="Call"/>
        <w:rPr>
          <w:lang w:val="fr-CH"/>
        </w:rPr>
      </w:pPr>
      <w:r w:rsidRPr="00006CB5">
        <w:rPr>
          <w:lang w:val="fr-CH"/>
        </w:rPr>
        <w:t>considérant</w:t>
      </w:r>
    </w:p>
    <w:p w:rsidR="00EC5339" w:rsidRPr="00AE1454" w:rsidRDefault="00EC5339" w:rsidP="00D32C36">
      <w:pPr>
        <w:rPr>
          <w:lang w:val="fr-CH"/>
        </w:rPr>
      </w:pPr>
      <w:r w:rsidRPr="00AE1454">
        <w:rPr>
          <w:i/>
          <w:iCs/>
          <w:lang w:val="fr-CH"/>
        </w:rPr>
        <w:t>a)</w:t>
      </w:r>
      <w:r w:rsidRPr="00AE1454">
        <w:rPr>
          <w:i/>
          <w:iCs/>
          <w:lang w:val="fr-CH"/>
        </w:rPr>
        <w:tab/>
      </w:r>
      <w:r w:rsidRPr="00AE1454">
        <w:rPr>
          <w:lang w:val="fr-CH"/>
        </w:rPr>
        <w:t xml:space="preserve">que les Recommandations UIT-R M.1581 </w:t>
      </w:r>
      <w:r w:rsidRPr="00AE1454">
        <w:rPr>
          <w:lang w:val="fr-CH" w:eastAsia="ko-KR"/>
        </w:rPr>
        <w:t xml:space="preserve">et UIT-R M.[IMT OOBE MS] spécifient les caractéristiques génériques </w:t>
      </w:r>
      <w:r>
        <w:rPr>
          <w:lang w:val="fr-CH" w:eastAsia="ko-KR"/>
        </w:rPr>
        <w:t xml:space="preserve">des rayonnements non désirés, respectivement, </w:t>
      </w:r>
      <w:r w:rsidR="00AD29C0">
        <w:rPr>
          <w:lang w:val="fr-CH" w:eastAsia="ko-KR"/>
        </w:rPr>
        <w:t>des stations mobiles IMT</w:t>
      </w:r>
      <w:r w:rsidR="00AD29C0">
        <w:rPr>
          <w:lang w:val="fr-CH" w:eastAsia="ko-KR"/>
        </w:rPr>
        <w:noBreakHyphen/>
      </w:r>
      <w:r>
        <w:rPr>
          <w:lang w:val="fr-CH" w:eastAsia="ko-KR"/>
        </w:rPr>
        <w:t>2000 et des stations mobiles IMT évoluées</w:t>
      </w:r>
      <w:r w:rsidRPr="00AE1454">
        <w:rPr>
          <w:lang w:val="fr-CH"/>
        </w:rPr>
        <w:t>;</w:t>
      </w:r>
    </w:p>
    <w:p w:rsidR="00EC5339" w:rsidRPr="00AE1454" w:rsidRDefault="00EC5339" w:rsidP="00D32C36">
      <w:pPr>
        <w:rPr>
          <w:lang w:val="fr-CH"/>
        </w:rPr>
      </w:pPr>
      <w:r w:rsidRPr="00AE1454">
        <w:rPr>
          <w:i/>
          <w:iCs/>
          <w:lang w:val="fr-CH"/>
        </w:rPr>
        <w:t>b)</w:t>
      </w:r>
      <w:r w:rsidRPr="00AE1454">
        <w:rPr>
          <w:lang w:val="fr-CH"/>
        </w:rPr>
        <w:tab/>
        <w:t>que la Recommandation UIT-R M.1036</w:t>
      </w:r>
      <w:r>
        <w:rPr>
          <w:lang w:val="fr-CH"/>
        </w:rPr>
        <w:t xml:space="preserve"> définit</w:t>
      </w:r>
      <w:r w:rsidRPr="00AE1454">
        <w:rPr>
          <w:lang w:val="fr-CH"/>
        </w:rPr>
        <w:t xml:space="preserve"> les dispositions de fréquences </w:t>
      </w:r>
      <w:r>
        <w:rPr>
          <w:lang w:val="fr-CH"/>
        </w:rPr>
        <w:t xml:space="preserve">pour les réseaux IMT, y compris celles à utiliser dans la bande </w:t>
      </w:r>
      <w:r w:rsidRPr="00AE1454">
        <w:rPr>
          <w:lang w:val="fr-CH"/>
        </w:rPr>
        <w:t>694-790 MHz;</w:t>
      </w:r>
    </w:p>
    <w:p w:rsidR="00EC5339" w:rsidRPr="00AE1454" w:rsidRDefault="00EC5339" w:rsidP="00D32C36">
      <w:pPr>
        <w:rPr>
          <w:lang w:val="fr-CH"/>
        </w:rPr>
      </w:pPr>
      <w:r w:rsidRPr="00AE1454">
        <w:rPr>
          <w:i/>
          <w:iCs/>
          <w:lang w:val="fr-CH"/>
        </w:rPr>
        <w:t>c)</w:t>
      </w:r>
      <w:r w:rsidRPr="00AE1454">
        <w:rPr>
          <w:lang w:val="fr-CH"/>
        </w:rPr>
        <w:tab/>
        <w:t>qu</w:t>
      </w:r>
      <w:r w:rsidR="00AC209A">
        <w:rPr>
          <w:lang w:val="fr-CH"/>
        </w:rPr>
        <w:t>'</w:t>
      </w:r>
      <w:r w:rsidRPr="00AE1454">
        <w:rPr>
          <w:lang w:val="fr-CH"/>
        </w:rPr>
        <w:t xml:space="preserve">aux termes de la Résolution </w:t>
      </w:r>
      <w:r w:rsidRPr="00AE1454">
        <w:rPr>
          <w:b/>
          <w:bCs/>
          <w:lang w:val="fr-CH"/>
        </w:rPr>
        <w:t>232 (CMR-12)</w:t>
      </w:r>
      <w:r w:rsidR="00AD29C0">
        <w:rPr>
          <w:lang w:val="fr-CH"/>
        </w:rPr>
        <w:t>,</w:t>
      </w:r>
      <w:r w:rsidRPr="00AE1454">
        <w:rPr>
          <w:lang w:val="fr-CH"/>
        </w:rPr>
        <w:t xml:space="preserve"> l</w:t>
      </w:r>
      <w:r w:rsidR="00AC209A">
        <w:rPr>
          <w:lang w:val="fr-CH"/>
        </w:rPr>
        <w:t>'</w:t>
      </w:r>
      <w:r w:rsidR="00AD29C0">
        <w:rPr>
          <w:lang w:val="fr-CH"/>
        </w:rPr>
        <w:t>UIT-</w:t>
      </w:r>
      <w:r w:rsidRPr="00AE1454">
        <w:rPr>
          <w:lang w:val="fr-CH"/>
        </w:rPr>
        <w:t xml:space="preserve">R est invité à étudier la compatibilité entre le service mobile et </w:t>
      </w:r>
      <w:r>
        <w:rPr>
          <w:lang w:val="fr-CH"/>
        </w:rPr>
        <w:t>d</w:t>
      </w:r>
      <w:r w:rsidR="00AC209A">
        <w:rPr>
          <w:lang w:val="fr-CH"/>
        </w:rPr>
        <w:t>'</w:t>
      </w:r>
      <w:r w:rsidRPr="00AE1454">
        <w:rPr>
          <w:lang w:val="fr-CH"/>
        </w:rPr>
        <w:t xml:space="preserve">autres services </w:t>
      </w:r>
      <w:r>
        <w:rPr>
          <w:lang w:val="fr-CH"/>
        </w:rPr>
        <w:t xml:space="preserve">primaires </w:t>
      </w:r>
      <w:r w:rsidRPr="00AE1454">
        <w:rPr>
          <w:lang w:val="fr-CH"/>
        </w:rPr>
        <w:t>auxquels la bande de fréquences</w:t>
      </w:r>
      <w:r>
        <w:rPr>
          <w:lang w:val="fr-CH"/>
        </w:rPr>
        <w:t xml:space="preserve"> est attribuée, y compris </w:t>
      </w:r>
      <w:r w:rsidR="00D32C36">
        <w:rPr>
          <w:lang w:val="fr-CH"/>
        </w:rPr>
        <w:t xml:space="preserve">dans </w:t>
      </w:r>
      <w:r>
        <w:rPr>
          <w:lang w:val="fr-CH"/>
        </w:rPr>
        <w:t>les bandes de fréquences adjacentes</w:t>
      </w:r>
      <w:r w:rsidRPr="00AE1454">
        <w:rPr>
          <w:lang w:val="fr-CH"/>
        </w:rPr>
        <w:t>;</w:t>
      </w:r>
    </w:p>
    <w:p w:rsidR="00EC5339" w:rsidRPr="00054267" w:rsidRDefault="00EC5339" w:rsidP="00D32C36">
      <w:pPr>
        <w:rPr>
          <w:lang w:val="fr-CH"/>
        </w:rPr>
      </w:pPr>
      <w:r w:rsidRPr="00054267">
        <w:rPr>
          <w:i/>
          <w:iCs/>
          <w:lang w:val="fr-CH"/>
        </w:rPr>
        <w:t>d)</w:t>
      </w:r>
      <w:r w:rsidRPr="00054267">
        <w:rPr>
          <w:lang w:val="fr-CH"/>
        </w:rPr>
        <w:tab/>
        <w:t xml:space="preserve">que les émissions hors bande des stations mobiles IMT </w:t>
      </w:r>
      <w:r>
        <w:rPr>
          <w:lang w:val="fr-CH"/>
        </w:rPr>
        <w:t xml:space="preserve">exploitées </w:t>
      </w:r>
      <w:r w:rsidRPr="00054267">
        <w:rPr>
          <w:lang w:val="fr-CH"/>
        </w:rPr>
        <w:t>en Région 1 dans la bande de fréquences 694-790 MHz</w:t>
      </w:r>
      <w:r>
        <w:rPr>
          <w:lang w:val="fr-CH"/>
        </w:rPr>
        <w:t xml:space="preserve"> doivent être limitées</w:t>
      </w:r>
      <w:r w:rsidRPr="00054267">
        <w:rPr>
          <w:lang w:val="fr-CH"/>
        </w:rPr>
        <w:t>;</w:t>
      </w:r>
    </w:p>
    <w:p w:rsidR="00EC5339" w:rsidRPr="00054267" w:rsidRDefault="00EC5339" w:rsidP="00D32C36">
      <w:pPr>
        <w:rPr>
          <w:lang w:val="fr-CH"/>
        </w:rPr>
      </w:pPr>
      <w:r w:rsidRPr="00054267">
        <w:rPr>
          <w:i/>
          <w:iCs/>
          <w:lang w:val="fr-CH"/>
        </w:rPr>
        <w:t>e)</w:t>
      </w:r>
      <w:r w:rsidRPr="00054267">
        <w:rPr>
          <w:lang w:val="fr-CH"/>
        </w:rPr>
        <w:tab/>
        <w:t>que des limites trop strictes risqueraient d</w:t>
      </w:r>
      <w:r w:rsidR="00AC209A">
        <w:rPr>
          <w:lang w:val="fr-CH"/>
        </w:rPr>
        <w:t>'</w:t>
      </w:r>
      <w:r w:rsidRPr="00054267">
        <w:rPr>
          <w:lang w:val="fr-CH"/>
        </w:rPr>
        <w:t xml:space="preserve">accroître la taille, le coût ou la complexité des équipements </w:t>
      </w:r>
      <w:r w:rsidR="00D32C36">
        <w:rPr>
          <w:lang w:val="fr-CH"/>
        </w:rPr>
        <w:t>radioélectriques IMT;</w:t>
      </w:r>
    </w:p>
    <w:p w:rsidR="00EC5339" w:rsidRPr="00054267" w:rsidRDefault="00EC5339" w:rsidP="00D32C36">
      <w:pPr>
        <w:rPr>
          <w:lang w:val="fr-CH"/>
        </w:rPr>
      </w:pPr>
      <w:r w:rsidRPr="00054267">
        <w:rPr>
          <w:i/>
          <w:iCs/>
          <w:lang w:val="fr-CH"/>
        </w:rPr>
        <w:t>f)</w:t>
      </w:r>
      <w:r w:rsidRPr="00054267">
        <w:rPr>
          <w:lang w:val="fr-CH"/>
        </w:rPr>
        <w:tab/>
        <w:t>qu</w:t>
      </w:r>
      <w:r w:rsidR="00AC209A">
        <w:rPr>
          <w:lang w:val="fr-CH"/>
        </w:rPr>
        <w:t>'</w:t>
      </w:r>
      <w:r w:rsidRPr="00054267">
        <w:rPr>
          <w:lang w:val="fr-CH"/>
        </w:rPr>
        <w:t>il est nécessaire de faciliter l</w:t>
      </w:r>
      <w:r w:rsidR="00AC209A">
        <w:rPr>
          <w:lang w:val="fr-CH"/>
        </w:rPr>
        <w:t>'</w:t>
      </w:r>
      <w:r w:rsidRPr="00054267">
        <w:rPr>
          <w:lang w:val="fr-CH"/>
        </w:rPr>
        <w:t>harmonisation et la circulation à l</w:t>
      </w:r>
      <w:r w:rsidR="00AC209A">
        <w:rPr>
          <w:lang w:val="fr-CH"/>
        </w:rPr>
        <w:t>'</w:t>
      </w:r>
      <w:r w:rsidRPr="00054267">
        <w:rPr>
          <w:lang w:val="fr-CH"/>
        </w:rPr>
        <w:t xml:space="preserve">échelle mondiale </w:t>
      </w:r>
      <w:r>
        <w:rPr>
          <w:lang w:val="fr-CH"/>
        </w:rPr>
        <w:t>des équipements afin de garantir l</w:t>
      </w:r>
      <w:r w:rsidR="00AC209A">
        <w:rPr>
          <w:lang w:val="fr-CH"/>
        </w:rPr>
        <w:t>'</w:t>
      </w:r>
      <w:r>
        <w:rPr>
          <w:lang w:val="fr-CH"/>
        </w:rPr>
        <w:t>itinérance et de promouvoir les économies d</w:t>
      </w:r>
      <w:r w:rsidR="00AC209A">
        <w:rPr>
          <w:lang w:val="fr-CH"/>
        </w:rPr>
        <w:t>'</w:t>
      </w:r>
      <w:r>
        <w:rPr>
          <w:lang w:val="fr-CH"/>
        </w:rPr>
        <w:t>échelle</w:t>
      </w:r>
      <w:r w:rsidRPr="00054267">
        <w:rPr>
          <w:lang w:val="fr-CH"/>
        </w:rPr>
        <w:t>;</w:t>
      </w:r>
    </w:p>
    <w:p w:rsidR="00EC5339" w:rsidRPr="00054267" w:rsidRDefault="00EC5339" w:rsidP="00D32C36">
      <w:pPr>
        <w:rPr>
          <w:lang w:val="fr-CH"/>
        </w:rPr>
      </w:pPr>
      <w:r w:rsidRPr="00054267">
        <w:rPr>
          <w:i/>
          <w:lang w:val="fr-CH"/>
        </w:rPr>
        <w:t>g)</w:t>
      </w:r>
      <w:r w:rsidRPr="00054267">
        <w:rPr>
          <w:i/>
          <w:lang w:val="fr-CH"/>
        </w:rPr>
        <w:tab/>
      </w:r>
      <w:r w:rsidRPr="00054267">
        <w:rPr>
          <w:lang w:val="fr-CH"/>
        </w:rPr>
        <w:t xml:space="preserve">que les administrations décident de la largeur de bande de canal qui </w:t>
      </w:r>
      <w:r>
        <w:rPr>
          <w:lang w:val="fr-CH"/>
        </w:rPr>
        <w:t>sera</w:t>
      </w:r>
      <w:r w:rsidRPr="00054267">
        <w:rPr>
          <w:lang w:val="fr-CH"/>
        </w:rPr>
        <w:t xml:space="preserve"> utilisé</w:t>
      </w:r>
      <w:r>
        <w:rPr>
          <w:lang w:val="fr-CH"/>
        </w:rPr>
        <w:t>e</w:t>
      </w:r>
      <w:r w:rsidRPr="00054267">
        <w:rPr>
          <w:lang w:val="fr-CH"/>
        </w:rPr>
        <w:t xml:space="preserve"> par</w:t>
      </w:r>
      <w:r>
        <w:rPr>
          <w:lang w:val="fr-CH"/>
        </w:rPr>
        <w:t xml:space="preserve"> l</w:t>
      </w:r>
      <w:r w:rsidR="00AC209A">
        <w:rPr>
          <w:lang w:val="fr-CH"/>
        </w:rPr>
        <w:t>'</w:t>
      </w:r>
      <w:r>
        <w:rPr>
          <w:lang w:val="fr-CH"/>
        </w:rPr>
        <w:t>équipement d</w:t>
      </w:r>
      <w:r w:rsidR="00AC209A">
        <w:rPr>
          <w:lang w:val="fr-CH"/>
        </w:rPr>
        <w:t>'</w:t>
      </w:r>
      <w:r>
        <w:rPr>
          <w:lang w:val="fr-CH"/>
        </w:rPr>
        <w:t>utilisateur</w:t>
      </w:r>
      <w:r w:rsidRPr="00054267">
        <w:rPr>
          <w:lang w:val="fr-CH"/>
        </w:rPr>
        <w:t>;</w:t>
      </w:r>
    </w:p>
    <w:p w:rsidR="00EC5339" w:rsidRPr="00054267" w:rsidRDefault="00EC5339" w:rsidP="00D32C36">
      <w:pPr>
        <w:rPr>
          <w:lang w:val="fr-CH"/>
        </w:rPr>
      </w:pPr>
      <w:r w:rsidRPr="00054267">
        <w:rPr>
          <w:i/>
          <w:lang w:val="fr-CH"/>
        </w:rPr>
        <w:t>h)</w:t>
      </w:r>
      <w:r w:rsidRPr="00054267">
        <w:rPr>
          <w:lang w:val="fr-CH"/>
        </w:rPr>
        <w:tab/>
        <w:t>que</w:t>
      </w:r>
      <w:r>
        <w:rPr>
          <w:lang w:val="fr-CH"/>
        </w:rPr>
        <w:t xml:space="preserve">, </w:t>
      </w:r>
      <w:r w:rsidRPr="00054267">
        <w:rPr>
          <w:lang w:val="fr-CH"/>
        </w:rPr>
        <w:t>dans certains pays de la Région 1, le déploiement des systèmes IMT dans la bande des 700 MHz</w:t>
      </w:r>
      <w:r>
        <w:rPr>
          <w:lang w:val="fr-CH"/>
        </w:rPr>
        <w:t xml:space="preserve"> devrait comme</w:t>
      </w:r>
      <w:r w:rsidR="00D32C36">
        <w:rPr>
          <w:lang w:val="fr-CH"/>
        </w:rPr>
        <w:t>ncer immédiatement après la CMR-</w:t>
      </w:r>
      <w:r>
        <w:rPr>
          <w:lang w:val="fr-CH"/>
        </w:rPr>
        <w:t>15</w:t>
      </w:r>
      <w:r w:rsidRPr="00054267">
        <w:rPr>
          <w:lang w:val="fr-CH"/>
        </w:rPr>
        <w:t>,</w:t>
      </w:r>
    </w:p>
    <w:p w:rsidR="00EC5339" w:rsidRPr="00006CB5" w:rsidRDefault="00EC5339" w:rsidP="00D32C36">
      <w:pPr>
        <w:pStyle w:val="Call"/>
        <w:rPr>
          <w:lang w:val="fr-CH"/>
        </w:rPr>
      </w:pPr>
      <w:r w:rsidRPr="00006CB5">
        <w:rPr>
          <w:lang w:val="fr-CH"/>
        </w:rPr>
        <w:t>reconnaissant</w:t>
      </w:r>
    </w:p>
    <w:p w:rsidR="00EC5339" w:rsidRPr="00054267" w:rsidRDefault="00EC5339" w:rsidP="00D32C36">
      <w:pPr>
        <w:rPr>
          <w:lang w:val="fr-CH"/>
        </w:rPr>
      </w:pPr>
      <w:r w:rsidRPr="00054267">
        <w:rPr>
          <w:i/>
          <w:iCs/>
          <w:lang w:val="fr-CH"/>
        </w:rPr>
        <w:t>a)</w:t>
      </w:r>
      <w:r w:rsidRPr="00054267">
        <w:rPr>
          <w:lang w:val="fr-CH"/>
        </w:rPr>
        <w:tab/>
        <w:t>que l</w:t>
      </w:r>
      <w:r w:rsidR="00AC209A">
        <w:rPr>
          <w:lang w:val="fr-CH"/>
        </w:rPr>
        <w:t>'</w:t>
      </w:r>
      <w:r w:rsidRPr="00054267">
        <w:rPr>
          <w:lang w:val="fr-CH"/>
        </w:rPr>
        <w:t>imposition d</w:t>
      </w:r>
      <w:r w:rsidR="00AC209A">
        <w:rPr>
          <w:lang w:val="fr-CH"/>
        </w:rPr>
        <w:t>'</w:t>
      </w:r>
      <w:r w:rsidRPr="00054267">
        <w:rPr>
          <w:lang w:val="fr-CH"/>
        </w:rPr>
        <w:t>une limite aux émissions hors bande rayonnée</w:t>
      </w:r>
      <w:r>
        <w:rPr>
          <w:lang w:val="fr-CH"/>
        </w:rPr>
        <w:t>s</w:t>
      </w:r>
      <w:r w:rsidRPr="00054267">
        <w:rPr>
          <w:lang w:val="fr-CH"/>
        </w:rPr>
        <w:t xml:space="preserve"> par les stations mobiles IMT est un des facteurs nécessaires pour assurer la protection des services existants exploités dans la bande au-dessous de 694 MHz;</w:t>
      </w:r>
    </w:p>
    <w:p w:rsidR="00EC5339" w:rsidRPr="00054267" w:rsidRDefault="00EC5339" w:rsidP="00D32C36">
      <w:pPr>
        <w:rPr>
          <w:lang w:val="fr-CH"/>
        </w:rPr>
      </w:pPr>
      <w:r w:rsidRPr="00054267">
        <w:rPr>
          <w:i/>
          <w:iCs/>
          <w:lang w:val="fr-CH"/>
        </w:rPr>
        <w:t>b)</w:t>
      </w:r>
      <w:r w:rsidRPr="00054267">
        <w:rPr>
          <w:lang w:val="fr-CH"/>
        </w:rPr>
        <w:tab/>
        <w:t xml:space="preserve">que la limite recommandée </w:t>
      </w:r>
      <w:r>
        <w:rPr>
          <w:lang w:val="fr-CH"/>
        </w:rPr>
        <w:t>pour les</w:t>
      </w:r>
      <w:r w:rsidRPr="00054267">
        <w:rPr>
          <w:lang w:val="fr-CH"/>
        </w:rPr>
        <w:t xml:space="preserve"> émissions hors bande </w:t>
      </w:r>
      <w:r>
        <w:rPr>
          <w:lang w:val="fr-CH"/>
        </w:rPr>
        <w:t>des stations mobiles IMT devrait permettre de satisfaire les conditions suivantes</w:t>
      </w:r>
      <w:r w:rsidRPr="00054267">
        <w:rPr>
          <w:lang w:val="fr-CH"/>
        </w:rPr>
        <w:t>:</w:t>
      </w:r>
    </w:p>
    <w:p w:rsidR="00EC5339" w:rsidRPr="00054267" w:rsidRDefault="00EC5339" w:rsidP="00D32C36">
      <w:pPr>
        <w:pStyle w:val="enumlev1"/>
        <w:rPr>
          <w:lang w:val="fr-CH"/>
        </w:rPr>
      </w:pPr>
      <w:r w:rsidRPr="00054267">
        <w:rPr>
          <w:lang w:val="fr-CH"/>
        </w:rPr>
        <w:t>•</w:t>
      </w:r>
      <w:r w:rsidRPr="00054267">
        <w:rPr>
          <w:lang w:val="fr-CH"/>
        </w:rPr>
        <w:tab/>
        <w:t xml:space="preserve">gérer </w:t>
      </w:r>
      <w:r>
        <w:rPr>
          <w:lang w:val="fr-CH"/>
        </w:rPr>
        <w:t>les</w:t>
      </w:r>
      <w:r w:rsidRPr="00054267">
        <w:rPr>
          <w:lang w:val="fr-CH"/>
        </w:rPr>
        <w:t xml:space="preserve"> brouillage</w:t>
      </w:r>
      <w:r>
        <w:rPr>
          <w:lang w:val="fr-CH"/>
        </w:rPr>
        <w:t xml:space="preserve">s qui </w:t>
      </w:r>
      <w:r w:rsidR="00D32C36">
        <w:rPr>
          <w:lang w:val="fr-CH"/>
        </w:rPr>
        <w:t>pourraient</w:t>
      </w:r>
      <w:r>
        <w:rPr>
          <w:lang w:val="fr-CH"/>
        </w:rPr>
        <w:t xml:space="preserve"> être</w:t>
      </w:r>
      <w:r w:rsidRPr="00054267">
        <w:rPr>
          <w:lang w:val="fr-CH"/>
        </w:rPr>
        <w:t xml:space="preserve"> </w:t>
      </w:r>
      <w:r>
        <w:rPr>
          <w:lang w:val="fr-CH"/>
        </w:rPr>
        <w:t>causés par les équipements mobiles utilisés</w:t>
      </w:r>
      <w:r w:rsidRPr="00054267">
        <w:rPr>
          <w:lang w:val="fr-CH"/>
        </w:rPr>
        <w:t>;</w:t>
      </w:r>
    </w:p>
    <w:p w:rsidR="00EC5339" w:rsidRPr="0009004C" w:rsidRDefault="00EC5339" w:rsidP="00D32C36">
      <w:pPr>
        <w:pStyle w:val="enumlev1"/>
        <w:rPr>
          <w:lang w:val="fr-CH"/>
        </w:rPr>
      </w:pPr>
      <w:r w:rsidRPr="0009004C">
        <w:rPr>
          <w:lang w:val="fr-CH"/>
        </w:rPr>
        <w:t>•</w:t>
      </w:r>
      <w:r w:rsidRPr="0009004C">
        <w:rPr>
          <w:lang w:val="fr-CH"/>
        </w:rPr>
        <w:tab/>
        <w:t xml:space="preserve">être techniquement </w:t>
      </w:r>
      <w:r w:rsidR="00D32C36">
        <w:rPr>
          <w:lang w:val="fr-CH"/>
        </w:rPr>
        <w:t>acceptable</w:t>
      </w:r>
      <w:r w:rsidRPr="0009004C">
        <w:rPr>
          <w:lang w:val="fr-CH"/>
        </w:rPr>
        <w:t xml:space="preserve"> </w:t>
      </w:r>
      <w:r>
        <w:rPr>
          <w:lang w:val="fr-CH"/>
        </w:rPr>
        <w:t>dans l</w:t>
      </w:r>
      <w:r w:rsidR="00AC209A">
        <w:rPr>
          <w:lang w:val="fr-CH"/>
        </w:rPr>
        <w:t>'</w:t>
      </w:r>
      <w:r>
        <w:rPr>
          <w:lang w:val="fr-CH"/>
        </w:rPr>
        <w:t>optique de</w:t>
      </w:r>
      <w:r w:rsidRPr="0009004C">
        <w:rPr>
          <w:lang w:val="fr-CH"/>
        </w:rPr>
        <w:t xml:space="preserve"> la mise en oeuvre concr</w:t>
      </w:r>
      <w:r>
        <w:rPr>
          <w:lang w:val="fr-CH"/>
        </w:rPr>
        <w:t>è</w:t>
      </w:r>
      <w:r w:rsidRPr="0009004C">
        <w:rPr>
          <w:lang w:val="fr-CH"/>
        </w:rPr>
        <w:t>te des stations mobiles IMT; et</w:t>
      </w:r>
    </w:p>
    <w:p w:rsidR="00EC5339" w:rsidRPr="00E11ADA" w:rsidRDefault="00EC5339" w:rsidP="00D32C36">
      <w:pPr>
        <w:pStyle w:val="enumlev1"/>
        <w:rPr>
          <w:lang w:val="fr-CH"/>
        </w:rPr>
      </w:pPr>
      <w:r w:rsidRPr="00E11ADA">
        <w:rPr>
          <w:lang w:val="fr-CH"/>
        </w:rPr>
        <w:t>•</w:t>
      </w:r>
      <w:r w:rsidRPr="00E11ADA">
        <w:rPr>
          <w:lang w:val="fr-CH"/>
        </w:rPr>
        <w:tab/>
        <w:t>parvenir à une harmonisation mondiale des stations mobiles;</w:t>
      </w:r>
    </w:p>
    <w:p w:rsidR="00EC5339" w:rsidRPr="00E11ADA" w:rsidRDefault="00EC5339" w:rsidP="00D32C36">
      <w:pPr>
        <w:rPr>
          <w:lang w:val="fr-CH"/>
        </w:rPr>
      </w:pPr>
      <w:r w:rsidRPr="00E11ADA">
        <w:rPr>
          <w:i/>
          <w:iCs/>
          <w:lang w:val="fr-CH"/>
        </w:rPr>
        <w:lastRenderedPageBreak/>
        <w:t>c)</w:t>
      </w:r>
      <w:r w:rsidRPr="00E11ADA">
        <w:rPr>
          <w:lang w:val="fr-CH"/>
        </w:rPr>
        <w:tab/>
      </w:r>
      <w:r w:rsidR="00D32C36">
        <w:rPr>
          <w:lang w:val="fr-CH"/>
        </w:rPr>
        <w:t xml:space="preserve">que </w:t>
      </w:r>
      <w:r w:rsidRPr="00E11ADA">
        <w:rPr>
          <w:lang w:val="fr-CH"/>
        </w:rPr>
        <w:t xml:space="preserve">différentes limites des émissions hors bande </w:t>
      </w:r>
      <w:r>
        <w:rPr>
          <w:lang w:val="fr-CH"/>
        </w:rPr>
        <w:t xml:space="preserve">applicables aux stations mobiles IMT fonctionnant dans la bande des 700 MHz </w:t>
      </w:r>
      <w:r w:rsidR="00D32C36">
        <w:rPr>
          <w:lang w:val="fr-CH"/>
        </w:rPr>
        <w:t>ont</w:t>
      </w:r>
      <w:r>
        <w:rPr>
          <w:lang w:val="fr-CH"/>
        </w:rPr>
        <w:t xml:space="preserve"> été prises en considération par les administrations de la Région </w:t>
      </w:r>
      <w:r w:rsidR="00D32C36">
        <w:rPr>
          <w:lang w:val="fr-CH"/>
        </w:rPr>
        <w:t>1</w:t>
      </w:r>
      <w:r>
        <w:rPr>
          <w:lang w:val="fr-CH"/>
        </w:rPr>
        <w:t>;</w:t>
      </w:r>
    </w:p>
    <w:p w:rsidR="00EC5339" w:rsidRPr="00E11ADA" w:rsidRDefault="00EC5339" w:rsidP="00D32C36">
      <w:pPr>
        <w:rPr>
          <w:lang w:val="fr-CH"/>
        </w:rPr>
      </w:pPr>
      <w:r w:rsidRPr="00E11ADA">
        <w:rPr>
          <w:i/>
          <w:iCs/>
          <w:lang w:val="fr-CH"/>
        </w:rPr>
        <w:t>d)</w:t>
      </w:r>
      <w:r w:rsidRPr="00E11ADA">
        <w:rPr>
          <w:lang w:val="fr-CH"/>
        </w:rPr>
        <w:tab/>
      </w:r>
      <w:r w:rsidR="00D32C36">
        <w:rPr>
          <w:lang w:val="fr-CH"/>
        </w:rPr>
        <w:t>que les études de l'UIT-R spécifient</w:t>
      </w:r>
      <w:r w:rsidRPr="00E11ADA">
        <w:rPr>
          <w:lang w:val="fr-CH"/>
        </w:rPr>
        <w:t xml:space="preserve"> différentes limites des émissions hors bande</w:t>
      </w:r>
      <w:r>
        <w:rPr>
          <w:lang w:val="fr-CH"/>
        </w:rPr>
        <w:t xml:space="preserve"> applicables dans les bandes au-dessous de </w:t>
      </w:r>
      <w:r w:rsidRPr="00E11ADA">
        <w:rPr>
          <w:lang w:val="fr-CH"/>
        </w:rPr>
        <w:t>694 MHz</w:t>
      </w:r>
      <w:r>
        <w:rPr>
          <w:lang w:val="fr-CH"/>
        </w:rPr>
        <w:t>, notamment</w:t>
      </w:r>
      <w:r w:rsidRPr="00E11ADA">
        <w:rPr>
          <w:lang w:val="fr-CH"/>
        </w:rPr>
        <w:t>:</w:t>
      </w:r>
    </w:p>
    <w:p w:rsidR="00EC5339" w:rsidRPr="00D32C36" w:rsidRDefault="00EC5339" w:rsidP="00D32C36">
      <w:pPr>
        <w:pStyle w:val="enumlev1"/>
      </w:pPr>
      <w:r w:rsidRPr="00D32C36">
        <w:t>•</w:t>
      </w:r>
      <w:r w:rsidRPr="00D32C36">
        <w:tab/>
      </w:r>
      <w:r w:rsidR="00D32C36">
        <w:t>–</w:t>
      </w:r>
      <w:r w:rsidRPr="00D32C36">
        <w:t>25 dBm/8 MHz pour une largeur de bande de canal IMT allant jusqu</w:t>
      </w:r>
      <w:r w:rsidR="00AC209A" w:rsidRPr="00D32C36">
        <w:t>'</w:t>
      </w:r>
      <w:r w:rsidRPr="00D32C36">
        <w:t>à 20 MHz;</w:t>
      </w:r>
    </w:p>
    <w:p w:rsidR="00EC5339" w:rsidRPr="00D32C36" w:rsidRDefault="00EC5339" w:rsidP="00D32C36">
      <w:pPr>
        <w:pStyle w:val="enumlev1"/>
      </w:pPr>
      <w:r w:rsidRPr="00D32C36">
        <w:t>•</w:t>
      </w:r>
      <w:r w:rsidRPr="00D32C36">
        <w:tab/>
      </w:r>
      <w:r w:rsidR="00D32C36">
        <w:t>–</w:t>
      </w:r>
      <w:r w:rsidRPr="00D32C36">
        <w:t>42 dBm/8 MHz pour une largeur de bande de canal IMT allant jusqu</w:t>
      </w:r>
      <w:r w:rsidR="00AC209A" w:rsidRPr="00D32C36">
        <w:t>'</w:t>
      </w:r>
      <w:r w:rsidRPr="00D32C36">
        <w:t>à 10 MHz;</w:t>
      </w:r>
    </w:p>
    <w:p w:rsidR="00EC5339" w:rsidRPr="00D32C36" w:rsidRDefault="00EC5339" w:rsidP="00D32C36">
      <w:pPr>
        <w:pStyle w:val="enumlev1"/>
      </w:pPr>
      <w:r w:rsidRPr="00D32C36">
        <w:t>•</w:t>
      </w:r>
      <w:r w:rsidRPr="00D32C36">
        <w:tab/>
      </w:r>
      <w:r w:rsidR="00D32C36">
        <w:t>–</w:t>
      </w:r>
      <w:r w:rsidRPr="00D32C36">
        <w:t>56 dBm/8 MHz pour une largeur de bande de canal IMT allant jusqu</w:t>
      </w:r>
      <w:r w:rsidR="00AC209A" w:rsidRPr="00D32C36">
        <w:t>'</w:t>
      </w:r>
      <w:r w:rsidRPr="00D32C36">
        <w:t>à 10 MHz,</w:t>
      </w:r>
    </w:p>
    <w:p w:rsidR="00EC5339" w:rsidRPr="00006CB5" w:rsidRDefault="00EC5339" w:rsidP="00D32C36">
      <w:pPr>
        <w:pStyle w:val="Call"/>
        <w:rPr>
          <w:lang w:val="fr-CH"/>
        </w:rPr>
      </w:pPr>
      <w:r w:rsidRPr="00006CB5">
        <w:rPr>
          <w:lang w:val="fr-CH"/>
        </w:rPr>
        <w:t xml:space="preserve">notant </w:t>
      </w:r>
    </w:p>
    <w:p w:rsidR="00EC5339" w:rsidRPr="008606E1" w:rsidRDefault="00EC5339" w:rsidP="00D32C36">
      <w:pPr>
        <w:pStyle w:val="Call"/>
        <w:ind w:left="0"/>
        <w:rPr>
          <w:i w:val="0"/>
          <w:lang w:val="fr-CH"/>
        </w:rPr>
      </w:pPr>
      <w:r w:rsidRPr="008606E1">
        <w:rPr>
          <w:iCs/>
          <w:lang w:val="fr-CH"/>
        </w:rPr>
        <w:t>a)</w:t>
      </w:r>
      <w:r w:rsidRPr="008606E1">
        <w:rPr>
          <w:i w:val="0"/>
          <w:lang w:val="fr-CH"/>
        </w:rPr>
        <w:tab/>
        <w:t>que les études de l</w:t>
      </w:r>
      <w:r w:rsidR="00AC209A">
        <w:rPr>
          <w:i w:val="0"/>
          <w:lang w:val="fr-CH"/>
        </w:rPr>
        <w:t>'</w:t>
      </w:r>
      <w:r w:rsidRPr="008606E1">
        <w:rPr>
          <w:i w:val="0"/>
          <w:lang w:val="fr-CH"/>
        </w:rPr>
        <w:t>UIT-R ont été basées sur</w:t>
      </w:r>
      <w:r>
        <w:rPr>
          <w:i w:val="0"/>
          <w:lang w:val="fr-CH"/>
        </w:rPr>
        <w:t xml:space="preserve"> le </w:t>
      </w:r>
      <w:r w:rsidRPr="008606E1">
        <w:rPr>
          <w:i w:val="0"/>
          <w:lang w:val="fr-CH"/>
        </w:rPr>
        <w:t xml:space="preserve">duplexeur inférieur </w:t>
      </w:r>
      <w:r w:rsidR="00D32C36">
        <w:rPr>
          <w:i w:val="0"/>
          <w:lang w:val="fr-CH"/>
        </w:rPr>
        <w:t>de la disposition de </w:t>
      </w:r>
      <w:r w:rsidRPr="008606E1">
        <w:rPr>
          <w:i w:val="0"/>
          <w:lang w:val="fr-CH"/>
        </w:rPr>
        <w:t>fréquences A5 décrite dans la Recommandation UIT-R M.1036</w:t>
      </w:r>
      <w:r>
        <w:rPr>
          <w:i w:val="0"/>
          <w:lang w:val="fr-CH"/>
        </w:rPr>
        <w:t xml:space="preserve"> </w:t>
      </w:r>
      <w:r w:rsidR="00D32C36">
        <w:rPr>
          <w:i w:val="0"/>
          <w:lang w:val="fr-CH"/>
        </w:rPr>
        <w:t>(liaison montante dans la bande </w:t>
      </w:r>
      <w:r w:rsidRPr="008606E1">
        <w:rPr>
          <w:i w:val="0"/>
          <w:lang w:val="fr-CH"/>
        </w:rPr>
        <w:t xml:space="preserve">703-733 MHz) </w:t>
      </w:r>
      <w:r>
        <w:rPr>
          <w:i w:val="0"/>
          <w:lang w:val="fr-CH"/>
        </w:rPr>
        <w:t xml:space="preserve">et une puissance en sortie maximale de </w:t>
      </w:r>
      <w:r w:rsidRPr="008606E1">
        <w:rPr>
          <w:i w:val="0"/>
          <w:lang w:val="fr-CH"/>
        </w:rPr>
        <w:t>23 dBm;</w:t>
      </w:r>
    </w:p>
    <w:p w:rsidR="00EC5339" w:rsidRPr="008606E1" w:rsidRDefault="00EC5339" w:rsidP="00D32C36">
      <w:pPr>
        <w:rPr>
          <w:lang w:val="fr-CH"/>
        </w:rPr>
      </w:pPr>
      <w:r w:rsidRPr="008606E1">
        <w:rPr>
          <w:i/>
          <w:iCs/>
          <w:lang w:val="fr-CH"/>
        </w:rPr>
        <w:t>b)</w:t>
      </w:r>
      <w:r w:rsidRPr="008606E1">
        <w:rPr>
          <w:lang w:val="fr-CH"/>
        </w:rPr>
        <w:tab/>
        <w:t>qu</w:t>
      </w:r>
      <w:r w:rsidR="00AC209A">
        <w:rPr>
          <w:lang w:val="fr-CH"/>
        </w:rPr>
        <w:t>'</w:t>
      </w:r>
      <w:r w:rsidRPr="008606E1">
        <w:rPr>
          <w:lang w:val="fr-CH"/>
        </w:rPr>
        <w:t xml:space="preserve">une limite des émissions hors bande de </w:t>
      </w:r>
      <w:r w:rsidR="00D32C36">
        <w:rPr>
          <w:lang w:val="fr-CH"/>
        </w:rPr>
        <w:t>–26,</w:t>
      </w:r>
      <w:r w:rsidRPr="008606E1">
        <w:rPr>
          <w:lang w:val="fr-CH"/>
        </w:rPr>
        <w:t xml:space="preserve">2 dBm/6 MHz pour une station mobile IMT utilisant </w:t>
      </w:r>
      <w:r>
        <w:rPr>
          <w:lang w:val="fr-CH"/>
        </w:rPr>
        <w:t xml:space="preserve">la disposition </w:t>
      </w:r>
      <w:r w:rsidR="00D32C36">
        <w:rPr>
          <w:lang w:val="fr-CH"/>
        </w:rPr>
        <w:t>de fréquences</w:t>
      </w:r>
      <w:r>
        <w:rPr>
          <w:lang w:val="fr-CH"/>
        </w:rPr>
        <w:t xml:space="preserve"> </w:t>
      </w:r>
      <w:r w:rsidRPr="008606E1">
        <w:rPr>
          <w:lang w:val="fr-CH"/>
        </w:rPr>
        <w:t xml:space="preserve">A5 </w:t>
      </w:r>
      <w:r>
        <w:rPr>
          <w:lang w:val="fr-CH"/>
        </w:rPr>
        <w:t>est applicable au sein d</w:t>
      </w:r>
      <w:r w:rsidR="00AC209A">
        <w:rPr>
          <w:lang w:val="fr-CH"/>
        </w:rPr>
        <w:t>'</w:t>
      </w:r>
      <w:r>
        <w:rPr>
          <w:lang w:val="fr-CH"/>
        </w:rPr>
        <w:t xml:space="preserve">une organisation régionale et figure dans la spécification </w:t>
      </w:r>
      <w:r w:rsidRPr="008606E1">
        <w:rPr>
          <w:lang w:val="fr-CH"/>
        </w:rPr>
        <w:t>3GPP</w:t>
      </w:r>
      <w:r>
        <w:rPr>
          <w:lang w:val="fr-CH"/>
        </w:rPr>
        <w:t xml:space="preserve"> pertinente</w:t>
      </w:r>
      <w:r w:rsidRPr="008606E1">
        <w:rPr>
          <w:lang w:val="fr-CH"/>
        </w:rPr>
        <w:t>;</w:t>
      </w:r>
    </w:p>
    <w:p w:rsidR="00EC5339" w:rsidRPr="008606E1" w:rsidRDefault="00EC5339" w:rsidP="00D32C36">
      <w:pPr>
        <w:rPr>
          <w:lang w:val="fr-CH"/>
        </w:rPr>
      </w:pPr>
      <w:r w:rsidRPr="008606E1">
        <w:rPr>
          <w:i/>
          <w:iCs/>
          <w:lang w:val="fr-CH"/>
        </w:rPr>
        <w:t>c)</w:t>
      </w:r>
      <w:r w:rsidRPr="008606E1">
        <w:rPr>
          <w:lang w:val="fr-CH"/>
        </w:rPr>
        <w:tab/>
        <w:t xml:space="preserve">que </w:t>
      </w:r>
      <w:r>
        <w:rPr>
          <w:lang w:val="fr-CH"/>
        </w:rPr>
        <w:t>les</w:t>
      </w:r>
      <w:r w:rsidRPr="008606E1">
        <w:rPr>
          <w:lang w:val="fr-CH"/>
        </w:rPr>
        <w:t xml:space="preserve"> nouvelles spécifications 3GPP pertinentes conti</w:t>
      </w:r>
      <w:r w:rsidR="00D32C36">
        <w:rPr>
          <w:lang w:val="fr-CH"/>
        </w:rPr>
        <w:t>ennent une limite des émissions </w:t>
      </w:r>
      <w:r w:rsidRPr="008606E1">
        <w:rPr>
          <w:lang w:val="fr-CH"/>
        </w:rPr>
        <w:t xml:space="preserve">hors bande de </w:t>
      </w:r>
      <w:r w:rsidR="00D32C36">
        <w:rPr>
          <w:lang w:val="fr-CH"/>
        </w:rPr>
        <w:t>–</w:t>
      </w:r>
      <w:r w:rsidRPr="008606E1">
        <w:rPr>
          <w:lang w:val="fr-CH"/>
        </w:rPr>
        <w:t>25 dBm/8 MHz</w:t>
      </w:r>
      <w:r>
        <w:rPr>
          <w:lang w:val="fr-CH"/>
        </w:rPr>
        <w:t xml:space="preserve"> pour une largeur de bande de canal IMT allant jusqu</w:t>
      </w:r>
      <w:r w:rsidR="00AC209A">
        <w:rPr>
          <w:lang w:val="fr-CH"/>
        </w:rPr>
        <w:t>'</w:t>
      </w:r>
      <w:r w:rsidR="00D32C36">
        <w:rPr>
          <w:lang w:val="fr-CH"/>
        </w:rPr>
        <w:t>à 20 </w:t>
      </w:r>
      <w:r w:rsidRPr="008606E1">
        <w:rPr>
          <w:lang w:val="fr-CH"/>
        </w:rPr>
        <w:t>MHz</w:t>
      </w:r>
      <w:r>
        <w:rPr>
          <w:lang w:val="fr-CH"/>
        </w:rPr>
        <w:t xml:space="preserve"> et de </w:t>
      </w:r>
      <w:r w:rsidR="00D32C36">
        <w:rPr>
          <w:lang w:val="fr-CH"/>
        </w:rPr>
        <w:t>–</w:t>
      </w:r>
      <w:r w:rsidRPr="008606E1">
        <w:rPr>
          <w:lang w:val="fr-CH"/>
        </w:rPr>
        <w:t xml:space="preserve">42 dBm/8 MHz </w:t>
      </w:r>
      <w:r>
        <w:rPr>
          <w:lang w:val="fr-CH"/>
        </w:rPr>
        <w:t>pour une largeur de bande de canal IMT de</w:t>
      </w:r>
      <w:r w:rsidR="00D32C36">
        <w:rPr>
          <w:lang w:val="fr-CH"/>
        </w:rPr>
        <w:t xml:space="preserve"> 10 MHz</w:t>
      </w:r>
      <w:r w:rsidRPr="008606E1">
        <w:rPr>
          <w:lang w:val="fr-CH"/>
        </w:rPr>
        <w:t>;</w:t>
      </w:r>
    </w:p>
    <w:p w:rsidR="00EC5339" w:rsidRPr="008606E1" w:rsidRDefault="00EC5339" w:rsidP="00D32C36">
      <w:pPr>
        <w:rPr>
          <w:lang w:val="fr-CH"/>
        </w:rPr>
      </w:pPr>
      <w:r w:rsidRPr="008606E1">
        <w:rPr>
          <w:i/>
          <w:iCs/>
          <w:lang w:val="fr-CH"/>
        </w:rPr>
        <w:t>d)</w:t>
      </w:r>
      <w:r w:rsidRPr="008606E1">
        <w:rPr>
          <w:lang w:val="fr-CH"/>
        </w:rPr>
        <w:tab/>
      </w:r>
      <w:r w:rsidR="00D32C36">
        <w:rPr>
          <w:lang w:val="fr-CH"/>
        </w:rPr>
        <w:t>que d</w:t>
      </w:r>
      <w:r w:rsidRPr="008606E1">
        <w:rPr>
          <w:lang w:val="fr-CH"/>
        </w:rPr>
        <w:t>es dispositifs mobiles existants ne respectant pas la limite des émissions hors bande visée au point 2 du</w:t>
      </w:r>
      <w:r>
        <w:rPr>
          <w:lang w:val="fr-CH"/>
        </w:rPr>
        <w:t xml:space="preserve"> </w:t>
      </w:r>
      <w:r w:rsidRPr="008606E1">
        <w:rPr>
          <w:i/>
          <w:iCs/>
          <w:lang w:val="fr-CH"/>
        </w:rPr>
        <w:t>recommande</w:t>
      </w:r>
      <w:r>
        <w:rPr>
          <w:lang w:val="fr-CH"/>
        </w:rPr>
        <w:t xml:space="preserve"> continueront peut-être d</w:t>
      </w:r>
      <w:r w:rsidR="00AC209A">
        <w:rPr>
          <w:lang w:val="fr-CH"/>
        </w:rPr>
        <w:t>'</w:t>
      </w:r>
      <w:r>
        <w:rPr>
          <w:lang w:val="fr-CH"/>
        </w:rPr>
        <w:t>être déployés</w:t>
      </w:r>
      <w:r w:rsidRPr="008606E1">
        <w:rPr>
          <w:lang w:val="fr-CH"/>
        </w:rPr>
        <w:t>,</w:t>
      </w:r>
    </w:p>
    <w:p w:rsidR="00EC5339" w:rsidRPr="00006CB5" w:rsidRDefault="00EC5339" w:rsidP="00D32C36">
      <w:pPr>
        <w:pStyle w:val="Call"/>
        <w:rPr>
          <w:lang w:val="fr-CH"/>
        </w:rPr>
      </w:pPr>
      <w:r w:rsidRPr="00006CB5">
        <w:rPr>
          <w:lang w:val="fr-CH"/>
        </w:rPr>
        <w:t>recommande</w:t>
      </w:r>
    </w:p>
    <w:p w:rsidR="00EC5339" w:rsidRPr="00767397" w:rsidRDefault="00EC5339" w:rsidP="00D32C36">
      <w:pPr>
        <w:rPr>
          <w:szCs w:val="24"/>
          <w:lang w:val="fr-CH"/>
        </w:rPr>
      </w:pPr>
      <w:r w:rsidRPr="00767397">
        <w:rPr>
          <w:lang w:val="fr-CH"/>
        </w:rPr>
        <w:t>1</w:t>
      </w:r>
      <w:r w:rsidRPr="00767397">
        <w:rPr>
          <w:lang w:val="fr-CH"/>
        </w:rPr>
        <w:tab/>
        <w:t>que les émissions hors bande d</w:t>
      </w:r>
      <w:r w:rsidR="00AC209A">
        <w:rPr>
          <w:lang w:val="fr-CH"/>
        </w:rPr>
        <w:t>'</w:t>
      </w:r>
      <w:r w:rsidRPr="00767397">
        <w:rPr>
          <w:lang w:val="fr-CH"/>
        </w:rPr>
        <w:t xml:space="preserve">une station mobile IMT </w:t>
      </w:r>
      <w:r>
        <w:rPr>
          <w:lang w:val="fr-CH"/>
        </w:rPr>
        <w:t>exploitée</w:t>
      </w:r>
      <w:r w:rsidRPr="00767397">
        <w:rPr>
          <w:lang w:val="fr-CH"/>
        </w:rPr>
        <w:t xml:space="preserve"> en Région</w:t>
      </w:r>
      <w:r>
        <w:rPr>
          <w:lang w:val="fr-CH"/>
        </w:rPr>
        <w:t xml:space="preserve"> 1</w:t>
      </w:r>
      <w:r w:rsidRPr="00767397">
        <w:rPr>
          <w:lang w:val="fr-CH"/>
        </w:rPr>
        <w:t xml:space="preserve"> dans la bande de fréquences 703-733 MHz </w:t>
      </w:r>
      <w:r w:rsidRPr="00767397">
        <w:rPr>
          <w:szCs w:val="24"/>
          <w:lang w:val="fr-CH"/>
        </w:rPr>
        <w:t>avec une largeur de bande de canal IMT</w:t>
      </w:r>
      <w:r>
        <w:rPr>
          <w:szCs w:val="24"/>
          <w:lang w:val="fr-CH"/>
        </w:rPr>
        <w:t xml:space="preserve"> supérieure à</w:t>
      </w:r>
      <w:r w:rsidRPr="00767397">
        <w:rPr>
          <w:szCs w:val="24"/>
          <w:lang w:val="fr-CH"/>
        </w:rPr>
        <w:t xml:space="preserve"> 10 MHz</w:t>
      </w:r>
      <w:r>
        <w:rPr>
          <w:lang w:val="fr-CH"/>
        </w:rPr>
        <w:t xml:space="preserve"> ne dépassent pas </w:t>
      </w:r>
      <w:r w:rsidR="00D32C36">
        <w:rPr>
          <w:lang w:val="fr-CH"/>
        </w:rPr>
        <w:t>–</w:t>
      </w:r>
      <w:r w:rsidRPr="00767397">
        <w:rPr>
          <w:lang w:val="fr-CH"/>
        </w:rPr>
        <w:t>25 dBm/8 MHz</w:t>
      </w:r>
      <w:r>
        <w:rPr>
          <w:lang w:val="fr-CH"/>
        </w:rPr>
        <w:t xml:space="preserve"> dans la bande de fréquences </w:t>
      </w:r>
      <w:r w:rsidRPr="00767397">
        <w:rPr>
          <w:lang w:val="fr-CH"/>
        </w:rPr>
        <w:t>470-694 MHz;</w:t>
      </w:r>
      <w:r w:rsidRPr="00767397">
        <w:rPr>
          <w:szCs w:val="24"/>
          <w:lang w:val="fr-CH"/>
        </w:rPr>
        <w:t xml:space="preserve"> </w:t>
      </w:r>
    </w:p>
    <w:p w:rsidR="00EC5339" w:rsidRPr="00767397" w:rsidRDefault="00EC5339" w:rsidP="00D32C36">
      <w:pPr>
        <w:rPr>
          <w:szCs w:val="24"/>
          <w:lang w:val="fr-CH"/>
        </w:rPr>
      </w:pPr>
      <w:r w:rsidRPr="00767397">
        <w:rPr>
          <w:szCs w:val="24"/>
          <w:lang w:val="fr-CH"/>
        </w:rPr>
        <w:t>2</w:t>
      </w:r>
      <w:r w:rsidRPr="00767397">
        <w:rPr>
          <w:szCs w:val="24"/>
          <w:lang w:val="fr-CH"/>
        </w:rPr>
        <w:tab/>
      </w:r>
      <w:r w:rsidRPr="00767397">
        <w:rPr>
          <w:lang w:val="fr-CH"/>
        </w:rPr>
        <w:t>que les émissions hors bande d</w:t>
      </w:r>
      <w:r w:rsidR="00AC209A">
        <w:rPr>
          <w:lang w:val="fr-CH"/>
        </w:rPr>
        <w:t>'</w:t>
      </w:r>
      <w:r w:rsidRPr="00767397">
        <w:rPr>
          <w:lang w:val="fr-CH"/>
        </w:rPr>
        <w:t xml:space="preserve">une station mobile IMT </w:t>
      </w:r>
      <w:r>
        <w:rPr>
          <w:lang w:val="fr-CH"/>
        </w:rPr>
        <w:t>exploitée</w:t>
      </w:r>
      <w:r w:rsidRPr="00767397">
        <w:rPr>
          <w:lang w:val="fr-CH"/>
        </w:rPr>
        <w:t xml:space="preserve"> en Région</w:t>
      </w:r>
      <w:r>
        <w:rPr>
          <w:lang w:val="fr-CH"/>
        </w:rPr>
        <w:t xml:space="preserve"> 1</w:t>
      </w:r>
      <w:r w:rsidRPr="00767397">
        <w:rPr>
          <w:lang w:val="fr-CH"/>
        </w:rPr>
        <w:t xml:space="preserve"> dans la bande de fréquences 703-733 MHz </w:t>
      </w:r>
      <w:r w:rsidRPr="00767397">
        <w:rPr>
          <w:szCs w:val="24"/>
          <w:lang w:val="fr-CH"/>
        </w:rPr>
        <w:t>avec une largeur de bande de canal IMT</w:t>
      </w:r>
      <w:r w:rsidR="00AC209A">
        <w:rPr>
          <w:szCs w:val="24"/>
          <w:lang w:val="fr-CH"/>
        </w:rPr>
        <w:t xml:space="preserve"> égale ou inférieure à 10 </w:t>
      </w:r>
      <w:r w:rsidRPr="00767397">
        <w:rPr>
          <w:szCs w:val="24"/>
          <w:lang w:val="fr-CH"/>
        </w:rPr>
        <w:t>MHz</w:t>
      </w:r>
      <w:r>
        <w:rPr>
          <w:lang w:val="fr-CH"/>
        </w:rPr>
        <w:t xml:space="preserve"> ne dépassent pas </w:t>
      </w:r>
      <w:r w:rsidR="00AC209A">
        <w:rPr>
          <w:szCs w:val="24"/>
          <w:lang w:val="fr-CH"/>
        </w:rPr>
        <w:t>–</w:t>
      </w:r>
      <w:r w:rsidRPr="00767397">
        <w:rPr>
          <w:szCs w:val="24"/>
          <w:lang w:val="fr-CH"/>
        </w:rPr>
        <w:t>42 dBm/8 MHz</w:t>
      </w:r>
      <w:r>
        <w:rPr>
          <w:szCs w:val="24"/>
          <w:lang w:val="fr-CH"/>
        </w:rPr>
        <w:t xml:space="preserve"> dans la bande de fréquences </w:t>
      </w:r>
      <w:r w:rsidRPr="00767397">
        <w:rPr>
          <w:szCs w:val="24"/>
          <w:lang w:val="fr-CH"/>
        </w:rPr>
        <w:t>470-694 MHz;</w:t>
      </w:r>
    </w:p>
    <w:p w:rsidR="00EC5339" w:rsidRDefault="00EC5339" w:rsidP="00D32C36">
      <w:pPr>
        <w:rPr>
          <w:lang w:val="fr-CH"/>
        </w:rPr>
      </w:pPr>
      <w:r w:rsidRPr="00E15754">
        <w:rPr>
          <w:lang w:val="fr-CH"/>
        </w:rPr>
        <w:t>3</w:t>
      </w:r>
      <w:r w:rsidRPr="00E15754">
        <w:rPr>
          <w:lang w:val="fr-CH"/>
        </w:rPr>
        <w:tab/>
        <w:t xml:space="preserve">que les administrations tiennent compte des points 1 et 2 du </w:t>
      </w:r>
      <w:r w:rsidRPr="00E15754">
        <w:rPr>
          <w:i/>
          <w:iCs/>
          <w:lang w:val="fr-CH"/>
        </w:rPr>
        <w:t>recommande</w:t>
      </w:r>
      <w:r w:rsidRPr="00E15754">
        <w:rPr>
          <w:lang w:val="fr-CH"/>
        </w:rPr>
        <w:t xml:space="preserve"> lorsqu</w:t>
      </w:r>
      <w:r w:rsidR="00AC209A">
        <w:rPr>
          <w:lang w:val="fr-CH"/>
        </w:rPr>
        <w:t>'</w:t>
      </w:r>
      <w:r w:rsidRPr="00E15754">
        <w:rPr>
          <w:lang w:val="fr-CH"/>
        </w:rPr>
        <w:t>elles décideront de la largeur de bande de canal pertinente.</w:t>
      </w:r>
    </w:p>
    <w:p w:rsidR="00D32C36" w:rsidRDefault="00D32C36" w:rsidP="00D32C36"/>
    <w:p w:rsidR="00312771" w:rsidRPr="003120C9" w:rsidRDefault="009D1C73" w:rsidP="00D32C36">
      <w:pPr>
        <w:jc w:val="center"/>
      </w:pPr>
      <w:r>
        <w:t>______________</w:t>
      </w:r>
    </w:p>
    <w:sectPr w:rsidR="00312771" w:rsidRPr="003120C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2D" w:rsidRDefault="00993D2D">
      <w:r>
        <w:separator/>
      </w:r>
    </w:p>
  </w:endnote>
  <w:endnote w:type="continuationSeparator" w:id="0">
    <w:p w:rsidR="00993D2D" w:rsidRDefault="0099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2D" w:rsidRPr="00993D2D" w:rsidRDefault="00993D2D">
    <w:pPr>
      <w:rPr>
        <w:lang w:val="es-ES_tradnl"/>
      </w:rPr>
    </w:pPr>
    <w:r>
      <w:fldChar w:fldCharType="begin"/>
    </w:r>
    <w:r w:rsidRPr="00993D2D">
      <w:rPr>
        <w:lang w:val="es-ES_tradnl"/>
      </w:rPr>
      <w:instrText xml:space="preserve"> FILENAME \p  \* MERGEFORMAT </w:instrText>
    </w:r>
    <w:r>
      <w:fldChar w:fldCharType="separate"/>
    </w:r>
    <w:r w:rsidR="00090F7C">
      <w:rPr>
        <w:noProof/>
        <w:lang w:val="es-ES_tradnl"/>
      </w:rPr>
      <w:t>P:\FRA\ITU-R\SG-R\SG05\1000\1009F.docx</w:t>
    </w:r>
    <w:r>
      <w:fldChar w:fldCharType="end"/>
    </w:r>
    <w:r w:rsidRPr="00993D2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0F7C">
      <w:rPr>
        <w:noProof/>
      </w:rPr>
      <w:t>17.09.15</w:t>
    </w:r>
    <w:r>
      <w:fldChar w:fldCharType="end"/>
    </w:r>
    <w:r w:rsidRPr="00993D2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0F7C">
      <w:rPr>
        <w:noProof/>
      </w:rPr>
      <w:t>17.09.15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2D" w:rsidRPr="00EC5339" w:rsidRDefault="00EC5339" w:rsidP="00EC5339">
    <w:pPr>
      <w:pStyle w:val="Footer"/>
      <w:rPr>
        <w:lang w:val="es-ES_tradnl"/>
      </w:rPr>
    </w:pPr>
    <w:r>
      <w:fldChar w:fldCharType="begin"/>
    </w:r>
    <w:r w:rsidRPr="00EC5339">
      <w:rPr>
        <w:lang w:val="es-ES_tradnl"/>
      </w:rPr>
      <w:instrText xml:space="preserve"> FILENAME \p  \* MERGEFORMAT </w:instrText>
    </w:r>
    <w:r>
      <w:fldChar w:fldCharType="separate"/>
    </w:r>
    <w:r w:rsidR="00090F7C">
      <w:rPr>
        <w:lang w:val="es-ES_tradnl"/>
      </w:rPr>
      <w:t>P:\FRA\ITU-R\SG-R\SG05\1000\1009F.docx</w:t>
    </w:r>
    <w:r>
      <w:fldChar w:fldCharType="end"/>
    </w:r>
    <w:r w:rsidRPr="00EC5339">
      <w:rPr>
        <w:lang w:val="es-ES_tradnl"/>
      </w:rPr>
      <w:t xml:space="preserve"> (386365)</w:t>
    </w:r>
    <w:r w:rsidRPr="00EC533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0F7C">
      <w:t>17.09.15</w:t>
    </w:r>
    <w:r>
      <w:fldChar w:fldCharType="end"/>
    </w:r>
    <w:r w:rsidRPr="00EC533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0F7C">
      <w:t>17.09.15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2D" w:rsidRPr="00993D2D" w:rsidRDefault="00993D2D">
    <w:pPr>
      <w:pStyle w:val="Footer"/>
      <w:rPr>
        <w:lang w:val="es-ES_tradnl"/>
      </w:rPr>
    </w:pPr>
    <w:r>
      <w:fldChar w:fldCharType="begin"/>
    </w:r>
    <w:r w:rsidRPr="00993D2D">
      <w:rPr>
        <w:lang w:val="es-ES_tradnl"/>
      </w:rPr>
      <w:instrText xml:space="preserve"> FILENAME \p  \* MERGEFORMAT </w:instrText>
    </w:r>
    <w:r>
      <w:fldChar w:fldCharType="separate"/>
    </w:r>
    <w:r w:rsidR="00090F7C">
      <w:rPr>
        <w:lang w:val="es-ES_tradnl"/>
      </w:rPr>
      <w:t>P:\FRA\ITU-R\SG-R\SG05\1000\1009F.docx</w:t>
    </w:r>
    <w:r>
      <w:fldChar w:fldCharType="end"/>
    </w:r>
    <w:r w:rsidR="00D714FF">
      <w:rPr>
        <w:lang w:val="es-ES_tradnl"/>
      </w:rPr>
      <w:t xml:space="preserve"> (386365</w:t>
    </w:r>
    <w:r w:rsidRPr="00993D2D">
      <w:rPr>
        <w:lang w:val="es-ES_tradnl"/>
      </w:rPr>
      <w:t>)</w:t>
    </w:r>
    <w:r w:rsidRPr="00993D2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0F7C">
      <w:t>17.09.15</w:t>
    </w:r>
    <w:r>
      <w:fldChar w:fldCharType="end"/>
    </w:r>
    <w:r w:rsidRPr="00993D2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0F7C">
      <w:t>17.09.15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2D" w:rsidRDefault="00993D2D">
      <w:r>
        <w:rPr>
          <w:b/>
        </w:rPr>
        <w:t>_______________</w:t>
      </w:r>
    </w:p>
  </w:footnote>
  <w:footnote w:type="continuationSeparator" w:id="0">
    <w:p w:rsidR="00993D2D" w:rsidRDefault="0099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2D" w:rsidRDefault="00993D2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90F7C">
      <w:rPr>
        <w:noProof/>
      </w:rPr>
      <w:t>5</w:t>
    </w:r>
    <w:r>
      <w:fldChar w:fldCharType="end"/>
    </w:r>
  </w:p>
  <w:p w:rsidR="00993D2D" w:rsidRDefault="00EC5339" w:rsidP="00EC5339">
    <w:pPr>
      <w:pStyle w:val="Header"/>
    </w:pPr>
    <w:r>
      <w:t>5/1009-F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B4656E"/>
    <w:multiLevelType w:val="hybridMultilevel"/>
    <w:tmpl w:val="0A8E3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42B27"/>
    <w:multiLevelType w:val="hybridMultilevel"/>
    <w:tmpl w:val="5412AF4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2854"/>
    <w:multiLevelType w:val="hybridMultilevel"/>
    <w:tmpl w:val="AA7CFA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6C31"/>
    <w:multiLevelType w:val="hybridMultilevel"/>
    <w:tmpl w:val="F4FAD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05F"/>
    <w:multiLevelType w:val="hybridMultilevel"/>
    <w:tmpl w:val="B7526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E264B"/>
    <w:multiLevelType w:val="hybridMultilevel"/>
    <w:tmpl w:val="AC0E3E3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171E4"/>
    <w:multiLevelType w:val="hybridMultilevel"/>
    <w:tmpl w:val="F59E7A86"/>
    <w:lvl w:ilvl="0" w:tplc="9FA02DF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83269"/>
    <w:multiLevelType w:val="hybridMultilevel"/>
    <w:tmpl w:val="242C2EB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05152"/>
    <w:multiLevelType w:val="hybridMultilevel"/>
    <w:tmpl w:val="1AB2601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C"/>
    <w:rsid w:val="00006711"/>
    <w:rsid w:val="00033032"/>
    <w:rsid w:val="00090F7C"/>
    <w:rsid w:val="000B1F11"/>
    <w:rsid w:val="000E56F5"/>
    <w:rsid w:val="00117940"/>
    <w:rsid w:val="0013523C"/>
    <w:rsid w:val="00135CBE"/>
    <w:rsid w:val="00151E10"/>
    <w:rsid w:val="00160694"/>
    <w:rsid w:val="001852F0"/>
    <w:rsid w:val="001A12D8"/>
    <w:rsid w:val="001D0914"/>
    <w:rsid w:val="001D2E06"/>
    <w:rsid w:val="00223DF9"/>
    <w:rsid w:val="0025426B"/>
    <w:rsid w:val="003120C9"/>
    <w:rsid w:val="00312771"/>
    <w:rsid w:val="003644F8"/>
    <w:rsid w:val="00395925"/>
    <w:rsid w:val="004B2F02"/>
    <w:rsid w:val="004F3241"/>
    <w:rsid w:val="00530E6D"/>
    <w:rsid w:val="0054045E"/>
    <w:rsid w:val="005A46FB"/>
    <w:rsid w:val="005E0F86"/>
    <w:rsid w:val="006B7103"/>
    <w:rsid w:val="006F02F1"/>
    <w:rsid w:val="006F73A7"/>
    <w:rsid w:val="006F78A3"/>
    <w:rsid w:val="007A353C"/>
    <w:rsid w:val="007D1BE3"/>
    <w:rsid w:val="00840A51"/>
    <w:rsid w:val="00852305"/>
    <w:rsid w:val="0086106F"/>
    <w:rsid w:val="00864AE4"/>
    <w:rsid w:val="008962EE"/>
    <w:rsid w:val="008A511E"/>
    <w:rsid w:val="008C5FD1"/>
    <w:rsid w:val="008D595D"/>
    <w:rsid w:val="0090497B"/>
    <w:rsid w:val="00940763"/>
    <w:rsid w:val="00952E29"/>
    <w:rsid w:val="00993D2D"/>
    <w:rsid w:val="009D1C73"/>
    <w:rsid w:val="00A51606"/>
    <w:rsid w:val="00A769F2"/>
    <w:rsid w:val="00A81F30"/>
    <w:rsid w:val="00A8402D"/>
    <w:rsid w:val="00A8615C"/>
    <w:rsid w:val="00AC0503"/>
    <w:rsid w:val="00AC209A"/>
    <w:rsid w:val="00AD26C8"/>
    <w:rsid w:val="00AD29C0"/>
    <w:rsid w:val="00AF6349"/>
    <w:rsid w:val="00B05B7E"/>
    <w:rsid w:val="00B1688F"/>
    <w:rsid w:val="00B82926"/>
    <w:rsid w:val="00BC5D9A"/>
    <w:rsid w:val="00C34902"/>
    <w:rsid w:val="00C50629"/>
    <w:rsid w:val="00C93D2A"/>
    <w:rsid w:val="00D11178"/>
    <w:rsid w:val="00D278A9"/>
    <w:rsid w:val="00D32C36"/>
    <w:rsid w:val="00D32DD4"/>
    <w:rsid w:val="00D54910"/>
    <w:rsid w:val="00D573D6"/>
    <w:rsid w:val="00D6405E"/>
    <w:rsid w:val="00D714FF"/>
    <w:rsid w:val="00D8645B"/>
    <w:rsid w:val="00DC4CBD"/>
    <w:rsid w:val="00DD03AE"/>
    <w:rsid w:val="00DE0A77"/>
    <w:rsid w:val="00E04F4D"/>
    <w:rsid w:val="00E85ACC"/>
    <w:rsid w:val="00EB6C53"/>
    <w:rsid w:val="00EC0EB4"/>
    <w:rsid w:val="00EC5339"/>
    <w:rsid w:val="00EF662A"/>
    <w:rsid w:val="00F226DB"/>
    <w:rsid w:val="00F56451"/>
    <w:rsid w:val="00FB596A"/>
    <w:rsid w:val="00FD36A9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74D1D6A-70C2-4E38-BD0D-C683F38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962E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962E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962E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962E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962E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link w:val="enumlev1Char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uiPriority w:val="99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qFormat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Heading1Char">
    <w:name w:val="Heading 1 Char"/>
    <w:basedOn w:val="DefaultParagraphFont"/>
    <w:link w:val="Heading1"/>
    <w:uiPriority w:val="99"/>
    <w:rsid w:val="00C34902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34902"/>
    <w:rPr>
      <w:rFonts w:ascii="Times New Roman" w:hAnsi="Times New Roman"/>
      <w:b/>
      <w:sz w:val="24"/>
      <w:lang w:val="fr-FR" w:eastAsia="en-US"/>
    </w:rPr>
  </w:style>
  <w:style w:type="character" w:customStyle="1" w:styleId="AnnexNoChar">
    <w:name w:val="Annex_No Char"/>
    <w:link w:val="AnnexNo"/>
    <w:locked/>
    <w:rsid w:val="00C34902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C34902"/>
    <w:rPr>
      <w:rFonts w:ascii="Times New Roman" w:hAnsi="Times New Roman"/>
      <w:lang w:val="fr-FR" w:eastAsia="en-US"/>
    </w:rPr>
  </w:style>
  <w:style w:type="character" w:customStyle="1" w:styleId="CallChar">
    <w:name w:val="Call Char"/>
    <w:link w:val="Call"/>
    <w:locked/>
    <w:rsid w:val="00C34902"/>
    <w:rPr>
      <w:rFonts w:ascii="Times New Roman" w:hAnsi="Times New Roman"/>
      <w:i/>
      <w:sz w:val="24"/>
      <w:lang w:val="fr-FR" w:eastAsia="en-US"/>
    </w:rPr>
  </w:style>
  <w:style w:type="character" w:customStyle="1" w:styleId="enumlev1Char">
    <w:name w:val="enumlev1 Char"/>
    <w:link w:val="enumlev1"/>
    <w:locked/>
    <w:rsid w:val="00C34902"/>
    <w:rPr>
      <w:rFonts w:ascii="Times New Roman" w:hAnsi="Times New Roman"/>
      <w:sz w:val="24"/>
      <w:lang w:val="fr-FR" w:eastAsia="en-US"/>
    </w:rPr>
  </w:style>
  <w:style w:type="character" w:customStyle="1" w:styleId="HeadingbChar">
    <w:name w:val="Heading_b Char"/>
    <w:link w:val="Headingb"/>
    <w:locked/>
    <w:rsid w:val="00C34902"/>
    <w:rPr>
      <w:b/>
      <w:sz w:val="24"/>
      <w:lang w:val="fr-FR" w:eastAsia="en-US"/>
    </w:rPr>
  </w:style>
  <w:style w:type="character" w:customStyle="1" w:styleId="TableheadChar">
    <w:name w:val="Table_head Char"/>
    <w:link w:val="Tablehead"/>
    <w:locked/>
    <w:rsid w:val="00C34902"/>
    <w:rPr>
      <w:rFonts w:ascii="Times New Roman" w:hAnsi="Times New Roman"/>
      <w:b/>
      <w:lang w:val="fr-FR" w:eastAsia="en-US"/>
    </w:rPr>
  </w:style>
  <w:style w:type="paragraph" w:customStyle="1" w:styleId="Normalaftertitle0">
    <w:name w:val="Normal_after_title"/>
    <w:basedOn w:val="Normal"/>
    <w:next w:val="Normal"/>
    <w:link w:val="NormalaftertitleChar"/>
    <w:rsid w:val="00C34902"/>
    <w:pPr>
      <w:spacing w:before="360"/>
    </w:pPr>
    <w:rPr>
      <w:lang w:val="en-GB"/>
    </w:rPr>
  </w:style>
  <w:style w:type="character" w:customStyle="1" w:styleId="NormalaftertitleChar">
    <w:name w:val="Normal_after_title Char"/>
    <w:link w:val="Normalaftertitle0"/>
    <w:locked/>
    <w:rsid w:val="00C34902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34902"/>
    <w:rPr>
      <w:b w:val="0"/>
      <w:lang w:val="en-GB"/>
    </w:rPr>
  </w:style>
  <w:style w:type="paragraph" w:customStyle="1" w:styleId="Agendaitem">
    <w:name w:val="Agenda_item"/>
    <w:basedOn w:val="Normal"/>
    <w:next w:val="Normal"/>
    <w:qFormat/>
    <w:rsid w:val="00C3490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C34902"/>
    <w:rPr>
      <w:lang w:val="en-GB"/>
    </w:rPr>
  </w:style>
  <w:style w:type="paragraph" w:customStyle="1" w:styleId="AppArttitle">
    <w:name w:val="App_Art_title"/>
    <w:basedOn w:val="Arttitle"/>
    <w:qFormat/>
    <w:rsid w:val="00C34902"/>
    <w:rPr>
      <w:lang w:val="en-GB"/>
    </w:rPr>
  </w:style>
  <w:style w:type="paragraph" w:customStyle="1" w:styleId="ApptoAnnex">
    <w:name w:val="App_to_Annex"/>
    <w:basedOn w:val="AppendixNo"/>
    <w:next w:val="Normal"/>
    <w:qFormat/>
    <w:rsid w:val="00C34902"/>
    <w:rPr>
      <w:lang w:val="en-GB"/>
    </w:rPr>
  </w:style>
  <w:style w:type="paragraph" w:customStyle="1" w:styleId="Committee">
    <w:name w:val="Committee"/>
    <w:basedOn w:val="Normal"/>
    <w:qFormat/>
    <w:rsid w:val="00C34902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C34902"/>
    <w:rPr>
      <w:lang w:val="en-US"/>
    </w:rPr>
  </w:style>
  <w:style w:type="paragraph" w:customStyle="1" w:styleId="Part1">
    <w:name w:val="Part_1"/>
    <w:basedOn w:val="Section1"/>
    <w:next w:val="Section1"/>
    <w:qFormat/>
    <w:rsid w:val="00C34902"/>
    <w:rPr>
      <w:lang w:val="en-GB"/>
    </w:rPr>
  </w:style>
  <w:style w:type="paragraph" w:customStyle="1" w:styleId="Subsection1">
    <w:name w:val="Subsection_1"/>
    <w:basedOn w:val="Section1"/>
    <w:next w:val="Normalaftertitle"/>
    <w:qFormat/>
    <w:rsid w:val="00C34902"/>
    <w:rPr>
      <w:lang w:val="en-GB"/>
    </w:rPr>
  </w:style>
  <w:style w:type="paragraph" w:customStyle="1" w:styleId="Volumetitle">
    <w:name w:val="Volume_title"/>
    <w:basedOn w:val="Normal"/>
    <w:qFormat/>
    <w:rsid w:val="00C34902"/>
    <w:pPr>
      <w:jc w:val="center"/>
    </w:pPr>
    <w:rPr>
      <w:b/>
      <w:bCs/>
      <w:sz w:val="28"/>
      <w:szCs w:val="28"/>
      <w:lang w:val="en-GB"/>
    </w:rPr>
  </w:style>
  <w:style w:type="character" w:customStyle="1" w:styleId="href">
    <w:name w:val="href"/>
    <w:basedOn w:val="DefaultParagraphFont"/>
    <w:rsid w:val="00C34902"/>
  </w:style>
  <w:style w:type="paragraph" w:customStyle="1" w:styleId="AnnexNoTitle">
    <w:name w:val="Annex_NoTitle"/>
    <w:basedOn w:val="Normal"/>
    <w:next w:val="Normalaftertitle0"/>
    <w:uiPriority w:val="99"/>
    <w:rsid w:val="00C3490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HeadingSum">
    <w:name w:val="Heading_Sum"/>
    <w:basedOn w:val="Headingb"/>
    <w:next w:val="Normal"/>
    <w:autoRedefine/>
    <w:uiPriority w:val="99"/>
    <w:rsid w:val="00C34902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lang w:val="es-ES_tradnl"/>
    </w:rPr>
  </w:style>
  <w:style w:type="paragraph" w:customStyle="1" w:styleId="AppendixNoTitle">
    <w:name w:val="Appendix_NoTitle"/>
    <w:basedOn w:val="AnnexNoTitle"/>
    <w:next w:val="Normal"/>
    <w:rsid w:val="00C34902"/>
  </w:style>
  <w:style w:type="paragraph" w:customStyle="1" w:styleId="Tablefin">
    <w:name w:val="Table_fin"/>
    <w:basedOn w:val="Normal"/>
    <w:next w:val="Normal"/>
    <w:uiPriority w:val="99"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  <w:lang w:val="en-GB"/>
    </w:rPr>
  </w:style>
  <w:style w:type="paragraph" w:customStyle="1" w:styleId="tocpart">
    <w:name w:val="tocpart"/>
    <w:basedOn w:val="Normal"/>
    <w:rsid w:val="00C34902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</w:style>
  <w:style w:type="paragraph" w:customStyle="1" w:styleId="Blanc">
    <w:name w:val="Blanc"/>
    <w:basedOn w:val="Normal"/>
    <w:next w:val="Tabletext"/>
    <w:rsid w:val="00C34902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  <w:lang w:val="en-GB"/>
    </w:rPr>
  </w:style>
  <w:style w:type="paragraph" w:customStyle="1" w:styleId="Line">
    <w:name w:val="Line"/>
    <w:basedOn w:val="Normal"/>
    <w:next w:val="Normal"/>
    <w:rsid w:val="00C34902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C34902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</w:style>
  <w:style w:type="paragraph" w:customStyle="1" w:styleId="Summary">
    <w:name w:val="Summary"/>
    <w:basedOn w:val="Normal"/>
    <w:next w:val="Normalaftertitle0"/>
    <w:autoRedefine/>
    <w:uiPriority w:val="99"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lang w:val="es-ES_tradnl"/>
    </w:rPr>
  </w:style>
  <w:style w:type="character" w:styleId="Hyperlink">
    <w:name w:val="Hyperlink"/>
    <w:basedOn w:val="DefaultParagraphFont"/>
    <w:rsid w:val="00C34902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C34902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sz w:val="22"/>
      <w:lang w:val="en-US"/>
    </w:rPr>
  </w:style>
  <w:style w:type="paragraph" w:styleId="BalloonText">
    <w:name w:val="Balloon Text"/>
    <w:basedOn w:val="Normal"/>
    <w:link w:val="BalloonTextChar"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902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C3490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</w:pPr>
  </w:style>
  <w:style w:type="character" w:customStyle="1" w:styleId="CommentTextChar">
    <w:name w:val="Comment Text Char"/>
    <w:basedOn w:val="DefaultParagraphFont"/>
    <w:link w:val="CommentText"/>
    <w:semiHidden/>
    <w:rsid w:val="00C34902"/>
    <w:rPr>
      <w:rFonts w:ascii="Times New Roman" w:hAnsi="Times New Roman"/>
      <w:lang w:val="fr-FR" w:eastAsia="en-US"/>
    </w:rPr>
  </w:style>
  <w:style w:type="paragraph" w:styleId="CommentText">
    <w:name w:val="annotation text"/>
    <w:basedOn w:val="Normal"/>
    <w:link w:val="CommentTextChar"/>
    <w:semiHidden/>
    <w:unhideWhenUsed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C34902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34902"/>
    <w:rPr>
      <w:rFonts w:ascii="Times New Roman" w:hAnsi="Times New Roman"/>
      <w:b/>
      <w:bCs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902"/>
    <w:rPr>
      <w:b/>
      <w:bCs/>
    </w:rPr>
  </w:style>
  <w:style w:type="character" w:customStyle="1" w:styleId="CommentSubjectChar1">
    <w:name w:val="Comment Subject Char1"/>
    <w:basedOn w:val="CommentTextChar1"/>
    <w:semiHidden/>
    <w:rsid w:val="00C34902"/>
    <w:rPr>
      <w:rFonts w:ascii="Times New Roman" w:hAnsi="Times New Roman"/>
      <w:b/>
      <w:bCs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34902"/>
    <w:rPr>
      <w:rFonts w:ascii="Times New Roman" w:hAnsi="Times New Roman"/>
      <w:lang w:val="fr-FR" w:eastAsia="en-US"/>
    </w:rPr>
  </w:style>
  <w:style w:type="paragraph" w:styleId="EndnoteText">
    <w:name w:val="endnote text"/>
    <w:basedOn w:val="Normal"/>
    <w:link w:val="EndnoteTextChar"/>
    <w:semiHidden/>
    <w:unhideWhenUsed/>
    <w:rsid w:val="00C349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EndnoteTextChar1">
    <w:name w:val="Endnote Text Char1"/>
    <w:basedOn w:val="DefaultParagraphFont"/>
    <w:semiHidden/>
    <w:rsid w:val="00C34902"/>
    <w:rPr>
      <w:rFonts w:ascii="Times New Roman" w:hAnsi="Times New Roman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349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4902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rsid w:val="00C3490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EC533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C-0245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G05-C-0240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meetingdoc.asp?lang=en&amp;parent=R12-SG05-C-0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meetingdoc.asp?lang=en&amp;parent=R12-SG05-C-0217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106</TotalTime>
  <Pages>5</Pages>
  <Words>2006</Words>
  <Characters>10944</Characters>
  <Application>Microsoft Office Word</Application>
  <DocSecurity>0</DocSecurity>
  <Lines>181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12911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Germain, Catherine</dc:creator>
  <cp:keywords/>
  <dc:description>PF_RA07.dot  Pour: _x000d_Date du document: _x000d_Enregistré par MM-43480 à 16:09:12 le 16.10.07</dc:description>
  <cp:lastModifiedBy>Royer, Veronique</cp:lastModifiedBy>
  <cp:revision>9</cp:revision>
  <cp:lastPrinted>2015-09-17T08:26:00Z</cp:lastPrinted>
  <dcterms:created xsi:type="dcterms:W3CDTF">2015-09-17T06:30:00Z</dcterms:created>
  <dcterms:modified xsi:type="dcterms:W3CDTF">2015-09-17T08:27:00Z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