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A27CF6" w:rsidRPr="00792118">
        <w:trPr>
          <w:cantSplit/>
        </w:trPr>
        <w:tc>
          <w:tcPr>
            <w:tcW w:w="6345" w:type="dxa"/>
          </w:tcPr>
          <w:p w:rsidR="00A27CF6" w:rsidRPr="00792118" w:rsidRDefault="00A27CF6" w:rsidP="00822172">
            <w:pPr>
              <w:spacing w:before="400" w:after="48"/>
              <w:rPr>
                <w:rFonts w:ascii="Verdana" w:hAnsi="Verdana"/>
                <w:position w:val="6"/>
                <w:lang w:val="es-ES_tradnl"/>
              </w:rPr>
            </w:pPr>
            <w:bookmarkStart w:id="0" w:name="dbluepink" w:colFirst="0" w:colLast="0"/>
            <w:r w:rsidRPr="00792118">
              <w:rPr>
                <w:rFonts w:ascii="Verdana" w:hAnsi="Verdana" w:cs="Times New Roman Bold"/>
                <w:b/>
                <w:szCs w:val="24"/>
                <w:lang w:val="es-ES_tradnl"/>
              </w:rPr>
              <w:t>Asamblea de Radiocomunicaciones (AR-15)</w:t>
            </w:r>
            <w:r w:rsidRPr="00792118">
              <w:rPr>
                <w:rFonts w:ascii="Verdana" w:hAnsi="Verdana" w:cs="Times"/>
                <w:b/>
                <w:position w:val="6"/>
                <w:sz w:val="20"/>
                <w:lang w:val="es-ES_tradnl"/>
              </w:rPr>
              <w:t xml:space="preserve"> </w:t>
            </w:r>
            <w:r w:rsidRPr="00792118">
              <w:rPr>
                <w:rFonts w:ascii="Verdana" w:hAnsi="Verdana" w:cs="Times"/>
                <w:b/>
                <w:position w:val="6"/>
                <w:sz w:val="20"/>
                <w:lang w:val="es-ES_tradnl"/>
              </w:rPr>
              <w:br/>
            </w:r>
            <w:r w:rsidRPr="00792118">
              <w:rPr>
                <w:rFonts w:ascii="Verdana" w:hAnsi="Verdana" w:cs="Times New Roman Bold"/>
                <w:b/>
                <w:bCs/>
                <w:sz w:val="20"/>
                <w:lang w:val="es-ES_tradnl"/>
              </w:rPr>
              <w:t>Ginebra, 26-30 de octubre de 2015</w:t>
            </w:r>
          </w:p>
        </w:tc>
        <w:tc>
          <w:tcPr>
            <w:tcW w:w="3686" w:type="dxa"/>
          </w:tcPr>
          <w:p w:rsidR="00A27CF6" w:rsidRPr="00792118" w:rsidRDefault="00A27CF6" w:rsidP="00822172">
            <w:pPr>
              <w:jc w:val="right"/>
              <w:rPr>
                <w:lang w:val="es-ES_tradnl"/>
              </w:rPr>
            </w:pPr>
            <w:bookmarkStart w:id="1" w:name="ditulogo"/>
            <w:bookmarkEnd w:id="1"/>
            <w:r w:rsidRPr="00792118">
              <w:rPr>
                <w:noProof/>
                <w:lang w:val="es-ES_tradnl"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27CF6" w:rsidRPr="00792118">
        <w:trPr>
          <w:cantSplit/>
        </w:trPr>
        <w:tc>
          <w:tcPr>
            <w:tcW w:w="6345" w:type="dxa"/>
            <w:tcBorders>
              <w:bottom w:val="single" w:sz="12" w:space="0" w:color="auto"/>
            </w:tcBorders>
          </w:tcPr>
          <w:p w:rsidR="00A27CF6" w:rsidRPr="00792118" w:rsidRDefault="00A27CF6" w:rsidP="00822172">
            <w:pPr>
              <w:spacing w:before="0" w:after="48"/>
              <w:rPr>
                <w:b/>
                <w:smallCaps/>
                <w:szCs w:val="24"/>
                <w:lang w:val="es-ES_tradnl"/>
              </w:rPr>
            </w:pPr>
            <w:bookmarkStart w:id="2" w:name="dhead"/>
            <w:r w:rsidRPr="00792118">
              <w:rPr>
                <w:rFonts w:ascii="Verdana" w:hAnsi="Verdana"/>
                <w:b/>
                <w:smallCaps/>
                <w:sz w:val="20"/>
                <w:lang w:val="es-ES_tradnl"/>
              </w:rPr>
              <w:t>UNIÓN INTERNACIONAL DE TELECOMUNICACIONES</w:t>
            </w:r>
          </w:p>
        </w:tc>
        <w:tc>
          <w:tcPr>
            <w:tcW w:w="3686" w:type="dxa"/>
            <w:tcBorders>
              <w:bottom w:val="single" w:sz="12" w:space="0" w:color="auto"/>
            </w:tcBorders>
          </w:tcPr>
          <w:p w:rsidR="00A27CF6" w:rsidRPr="00792118" w:rsidRDefault="00A27CF6" w:rsidP="00822172">
            <w:pPr>
              <w:spacing w:before="0"/>
              <w:rPr>
                <w:rFonts w:ascii="Verdana" w:hAnsi="Verdana"/>
                <w:szCs w:val="24"/>
                <w:lang w:val="es-ES_tradnl"/>
              </w:rPr>
            </w:pPr>
          </w:p>
        </w:tc>
      </w:tr>
      <w:tr w:rsidR="00A27CF6" w:rsidRPr="00792118">
        <w:trPr>
          <w:cantSplit/>
        </w:trPr>
        <w:tc>
          <w:tcPr>
            <w:tcW w:w="6345" w:type="dxa"/>
            <w:tcBorders>
              <w:top w:val="single" w:sz="12" w:space="0" w:color="auto"/>
            </w:tcBorders>
          </w:tcPr>
          <w:p w:rsidR="00A27CF6" w:rsidRPr="00792118" w:rsidRDefault="00A27CF6" w:rsidP="00822172">
            <w:pPr>
              <w:spacing w:before="0" w:after="48"/>
              <w:rPr>
                <w:rFonts w:ascii="Verdana" w:hAnsi="Verdana"/>
                <w:b/>
                <w:smallCaps/>
                <w:sz w:val="20"/>
                <w:lang w:val="es-ES_tradnl"/>
              </w:rPr>
            </w:pPr>
          </w:p>
        </w:tc>
        <w:tc>
          <w:tcPr>
            <w:tcW w:w="3686" w:type="dxa"/>
            <w:tcBorders>
              <w:top w:val="single" w:sz="12" w:space="0" w:color="auto"/>
            </w:tcBorders>
          </w:tcPr>
          <w:p w:rsidR="00A27CF6" w:rsidRPr="00792118" w:rsidRDefault="00A27CF6" w:rsidP="00822172">
            <w:pPr>
              <w:spacing w:before="0"/>
              <w:rPr>
                <w:rFonts w:ascii="Verdana" w:hAnsi="Verdana"/>
                <w:sz w:val="20"/>
                <w:lang w:val="es-ES_tradnl"/>
              </w:rPr>
            </w:pPr>
          </w:p>
        </w:tc>
      </w:tr>
      <w:tr w:rsidR="00A27CF6" w:rsidRPr="00792118">
        <w:trPr>
          <w:cantSplit/>
          <w:trHeight w:val="23"/>
        </w:trPr>
        <w:tc>
          <w:tcPr>
            <w:tcW w:w="6345" w:type="dxa"/>
            <w:vMerge w:val="restart"/>
          </w:tcPr>
          <w:p w:rsidR="00A27CF6" w:rsidRPr="00792118" w:rsidRDefault="00A27CF6" w:rsidP="00822172">
            <w:pPr>
              <w:tabs>
                <w:tab w:val="left" w:pos="851"/>
              </w:tabs>
              <w:spacing w:before="0"/>
              <w:rPr>
                <w:rFonts w:ascii="Verdana" w:hAnsi="Verdana"/>
                <w:sz w:val="20"/>
                <w:lang w:val="es-ES_tradnl"/>
              </w:rPr>
            </w:pPr>
            <w:bookmarkStart w:id="3" w:name="dnum" w:colFirst="1" w:colLast="1"/>
            <w:bookmarkStart w:id="4" w:name="dmeeting" w:colFirst="0" w:colLast="0"/>
            <w:bookmarkEnd w:id="2"/>
          </w:p>
        </w:tc>
        <w:tc>
          <w:tcPr>
            <w:tcW w:w="3686" w:type="dxa"/>
          </w:tcPr>
          <w:p w:rsidR="00A27CF6" w:rsidRPr="00792118" w:rsidRDefault="00A27CF6" w:rsidP="002B5852">
            <w:pPr>
              <w:tabs>
                <w:tab w:val="left" w:pos="851"/>
              </w:tabs>
              <w:spacing w:before="0"/>
              <w:rPr>
                <w:rFonts w:ascii="Verdana" w:hAnsi="Verdana"/>
                <w:sz w:val="20"/>
                <w:lang w:val="es-ES_tradnl"/>
              </w:rPr>
            </w:pPr>
            <w:r w:rsidRPr="00792118">
              <w:rPr>
                <w:rFonts w:ascii="Verdana" w:hAnsi="Verdana"/>
                <w:b/>
                <w:sz w:val="20"/>
                <w:lang w:val="es-ES_tradnl"/>
              </w:rPr>
              <w:t xml:space="preserve">Documento </w:t>
            </w:r>
            <w:r w:rsidR="002B5852" w:rsidRPr="00792118">
              <w:rPr>
                <w:rFonts w:ascii="Verdana" w:hAnsi="Verdana"/>
                <w:b/>
                <w:sz w:val="20"/>
                <w:lang w:val="es-ES_tradnl"/>
              </w:rPr>
              <w:t>4</w:t>
            </w:r>
            <w:r w:rsidRPr="00792118">
              <w:rPr>
                <w:rFonts w:ascii="Verdana" w:hAnsi="Verdana"/>
                <w:b/>
                <w:sz w:val="20"/>
                <w:lang w:val="es-ES_tradnl"/>
              </w:rPr>
              <w:t>/1001-S</w:t>
            </w:r>
          </w:p>
        </w:tc>
      </w:tr>
      <w:tr w:rsidR="00A27CF6" w:rsidRPr="00792118">
        <w:trPr>
          <w:cantSplit/>
          <w:trHeight w:val="23"/>
        </w:trPr>
        <w:tc>
          <w:tcPr>
            <w:tcW w:w="6345" w:type="dxa"/>
            <w:vMerge/>
          </w:tcPr>
          <w:p w:rsidR="00A27CF6" w:rsidRPr="00792118" w:rsidRDefault="00A27CF6" w:rsidP="00822172">
            <w:pPr>
              <w:tabs>
                <w:tab w:val="left" w:pos="851"/>
              </w:tabs>
              <w:rPr>
                <w:rFonts w:ascii="Verdana" w:hAnsi="Verdana"/>
                <w:b/>
                <w:sz w:val="20"/>
                <w:lang w:val="es-ES_tradnl"/>
              </w:rPr>
            </w:pPr>
            <w:bookmarkStart w:id="5" w:name="ddate" w:colFirst="1" w:colLast="1"/>
            <w:bookmarkEnd w:id="3"/>
            <w:bookmarkEnd w:id="4"/>
          </w:p>
        </w:tc>
        <w:tc>
          <w:tcPr>
            <w:tcW w:w="3686" w:type="dxa"/>
          </w:tcPr>
          <w:p w:rsidR="00A27CF6" w:rsidRPr="00792118" w:rsidRDefault="00A27CF6" w:rsidP="00822172">
            <w:pPr>
              <w:tabs>
                <w:tab w:val="left" w:pos="993"/>
              </w:tabs>
              <w:spacing w:before="0"/>
              <w:rPr>
                <w:rFonts w:ascii="Verdana" w:hAnsi="Verdana"/>
                <w:sz w:val="20"/>
                <w:lang w:val="es-ES_tradnl"/>
              </w:rPr>
            </w:pPr>
            <w:r w:rsidRPr="00792118">
              <w:rPr>
                <w:rFonts w:ascii="Verdana" w:hAnsi="Verdana"/>
                <w:b/>
                <w:sz w:val="20"/>
                <w:lang w:val="es-ES_tradnl"/>
              </w:rPr>
              <w:t>30 de septiembre de 2015</w:t>
            </w:r>
          </w:p>
        </w:tc>
      </w:tr>
      <w:tr w:rsidR="00A27CF6" w:rsidRPr="00792118">
        <w:trPr>
          <w:cantSplit/>
          <w:trHeight w:val="23"/>
        </w:trPr>
        <w:tc>
          <w:tcPr>
            <w:tcW w:w="6345" w:type="dxa"/>
            <w:vMerge/>
          </w:tcPr>
          <w:p w:rsidR="00A27CF6" w:rsidRPr="00792118" w:rsidRDefault="00A27CF6" w:rsidP="00822172">
            <w:pPr>
              <w:tabs>
                <w:tab w:val="left" w:pos="851"/>
              </w:tabs>
              <w:rPr>
                <w:rFonts w:ascii="Verdana" w:hAnsi="Verdana"/>
                <w:b/>
                <w:sz w:val="20"/>
                <w:lang w:val="es-ES_tradnl"/>
              </w:rPr>
            </w:pPr>
            <w:bookmarkStart w:id="6" w:name="dorlang" w:colFirst="1" w:colLast="1"/>
            <w:bookmarkEnd w:id="5"/>
          </w:p>
        </w:tc>
        <w:tc>
          <w:tcPr>
            <w:tcW w:w="3686" w:type="dxa"/>
          </w:tcPr>
          <w:p w:rsidR="00A27CF6" w:rsidRPr="00792118" w:rsidRDefault="00A27CF6" w:rsidP="00822172">
            <w:pPr>
              <w:tabs>
                <w:tab w:val="left" w:pos="993"/>
              </w:tabs>
              <w:spacing w:before="0" w:after="120"/>
              <w:rPr>
                <w:rFonts w:ascii="Verdana" w:hAnsi="Verdana"/>
                <w:sz w:val="20"/>
                <w:lang w:val="es-ES_tradnl"/>
              </w:rPr>
            </w:pPr>
          </w:p>
        </w:tc>
      </w:tr>
    </w:tbl>
    <w:tbl>
      <w:tblPr>
        <w:tblW w:w="10031" w:type="dxa"/>
        <w:tblLayout w:type="fixed"/>
        <w:tblLook w:val="0000" w:firstRow="0" w:lastRow="0" w:firstColumn="0" w:lastColumn="0" w:noHBand="0" w:noVBand="0"/>
      </w:tblPr>
      <w:tblGrid>
        <w:gridCol w:w="10031"/>
      </w:tblGrid>
      <w:tr w:rsidR="00A27CF6" w:rsidRPr="00792118">
        <w:trPr>
          <w:cantSplit/>
        </w:trPr>
        <w:tc>
          <w:tcPr>
            <w:tcW w:w="10031" w:type="dxa"/>
          </w:tcPr>
          <w:p w:rsidR="00A27CF6" w:rsidRPr="00792118" w:rsidRDefault="001469F4" w:rsidP="00822172">
            <w:pPr>
              <w:pStyle w:val="Source"/>
              <w:rPr>
                <w:lang w:val="es-ES_tradnl"/>
              </w:rPr>
            </w:pPr>
            <w:bookmarkStart w:id="7" w:name="dsource" w:colFirst="0" w:colLast="0"/>
            <w:bookmarkEnd w:id="0"/>
            <w:bookmarkEnd w:id="6"/>
            <w:r w:rsidRPr="00792118">
              <w:rPr>
                <w:lang w:val="es-ES_tradnl"/>
              </w:rPr>
              <w:t>Presidente de la Comisión de Estudio 4 de Radiocomunicaciones</w:t>
            </w:r>
          </w:p>
        </w:tc>
      </w:tr>
      <w:tr w:rsidR="00A27CF6" w:rsidRPr="00792118">
        <w:trPr>
          <w:cantSplit/>
        </w:trPr>
        <w:tc>
          <w:tcPr>
            <w:tcW w:w="10031" w:type="dxa"/>
          </w:tcPr>
          <w:p w:rsidR="00A27CF6" w:rsidRPr="00792118" w:rsidRDefault="001469F4" w:rsidP="00822172">
            <w:pPr>
              <w:pStyle w:val="Title1"/>
              <w:rPr>
                <w:lang w:val="es-ES_tradnl"/>
              </w:rPr>
            </w:pPr>
            <w:bookmarkStart w:id="8" w:name="dtitle1" w:colFirst="0" w:colLast="0"/>
            <w:bookmarkEnd w:id="7"/>
            <w:r w:rsidRPr="00792118">
              <w:rPr>
                <w:lang w:val="es-ES_tradnl"/>
              </w:rPr>
              <w:t>INFORME DEL PRESIDENTE</w:t>
            </w:r>
          </w:p>
        </w:tc>
      </w:tr>
      <w:bookmarkEnd w:id="8"/>
      <w:tr w:rsidR="00A27CF6" w:rsidRPr="00792118">
        <w:trPr>
          <w:cantSplit/>
        </w:trPr>
        <w:tc>
          <w:tcPr>
            <w:tcW w:w="10031" w:type="dxa"/>
          </w:tcPr>
          <w:p w:rsidR="00A27CF6" w:rsidRPr="00792118" w:rsidRDefault="001469F4" w:rsidP="00822172">
            <w:pPr>
              <w:pStyle w:val="Title2"/>
              <w:tabs>
                <w:tab w:val="center" w:pos="4907"/>
                <w:tab w:val="left" w:pos="7173"/>
              </w:tabs>
              <w:rPr>
                <w:lang w:val="es-ES_tradnl"/>
              </w:rPr>
            </w:pPr>
            <w:r w:rsidRPr="00792118">
              <w:rPr>
                <w:lang w:val="es-ES_tradnl"/>
              </w:rPr>
              <w:t>SERVICIOS POR SATÉLITE</w:t>
            </w:r>
            <w:bookmarkStart w:id="9" w:name="dtitle2" w:colFirst="0" w:colLast="0"/>
          </w:p>
        </w:tc>
      </w:tr>
      <w:tr w:rsidR="00A179B5" w:rsidRPr="00792118">
        <w:trPr>
          <w:cantSplit/>
        </w:trPr>
        <w:tc>
          <w:tcPr>
            <w:tcW w:w="10031" w:type="dxa"/>
          </w:tcPr>
          <w:p w:rsidR="00A179B5" w:rsidRPr="00792118" w:rsidRDefault="00A179B5" w:rsidP="00A179B5">
            <w:pPr>
              <w:pStyle w:val="Title3"/>
              <w:rPr>
                <w:lang w:val="es-ES_tradnl"/>
              </w:rPr>
            </w:pPr>
          </w:p>
        </w:tc>
      </w:tr>
    </w:tbl>
    <w:bookmarkEnd w:id="9"/>
    <w:p w:rsidR="001469F4" w:rsidRPr="00792118" w:rsidRDefault="001469F4" w:rsidP="00822172">
      <w:pPr>
        <w:pStyle w:val="Heading1"/>
        <w:rPr>
          <w:lang w:val="es-ES_tradnl"/>
        </w:rPr>
      </w:pPr>
      <w:r w:rsidRPr="00792118">
        <w:rPr>
          <w:lang w:val="es-ES_tradnl"/>
        </w:rPr>
        <w:t>1</w:t>
      </w:r>
      <w:r w:rsidRPr="00792118">
        <w:rPr>
          <w:lang w:val="es-ES_tradnl"/>
        </w:rPr>
        <w:tab/>
        <w:t>Introducción</w:t>
      </w:r>
    </w:p>
    <w:p w:rsidR="00A10635" w:rsidRPr="00792118" w:rsidRDefault="00A779AE" w:rsidP="00822172">
      <w:pPr>
        <w:rPr>
          <w:lang w:val="es-ES_tradnl"/>
        </w:rPr>
      </w:pPr>
      <w:r w:rsidRPr="00792118">
        <w:rPr>
          <w:lang w:val="es-ES_tradnl"/>
        </w:rPr>
        <w:t>La</w:t>
      </w:r>
      <w:r w:rsidR="00A47126" w:rsidRPr="00792118">
        <w:rPr>
          <w:lang w:val="es-ES_tradnl"/>
        </w:rPr>
        <w:t xml:space="preserve"> </w:t>
      </w:r>
      <w:r w:rsidRPr="00792118">
        <w:rPr>
          <w:lang w:val="es-ES_tradnl"/>
        </w:rPr>
        <w:t>comisión de Estudio 4 continuó sus trabajos sobre los servicios por satélite durante el periodo de estudios de febrero de 2012 a octubre de 2015.</w:t>
      </w:r>
    </w:p>
    <w:p w:rsidR="001469F4" w:rsidRPr="00792118" w:rsidRDefault="001469F4" w:rsidP="00822172">
      <w:pPr>
        <w:rPr>
          <w:lang w:val="es-ES_tradnl"/>
        </w:rPr>
      </w:pPr>
      <w:r w:rsidRPr="00792118">
        <w:rPr>
          <w:lang w:val="es-ES_tradnl"/>
        </w:rPr>
        <w:t>Tras la Asamble</w:t>
      </w:r>
      <w:r w:rsidR="00A05AE8" w:rsidRPr="00792118">
        <w:rPr>
          <w:lang w:val="es-ES_tradnl"/>
        </w:rPr>
        <w:t>a de Radiocomunicaciones de 2012</w:t>
      </w:r>
      <w:r w:rsidRPr="00792118">
        <w:rPr>
          <w:lang w:val="es-ES_tradnl"/>
        </w:rPr>
        <w:t>, se ob</w:t>
      </w:r>
      <w:r w:rsidR="00DB1503" w:rsidRPr="00792118">
        <w:rPr>
          <w:lang w:val="es-ES_tradnl"/>
        </w:rPr>
        <w:t>servó que la actividad de la CE </w:t>
      </w:r>
      <w:r w:rsidRPr="00792118">
        <w:rPr>
          <w:lang w:val="es-ES_tradnl"/>
        </w:rPr>
        <w:t>4 estaba considerablemente influenciada por los trab</w:t>
      </w:r>
      <w:r w:rsidR="00A05AE8" w:rsidRPr="00792118">
        <w:rPr>
          <w:lang w:val="es-ES_tradnl"/>
        </w:rPr>
        <w:t>ajos de preparación de la CMR-15</w:t>
      </w:r>
      <w:r w:rsidRPr="00792118">
        <w:rPr>
          <w:lang w:val="es-ES_tradnl"/>
        </w:rPr>
        <w:t>, especialmente en lo que concierne a los Grupos de Trabajo 4A y 4C. Lo</w:t>
      </w:r>
      <w:r w:rsidR="00A05AE8" w:rsidRPr="00792118">
        <w:rPr>
          <w:lang w:val="es-ES_tradnl"/>
        </w:rPr>
        <w:t>s temas principales de la CMR-15</w:t>
      </w:r>
      <w:r w:rsidRPr="00792118">
        <w:rPr>
          <w:lang w:val="es-ES_tradnl"/>
        </w:rPr>
        <w:t xml:space="preserve"> que</w:t>
      </w:r>
      <w:r w:rsidR="00DB1503" w:rsidRPr="00792118">
        <w:rPr>
          <w:lang w:val="es-ES_tradnl"/>
        </w:rPr>
        <w:t xml:space="preserve"> son de la incumbencia de la CE </w:t>
      </w:r>
      <w:r w:rsidRPr="00792118">
        <w:rPr>
          <w:lang w:val="es-ES_tradnl"/>
        </w:rPr>
        <w:t>4, ya sea como Comisión de Estudio responsable o contribuidora, comprenden lo siguiente:</w:t>
      </w:r>
    </w:p>
    <w:p w:rsidR="00A27CF6" w:rsidRPr="00792118" w:rsidRDefault="00183D6A" w:rsidP="00822172">
      <w:pPr>
        <w:pStyle w:val="enumlev1"/>
        <w:rPr>
          <w:lang w:val="es-ES_tradnl"/>
        </w:rPr>
      </w:pPr>
      <w:r w:rsidRPr="00792118">
        <w:rPr>
          <w:lang w:val="es-ES_tradnl"/>
        </w:rPr>
        <w:t>–</w:t>
      </w:r>
      <w:r w:rsidRPr="00792118">
        <w:rPr>
          <w:lang w:val="es-ES_tradnl"/>
        </w:rPr>
        <w:tab/>
        <w:t xml:space="preserve">Punto 1.1 del orden del día: 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792118">
        <w:rPr>
          <w:b/>
          <w:bCs/>
          <w:lang w:val="es-ES_tradnl"/>
        </w:rPr>
        <w:t>233 (CMR-12)</w:t>
      </w:r>
      <w:r w:rsidR="00081B04">
        <w:rPr>
          <w:lang w:val="es-ES_tradnl"/>
        </w:rPr>
        <w:t>.</w:t>
      </w:r>
    </w:p>
    <w:p w:rsidR="00A27CF6" w:rsidRPr="00792118" w:rsidRDefault="00183D6A" w:rsidP="00822172">
      <w:pPr>
        <w:pStyle w:val="enumlev1"/>
        <w:rPr>
          <w:lang w:val="es-ES_tradnl"/>
        </w:rPr>
      </w:pPr>
      <w:r w:rsidRPr="00792118">
        <w:rPr>
          <w:lang w:val="es-ES_tradnl"/>
        </w:rPr>
        <w:t>–</w:t>
      </w:r>
      <w:r w:rsidRPr="00792118">
        <w:rPr>
          <w:lang w:val="es-ES_tradnl"/>
        </w:rPr>
        <w:tab/>
        <w:t xml:space="preserve">Punto 1.5 del orden del día: considerar la posibilidad de utilizar las bandas de frecuencias atribuidas al servicio fijo por satélite no sujeto a los Apéndices </w:t>
      </w:r>
      <w:r w:rsidRPr="00792118">
        <w:rPr>
          <w:b/>
          <w:bCs/>
          <w:lang w:val="es-ES_tradnl"/>
        </w:rPr>
        <w:t>30</w:t>
      </w:r>
      <w:r w:rsidRPr="00792118">
        <w:rPr>
          <w:lang w:val="es-ES_tradnl"/>
        </w:rPr>
        <w:t xml:space="preserve">, </w:t>
      </w:r>
      <w:r w:rsidRPr="00792118">
        <w:rPr>
          <w:b/>
          <w:bCs/>
          <w:lang w:val="es-ES_tradnl"/>
        </w:rPr>
        <w:t>30A</w:t>
      </w:r>
      <w:r w:rsidR="009F770D" w:rsidRPr="00792118">
        <w:rPr>
          <w:lang w:val="es-ES_tradnl"/>
        </w:rPr>
        <w:t xml:space="preserve"> y </w:t>
      </w:r>
      <w:r w:rsidRPr="00792118">
        <w:rPr>
          <w:b/>
          <w:bCs/>
          <w:lang w:val="es-ES_tradnl"/>
        </w:rPr>
        <w:t>30B</w:t>
      </w:r>
      <w:r w:rsidRPr="00792118">
        <w:rPr>
          <w:lang w:val="es-ES_tradnl"/>
        </w:rPr>
        <w:t xml:space="preserve"> para el control y las comunicaciones sin carga útil de los sistemas de aeronaves no tripuladas (SANT) en los espacios aéreos no segregados, de conformidad con la Resolución </w:t>
      </w:r>
      <w:r w:rsidRPr="00792118">
        <w:rPr>
          <w:b/>
          <w:bCs/>
          <w:lang w:val="es-ES_tradnl"/>
        </w:rPr>
        <w:t>153 (CMR-12)</w:t>
      </w:r>
      <w:r w:rsidR="00081B04">
        <w:rPr>
          <w:lang w:val="es-ES_tradnl"/>
        </w:rPr>
        <w:t>.</w:t>
      </w:r>
    </w:p>
    <w:p w:rsidR="00183D6A" w:rsidRPr="00792118" w:rsidRDefault="00183D6A" w:rsidP="00822172">
      <w:pPr>
        <w:pStyle w:val="enumlev1"/>
        <w:rPr>
          <w:lang w:val="es-ES_tradnl"/>
        </w:rPr>
      </w:pPr>
      <w:r w:rsidRPr="00792118">
        <w:rPr>
          <w:lang w:val="es-ES_tradnl"/>
        </w:rPr>
        <w:t>–</w:t>
      </w:r>
      <w:r w:rsidRPr="00792118">
        <w:rPr>
          <w:lang w:val="es-ES_tradnl"/>
        </w:rPr>
        <w:tab/>
        <w:t>Punto 1.6 del orden del día: considerar posibles atribuciones adicionales a titulo primario:</w:t>
      </w:r>
    </w:p>
    <w:p w:rsidR="00183D6A" w:rsidRPr="00792118" w:rsidRDefault="00183D6A" w:rsidP="00822172">
      <w:pPr>
        <w:pStyle w:val="enumlev1"/>
        <w:rPr>
          <w:lang w:val="es-ES_tradnl"/>
        </w:rPr>
      </w:pPr>
      <w:r w:rsidRPr="00792118">
        <w:rPr>
          <w:lang w:val="es-ES_tradnl"/>
        </w:rPr>
        <w:tab/>
        <w:t>1.6.1</w:t>
      </w:r>
      <w:r w:rsidRPr="00792118">
        <w:rPr>
          <w:lang w:val="es-ES_tradnl"/>
        </w:rPr>
        <w:tab/>
        <w:t>al servicio fijo por satélite (Tierra-e</w:t>
      </w:r>
      <w:r w:rsidR="0090317B" w:rsidRPr="00792118">
        <w:rPr>
          <w:lang w:val="es-ES_tradnl"/>
        </w:rPr>
        <w:t>spacio y espacio-Tierra) de 250 MHz en la gama entre 10 GHz y 17 </w:t>
      </w:r>
      <w:r w:rsidRPr="00792118">
        <w:rPr>
          <w:lang w:val="es-ES_tradnl"/>
        </w:rPr>
        <w:t>GHz en la Región 1;</w:t>
      </w:r>
    </w:p>
    <w:p w:rsidR="00183D6A" w:rsidRPr="00792118" w:rsidRDefault="00183D6A" w:rsidP="00822172">
      <w:pPr>
        <w:pStyle w:val="enumlev1"/>
        <w:rPr>
          <w:lang w:val="es-ES_tradnl"/>
        </w:rPr>
      </w:pPr>
      <w:r w:rsidRPr="00792118">
        <w:rPr>
          <w:lang w:val="es-ES_tradnl"/>
        </w:rPr>
        <w:tab/>
        <w:t>1.6.2</w:t>
      </w:r>
      <w:r w:rsidRPr="00792118">
        <w:rPr>
          <w:lang w:val="es-ES_tradnl"/>
        </w:rPr>
        <w:tab/>
        <w:t>al servicio fijo por satélite (Tierra-espacio) de 250 MHz en la Región 2 y 300 MHz en la Región 3 en la gama 13-17 GHz;</w:t>
      </w:r>
    </w:p>
    <w:p w:rsidR="00183D6A" w:rsidRPr="00792118" w:rsidRDefault="00183D6A" w:rsidP="00822172">
      <w:pPr>
        <w:pStyle w:val="enumlev1"/>
        <w:rPr>
          <w:lang w:val="es-ES_tradnl"/>
        </w:rPr>
      </w:pPr>
      <w:r w:rsidRPr="00792118">
        <w:rPr>
          <w:lang w:val="es-ES_tradnl"/>
        </w:rPr>
        <w:tab/>
        <w:t>y revisar las disposiciones reglamentarias relativas a las atribuciones actuales al servicio fijo por satélite en cada gama, teniendo en cuenta los resultados de los estudios del UIT</w:t>
      </w:r>
      <w:r w:rsidRPr="00792118">
        <w:rPr>
          <w:lang w:val="es-ES_tradnl"/>
        </w:rPr>
        <w:noBreakHyphen/>
        <w:t xml:space="preserve">R, conforme a las Resoluciones </w:t>
      </w:r>
      <w:r w:rsidRPr="00792118">
        <w:rPr>
          <w:b/>
          <w:bCs/>
          <w:lang w:val="es-ES_tradnl"/>
        </w:rPr>
        <w:t>151 (CMR-12)</w:t>
      </w:r>
      <w:r w:rsidRPr="00792118">
        <w:rPr>
          <w:lang w:val="es-ES_tradnl"/>
        </w:rPr>
        <w:t xml:space="preserve"> y </w:t>
      </w:r>
      <w:r w:rsidRPr="00792118">
        <w:rPr>
          <w:b/>
          <w:bCs/>
          <w:lang w:val="es-ES_tradnl"/>
        </w:rPr>
        <w:t>152 (CMR-12)</w:t>
      </w:r>
      <w:r w:rsidR="00081B04">
        <w:rPr>
          <w:lang w:val="es-ES_tradnl"/>
        </w:rPr>
        <w:t xml:space="preserve"> respectivamente.</w:t>
      </w:r>
    </w:p>
    <w:p w:rsidR="00183D6A" w:rsidRPr="00792118" w:rsidRDefault="00183D6A" w:rsidP="00766E46">
      <w:pPr>
        <w:pStyle w:val="enumlev1"/>
        <w:rPr>
          <w:lang w:val="es-ES_tradnl"/>
        </w:rPr>
      </w:pPr>
      <w:r w:rsidRPr="00792118">
        <w:rPr>
          <w:lang w:val="es-ES_tradnl"/>
        </w:rPr>
        <w:lastRenderedPageBreak/>
        <w:t>–</w:t>
      </w:r>
      <w:r w:rsidRPr="00792118">
        <w:rPr>
          <w:lang w:val="es-ES_tradnl"/>
        </w:rPr>
        <w:tab/>
        <w:t>Punto 1.7 del orden del día: examinar la utilización de la banda 5</w:t>
      </w:r>
      <w:r w:rsidR="00766E46" w:rsidRPr="00792118">
        <w:rPr>
          <w:lang w:val="es-ES_tradnl"/>
        </w:rPr>
        <w:t> 091-5 150 </w:t>
      </w:r>
      <w:r w:rsidRPr="00792118">
        <w:rPr>
          <w:lang w:val="es-ES_tradnl"/>
        </w:rPr>
        <w:t xml:space="preserve">MHz por el servicio fijo por satélite (Tierra espacio) (exclusivamente para enlaces de conexión de los sistemas de satélite no geoestacionario del servicio móvil por satélite), de conformidad con la Resolución </w:t>
      </w:r>
      <w:r w:rsidRPr="00792118">
        <w:rPr>
          <w:b/>
          <w:bCs/>
          <w:lang w:val="es-ES_tradnl"/>
        </w:rPr>
        <w:t>114 (Rev.CMR-12)</w:t>
      </w:r>
      <w:r w:rsidR="00081B04">
        <w:rPr>
          <w:lang w:val="es-ES_tradnl"/>
        </w:rPr>
        <w:t>.</w:t>
      </w:r>
    </w:p>
    <w:p w:rsidR="00183D6A" w:rsidRPr="00792118" w:rsidRDefault="00183D6A" w:rsidP="00822172">
      <w:pPr>
        <w:pStyle w:val="enumlev1"/>
        <w:rPr>
          <w:lang w:val="es-ES_tradnl"/>
        </w:rPr>
      </w:pPr>
      <w:r w:rsidRPr="00792118">
        <w:rPr>
          <w:lang w:val="es-ES_tradnl"/>
        </w:rPr>
        <w:t>–</w:t>
      </w:r>
      <w:r w:rsidRPr="00792118">
        <w:rPr>
          <w:lang w:val="es-ES_tradnl"/>
        </w:rPr>
        <w:tab/>
        <w:t xml:space="preserve">Punto 1.8 del orden del día: examinar las disposiciones relativas a las estaciones terrenas situadas a bordo de barcos (ETB), basándose en los estudios realizados de conformidad con la Resolución </w:t>
      </w:r>
      <w:r w:rsidRPr="00792118">
        <w:rPr>
          <w:b/>
          <w:bCs/>
          <w:lang w:val="es-ES_tradnl"/>
        </w:rPr>
        <w:t>909 (CMR 12)</w:t>
      </w:r>
      <w:r w:rsidR="00081B04">
        <w:rPr>
          <w:lang w:val="es-ES_tradnl"/>
        </w:rPr>
        <w:t>.</w:t>
      </w:r>
    </w:p>
    <w:p w:rsidR="00183D6A" w:rsidRPr="00792118" w:rsidRDefault="00183D6A" w:rsidP="00822172">
      <w:pPr>
        <w:pStyle w:val="enumlev1"/>
        <w:rPr>
          <w:lang w:val="es-ES_tradnl"/>
        </w:rPr>
      </w:pPr>
      <w:r w:rsidRPr="00792118">
        <w:rPr>
          <w:lang w:val="es-ES_tradnl"/>
        </w:rPr>
        <w:t>–</w:t>
      </w:r>
      <w:r w:rsidRPr="00792118">
        <w:rPr>
          <w:lang w:val="es-ES_tradnl"/>
        </w:rPr>
        <w:tab/>
        <w:t xml:space="preserve">Punto 1.9 del orden del día: considerar, con arreglo a la Resolución </w:t>
      </w:r>
      <w:r w:rsidRPr="00792118">
        <w:rPr>
          <w:b/>
          <w:bCs/>
          <w:lang w:val="es-ES_tradnl"/>
        </w:rPr>
        <w:t>758 (CMR-12)</w:t>
      </w:r>
      <w:r w:rsidRPr="00792118">
        <w:rPr>
          <w:lang w:val="es-ES_tradnl"/>
        </w:rPr>
        <w:t>:</w:t>
      </w:r>
    </w:p>
    <w:p w:rsidR="00183D6A" w:rsidRPr="00792118" w:rsidRDefault="00183D6A" w:rsidP="00822172">
      <w:pPr>
        <w:pStyle w:val="enumlev1"/>
        <w:rPr>
          <w:lang w:val="es-ES_tradnl"/>
        </w:rPr>
      </w:pPr>
      <w:r w:rsidRPr="00792118">
        <w:rPr>
          <w:lang w:val="es-ES_tradnl"/>
        </w:rPr>
        <w:tab/>
        <w:t>1.9.1</w:t>
      </w:r>
      <w:r w:rsidRPr="00792118">
        <w:rPr>
          <w:lang w:val="es-ES_tradnl"/>
        </w:rPr>
        <w:tab/>
        <w:t>posibles nuevas atribuciones al servicio fijo por satélite,</w:t>
      </w:r>
      <w:r w:rsidR="000A707C" w:rsidRPr="00792118">
        <w:rPr>
          <w:lang w:val="es-ES_tradnl"/>
        </w:rPr>
        <w:t xml:space="preserve"> en las bandas de frecuencias 7 </w:t>
      </w:r>
      <w:r w:rsidRPr="00792118">
        <w:rPr>
          <w:lang w:val="es-ES_tradnl"/>
        </w:rPr>
        <w:t>150</w:t>
      </w:r>
      <w:r w:rsidR="000A707C" w:rsidRPr="00792118">
        <w:rPr>
          <w:lang w:val="es-ES_tradnl"/>
        </w:rPr>
        <w:t>-7 250 </w:t>
      </w:r>
      <w:r w:rsidR="00D4116C" w:rsidRPr="00792118">
        <w:rPr>
          <w:lang w:val="es-ES_tradnl"/>
        </w:rPr>
        <w:t>MHz (espacio-Tierra) y 8 400-8 500 </w:t>
      </w:r>
      <w:r w:rsidRPr="00792118">
        <w:rPr>
          <w:lang w:val="es-ES_tradnl"/>
        </w:rPr>
        <w:t>MHz (Tierra-espacio), sujetas a las condiciones de compartición pertinentes;</w:t>
      </w:r>
    </w:p>
    <w:p w:rsidR="00183D6A" w:rsidRPr="00792118" w:rsidRDefault="00183D6A" w:rsidP="00822172">
      <w:pPr>
        <w:pStyle w:val="enumlev1"/>
        <w:rPr>
          <w:lang w:val="es-ES_tradnl"/>
        </w:rPr>
      </w:pPr>
      <w:r w:rsidRPr="00792118">
        <w:rPr>
          <w:lang w:val="es-ES_tradnl"/>
        </w:rPr>
        <w:tab/>
        <w:t>1.9.2</w:t>
      </w:r>
      <w:r w:rsidRPr="00792118">
        <w:rPr>
          <w:lang w:val="es-ES_tradnl"/>
        </w:rPr>
        <w:tab/>
        <w:t>la posib</w:t>
      </w:r>
      <w:r w:rsidR="000D426E" w:rsidRPr="00792118">
        <w:rPr>
          <w:lang w:val="es-ES_tradnl"/>
        </w:rPr>
        <w:t>ilidad de atribuir las bandas 7 375-7 750 MHz y 8 025-8 400 </w:t>
      </w:r>
      <w:r w:rsidRPr="00792118">
        <w:rPr>
          <w:lang w:val="es-ES_tradnl"/>
        </w:rPr>
        <w:t>MHz al servicio móvil marítimo por satélite y otras medidas reglamentarias, en función de los resultados d</w:t>
      </w:r>
      <w:r w:rsidR="00081B04">
        <w:rPr>
          <w:lang w:val="es-ES_tradnl"/>
        </w:rPr>
        <w:t>e los estudios correspondientes.</w:t>
      </w:r>
    </w:p>
    <w:p w:rsidR="00183D6A" w:rsidRPr="00792118" w:rsidRDefault="00183D6A" w:rsidP="00822172">
      <w:pPr>
        <w:pStyle w:val="enumlev1"/>
        <w:rPr>
          <w:lang w:val="es-ES_tradnl"/>
        </w:rPr>
      </w:pPr>
      <w:r w:rsidRPr="00792118">
        <w:rPr>
          <w:lang w:val="es-ES_tradnl"/>
        </w:rPr>
        <w:t>–</w:t>
      </w:r>
      <w:r w:rsidRPr="00792118">
        <w:rPr>
          <w:lang w:val="es-ES_tradnl"/>
        </w:rPr>
        <w:tab/>
        <w:t xml:space="preserve">Punto 1.10 del orden del día: considerar los requisitos de espectro y posibles atribuciones de espectro adicionales para el servicio móvil por satélite en los sentidos Tierra-espacio y espacio-Tierra, incluido el componente de satélite para las aplicaciones de banda ancha, incluidas las telecomunicaciones móviles internacionales (IMT), en la gama de frecuencias de 22 GHz a 26 GHz, de conformidad con la Resolución </w:t>
      </w:r>
      <w:r w:rsidRPr="00792118">
        <w:rPr>
          <w:b/>
          <w:bCs/>
          <w:lang w:val="es-ES_tradnl"/>
        </w:rPr>
        <w:t>234 (CMR-12)</w:t>
      </w:r>
      <w:r w:rsidR="00081B04">
        <w:rPr>
          <w:lang w:val="es-ES_tradnl"/>
        </w:rPr>
        <w:t>.</w:t>
      </w:r>
    </w:p>
    <w:p w:rsidR="00183D6A" w:rsidRPr="00792118" w:rsidRDefault="00183D6A" w:rsidP="00822172">
      <w:pPr>
        <w:pStyle w:val="enumlev1"/>
        <w:rPr>
          <w:lang w:val="es-ES_tradnl"/>
        </w:rPr>
      </w:pPr>
      <w:r w:rsidRPr="00792118">
        <w:rPr>
          <w:lang w:val="es-ES_tradnl"/>
        </w:rPr>
        <w:t>–</w:t>
      </w:r>
      <w:r w:rsidRPr="00792118">
        <w:rPr>
          <w:lang w:val="es-ES_tradnl"/>
        </w:rPr>
        <w:tab/>
        <w:t xml:space="preserve">Punto 1.11 del orden del día: considerar la posibilidad de efectuar una atribución a título primario al servicio de exploración de la Tierra por satélite (Tierra-espacio) en la gama 7-8 GHz, de conformidad con la Resolución </w:t>
      </w:r>
      <w:r w:rsidRPr="00792118">
        <w:rPr>
          <w:b/>
          <w:bCs/>
          <w:lang w:val="es-ES_tradnl"/>
        </w:rPr>
        <w:t>650 (CMR-12)</w:t>
      </w:r>
      <w:r w:rsidR="00081B04">
        <w:rPr>
          <w:lang w:val="es-ES_tradnl"/>
        </w:rPr>
        <w:t>.</w:t>
      </w:r>
    </w:p>
    <w:p w:rsidR="00183D6A" w:rsidRPr="00792118" w:rsidRDefault="00183D6A" w:rsidP="00822172">
      <w:pPr>
        <w:pStyle w:val="enumlev1"/>
        <w:rPr>
          <w:lang w:val="es-ES_tradnl"/>
        </w:rPr>
      </w:pPr>
      <w:r w:rsidRPr="00792118">
        <w:rPr>
          <w:lang w:val="es-ES_tradnl"/>
        </w:rPr>
        <w:t>–</w:t>
      </w:r>
      <w:r w:rsidRPr="00792118">
        <w:rPr>
          <w:lang w:val="es-ES_tradnl"/>
        </w:rPr>
        <w:tab/>
        <w:t xml:space="preserve">Punto 1.16 del orden del día: examinar las disposiciones reglamentarias y las atribuciones de espectro para permitir posibles nuevas aplicaciones de la tecnología de sistemas de identificación automática y posibles nuevas aplicaciones para mejorar las radiocomunicaciones marítimas de conformidad con la Resolución </w:t>
      </w:r>
      <w:r w:rsidRPr="00792118">
        <w:rPr>
          <w:b/>
          <w:bCs/>
          <w:lang w:val="es-ES_tradnl"/>
        </w:rPr>
        <w:t>360(CMR-12)</w:t>
      </w:r>
      <w:r w:rsidR="00081B04">
        <w:rPr>
          <w:lang w:val="es-ES_tradnl"/>
        </w:rPr>
        <w:t>.</w:t>
      </w:r>
    </w:p>
    <w:p w:rsidR="00183D6A" w:rsidRPr="00792118" w:rsidRDefault="00183D6A" w:rsidP="00822172">
      <w:pPr>
        <w:pStyle w:val="enumlev1"/>
        <w:rPr>
          <w:lang w:val="es-ES_tradnl"/>
        </w:rPr>
      </w:pPr>
      <w:r w:rsidRPr="00792118">
        <w:rPr>
          <w:lang w:val="es-ES_tradnl"/>
        </w:rPr>
        <w:t>–</w:t>
      </w:r>
      <w:r w:rsidRPr="00792118">
        <w:rPr>
          <w:lang w:val="es-ES_tradnl"/>
        </w:rPr>
        <w:tab/>
        <w:t xml:space="preserve">Punto 1.17 del orden del día: examinar las posibles necesidades de espectro y medidas reglamentarias, incluidas las atribuciones aeronáuticas adecuadas, para soportar los sistemas aviónicos de comunicaciones inalámbricas internas (WAIC), de conformidad con la Resolución </w:t>
      </w:r>
      <w:r w:rsidRPr="00792118">
        <w:rPr>
          <w:b/>
          <w:bCs/>
          <w:lang w:val="es-ES_tradnl"/>
        </w:rPr>
        <w:t>423 (CMR-12)</w:t>
      </w:r>
      <w:r w:rsidR="00081B04">
        <w:rPr>
          <w:lang w:val="es-ES_tradnl"/>
        </w:rPr>
        <w:t>.</w:t>
      </w:r>
    </w:p>
    <w:p w:rsidR="00183D6A" w:rsidRPr="00792118" w:rsidRDefault="00E44AE1" w:rsidP="00822172">
      <w:pPr>
        <w:pStyle w:val="enumlev1"/>
        <w:rPr>
          <w:lang w:val="es-ES_tradnl"/>
        </w:rPr>
      </w:pPr>
      <w:r w:rsidRPr="00792118">
        <w:rPr>
          <w:lang w:val="es-ES_tradnl"/>
        </w:rPr>
        <w:t>–</w:t>
      </w:r>
      <w:r w:rsidRPr="00792118">
        <w:rPr>
          <w:lang w:val="es-ES_tradnl"/>
        </w:rPr>
        <w:tab/>
        <w:t xml:space="preserve">Punto </w:t>
      </w:r>
      <w:r w:rsidR="00183D6A" w:rsidRPr="00792118">
        <w:rPr>
          <w:lang w:val="es-ES_tradnl"/>
        </w:rPr>
        <w:t xml:space="preserve">7 del orden del día: 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00183D6A" w:rsidRPr="00792118">
        <w:rPr>
          <w:b/>
          <w:bCs/>
          <w:lang w:val="es-ES_tradnl"/>
        </w:rPr>
        <w:t>86 (Rev.CMR-07)</w:t>
      </w:r>
      <w:r w:rsidR="00183D6A" w:rsidRPr="00792118">
        <w:rPr>
          <w:lang w:val="es-ES_tradnl"/>
        </w:rPr>
        <w:t>, para facilitar la utilización racional, eficaz y económica de las frecuencias radioeléctricas y toda órbita asociada, incluida la órbita de</w:t>
      </w:r>
      <w:r w:rsidR="00081B04">
        <w:rPr>
          <w:lang w:val="es-ES_tradnl"/>
        </w:rPr>
        <w:t xml:space="preserve"> los satélites geoestacionarios.</w:t>
      </w:r>
    </w:p>
    <w:p w:rsidR="00183D6A" w:rsidRPr="00792118" w:rsidRDefault="00E44AE1" w:rsidP="00822172">
      <w:pPr>
        <w:pStyle w:val="enumlev1"/>
        <w:rPr>
          <w:lang w:val="es-ES_tradnl"/>
        </w:rPr>
      </w:pPr>
      <w:r w:rsidRPr="00792118">
        <w:rPr>
          <w:lang w:val="es-ES_tradnl"/>
        </w:rPr>
        <w:t>–</w:t>
      </w:r>
      <w:r w:rsidRPr="00792118">
        <w:rPr>
          <w:lang w:val="es-ES_tradnl"/>
        </w:rPr>
        <w:tab/>
        <w:t xml:space="preserve">Punto </w:t>
      </w:r>
      <w:r w:rsidR="00183D6A" w:rsidRPr="00792118">
        <w:rPr>
          <w:lang w:val="es-ES_tradnl"/>
        </w:rPr>
        <w:t>9 del orden del día: examinar y aprobar el Informe del Director de la Oficina de Radiocomunicaciones, de conformidad con el Artículo 7 del Convenio:</w:t>
      </w:r>
    </w:p>
    <w:p w:rsidR="00183D6A" w:rsidRPr="00792118" w:rsidRDefault="00183D6A" w:rsidP="00822172">
      <w:pPr>
        <w:pStyle w:val="enumlev1"/>
        <w:rPr>
          <w:lang w:val="es-ES_tradnl"/>
        </w:rPr>
      </w:pPr>
      <w:r w:rsidRPr="00792118">
        <w:rPr>
          <w:lang w:val="es-ES_tradnl"/>
        </w:rPr>
        <w:tab/>
        <w:t>9.1</w:t>
      </w:r>
      <w:r w:rsidRPr="00792118">
        <w:rPr>
          <w:lang w:val="es-ES_tradnl"/>
        </w:rPr>
        <w:tab/>
        <w:t>sobre las actividades del Sector de Radiocomunicaciones desde la CMR-12;</w:t>
      </w:r>
    </w:p>
    <w:p w:rsidR="00016A7C" w:rsidRPr="00792118" w:rsidRDefault="006B78B3" w:rsidP="00822172">
      <w:pPr>
        <w:pStyle w:val="enumlev1"/>
        <w:rPr>
          <w:lang w:val="es-ES_tradnl"/>
        </w:rPr>
      </w:pPr>
      <w:r w:rsidRPr="00792118">
        <w:rPr>
          <w:lang w:val="es-ES_tradnl"/>
        </w:rPr>
        <w:tab/>
        <w:t>9.1.1</w:t>
      </w:r>
      <w:r w:rsidRPr="00792118">
        <w:rPr>
          <w:lang w:val="es-ES_tradnl"/>
        </w:rPr>
        <w:tab/>
        <w:t xml:space="preserve">Resolución </w:t>
      </w:r>
      <w:r w:rsidRPr="00792118">
        <w:rPr>
          <w:b/>
          <w:bCs/>
          <w:lang w:val="es-ES_tradnl"/>
        </w:rPr>
        <w:t>205 (Rev.CMR-12)</w:t>
      </w:r>
      <w:r w:rsidR="00751F43">
        <w:rPr>
          <w:lang w:val="es-ES_tradnl"/>
        </w:rPr>
        <w:t xml:space="preserve">: </w:t>
      </w:r>
      <w:r w:rsidRPr="00792118">
        <w:rPr>
          <w:lang w:val="es-ES_tradnl"/>
        </w:rPr>
        <w:t>Protección de los sistemas del servicio móvil por satélite que funcionan en la banda 406-406,1 MHz;</w:t>
      </w:r>
    </w:p>
    <w:p w:rsidR="006B78B3" w:rsidRPr="00792118" w:rsidRDefault="006B78B3" w:rsidP="00822172">
      <w:pPr>
        <w:pStyle w:val="enumlev1"/>
        <w:rPr>
          <w:lang w:val="es-ES_tradnl"/>
        </w:rPr>
      </w:pPr>
      <w:r w:rsidRPr="00792118">
        <w:rPr>
          <w:lang w:val="es-ES_tradnl"/>
        </w:rPr>
        <w:tab/>
        <w:t>9.1.2</w:t>
      </w:r>
      <w:r w:rsidRPr="00792118">
        <w:rPr>
          <w:lang w:val="es-ES_tradnl"/>
        </w:rPr>
        <w:tab/>
        <w:t xml:space="preserve">Resolución </w:t>
      </w:r>
      <w:r w:rsidRPr="00792118">
        <w:rPr>
          <w:b/>
          <w:bCs/>
          <w:lang w:val="es-ES_tradnl"/>
        </w:rPr>
        <w:t>756 (CMR-12)</w:t>
      </w:r>
      <w:r w:rsidR="00751F43">
        <w:rPr>
          <w:lang w:val="es-ES_tradnl"/>
        </w:rPr>
        <w:t xml:space="preserve">: </w:t>
      </w:r>
      <w:r w:rsidRPr="00792118">
        <w:rPr>
          <w:lang w:val="es-ES_tradnl"/>
        </w:rPr>
        <w:t>Estudios sobre la posible reducción del arco de coordinación y los criterios técnicos utilizados para la aplicación del número 9.41 con respecto a la coordinación con arreglo al número 9.7;</w:t>
      </w:r>
    </w:p>
    <w:p w:rsidR="006B78B3" w:rsidRPr="00792118" w:rsidRDefault="006B78B3" w:rsidP="00822172">
      <w:pPr>
        <w:pStyle w:val="enumlev1"/>
        <w:rPr>
          <w:lang w:val="es-ES_tradnl"/>
        </w:rPr>
      </w:pPr>
      <w:r w:rsidRPr="00792118">
        <w:rPr>
          <w:lang w:val="es-ES_tradnl"/>
        </w:rPr>
        <w:lastRenderedPageBreak/>
        <w:tab/>
        <w:t>9.1.3</w:t>
      </w:r>
      <w:r w:rsidRPr="00792118">
        <w:rPr>
          <w:lang w:val="es-ES_tradnl"/>
        </w:rPr>
        <w:tab/>
        <w:t xml:space="preserve">Resolución </w:t>
      </w:r>
      <w:r w:rsidRPr="00792118">
        <w:rPr>
          <w:b/>
          <w:bCs/>
          <w:lang w:val="es-ES_tradnl"/>
        </w:rPr>
        <w:t>11 (CMR-12)</w:t>
      </w:r>
      <w:r w:rsidR="00751F43">
        <w:rPr>
          <w:lang w:val="es-ES_tradnl"/>
        </w:rPr>
        <w:t xml:space="preserve">: </w:t>
      </w:r>
      <w:r w:rsidRPr="00792118">
        <w:rPr>
          <w:lang w:val="es-ES_tradnl"/>
        </w:rPr>
        <w:t>Utilización de las posiciones orbitales de satélite y el espectro de frecuencias asociado para prestar servicios públicos de telecomunicaciones internacionales en países en desarrollo;</w:t>
      </w:r>
    </w:p>
    <w:p w:rsidR="006B78B3" w:rsidRPr="00792118" w:rsidRDefault="006B78B3" w:rsidP="00751F43">
      <w:pPr>
        <w:pStyle w:val="enumlev1"/>
        <w:rPr>
          <w:lang w:val="es-ES_tradnl"/>
        </w:rPr>
      </w:pPr>
      <w:r w:rsidRPr="00792118">
        <w:rPr>
          <w:lang w:val="es-ES_tradnl"/>
        </w:rPr>
        <w:tab/>
        <w:t>9.1.5</w:t>
      </w:r>
      <w:r w:rsidRPr="00792118">
        <w:rPr>
          <w:lang w:val="es-ES_tradnl"/>
        </w:rPr>
        <w:tab/>
        <w:t xml:space="preserve">Resolución </w:t>
      </w:r>
      <w:r w:rsidRPr="00792118">
        <w:rPr>
          <w:b/>
          <w:bCs/>
          <w:lang w:val="es-ES_tradnl"/>
        </w:rPr>
        <w:t>154 (CMR-12)</w:t>
      </w:r>
      <w:r w:rsidR="00751F43">
        <w:rPr>
          <w:lang w:val="es-ES_tradnl"/>
        </w:rPr>
        <w:t xml:space="preserve">: </w:t>
      </w:r>
      <w:r w:rsidRPr="00792118">
        <w:rPr>
          <w:lang w:val="es-ES_tradnl"/>
        </w:rPr>
        <w:t>Consideración de medidas técnicas y reglamentarias para apoyar el funcionamiento actual y futuro de las estaciones terrenas del servicio fijo por satélite en la banda 3 400-4 200 MHz como ayuda a la explotación de aeronaves en condiciones de seguridad y la difusión fiable de información meteorológica en algunos países de la Región 1;</w:t>
      </w:r>
    </w:p>
    <w:p w:rsidR="006B78B3" w:rsidRPr="00792118" w:rsidRDefault="006B78B3" w:rsidP="00822172">
      <w:pPr>
        <w:pStyle w:val="enumlev1"/>
        <w:rPr>
          <w:lang w:val="es-ES_tradnl"/>
        </w:rPr>
      </w:pPr>
      <w:r w:rsidRPr="00792118">
        <w:rPr>
          <w:lang w:val="es-ES_tradnl"/>
        </w:rPr>
        <w:tab/>
        <w:t>9.1.6</w:t>
      </w:r>
      <w:r w:rsidRPr="00792118">
        <w:rPr>
          <w:lang w:val="es-ES_tradnl"/>
        </w:rPr>
        <w:tab/>
        <w:t xml:space="preserve">Resolución </w:t>
      </w:r>
      <w:r w:rsidRPr="00792118">
        <w:rPr>
          <w:b/>
          <w:bCs/>
          <w:lang w:val="es-ES_tradnl"/>
        </w:rPr>
        <w:t>957 (CMR-12)</w:t>
      </w:r>
      <w:r w:rsidR="00751F43">
        <w:rPr>
          <w:lang w:val="es-ES_tradnl"/>
        </w:rPr>
        <w:t xml:space="preserve">: </w:t>
      </w:r>
      <w:r w:rsidRPr="00792118">
        <w:rPr>
          <w:lang w:val="es-ES_tradnl"/>
        </w:rPr>
        <w:t xml:space="preserve">Estudios para revisar las definiciones de </w:t>
      </w:r>
      <w:r w:rsidRPr="00792118">
        <w:rPr>
          <w:i/>
          <w:iCs/>
          <w:lang w:val="es-ES_tradnl"/>
        </w:rPr>
        <w:t>servicio fijo, estación fija y estación móvil</w:t>
      </w:r>
      <w:r w:rsidRPr="00792118">
        <w:rPr>
          <w:lang w:val="es-ES_tradnl"/>
        </w:rPr>
        <w:t>;</w:t>
      </w:r>
    </w:p>
    <w:p w:rsidR="006B78B3" w:rsidRPr="00792118" w:rsidRDefault="006B78B3" w:rsidP="00822172">
      <w:pPr>
        <w:pStyle w:val="enumlev1"/>
        <w:rPr>
          <w:lang w:val="es-ES_tradnl"/>
        </w:rPr>
      </w:pPr>
      <w:r w:rsidRPr="00792118">
        <w:rPr>
          <w:lang w:val="es-ES_tradnl"/>
        </w:rPr>
        <w:tab/>
        <w:t>9.1.8</w:t>
      </w:r>
      <w:r w:rsidRPr="00792118">
        <w:rPr>
          <w:lang w:val="es-ES_tradnl"/>
        </w:rPr>
        <w:tab/>
        <w:t xml:space="preserve">Resolución </w:t>
      </w:r>
      <w:r w:rsidRPr="00792118">
        <w:rPr>
          <w:b/>
          <w:bCs/>
          <w:lang w:val="es-ES_tradnl"/>
        </w:rPr>
        <w:t>757 (CMR-12)</w:t>
      </w:r>
      <w:r w:rsidR="00751F43">
        <w:rPr>
          <w:lang w:val="es-ES_tradnl"/>
        </w:rPr>
        <w:t xml:space="preserve">: </w:t>
      </w:r>
      <w:r w:rsidRPr="00792118">
        <w:rPr>
          <w:lang w:val="es-ES_tradnl"/>
        </w:rPr>
        <w:t>Aspectos reglamentarios de los nanosatélites y los picosatélites;</w:t>
      </w:r>
    </w:p>
    <w:p w:rsidR="006B78B3" w:rsidRPr="00792118" w:rsidRDefault="006B78B3" w:rsidP="00822172">
      <w:pPr>
        <w:pStyle w:val="enumlev1"/>
        <w:rPr>
          <w:lang w:val="es-ES_tradnl"/>
        </w:rPr>
      </w:pPr>
      <w:r w:rsidRPr="00792118">
        <w:rPr>
          <w:lang w:val="es-ES_tradnl"/>
        </w:rPr>
        <w:tab/>
        <w:t>9.3</w:t>
      </w:r>
      <w:r w:rsidRPr="00792118">
        <w:rPr>
          <w:lang w:val="es-ES_tradnl"/>
        </w:rPr>
        <w:tab/>
        <w:t xml:space="preserve">sobre acciones en respuesta a la Resolución </w:t>
      </w:r>
      <w:r w:rsidRPr="00792118">
        <w:rPr>
          <w:b/>
          <w:bCs/>
          <w:lang w:val="es-ES_tradnl"/>
        </w:rPr>
        <w:t>80 (Rev.CMR-07)</w:t>
      </w:r>
      <w:r w:rsidRPr="00792118">
        <w:rPr>
          <w:lang w:val="es-ES_tradnl"/>
        </w:rPr>
        <w:t>:</w:t>
      </w:r>
      <w:r w:rsidR="00390603" w:rsidRPr="00792118">
        <w:rPr>
          <w:lang w:val="es-ES_tradnl"/>
        </w:rPr>
        <w:t xml:space="preserve"> Diligencia debida en la aplicación de los principios recogidos en la Constitución.</w:t>
      </w:r>
    </w:p>
    <w:p w:rsidR="001469F4" w:rsidRPr="00792118" w:rsidRDefault="001469F4" w:rsidP="00822172">
      <w:pPr>
        <w:rPr>
          <w:lang w:val="es-ES_tradnl"/>
        </w:rPr>
      </w:pPr>
      <w:r w:rsidRPr="00792118">
        <w:rPr>
          <w:lang w:val="es-ES_tradnl"/>
        </w:rPr>
        <w:t xml:space="preserve">Se redactaron partes pertinentes del proyecto de Informe de la RPC, o se contribuyó a las mismas para cada uno de esos puntos del orden del día. La CE 4 también ha logrado progresar satisfactoriamente sobre muchos otros temas, tales como, entre otros, compartición y protección interservicios e intraservicios en el SFS, </w:t>
      </w:r>
      <w:r w:rsidR="00AE1714" w:rsidRPr="00792118">
        <w:rPr>
          <w:lang w:val="es-ES_tradnl"/>
        </w:rPr>
        <w:t>calidad de funcionamiento de las antenas, asuntos relati</w:t>
      </w:r>
      <w:r w:rsidR="00B2081E" w:rsidRPr="00792118">
        <w:rPr>
          <w:lang w:val="es-ES_tradnl"/>
        </w:rPr>
        <w:t>vos</w:t>
      </w:r>
      <w:r w:rsidR="00AE1714" w:rsidRPr="00792118">
        <w:rPr>
          <w:lang w:val="es-ES_tradnl"/>
        </w:rPr>
        <w:t xml:space="preserve"> </w:t>
      </w:r>
      <w:r w:rsidR="00656CE4" w:rsidRPr="00792118">
        <w:rPr>
          <w:lang w:val="es-ES_tradnl"/>
        </w:rPr>
        <w:t>a</w:t>
      </w:r>
      <w:r w:rsidR="00B2081E" w:rsidRPr="00792118">
        <w:rPr>
          <w:lang w:val="es-ES_tradnl"/>
        </w:rPr>
        <w:t xml:space="preserve"> los Apéndices </w:t>
      </w:r>
      <w:r w:rsidR="00656CE4" w:rsidRPr="00792118">
        <w:rPr>
          <w:b/>
          <w:bCs/>
          <w:lang w:val="es-ES_tradnl"/>
        </w:rPr>
        <w:t>30/30A/30B</w:t>
      </w:r>
      <w:r w:rsidR="00B2081E" w:rsidRPr="00792118">
        <w:rPr>
          <w:lang w:val="es-ES_tradnl"/>
        </w:rPr>
        <w:t>, utilización de estaciones terrenas del SFS en plataformas móviles,</w:t>
      </w:r>
      <w:r w:rsidR="00A47126" w:rsidRPr="00792118">
        <w:rPr>
          <w:lang w:val="es-ES_tradnl"/>
        </w:rPr>
        <w:t xml:space="preserve"> </w:t>
      </w:r>
      <w:r w:rsidR="005F65CA" w:rsidRPr="00792118">
        <w:rPr>
          <w:lang w:val="es-ES_tradnl"/>
        </w:rPr>
        <w:t>terminales</w:t>
      </w:r>
      <w:r w:rsidR="00B2081E" w:rsidRPr="00792118">
        <w:rPr>
          <w:lang w:val="es-ES_tradnl"/>
        </w:rPr>
        <w:t xml:space="preserve"> </w:t>
      </w:r>
      <w:r w:rsidR="005F65CA" w:rsidRPr="00792118">
        <w:rPr>
          <w:lang w:val="es-ES_tradnl"/>
        </w:rPr>
        <w:t>de</w:t>
      </w:r>
      <w:r w:rsidR="00B2081E" w:rsidRPr="00792118">
        <w:rPr>
          <w:lang w:val="es-ES_tradnl"/>
        </w:rPr>
        <w:t xml:space="preserve"> </w:t>
      </w:r>
      <w:r w:rsidR="005F65CA" w:rsidRPr="00792118">
        <w:rPr>
          <w:lang w:val="es-ES_tradnl"/>
        </w:rPr>
        <w:t xml:space="preserve">apertura muy pequeña (VSAT), métodos estadísticos para evaluar la interferencia variable en el tiempo en el SFS, acceso a la banda ancha por los sistemas del SFS, metodología para estimar la sensibilidad de los niveles de interferencia del SFS OSG en relación con la ubicación geográfica de estaciones terrenas que comunican con satélites OSG del SFS, componente </w:t>
      </w:r>
      <w:r w:rsidR="00A05AE8" w:rsidRPr="00792118">
        <w:rPr>
          <w:lang w:val="es-ES_tradnl"/>
        </w:rPr>
        <w:t>de satélite</w:t>
      </w:r>
      <w:r w:rsidR="005F65CA" w:rsidRPr="00792118">
        <w:rPr>
          <w:lang w:val="es-ES_tradnl"/>
        </w:rPr>
        <w:t xml:space="preserve"> de las IMT</w:t>
      </w:r>
      <w:r w:rsidR="00656CE4" w:rsidRPr="00792118">
        <w:rPr>
          <w:lang w:val="es-ES_tradnl"/>
        </w:rPr>
        <w:t xml:space="preserve">, </w:t>
      </w:r>
      <w:r w:rsidR="00635F01" w:rsidRPr="00792118">
        <w:rPr>
          <w:lang w:val="es-ES_tradnl"/>
        </w:rPr>
        <w:t xml:space="preserve">transmisión por satélite de televisión de ultra alta definición </w:t>
      </w:r>
      <w:r w:rsidR="00656CE4" w:rsidRPr="00792118">
        <w:rPr>
          <w:lang w:val="es-ES_tradnl"/>
        </w:rPr>
        <w:t>(</w:t>
      </w:r>
      <w:r w:rsidR="00950AB3" w:rsidRPr="00792118">
        <w:rPr>
          <w:lang w:val="es-ES_tradnl"/>
        </w:rPr>
        <w:t>TVUAD</w:t>
      </w:r>
      <w:r w:rsidR="00656CE4" w:rsidRPr="00792118">
        <w:rPr>
          <w:lang w:val="es-ES_tradnl"/>
        </w:rPr>
        <w:t>)</w:t>
      </w:r>
      <w:r w:rsidR="00635F01" w:rsidRPr="00792118">
        <w:rPr>
          <w:lang w:val="es-ES_tradnl"/>
        </w:rPr>
        <w:t xml:space="preserve">, características </w:t>
      </w:r>
      <w:r w:rsidR="00080AB5" w:rsidRPr="00792118">
        <w:rPr>
          <w:lang w:val="es-ES_tradnl"/>
        </w:rPr>
        <w:t xml:space="preserve">de calidad </w:t>
      </w:r>
      <w:r w:rsidR="00635F01" w:rsidRPr="00792118">
        <w:rPr>
          <w:lang w:val="es-ES_tradnl"/>
        </w:rPr>
        <w:t>a corto plazo, señales multiportadora/multidimensionales para su uso en satélites, identificación de portadoras digitales, disponibilidad de satélites, comunicaciones en caso de catástrofe, procedimientos de acceso a satélites, codificación y modulación adaptativa, calidad de funcionamiento de los satélites, periodismo por satélite, asuntos relativos al servicio de radiodeterminación</w:t>
      </w:r>
      <w:r w:rsidR="006F487D" w:rsidRPr="00792118">
        <w:rPr>
          <w:lang w:val="es-ES_tradnl"/>
        </w:rPr>
        <w:t xml:space="preserve">/radionavegación por satélite (SRDS/SRNS), metodología para calcular las necesidades de espectro del </w:t>
      </w:r>
      <w:r w:rsidR="00F678BE" w:rsidRPr="00792118">
        <w:rPr>
          <w:lang w:val="es-ES_tradnl"/>
        </w:rPr>
        <w:t>SMA</w:t>
      </w:r>
      <w:r w:rsidR="006F487D" w:rsidRPr="00792118">
        <w:rPr>
          <w:lang w:val="es-ES_tradnl"/>
        </w:rPr>
        <w:t>(R)</w:t>
      </w:r>
      <w:r w:rsidR="00F678BE" w:rsidRPr="00792118">
        <w:rPr>
          <w:lang w:val="es-ES_tradnl"/>
        </w:rPr>
        <w:t>S</w:t>
      </w:r>
      <w:r w:rsidR="006F487D" w:rsidRPr="00792118">
        <w:rPr>
          <w:lang w:val="es-ES_tradnl"/>
        </w:rPr>
        <w:t xml:space="preserve"> en las bandas de frecuencias </w:t>
      </w:r>
      <w:r w:rsidR="005A60F3" w:rsidRPr="00792118">
        <w:rPr>
          <w:lang w:val="es-ES_tradnl"/>
        </w:rPr>
        <w:t>1 545-1 555 </w:t>
      </w:r>
      <w:r w:rsidR="00656CE4" w:rsidRPr="00792118">
        <w:rPr>
          <w:lang w:val="es-ES_tradnl"/>
        </w:rPr>
        <w:t xml:space="preserve">MHz </w:t>
      </w:r>
      <w:r w:rsidR="006F487D" w:rsidRPr="00792118">
        <w:rPr>
          <w:lang w:val="es-ES_tradnl"/>
        </w:rPr>
        <w:t>y</w:t>
      </w:r>
      <w:r w:rsidR="00187A2E" w:rsidRPr="00792118">
        <w:rPr>
          <w:lang w:val="es-ES_tradnl"/>
        </w:rPr>
        <w:t xml:space="preserve"> 1 646,5</w:t>
      </w:r>
      <w:r w:rsidR="00187A2E" w:rsidRPr="00792118">
        <w:rPr>
          <w:lang w:val="es-ES_tradnl"/>
        </w:rPr>
        <w:noBreakHyphen/>
        <w:t>1 </w:t>
      </w:r>
      <w:r w:rsidR="00200C51" w:rsidRPr="00792118">
        <w:rPr>
          <w:lang w:val="es-ES_tradnl"/>
        </w:rPr>
        <w:t>656,</w:t>
      </w:r>
      <w:r w:rsidR="00656CE4" w:rsidRPr="00792118">
        <w:rPr>
          <w:lang w:val="es-ES_tradnl"/>
        </w:rPr>
        <w:t xml:space="preserve">5 MHz </w:t>
      </w:r>
      <w:r w:rsidR="001009DC" w:rsidRPr="00792118">
        <w:rPr>
          <w:lang w:val="es-ES_tradnl"/>
        </w:rPr>
        <w:t>relacionadas con las</w:t>
      </w:r>
      <w:r w:rsidR="00466E22" w:rsidRPr="00792118">
        <w:rPr>
          <w:lang w:val="es-ES_tradnl"/>
        </w:rPr>
        <w:t xml:space="preserve"> </w:t>
      </w:r>
      <w:r w:rsidR="006F487D" w:rsidRPr="00792118">
        <w:rPr>
          <w:lang w:val="es-ES_tradnl"/>
        </w:rPr>
        <w:t xml:space="preserve">categorías </w:t>
      </w:r>
      <w:r w:rsidR="001009DC" w:rsidRPr="00792118">
        <w:rPr>
          <w:lang w:val="es-ES_tradnl"/>
        </w:rPr>
        <w:t xml:space="preserve">de prioridad </w:t>
      </w:r>
      <w:r w:rsidR="00A05AE8" w:rsidRPr="00792118">
        <w:rPr>
          <w:lang w:val="es-ES_tradnl"/>
        </w:rPr>
        <w:t xml:space="preserve">1 a 6 del Artículo </w:t>
      </w:r>
      <w:r w:rsidR="00A05AE8" w:rsidRPr="00792118">
        <w:rPr>
          <w:b/>
          <w:bCs/>
          <w:lang w:val="es-ES_tradnl"/>
        </w:rPr>
        <w:t>44</w:t>
      </w:r>
      <w:r w:rsidR="00A05AE8" w:rsidRPr="00792118">
        <w:rPr>
          <w:lang w:val="es-ES_tradnl"/>
        </w:rPr>
        <w:t xml:space="preserve"> del RR,</w:t>
      </w:r>
      <w:r w:rsidR="00656CE4" w:rsidRPr="00792118">
        <w:rPr>
          <w:lang w:val="es-ES_tradnl"/>
        </w:rPr>
        <w:t xml:space="preserve"> </w:t>
      </w:r>
      <w:r w:rsidR="001009DC" w:rsidRPr="00792118">
        <w:rPr>
          <w:lang w:val="es-ES_tradnl"/>
        </w:rPr>
        <w:t xml:space="preserve">seguimiento mundial de vuelos de la aviación civil, componente </w:t>
      </w:r>
      <w:r w:rsidR="00A05AE8" w:rsidRPr="00792118">
        <w:rPr>
          <w:lang w:val="es-ES_tradnl"/>
        </w:rPr>
        <w:t>de satélite</w:t>
      </w:r>
      <w:r w:rsidR="00B60926" w:rsidRPr="00792118">
        <w:rPr>
          <w:lang w:val="es-ES_tradnl"/>
        </w:rPr>
        <w:t xml:space="preserve"> de las IMT en 2/2,2 </w:t>
      </w:r>
      <w:r w:rsidR="001009DC" w:rsidRPr="00792118">
        <w:rPr>
          <w:lang w:val="es-ES_tradnl"/>
        </w:rPr>
        <w:t xml:space="preserve">GHz, sistemas del SMS </w:t>
      </w:r>
      <w:r w:rsidR="00EF4C6D">
        <w:rPr>
          <w:lang w:val="es-ES_tradnl"/>
        </w:rPr>
        <w:t xml:space="preserve">no geoestacionarios </w:t>
      </w:r>
      <w:r w:rsidR="001009DC" w:rsidRPr="00792118">
        <w:rPr>
          <w:lang w:val="es-ES_tradnl"/>
        </w:rPr>
        <w:t>en la banda de frecuencias 399,9-400,</w:t>
      </w:r>
      <w:r w:rsidR="007936A7" w:rsidRPr="00792118">
        <w:rPr>
          <w:lang w:val="es-ES_tradnl"/>
        </w:rPr>
        <w:t>05 </w:t>
      </w:r>
      <w:r w:rsidR="00656CE4" w:rsidRPr="00792118">
        <w:rPr>
          <w:lang w:val="es-ES_tradnl"/>
        </w:rPr>
        <w:t>MHz.</w:t>
      </w:r>
    </w:p>
    <w:p w:rsidR="00025F56" w:rsidRPr="00792118" w:rsidRDefault="00025F56" w:rsidP="00822172">
      <w:pPr>
        <w:rPr>
          <w:lang w:val="es-ES_tradnl"/>
        </w:rPr>
      </w:pPr>
      <w:r w:rsidRPr="00792118">
        <w:rPr>
          <w:lang w:val="es-ES_tradnl"/>
        </w:rPr>
        <w:t>En cuanto a las reuniones de Comisiones de Estudio y Grupo</w:t>
      </w:r>
      <w:r w:rsidR="001009DC" w:rsidRPr="00792118">
        <w:rPr>
          <w:lang w:val="es-ES_tradnl"/>
        </w:rPr>
        <w:t>s de Trabajo después de la AR-12</w:t>
      </w:r>
      <w:r w:rsidRPr="00792118">
        <w:rPr>
          <w:lang w:val="es-ES_tradnl"/>
        </w:rPr>
        <w:t xml:space="preserve">, el Grupo de Trabajo 4A, el Grupo de Trabajo 4B y el Grupo de Trabajo 4C celebraron </w:t>
      </w:r>
      <w:r w:rsidR="001009DC" w:rsidRPr="00792118">
        <w:rPr>
          <w:lang w:val="es-ES_tradnl"/>
        </w:rPr>
        <w:t>siete</w:t>
      </w:r>
      <w:r w:rsidRPr="00792118">
        <w:rPr>
          <w:lang w:val="es-ES_tradnl"/>
        </w:rPr>
        <w:t xml:space="preserve"> reuniones cada uno. La Comisión de Estudio 4 celebró </w:t>
      </w:r>
      <w:r w:rsidR="001009DC" w:rsidRPr="00792118">
        <w:rPr>
          <w:lang w:val="es-ES_tradnl"/>
        </w:rPr>
        <w:t>cuatro</w:t>
      </w:r>
      <w:r w:rsidRPr="00792118">
        <w:rPr>
          <w:lang w:val="es-ES_tradnl"/>
        </w:rPr>
        <w:t xml:space="preserve"> reuniones durante este periodo de estudios, a saber, en </w:t>
      </w:r>
      <w:r w:rsidR="001009DC" w:rsidRPr="00792118">
        <w:rPr>
          <w:lang w:val="es-ES_tradnl"/>
        </w:rPr>
        <w:t>septiembre de 2012, octubre de 2013</w:t>
      </w:r>
      <w:r w:rsidRPr="00792118">
        <w:rPr>
          <w:lang w:val="es-ES_tradnl"/>
        </w:rPr>
        <w:t xml:space="preserve">, </w:t>
      </w:r>
      <w:r w:rsidR="001009DC" w:rsidRPr="00792118">
        <w:rPr>
          <w:lang w:val="es-ES_tradnl"/>
        </w:rPr>
        <w:t>julio de 2014</w:t>
      </w:r>
      <w:r w:rsidR="00A05AE8" w:rsidRPr="00792118">
        <w:rPr>
          <w:lang w:val="es-ES_tradnl"/>
        </w:rPr>
        <w:t xml:space="preserve"> </w:t>
      </w:r>
      <w:r w:rsidRPr="00792118">
        <w:rPr>
          <w:lang w:val="es-ES_tradnl"/>
        </w:rPr>
        <w:t xml:space="preserve">y </w:t>
      </w:r>
      <w:r w:rsidR="001009DC" w:rsidRPr="00792118">
        <w:rPr>
          <w:lang w:val="es-ES_tradnl"/>
        </w:rPr>
        <w:t>junio de 2015</w:t>
      </w:r>
      <w:r w:rsidRPr="00792118">
        <w:rPr>
          <w:lang w:val="es-ES_tradnl"/>
        </w:rPr>
        <w:t>. En esas reuniones, se examinaron y aprobar</w:t>
      </w:r>
      <w:r w:rsidR="001009DC" w:rsidRPr="00792118">
        <w:rPr>
          <w:lang w:val="es-ES_tradnl"/>
        </w:rPr>
        <w:t>on</w:t>
      </w:r>
      <w:r w:rsidRPr="00792118">
        <w:rPr>
          <w:lang w:val="es-ES_tradnl"/>
        </w:rPr>
        <w:t xml:space="preserve"> </w:t>
      </w:r>
      <w:r w:rsidR="003D4902" w:rsidRPr="00792118">
        <w:rPr>
          <w:lang w:val="es-ES_tradnl"/>
        </w:rPr>
        <w:t>posteriormente</w:t>
      </w:r>
      <w:r w:rsidR="001009DC" w:rsidRPr="00792118">
        <w:rPr>
          <w:lang w:val="es-ES_tradnl"/>
        </w:rPr>
        <w:t xml:space="preserve"> por correspondencia 2</w:t>
      </w:r>
      <w:r w:rsidRPr="00792118">
        <w:rPr>
          <w:lang w:val="es-ES_tradnl"/>
        </w:rPr>
        <w:t xml:space="preserve">4 proyectos de Recomendaciones nuevas y revisadas. Además, </w:t>
      </w:r>
      <w:r w:rsidR="001009DC" w:rsidRPr="00792118">
        <w:rPr>
          <w:lang w:val="es-ES_tradnl"/>
        </w:rPr>
        <w:t>23</w:t>
      </w:r>
      <w:r w:rsidRPr="00792118">
        <w:rPr>
          <w:lang w:val="es-ES_tradnl"/>
        </w:rPr>
        <w:t xml:space="preserve"> proyectos de Informes nuevos y revisados fueron aprobados por la Comisión </w:t>
      </w:r>
      <w:r w:rsidR="00160F26" w:rsidRPr="00792118">
        <w:rPr>
          <w:lang w:val="es-ES_tradnl"/>
        </w:rPr>
        <w:t>de Estudio 4.</w:t>
      </w:r>
    </w:p>
    <w:p w:rsidR="001469F4" w:rsidRPr="00792118" w:rsidRDefault="00327139" w:rsidP="00822172">
      <w:pPr>
        <w:rPr>
          <w:lang w:val="es-ES_tradnl"/>
        </w:rPr>
      </w:pPr>
      <w:r w:rsidRPr="00792118">
        <w:rPr>
          <w:lang w:val="es-ES_tradnl"/>
        </w:rPr>
        <w:t>El p</w:t>
      </w:r>
      <w:r w:rsidR="00A10635" w:rsidRPr="00792118">
        <w:rPr>
          <w:lang w:val="es-ES_tradnl"/>
        </w:rPr>
        <w:t>royecto de nueva Recomendación UIT-R M.[AMS(R)S.METHODOLOGY]-0 «Metodología para calcular las necesidades de espectro para las comunicaciones del servicio móvil aeronáutico (en rutas) por satélite</w:t>
      </w:r>
      <w:r w:rsidR="00EF0CCC" w:rsidRPr="00792118">
        <w:rPr>
          <w:lang w:val="es-ES_tradnl"/>
        </w:rPr>
        <w:t xml:space="preserve"> en las bandas de frecuencias 1 545-1 </w:t>
      </w:r>
      <w:r w:rsidR="00A10635" w:rsidRPr="00792118">
        <w:rPr>
          <w:lang w:val="es-ES_tradnl"/>
        </w:rPr>
        <w:t>555</w:t>
      </w:r>
      <w:r w:rsidR="005F5501" w:rsidRPr="00792118">
        <w:rPr>
          <w:lang w:val="es-ES_tradnl"/>
        </w:rPr>
        <w:t> </w:t>
      </w:r>
      <w:r w:rsidR="00A10635" w:rsidRPr="00792118">
        <w:rPr>
          <w:lang w:val="es-ES_tradnl"/>
        </w:rPr>
        <w:t>M</w:t>
      </w:r>
      <w:r w:rsidR="00187A2E" w:rsidRPr="00792118">
        <w:rPr>
          <w:lang w:val="es-ES_tradnl"/>
        </w:rPr>
        <w:t>Hz (espacio-Tierra) y 1 646,5</w:t>
      </w:r>
      <w:r w:rsidR="00187A2E" w:rsidRPr="00792118">
        <w:rPr>
          <w:lang w:val="es-ES_tradnl"/>
        </w:rPr>
        <w:noBreakHyphen/>
        <w:t>1 </w:t>
      </w:r>
      <w:r w:rsidR="00A10635" w:rsidRPr="00792118">
        <w:rPr>
          <w:lang w:val="es-ES_tradnl"/>
        </w:rPr>
        <w:t xml:space="preserve">656,5 MHz (Tierra-espacio) relacionadas con las categorías de prioridad 1 a 6 del Artículo </w:t>
      </w:r>
      <w:r w:rsidR="00A10635" w:rsidRPr="00792118">
        <w:rPr>
          <w:b/>
          <w:bCs/>
          <w:lang w:val="es-ES_tradnl"/>
        </w:rPr>
        <w:t>44</w:t>
      </w:r>
      <w:r w:rsidR="00A10635" w:rsidRPr="00792118">
        <w:rPr>
          <w:lang w:val="es-ES_tradnl"/>
        </w:rPr>
        <w:t xml:space="preserve"> del Reglamento de Radiocomunicaciones», </w:t>
      </w:r>
      <w:r w:rsidRPr="00792118">
        <w:rPr>
          <w:lang w:val="es-ES_tradnl"/>
        </w:rPr>
        <w:t>que recibió una objeción durante el</w:t>
      </w:r>
      <w:r w:rsidRPr="00792118">
        <w:rPr>
          <w:color w:val="000000"/>
          <w:lang w:val="es-ES_tradnl"/>
        </w:rPr>
        <w:t xml:space="preserve"> procedimiento de adopción y aprobación simultáneas (PAAS) por correspondencia</w:t>
      </w:r>
      <w:r w:rsidRPr="00792118">
        <w:rPr>
          <w:lang w:val="es-ES_tradnl"/>
        </w:rPr>
        <w:t xml:space="preserve"> </w:t>
      </w:r>
      <w:r w:rsidR="003D4902" w:rsidRPr="00792118">
        <w:rPr>
          <w:lang w:val="es-ES_tradnl"/>
        </w:rPr>
        <w:t>aplicado tras la reunión de la C</w:t>
      </w:r>
      <w:r w:rsidRPr="00792118">
        <w:rPr>
          <w:lang w:val="es-ES_tradnl"/>
        </w:rPr>
        <w:t xml:space="preserve">omisión de Estudio 4 de junio de 2015, ha </w:t>
      </w:r>
      <w:r w:rsidR="003D4902" w:rsidRPr="00792118">
        <w:rPr>
          <w:lang w:val="es-ES_tradnl"/>
        </w:rPr>
        <w:t xml:space="preserve">sido </w:t>
      </w:r>
      <w:r w:rsidRPr="00792118">
        <w:rPr>
          <w:lang w:val="es-ES_tradnl"/>
        </w:rPr>
        <w:t>enviado a la AR-15 (véase el Documento</w:t>
      </w:r>
      <w:r w:rsidR="00A10635" w:rsidRPr="00792118">
        <w:rPr>
          <w:lang w:val="es-ES_tradnl"/>
        </w:rPr>
        <w:t> </w:t>
      </w:r>
      <w:hyperlink r:id="rId9" w:history="1">
        <w:r w:rsidR="00A10635" w:rsidRPr="00792118">
          <w:rPr>
            <w:rStyle w:val="Hyperlink"/>
            <w:lang w:val="es-ES_tradnl"/>
          </w:rPr>
          <w:t>4/1005</w:t>
        </w:r>
      </w:hyperlink>
      <w:r w:rsidR="00A10635" w:rsidRPr="00792118">
        <w:rPr>
          <w:lang w:val="es-ES_tradnl"/>
        </w:rPr>
        <w:t>).</w:t>
      </w:r>
    </w:p>
    <w:p w:rsidR="001469F4" w:rsidRPr="00792118" w:rsidRDefault="00A10635" w:rsidP="004C0C46">
      <w:pPr>
        <w:rPr>
          <w:lang w:val="es-ES_tradnl"/>
        </w:rPr>
      </w:pPr>
      <w:r w:rsidRPr="00792118">
        <w:rPr>
          <w:lang w:val="es-ES_tradnl"/>
        </w:rPr>
        <w:lastRenderedPageBreak/>
        <w:t>En esta Recomendación se facilita una metodología destinada al cálculo de las necesidades de espectro para el servicio móvil aeronáutico (en rutas) por satélite en las bandas de frecuencias 1 545-1 555 MHz (espacio-Tierra) y 1</w:t>
      </w:r>
      <w:r w:rsidR="004C0C46" w:rsidRPr="00792118">
        <w:rPr>
          <w:lang w:val="es-ES_tradnl"/>
        </w:rPr>
        <w:t> 646,5-1 </w:t>
      </w:r>
      <w:r w:rsidRPr="00792118">
        <w:rPr>
          <w:lang w:val="es-ES_tradnl"/>
        </w:rPr>
        <w:t xml:space="preserve">656,5 MHz (Tierra-espacio). Está destinada a ser utilizada para cuantificar las necesidades de espectro relacionadas con las categorías de prioridad 1 a 6 del Artículo </w:t>
      </w:r>
      <w:r w:rsidRPr="00792118">
        <w:rPr>
          <w:b/>
          <w:bCs/>
          <w:lang w:val="es-ES_tradnl"/>
        </w:rPr>
        <w:t>44</w:t>
      </w:r>
      <w:r w:rsidRPr="00792118">
        <w:rPr>
          <w:lang w:val="es-ES_tradnl"/>
        </w:rPr>
        <w:t xml:space="preserve"> del RR para el SMA(R)</w:t>
      </w:r>
      <w:r w:rsidR="00F678BE" w:rsidRPr="00792118">
        <w:rPr>
          <w:lang w:val="es-ES_tradnl"/>
        </w:rPr>
        <w:t>S</w:t>
      </w:r>
      <w:r w:rsidRPr="00792118">
        <w:rPr>
          <w:lang w:val="es-ES_tradnl"/>
        </w:rPr>
        <w:t xml:space="preserve"> a las que se aplican las disposiciones de la Resolución </w:t>
      </w:r>
      <w:r w:rsidRPr="00792118">
        <w:rPr>
          <w:b/>
          <w:bCs/>
          <w:lang w:val="es-ES_tradnl"/>
        </w:rPr>
        <w:t>222 (Rev.CMR-12)</w:t>
      </w:r>
      <w:r w:rsidRPr="00792118">
        <w:rPr>
          <w:lang w:val="es-ES_tradnl"/>
        </w:rPr>
        <w:t xml:space="preserve">. La elaboración de esta Recomendación se solicitaba en la Resolución </w:t>
      </w:r>
      <w:r w:rsidRPr="00792118">
        <w:rPr>
          <w:b/>
          <w:bCs/>
          <w:lang w:val="es-ES_tradnl"/>
        </w:rPr>
        <w:t>422 (CMR-12)</w:t>
      </w:r>
      <w:r w:rsidRPr="00792118">
        <w:rPr>
          <w:lang w:val="es-ES_tradnl"/>
        </w:rPr>
        <w:t>.</w:t>
      </w:r>
    </w:p>
    <w:p w:rsidR="00A10635" w:rsidRPr="00792118" w:rsidRDefault="00327139" w:rsidP="00822172">
      <w:pPr>
        <w:rPr>
          <w:lang w:val="es-ES_tradnl"/>
        </w:rPr>
      </w:pPr>
      <w:r w:rsidRPr="00792118">
        <w:rPr>
          <w:lang w:val="es-ES_tradnl"/>
        </w:rPr>
        <w:t>Durante la reunión de la Comisión de Estudio 4 de octubre de 2013, se acordó enviar para su adopción por correspondencia</w:t>
      </w:r>
      <w:r w:rsidR="00A10635" w:rsidRPr="00792118">
        <w:rPr>
          <w:lang w:val="es-ES_tradnl"/>
        </w:rPr>
        <w:t xml:space="preserve"> </w:t>
      </w:r>
      <w:r w:rsidRPr="00792118">
        <w:rPr>
          <w:lang w:val="es-ES_tradnl"/>
        </w:rPr>
        <w:t>el proyecto de nueva Recomendación</w:t>
      </w:r>
      <w:r w:rsidR="00A10635" w:rsidRPr="00792118">
        <w:rPr>
          <w:lang w:val="es-ES_tradnl"/>
        </w:rPr>
        <w:t xml:space="preserve"> </w:t>
      </w:r>
      <w:r w:rsidR="00745B0C" w:rsidRPr="00792118">
        <w:rPr>
          <w:lang w:val="es-ES_tradnl"/>
        </w:rPr>
        <w:t>UIT</w:t>
      </w:r>
      <w:r w:rsidR="00745B0C" w:rsidRPr="00792118">
        <w:rPr>
          <w:lang w:val="es-ES_tradnl"/>
        </w:rPr>
        <w:noBreakHyphen/>
        <w:t>R </w:t>
      </w:r>
      <w:r w:rsidR="001123C3" w:rsidRPr="00792118">
        <w:rPr>
          <w:lang w:val="es-ES_tradnl"/>
        </w:rPr>
        <w:t>M.[AMS(R)S.METHODOLOGY]-0.</w:t>
      </w:r>
    </w:p>
    <w:p w:rsidR="00A10635" w:rsidRPr="00792118" w:rsidRDefault="00327139" w:rsidP="00822172">
      <w:pPr>
        <w:rPr>
          <w:lang w:val="es-ES_tradnl"/>
        </w:rPr>
      </w:pPr>
      <w:r w:rsidRPr="00792118">
        <w:rPr>
          <w:lang w:val="es-ES_tradnl"/>
        </w:rPr>
        <w:t xml:space="preserve">No obstante, tras la </w:t>
      </w:r>
      <w:r w:rsidR="00200C51" w:rsidRPr="00792118">
        <w:rPr>
          <w:lang w:val="es-ES_tradnl"/>
        </w:rPr>
        <w:t>conclusión</w:t>
      </w:r>
      <w:r w:rsidRPr="00792118">
        <w:rPr>
          <w:lang w:val="es-ES_tradnl"/>
        </w:rPr>
        <w:t xml:space="preserve"> de la </w:t>
      </w:r>
      <w:r w:rsidR="00200C51" w:rsidRPr="00792118">
        <w:rPr>
          <w:lang w:val="es-ES_tradnl"/>
        </w:rPr>
        <w:t>reunión</w:t>
      </w:r>
      <w:r w:rsidRPr="00792118">
        <w:rPr>
          <w:lang w:val="es-ES_tradnl"/>
        </w:rPr>
        <w:t xml:space="preserve"> de la Comisión</w:t>
      </w:r>
      <w:r w:rsidR="00013B7F" w:rsidRPr="00792118">
        <w:rPr>
          <w:lang w:val="es-ES_tradnl"/>
        </w:rPr>
        <w:t xml:space="preserve"> de Estudio 4 de octubre de 2013</w:t>
      </w:r>
      <w:r w:rsidR="00A10635" w:rsidRPr="00792118">
        <w:rPr>
          <w:lang w:val="es-ES_tradnl"/>
        </w:rPr>
        <w:t xml:space="preserve">, </w:t>
      </w:r>
      <w:r w:rsidR="00D57068" w:rsidRPr="00792118">
        <w:rPr>
          <w:lang w:val="es-ES_tradnl"/>
        </w:rPr>
        <w:t xml:space="preserve">una </w:t>
      </w:r>
      <w:r w:rsidR="00637A65" w:rsidRPr="00792118">
        <w:rPr>
          <w:lang w:val="es-ES_tradnl"/>
        </w:rPr>
        <w:t xml:space="preserve">administración </w:t>
      </w:r>
      <w:r w:rsidR="00200C51" w:rsidRPr="00792118">
        <w:rPr>
          <w:lang w:val="es-ES_tradnl"/>
        </w:rPr>
        <w:t xml:space="preserve">planteó alguna </w:t>
      </w:r>
      <w:r w:rsidR="003D4902" w:rsidRPr="00792118">
        <w:rPr>
          <w:lang w:val="es-ES_tradnl"/>
        </w:rPr>
        <w:t>cuestión sobre este p</w:t>
      </w:r>
      <w:r w:rsidR="00200C51" w:rsidRPr="00792118">
        <w:rPr>
          <w:lang w:val="es-ES_tradnl"/>
        </w:rPr>
        <w:t>royecto de nueva Recomendación</w:t>
      </w:r>
      <w:r w:rsidR="00A10635" w:rsidRPr="00792118">
        <w:rPr>
          <w:lang w:val="es-ES_tradnl"/>
        </w:rPr>
        <w:t xml:space="preserve"> </w:t>
      </w:r>
      <w:r w:rsidR="00200C51" w:rsidRPr="00792118">
        <w:rPr>
          <w:lang w:val="es-ES_tradnl"/>
        </w:rPr>
        <w:t>que el Presidente de la Comisión de Estudi</w:t>
      </w:r>
      <w:r w:rsidR="003D4902" w:rsidRPr="00792118">
        <w:rPr>
          <w:lang w:val="es-ES_tradnl"/>
        </w:rPr>
        <w:t>o 4 transmitió a la decimotercera</w:t>
      </w:r>
      <w:r w:rsidR="00AA574F">
        <w:rPr>
          <w:lang w:val="es-ES_tradnl"/>
        </w:rPr>
        <w:t xml:space="preserve"> reunión del Grupo de Trabajo </w:t>
      </w:r>
      <w:r w:rsidR="00200C51" w:rsidRPr="00792118">
        <w:rPr>
          <w:lang w:val="es-ES_tradnl"/>
        </w:rPr>
        <w:t>4C: se explicó que la metod</w:t>
      </w:r>
      <w:r w:rsidR="003D4902" w:rsidRPr="00792118">
        <w:rPr>
          <w:lang w:val="es-ES_tradnl"/>
        </w:rPr>
        <w:t>ología acordada incluida en el p</w:t>
      </w:r>
      <w:r w:rsidR="00200C51" w:rsidRPr="00792118">
        <w:rPr>
          <w:lang w:val="es-ES_tradnl"/>
        </w:rPr>
        <w:t>royecto de nueva Recomendación se basa en el uso de datos históricos para ciertos parámetros de entrada</w:t>
      </w:r>
      <w:r w:rsidR="00A10635" w:rsidRPr="00792118">
        <w:rPr>
          <w:lang w:val="es-ES_tradnl"/>
        </w:rPr>
        <w:t xml:space="preserve"> </w:t>
      </w:r>
      <w:r w:rsidR="00200C51" w:rsidRPr="00792118">
        <w:rPr>
          <w:lang w:val="es-ES_tradnl"/>
        </w:rPr>
        <w:t>que, por su propia naturaleza, no están disponibles para las nuevas redes de sat</w:t>
      </w:r>
      <w:r w:rsidR="00F678BE" w:rsidRPr="00792118">
        <w:rPr>
          <w:lang w:val="es-ES_tradnl"/>
        </w:rPr>
        <w:t>élites del SMA</w:t>
      </w:r>
      <w:r w:rsidR="00D57068" w:rsidRPr="00792118">
        <w:rPr>
          <w:lang w:val="es-ES_tradnl"/>
        </w:rPr>
        <w:t>(R)</w:t>
      </w:r>
      <w:r w:rsidR="00F678BE" w:rsidRPr="00792118">
        <w:rPr>
          <w:lang w:val="es-ES_tradnl"/>
        </w:rPr>
        <w:t>S</w:t>
      </w:r>
      <w:r w:rsidR="00A10635" w:rsidRPr="00792118">
        <w:rPr>
          <w:lang w:val="es-ES_tradnl"/>
        </w:rPr>
        <w:t xml:space="preserve">. </w:t>
      </w:r>
    </w:p>
    <w:p w:rsidR="00A10635" w:rsidRPr="00792118" w:rsidRDefault="00D57068" w:rsidP="00822172">
      <w:pPr>
        <w:rPr>
          <w:lang w:val="es-ES_tradnl"/>
        </w:rPr>
      </w:pPr>
      <w:r w:rsidRPr="00792118">
        <w:rPr>
          <w:lang w:val="es-ES_tradnl"/>
        </w:rPr>
        <w:t xml:space="preserve">Es más, durante el proceso de adopción, otra </w:t>
      </w:r>
      <w:r w:rsidR="0077613C" w:rsidRPr="00792118">
        <w:rPr>
          <w:lang w:val="es-ES_tradnl"/>
        </w:rPr>
        <w:t xml:space="preserve">administración </w:t>
      </w:r>
      <w:r w:rsidRPr="00792118">
        <w:rPr>
          <w:lang w:val="es-ES_tradnl"/>
        </w:rPr>
        <w:t xml:space="preserve">se opuso a su adopción por las razones siguientes (véase el Documento </w:t>
      </w:r>
      <w:hyperlink r:id="rId10" w:history="1">
        <w:r w:rsidR="00A10635" w:rsidRPr="00792118">
          <w:rPr>
            <w:rStyle w:val="Hyperlink"/>
            <w:lang w:val="es-ES_tradnl"/>
          </w:rPr>
          <w:t>4C/296</w:t>
        </w:r>
      </w:hyperlink>
      <w:r w:rsidR="00A10635" w:rsidRPr="00792118">
        <w:rPr>
          <w:lang w:val="es-ES_tradnl"/>
        </w:rPr>
        <w:t xml:space="preserve"> </w:t>
      </w:r>
      <w:r w:rsidRPr="00792118">
        <w:rPr>
          <w:lang w:val="es-ES_tradnl"/>
        </w:rPr>
        <w:t>del Presidente de la Comisión de Estudio 4</w:t>
      </w:r>
      <w:r w:rsidR="00A10635" w:rsidRPr="00792118">
        <w:rPr>
          <w:lang w:val="es-ES_tradnl"/>
        </w:rPr>
        <w:t>):</w:t>
      </w:r>
    </w:p>
    <w:p w:rsidR="00A10635" w:rsidRPr="00792118" w:rsidRDefault="00A47126" w:rsidP="00822172">
      <w:pPr>
        <w:pStyle w:val="enumlev1"/>
        <w:rPr>
          <w:i/>
          <w:iCs/>
          <w:lang w:val="es-ES_tradnl"/>
        </w:rPr>
      </w:pPr>
      <w:r w:rsidRPr="00792118">
        <w:rPr>
          <w:i/>
          <w:iCs/>
          <w:lang w:val="es-ES_tradnl"/>
        </w:rPr>
        <w:t>«</w:t>
      </w:r>
      <w:r w:rsidR="00A10635" w:rsidRPr="00792118">
        <w:rPr>
          <w:i/>
          <w:iCs/>
          <w:lang w:val="es-ES_tradnl"/>
        </w:rPr>
        <w:t>–</w:t>
      </w:r>
      <w:r w:rsidR="00A10635" w:rsidRPr="00792118">
        <w:rPr>
          <w:i/>
          <w:iCs/>
          <w:lang w:val="es-ES_tradnl"/>
        </w:rPr>
        <w:tab/>
      </w:r>
      <w:r w:rsidR="00CC74F6" w:rsidRPr="00792118">
        <w:rPr>
          <w:i/>
          <w:iCs/>
          <w:lang w:val="es-ES_tradnl"/>
        </w:rPr>
        <w:t xml:space="preserve">Se pueden incluir en los cálculos mensajes que no estén relacionados con las categorías de prioridad 1 a 6 del Artículo </w:t>
      </w:r>
      <w:r w:rsidR="00CC74F6" w:rsidRPr="00792118">
        <w:rPr>
          <w:b/>
          <w:bCs/>
          <w:i/>
          <w:iCs/>
          <w:lang w:val="es-ES_tradnl"/>
        </w:rPr>
        <w:t>44</w:t>
      </w:r>
      <w:r w:rsidR="00CC74F6" w:rsidRPr="00792118">
        <w:rPr>
          <w:i/>
          <w:iCs/>
          <w:lang w:val="es-ES_tradnl"/>
        </w:rPr>
        <w:t xml:space="preserve"> del RR, sin que ningún mecanismo pueda impedirlo</w:t>
      </w:r>
      <w:r w:rsidR="00A10635" w:rsidRPr="00792118">
        <w:rPr>
          <w:i/>
          <w:iCs/>
          <w:lang w:val="es-ES_tradnl"/>
        </w:rPr>
        <w:t>;</w:t>
      </w:r>
    </w:p>
    <w:p w:rsidR="00A10635" w:rsidRPr="00792118" w:rsidRDefault="00A10635" w:rsidP="00822172">
      <w:pPr>
        <w:pStyle w:val="enumlev1"/>
        <w:rPr>
          <w:i/>
          <w:iCs/>
          <w:lang w:val="es-ES_tradnl"/>
        </w:rPr>
      </w:pPr>
      <w:r w:rsidRPr="00792118">
        <w:rPr>
          <w:i/>
          <w:iCs/>
          <w:lang w:val="es-ES_tradnl"/>
        </w:rPr>
        <w:t>–</w:t>
      </w:r>
      <w:r w:rsidRPr="00792118">
        <w:rPr>
          <w:i/>
          <w:iCs/>
          <w:lang w:val="es-ES_tradnl"/>
        </w:rPr>
        <w:tab/>
      </w:r>
      <w:r w:rsidR="00CC74F6" w:rsidRPr="00792118">
        <w:rPr>
          <w:i/>
          <w:iCs/>
          <w:lang w:val="es-ES_tradnl"/>
        </w:rPr>
        <w:t xml:space="preserve">Podrían existir otros métodos que </w:t>
      </w:r>
      <w:r w:rsidR="003D4902" w:rsidRPr="00792118">
        <w:rPr>
          <w:i/>
          <w:iCs/>
          <w:lang w:val="es-ES_tradnl"/>
        </w:rPr>
        <w:t xml:space="preserve">se </w:t>
      </w:r>
      <w:r w:rsidR="00CC74F6" w:rsidRPr="00792118">
        <w:rPr>
          <w:i/>
          <w:iCs/>
          <w:lang w:val="es-ES_tradnl"/>
        </w:rPr>
        <w:t>podrían utilizar para calcular las necesidades de espectro</w:t>
      </w:r>
      <w:r w:rsidRPr="00792118">
        <w:rPr>
          <w:i/>
          <w:iCs/>
          <w:lang w:val="es-ES_tradnl"/>
        </w:rPr>
        <w:t>;</w:t>
      </w:r>
    </w:p>
    <w:p w:rsidR="00A10635" w:rsidRPr="00792118" w:rsidRDefault="00A10635" w:rsidP="00822172">
      <w:pPr>
        <w:pStyle w:val="enumlev1"/>
        <w:rPr>
          <w:i/>
          <w:iCs/>
          <w:lang w:val="es-ES_tradnl"/>
        </w:rPr>
      </w:pPr>
      <w:r w:rsidRPr="00792118">
        <w:rPr>
          <w:i/>
          <w:iCs/>
          <w:lang w:val="es-ES_tradnl"/>
        </w:rPr>
        <w:t>–</w:t>
      </w:r>
      <w:r w:rsidRPr="00792118">
        <w:rPr>
          <w:i/>
          <w:iCs/>
          <w:lang w:val="es-ES_tradnl"/>
        </w:rPr>
        <w:tab/>
      </w:r>
      <w:r w:rsidR="00CC74F6" w:rsidRPr="00792118">
        <w:rPr>
          <w:i/>
          <w:iCs/>
          <w:lang w:val="es-ES_tradnl"/>
        </w:rPr>
        <w:t xml:space="preserve">Puede que la nueva Recomendación no evite en su totalidad posibles </w:t>
      </w:r>
      <w:r w:rsidR="003D4902" w:rsidRPr="00792118">
        <w:rPr>
          <w:i/>
          <w:iCs/>
          <w:lang w:val="es-ES_tradnl"/>
        </w:rPr>
        <w:t>disputas</w:t>
      </w:r>
      <w:r w:rsidR="00CC74F6" w:rsidRPr="00792118">
        <w:rPr>
          <w:i/>
          <w:iCs/>
          <w:lang w:val="es-ES_tradnl"/>
        </w:rPr>
        <w:t xml:space="preserve"> durante las reuniones anuales de los operadores del SMS</w:t>
      </w:r>
      <w:r w:rsidRPr="00792118">
        <w:rPr>
          <w:i/>
          <w:iCs/>
          <w:lang w:val="es-ES_tradnl"/>
        </w:rPr>
        <w:t>;</w:t>
      </w:r>
    </w:p>
    <w:p w:rsidR="00A10635" w:rsidRPr="00792118" w:rsidRDefault="00A10635" w:rsidP="00822172">
      <w:pPr>
        <w:pStyle w:val="enumlev1"/>
        <w:rPr>
          <w:i/>
          <w:iCs/>
          <w:lang w:val="es-ES_tradnl"/>
        </w:rPr>
      </w:pPr>
      <w:r w:rsidRPr="00792118">
        <w:rPr>
          <w:i/>
          <w:iCs/>
          <w:lang w:val="es-ES_tradnl"/>
        </w:rPr>
        <w:t>–</w:t>
      </w:r>
      <w:r w:rsidRPr="00792118">
        <w:rPr>
          <w:i/>
          <w:iCs/>
          <w:lang w:val="es-ES_tradnl"/>
        </w:rPr>
        <w:tab/>
      </w:r>
      <w:r w:rsidR="00CC74F6" w:rsidRPr="00792118">
        <w:rPr>
          <w:i/>
          <w:iCs/>
          <w:lang w:val="es-ES_tradnl"/>
        </w:rPr>
        <w:t>Ni la OACI ni ninguna organización del sector aeronáutico confirmará</w:t>
      </w:r>
      <w:r w:rsidR="00113ED8" w:rsidRPr="00792118">
        <w:rPr>
          <w:i/>
          <w:iCs/>
          <w:lang w:val="es-ES_tradnl"/>
        </w:rPr>
        <w:t xml:space="preserve"> l</w:t>
      </w:r>
      <w:r w:rsidR="00CC74F6" w:rsidRPr="00792118">
        <w:rPr>
          <w:i/>
          <w:iCs/>
          <w:lang w:val="es-ES_tradnl"/>
        </w:rPr>
        <w:t>as variables de entrada</w:t>
      </w:r>
      <w:r w:rsidRPr="00792118">
        <w:rPr>
          <w:i/>
          <w:iCs/>
          <w:lang w:val="es-ES_tradnl"/>
        </w:rPr>
        <w:t>.</w:t>
      </w:r>
      <w:r w:rsidR="00A47126" w:rsidRPr="00792118">
        <w:rPr>
          <w:i/>
          <w:iCs/>
          <w:lang w:val="es-ES_tradnl"/>
        </w:rPr>
        <w:t>»</w:t>
      </w:r>
    </w:p>
    <w:p w:rsidR="00A10635" w:rsidRPr="00792118" w:rsidRDefault="00113ED8" w:rsidP="00822172">
      <w:pPr>
        <w:rPr>
          <w:lang w:val="es-ES_tradnl"/>
        </w:rPr>
      </w:pPr>
      <w:r w:rsidRPr="00792118">
        <w:rPr>
          <w:lang w:val="es-ES_tradnl"/>
        </w:rPr>
        <w:t>En su decimoquinta reunión, el Grupo de Trabajo 4C</w:t>
      </w:r>
      <w:r w:rsidR="00A10635" w:rsidRPr="00792118">
        <w:rPr>
          <w:lang w:val="es-ES_tradnl"/>
        </w:rPr>
        <w:t xml:space="preserve"> </w:t>
      </w:r>
      <w:r w:rsidRPr="00792118">
        <w:rPr>
          <w:lang w:val="es-ES_tradnl"/>
        </w:rPr>
        <w:t>tomó en consideración las conclusiones del Grupo por Correspondencia</w:t>
      </w:r>
      <w:r w:rsidR="00A10635" w:rsidRPr="00792118">
        <w:rPr>
          <w:lang w:val="es-ES_tradnl"/>
        </w:rPr>
        <w:t xml:space="preserve"> </w:t>
      </w:r>
      <w:r w:rsidRPr="00792118">
        <w:rPr>
          <w:lang w:val="es-ES_tradnl"/>
        </w:rPr>
        <w:t>cr</w:t>
      </w:r>
      <w:r w:rsidR="003D4902" w:rsidRPr="00792118">
        <w:rPr>
          <w:lang w:val="es-ES_tradnl"/>
        </w:rPr>
        <w:t>eado en julio de 2014 para tratar</w:t>
      </w:r>
      <w:r w:rsidRPr="00792118">
        <w:rPr>
          <w:lang w:val="es-ES_tradnl"/>
        </w:rPr>
        <w:t xml:space="preserve"> este asunto</w:t>
      </w:r>
      <w:r w:rsidR="00A10635" w:rsidRPr="00792118">
        <w:rPr>
          <w:lang w:val="es-ES_tradnl"/>
        </w:rPr>
        <w:t xml:space="preserve">. </w:t>
      </w:r>
      <w:r w:rsidRPr="00792118">
        <w:rPr>
          <w:lang w:val="es-ES_tradnl"/>
        </w:rPr>
        <w:t>Durante los debates, el Grupo de Trabajo 4C llegó finalmente a la conclusión</w:t>
      </w:r>
      <w:r w:rsidR="00A10635" w:rsidRPr="00792118">
        <w:rPr>
          <w:lang w:val="es-ES_tradnl"/>
        </w:rPr>
        <w:t xml:space="preserve"> </w:t>
      </w:r>
      <w:r w:rsidRPr="00792118">
        <w:rPr>
          <w:lang w:val="es-ES_tradnl"/>
        </w:rPr>
        <w:t xml:space="preserve">de que la preocupación </w:t>
      </w:r>
      <w:r w:rsidR="003D4902" w:rsidRPr="00792118">
        <w:rPr>
          <w:lang w:val="es-ES_tradnl"/>
        </w:rPr>
        <w:t>planteada por</w:t>
      </w:r>
      <w:r w:rsidRPr="00792118">
        <w:rPr>
          <w:lang w:val="es-ES_tradnl"/>
        </w:rPr>
        <w:t xml:space="preserve"> la primera </w:t>
      </w:r>
      <w:r w:rsidR="0077613C" w:rsidRPr="00792118">
        <w:rPr>
          <w:lang w:val="es-ES_tradnl"/>
        </w:rPr>
        <w:t xml:space="preserve">administración </w:t>
      </w:r>
      <w:r w:rsidRPr="00792118">
        <w:rPr>
          <w:lang w:val="es-ES_tradnl"/>
        </w:rPr>
        <w:t xml:space="preserve">mencionada podría resolverse incluyendo los </w:t>
      </w:r>
      <w:r w:rsidRPr="00792118">
        <w:rPr>
          <w:i/>
          <w:iCs/>
          <w:lang w:val="es-ES_tradnl"/>
        </w:rPr>
        <w:t>recomienda</w:t>
      </w:r>
      <w:r w:rsidR="00A47126" w:rsidRPr="00792118">
        <w:rPr>
          <w:i/>
          <w:iCs/>
          <w:lang w:val="es-ES_tradnl"/>
        </w:rPr>
        <w:t xml:space="preserve"> </w:t>
      </w:r>
      <w:r w:rsidRPr="00792118">
        <w:rPr>
          <w:lang w:val="es-ES_tradnl"/>
        </w:rPr>
        <w:t>adicionales 2 y 3 que consideran el caso de las nuevas redes de satélites</w:t>
      </w:r>
      <w:r w:rsidR="00F678BE" w:rsidRPr="00792118">
        <w:rPr>
          <w:lang w:val="es-ES_tradnl"/>
        </w:rPr>
        <w:t xml:space="preserve"> del SMA</w:t>
      </w:r>
      <w:r w:rsidRPr="00792118">
        <w:rPr>
          <w:lang w:val="es-ES_tradnl"/>
        </w:rPr>
        <w:t>(R)</w:t>
      </w:r>
      <w:r w:rsidR="00F678BE" w:rsidRPr="00792118">
        <w:rPr>
          <w:lang w:val="es-ES_tradnl"/>
        </w:rPr>
        <w:t>S</w:t>
      </w:r>
      <w:r w:rsidRPr="00792118">
        <w:rPr>
          <w:lang w:val="es-ES_tradnl"/>
        </w:rPr>
        <w:t xml:space="preserve"> (los operadores</w:t>
      </w:r>
      <w:r w:rsidR="00E71814" w:rsidRPr="00792118">
        <w:rPr>
          <w:lang w:val="es-ES_tradnl"/>
        </w:rPr>
        <w:t xml:space="preserve"> establecidos</w:t>
      </w:r>
      <w:r w:rsidR="00F678BE" w:rsidRPr="00792118">
        <w:rPr>
          <w:lang w:val="es-ES_tradnl"/>
        </w:rPr>
        <w:t xml:space="preserve"> del SMA</w:t>
      </w:r>
      <w:r w:rsidRPr="00792118">
        <w:rPr>
          <w:lang w:val="es-ES_tradnl"/>
        </w:rPr>
        <w:t>(R)</w:t>
      </w:r>
      <w:r w:rsidR="00F678BE" w:rsidRPr="00792118">
        <w:rPr>
          <w:lang w:val="es-ES_tradnl"/>
        </w:rPr>
        <w:t>S</w:t>
      </w:r>
      <w:r w:rsidRPr="00792118">
        <w:rPr>
          <w:lang w:val="es-ES_tradnl"/>
        </w:rPr>
        <w:t xml:space="preserve"> </w:t>
      </w:r>
      <w:r w:rsidR="00E71814" w:rsidRPr="00792118">
        <w:rPr>
          <w:lang w:val="es-ES_tradnl"/>
        </w:rPr>
        <w:t xml:space="preserve">deberán aportar los datos históricos pertinentes para la aplicación de la metodología en una reunión de coordinación de frecuencias, cuando dicha reunión acuerde utilizar la metodología que figura en la Recomendación propuesta). Además, se incluyó también un </w:t>
      </w:r>
      <w:r w:rsidR="00E71814" w:rsidRPr="00792118">
        <w:rPr>
          <w:i/>
          <w:iCs/>
          <w:lang w:val="es-ES_tradnl"/>
        </w:rPr>
        <w:t xml:space="preserve">recomienda </w:t>
      </w:r>
      <w:r w:rsidR="00E71814" w:rsidRPr="00792118">
        <w:rPr>
          <w:lang w:val="es-ES_tradnl"/>
        </w:rPr>
        <w:t xml:space="preserve">4 para tener en cuenta lo expresado por la segunda </w:t>
      </w:r>
      <w:r w:rsidR="00A61063" w:rsidRPr="00792118">
        <w:rPr>
          <w:lang w:val="es-ES_tradnl"/>
        </w:rPr>
        <w:t xml:space="preserve">administración </w:t>
      </w:r>
      <w:r w:rsidR="00E71814" w:rsidRPr="00792118">
        <w:rPr>
          <w:lang w:val="es-ES_tradnl"/>
        </w:rPr>
        <w:t>menci</w:t>
      </w:r>
      <w:r w:rsidR="00BF197D" w:rsidRPr="00792118">
        <w:rPr>
          <w:lang w:val="es-ES_tradnl"/>
        </w:rPr>
        <w:t>onada anteriormente (indicando que</w:t>
      </w:r>
      <w:r w:rsidR="00E71814" w:rsidRPr="00792118">
        <w:rPr>
          <w:lang w:val="es-ES_tradnl"/>
        </w:rPr>
        <w:t xml:space="preserve"> las discrepancias sobre determinados parámetros de la metodología incluida en la Recomendación propuesta deben resolver</w:t>
      </w:r>
      <w:r w:rsidR="00BF197D" w:rsidRPr="00792118">
        <w:rPr>
          <w:lang w:val="es-ES_tradnl"/>
        </w:rPr>
        <w:t>se</w:t>
      </w:r>
      <w:r w:rsidR="00E71814" w:rsidRPr="00792118">
        <w:rPr>
          <w:lang w:val="es-ES_tradnl"/>
        </w:rPr>
        <w:t xml:space="preserve"> de mutuo acu</w:t>
      </w:r>
      <w:r w:rsidR="00CF0777" w:rsidRPr="00792118">
        <w:rPr>
          <w:lang w:val="es-ES_tradnl"/>
        </w:rPr>
        <w:t>erdo).</w:t>
      </w:r>
    </w:p>
    <w:p w:rsidR="00A10635" w:rsidRPr="00792118" w:rsidRDefault="00E71814" w:rsidP="00822172">
      <w:pPr>
        <w:rPr>
          <w:lang w:val="es-ES_tradnl"/>
        </w:rPr>
      </w:pPr>
      <w:r w:rsidRPr="00792118">
        <w:rPr>
          <w:lang w:val="es-ES_tradnl"/>
        </w:rPr>
        <w:t>Por consiguiente, el G</w:t>
      </w:r>
      <w:r w:rsidR="00BF197D" w:rsidRPr="00792118">
        <w:rPr>
          <w:lang w:val="es-ES_tradnl"/>
        </w:rPr>
        <w:t>rupo de Trabajo 4C finalizó el p</w:t>
      </w:r>
      <w:r w:rsidRPr="00792118">
        <w:rPr>
          <w:lang w:val="es-ES_tradnl"/>
        </w:rPr>
        <w:t>royecto de nueva Recomendación UIT-R M</w:t>
      </w:r>
      <w:r w:rsidR="00A10635" w:rsidRPr="00792118">
        <w:rPr>
          <w:lang w:val="es-ES_tradnl"/>
        </w:rPr>
        <w:t xml:space="preserve">.[AMS(R)S.METHODOLOGY]-0 </w:t>
      </w:r>
      <w:r w:rsidRPr="00792118">
        <w:rPr>
          <w:lang w:val="es-ES_tradnl"/>
        </w:rPr>
        <w:t xml:space="preserve">y acordó enviarla a la Comisión de Estudio </w:t>
      </w:r>
      <w:r w:rsidR="00822172" w:rsidRPr="00792118">
        <w:rPr>
          <w:lang w:val="es-ES_tradnl"/>
        </w:rPr>
        <w:t xml:space="preserve">4 </w:t>
      </w:r>
      <w:r w:rsidRPr="00792118">
        <w:rPr>
          <w:lang w:val="es-ES_tradnl"/>
        </w:rPr>
        <w:t>para su co</w:t>
      </w:r>
      <w:r w:rsidR="006E25F6" w:rsidRPr="00792118">
        <w:rPr>
          <w:lang w:val="es-ES_tradnl"/>
        </w:rPr>
        <w:t xml:space="preserve">nsideración durante la reunión </w:t>
      </w:r>
      <w:r w:rsidRPr="00792118">
        <w:rPr>
          <w:lang w:val="es-ES_tradnl"/>
        </w:rPr>
        <w:t>de julio de 2015</w:t>
      </w:r>
      <w:r w:rsidR="00A10635" w:rsidRPr="00792118">
        <w:rPr>
          <w:lang w:val="es-ES_tradnl"/>
        </w:rPr>
        <w:t xml:space="preserve">. </w:t>
      </w:r>
    </w:p>
    <w:p w:rsidR="00A10635" w:rsidRPr="00792118" w:rsidRDefault="00CC6907" w:rsidP="00691FC1">
      <w:pPr>
        <w:rPr>
          <w:lang w:val="es-ES_tradnl"/>
        </w:rPr>
      </w:pPr>
      <w:r w:rsidRPr="00792118">
        <w:rPr>
          <w:bCs/>
          <w:lang w:val="es-ES_tradnl"/>
        </w:rPr>
        <w:t xml:space="preserve">La segunda </w:t>
      </w:r>
      <w:r w:rsidR="0077613C" w:rsidRPr="00792118">
        <w:rPr>
          <w:bCs/>
          <w:lang w:val="es-ES_tradnl"/>
        </w:rPr>
        <w:t xml:space="preserve">administración </w:t>
      </w:r>
      <w:r w:rsidRPr="00792118">
        <w:rPr>
          <w:bCs/>
          <w:lang w:val="es-ES_tradnl"/>
        </w:rPr>
        <w:t>mencionada hizo una declaración</w:t>
      </w:r>
      <w:r w:rsidR="00A10635" w:rsidRPr="00792118">
        <w:rPr>
          <w:bCs/>
          <w:lang w:val="es-ES_tradnl"/>
        </w:rPr>
        <w:t xml:space="preserve"> </w:t>
      </w:r>
      <w:r w:rsidRPr="00792118">
        <w:rPr>
          <w:bCs/>
          <w:lang w:val="es-ES_tradnl"/>
        </w:rPr>
        <w:t>para que se incluyera en el Informe</w:t>
      </w:r>
      <w:r w:rsidR="00A10635" w:rsidRPr="00792118">
        <w:rPr>
          <w:bCs/>
          <w:lang w:val="es-ES_tradnl"/>
        </w:rPr>
        <w:t xml:space="preserve"> </w:t>
      </w:r>
      <w:r w:rsidRPr="00792118">
        <w:rPr>
          <w:bCs/>
          <w:lang w:val="es-ES_tradnl"/>
        </w:rPr>
        <w:t xml:space="preserve">del </w:t>
      </w:r>
      <w:r w:rsidR="00894650" w:rsidRPr="00792118">
        <w:rPr>
          <w:bCs/>
          <w:lang w:val="es-ES_tradnl"/>
        </w:rPr>
        <w:t>P</w:t>
      </w:r>
      <w:r w:rsidRPr="00792118">
        <w:rPr>
          <w:bCs/>
          <w:lang w:val="es-ES_tradnl"/>
        </w:rPr>
        <w:t>resident</w:t>
      </w:r>
      <w:r w:rsidR="00894650" w:rsidRPr="00792118">
        <w:rPr>
          <w:bCs/>
          <w:lang w:val="es-ES_tradnl"/>
        </w:rPr>
        <w:t>e</w:t>
      </w:r>
      <w:r w:rsidRPr="00792118">
        <w:rPr>
          <w:bCs/>
          <w:lang w:val="es-ES_tradnl"/>
        </w:rPr>
        <w:t xml:space="preserve"> del Grupo de Trabajo 4C</w:t>
      </w:r>
      <w:r w:rsidR="00A10635" w:rsidRPr="00792118">
        <w:rPr>
          <w:bCs/>
          <w:lang w:val="es-ES_tradnl"/>
        </w:rPr>
        <w:t xml:space="preserve"> </w:t>
      </w:r>
      <w:r w:rsidRPr="00792118">
        <w:rPr>
          <w:bCs/>
          <w:lang w:val="es-ES_tradnl"/>
        </w:rPr>
        <w:t>(véase el Documento</w:t>
      </w:r>
      <w:r w:rsidR="00A10635" w:rsidRPr="00792118">
        <w:rPr>
          <w:bCs/>
          <w:lang w:val="es-ES_tradnl"/>
        </w:rPr>
        <w:t xml:space="preserve"> </w:t>
      </w:r>
      <w:hyperlink r:id="rId11" w:history="1">
        <w:r w:rsidR="00A10635" w:rsidRPr="00792118">
          <w:rPr>
            <w:rStyle w:val="Hyperlink"/>
            <w:bCs/>
            <w:lang w:val="es-ES_tradnl"/>
          </w:rPr>
          <w:t>4/106</w:t>
        </w:r>
      </w:hyperlink>
      <w:r w:rsidR="00A10635" w:rsidRPr="00792118">
        <w:rPr>
          <w:bCs/>
          <w:lang w:val="es-ES_tradnl"/>
        </w:rPr>
        <w:t xml:space="preserve">) </w:t>
      </w:r>
      <w:r w:rsidRPr="00792118">
        <w:rPr>
          <w:bCs/>
          <w:lang w:val="es-ES_tradnl"/>
        </w:rPr>
        <w:t xml:space="preserve">y durante la reunión de la Comisión de Estudio </w:t>
      </w:r>
      <w:r w:rsidR="00822172" w:rsidRPr="00792118">
        <w:rPr>
          <w:bCs/>
          <w:lang w:val="es-ES_tradnl"/>
        </w:rPr>
        <w:t xml:space="preserve">4 </w:t>
      </w:r>
      <w:r w:rsidRPr="00792118">
        <w:rPr>
          <w:bCs/>
          <w:lang w:val="es-ES_tradnl"/>
        </w:rPr>
        <w:t>de junio de 2015 declaró</w:t>
      </w:r>
      <w:r w:rsidR="00A10635" w:rsidRPr="00792118">
        <w:rPr>
          <w:bCs/>
          <w:lang w:val="es-ES_tradnl"/>
        </w:rPr>
        <w:t xml:space="preserve"> </w:t>
      </w:r>
      <w:r w:rsidRPr="00792118">
        <w:rPr>
          <w:bCs/>
          <w:lang w:val="es-ES_tradnl"/>
        </w:rPr>
        <w:t>que no aplicaría</w:t>
      </w:r>
      <w:r w:rsidR="00A10635" w:rsidRPr="00792118">
        <w:rPr>
          <w:bCs/>
          <w:lang w:val="es-ES_tradnl"/>
        </w:rPr>
        <w:t xml:space="preserve"> </w:t>
      </w:r>
      <w:r w:rsidRPr="00792118">
        <w:rPr>
          <w:bCs/>
          <w:lang w:val="es-ES_tradnl"/>
        </w:rPr>
        <w:t xml:space="preserve">en su totalidad el proyecto de nueva Recomendación, aunque no se opondría a su adopción. La </w:t>
      </w:r>
      <w:r w:rsidR="00894650" w:rsidRPr="00792118">
        <w:rPr>
          <w:bCs/>
          <w:lang w:val="es-ES_tradnl"/>
        </w:rPr>
        <w:t>reunión</w:t>
      </w:r>
      <w:r w:rsidRPr="00792118">
        <w:rPr>
          <w:bCs/>
          <w:lang w:val="es-ES_tradnl"/>
        </w:rPr>
        <w:t xml:space="preserve"> acordó aplicar el procedimiento</w:t>
      </w:r>
      <w:r w:rsidR="00894650" w:rsidRPr="00792118">
        <w:rPr>
          <w:bCs/>
          <w:lang w:val="es-ES_tradnl"/>
        </w:rPr>
        <w:t xml:space="preserve"> </w:t>
      </w:r>
      <w:r w:rsidR="00F678BE" w:rsidRPr="00792118">
        <w:rPr>
          <w:bCs/>
          <w:lang w:val="es-ES_tradnl"/>
        </w:rPr>
        <w:t>de</w:t>
      </w:r>
      <w:r w:rsidR="00894650" w:rsidRPr="00792118">
        <w:rPr>
          <w:bCs/>
          <w:lang w:val="es-ES_tradnl"/>
        </w:rPr>
        <w:t xml:space="preserve"> adopción y aprobación simultáneas por correspondencia (PAAS) de conformidad con el </w:t>
      </w:r>
      <w:r w:rsidR="005B6B21" w:rsidRPr="00691FC1">
        <w:rPr>
          <w:lang w:val="es-ES_tradnl"/>
        </w:rPr>
        <w:t>§ </w:t>
      </w:r>
      <w:r w:rsidR="00894650" w:rsidRPr="00792118">
        <w:rPr>
          <w:bCs/>
          <w:lang w:val="es-ES_tradnl"/>
        </w:rPr>
        <w:t xml:space="preserve">10.3 de la Resolución UIT-R 1-6 (véase el </w:t>
      </w:r>
      <w:r w:rsidR="00691FC1" w:rsidRPr="00691FC1">
        <w:rPr>
          <w:lang w:val="es-ES_tradnl"/>
        </w:rPr>
        <w:t>§ </w:t>
      </w:r>
      <w:r w:rsidR="00A10635" w:rsidRPr="00792118">
        <w:rPr>
          <w:bCs/>
          <w:lang w:val="es-ES_tradnl"/>
        </w:rPr>
        <w:t xml:space="preserve">7.1.2 </w:t>
      </w:r>
      <w:r w:rsidR="00894650" w:rsidRPr="00792118">
        <w:rPr>
          <w:bCs/>
          <w:lang w:val="es-ES_tradnl"/>
        </w:rPr>
        <w:t>del</w:t>
      </w:r>
      <w:r w:rsidR="00A10635" w:rsidRPr="00792118">
        <w:rPr>
          <w:bCs/>
          <w:lang w:val="es-ES_tradnl"/>
        </w:rPr>
        <w:t xml:space="preserve"> Document</w:t>
      </w:r>
      <w:r w:rsidR="00894650" w:rsidRPr="00792118">
        <w:rPr>
          <w:bCs/>
          <w:lang w:val="es-ES_tradnl"/>
        </w:rPr>
        <w:t>o</w:t>
      </w:r>
      <w:r w:rsidR="00A10635" w:rsidRPr="00792118">
        <w:rPr>
          <w:bCs/>
          <w:lang w:val="es-ES_tradnl"/>
        </w:rPr>
        <w:t xml:space="preserve"> </w:t>
      </w:r>
      <w:hyperlink r:id="rId12" w:history="1">
        <w:r w:rsidR="00A10635" w:rsidRPr="00792118">
          <w:rPr>
            <w:rStyle w:val="Hyperlink"/>
            <w:bCs/>
            <w:lang w:val="es-ES_tradnl"/>
          </w:rPr>
          <w:t>4/119</w:t>
        </w:r>
      </w:hyperlink>
      <w:r w:rsidR="00A10635" w:rsidRPr="00792118">
        <w:rPr>
          <w:bCs/>
          <w:lang w:val="es-ES_tradnl"/>
        </w:rPr>
        <w:t>).</w:t>
      </w:r>
    </w:p>
    <w:p w:rsidR="00A10635" w:rsidRPr="00792118" w:rsidRDefault="00F678BE" w:rsidP="006244E3">
      <w:pPr>
        <w:rPr>
          <w:lang w:val="es-ES_tradnl"/>
        </w:rPr>
      </w:pPr>
      <w:r w:rsidRPr="00792118">
        <w:rPr>
          <w:lang w:val="es-ES_tradnl"/>
        </w:rPr>
        <w:lastRenderedPageBreak/>
        <w:t xml:space="preserve">Posteriormente, se distribuyó el Documento 4/105(Rev.1), que </w:t>
      </w:r>
      <w:r w:rsidR="00A1406F" w:rsidRPr="00792118">
        <w:rPr>
          <w:lang w:val="es-ES_tradnl"/>
        </w:rPr>
        <w:t>contiene</w:t>
      </w:r>
      <w:r w:rsidRPr="00792118">
        <w:rPr>
          <w:lang w:val="es-ES_tradnl"/>
        </w:rPr>
        <w:t xml:space="preserve"> la versión </w:t>
      </w:r>
      <w:r w:rsidR="00A1406F" w:rsidRPr="00792118">
        <w:rPr>
          <w:lang w:val="es-ES_tradnl"/>
        </w:rPr>
        <w:t>definitiva</w:t>
      </w:r>
      <w:r w:rsidRPr="00792118">
        <w:rPr>
          <w:lang w:val="es-ES_tradnl"/>
        </w:rPr>
        <w:t xml:space="preserve"> del proyecto de nueva Recomendación UIT</w:t>
      </w:r>
      <w:r w:rsidR="00BF197D" w:rsidRPr="00792118">
        <w:rPr>
          <w:lang w:val="es-ES_tradnl"/>
        </w:rPr>
        <w:noBreakHyphen/>
        <w:t xml:space="preserve">R M.[AMS(R)S.METHODOLOGY]-0, </w:t>
      </w:r>
      <w:r w:rsidR="00FA4EDC">
        <w:rPr>
          <w:lang w:val="es-ES_tradnl"/>
        </w:rPr>
        <w:t xml:space="preserve">para su adopción y aprobación </w:t>
      </w:r>
      <w:r w:rsidR="00285893" w:rsidRPr="00792118">
        <w:rPr>
          <w:bCs/>
          <w:lang w:val="es-ES_tradnl"/>
        </w:rPr>
        <w:t xml:space="preserve">simultáneas </w:t>
      </w:r>
      <w:r w:rsidR="00FA4EDC">
        <w:rPr>
          <w:lang w:val="es-ES_tradnl"/>
        </w:rPr>
        <w:t xml:space="preserve">por correspondencia </w:t>
      </w:r>
      <w:r w:rsidR="00BF197D" w:rsidRPr="00792118">
        <w:rPr>
          <w:lang w:val="es-ES_tradnl"/>
        </w:rPr>
        <w:t xml:space="preserve">en la Circular Administrativa </w:t>
      </w:r>
      <w:hyperlink r:id="rId13" w:history="1">
        <w:r w:rsidR="00BF197D" w:rsidRPr="00792118">
          <w:rPr>
            <w:rStyle w:val="Hyperlink"/>
            <w:lang w:val="es-ES_tradnl"/>
          </w:rPr>
          <w:t>CACE/737</w:t>
        </w:r>
      </w:hyperlink>
      <w:r w:rsidR="00BF197D" w:rsidRPr="00792118">
        <w:rPr>
          <w:lang w:val="es-ES_tradnl"/>
        </w:rPr>
        <w:t xml:space="preserve"> de 9 de julio de 2015.</w:t>
      </w:r>
    </w:p>
    <w:p w:rsidR="00A10635" w:rsidRPr="00792118" w:rsidRDefault="00A1406F" w:rsidP="00822172">
      <w:pPr>
        <w:rPr>
          <w:lang w:val="es-ES_tradnl"/>
        </w:rPr>
      </w:pPr>
      <w:r w:rsidRPr="00792118">
        <w:rPr>
          <w:lang w:val="es-ES_tradnl"/>
        </w:rPr>
        <w:t xml:space="preserve">Posteriormente, </w:t>
      </w:r>
      <w:r w:rsidR="00157BA0" w:rsidRPr="00792118">
        <w:rPr>
          <w:lang w:val="es-ES_tradnl"/>
        </w:rPr>
        <w:t>al final d</w:t>
      </w:r>
      <w:r w:rsidRPr="00792118">
        <w:rPr>
          <w:lang w:val="es-ES_tradnl"/>
        </w:rPr>
        <w:t xml:space="preserve">el periodo especificado de dos meses, la </w:t>
      </w:r>
      <w:r w:rsidR="00157BA0" w:rsidRPr="00792118">
        <w:rPr>
          <w:lang w:val="es-ES_tradnl"/>
        </w:rPr>
        <w:t>segunda administración</w:t>
      </w:r>
      <w:r w:rsidRPr="00792118">
        <w:rPr>
          <w:lang w:val="es-ES_tradnl"/>
        </w:rPr>
        <w:t xml:space="preserve"> mencionada presentó una objeción </w:t>
      </w:r>
      <w:r w:rsidR="00157BA0" w:rsidRPr="00792118">
        <w:rPr>
          <w:lang w:val="es-ES_tradnl"/>
        </w:rPr>
        <w:t>por escrito con las motivaciones siguientes</w:t>
      </w:r>
      <w:r w:rsidR="00A10635" w:rsidRPr="00792118">
        <w:rPr>
          <w:lang w:val="es-ES_tradnl"/>
        </w:rPr>
        <w:t>:</w:t>
      </w:r>
    </w:p>
    <w:p w:rsidR="00272BE9" w:rsidRPr="00792118" w:rsidRDefault="00272BE9" w:rsidP="002E6B28">
      <w:pPr>
        <w:pStyle w:val="enumlev1"/>
        <w:rPr>
          <w:i/>
          <w:iCs/>
          <w:lang w:val="es-ES_tradnl"/>
        </w:rPr>
      </w:pPr>
      <w:r w:rsidRPr="00792118">
        <w:rPr>
          <w:i/>
          <w:iCs/>
          <w:lang w:val="es-ES_tradnl"/>
        </w:rPr>
        <w:tab/>
      </w:r>
      <w:r w:rsidR="002407ED" w:rsidRPr="00792118">
        <w:rPr>
          <w:i/>
          <w:iCs/>
          <w:lang w:val="es-ES_tradnl"/>
        </w:rPr>
        <w:t>«</w:t>
      </w:r>
      <w:r w:rsidR="00157BA0" w:rsidRPr="00792118">
        <w:rPr>
          <w:i/>
          <w:iCs/>
          <w:lang w:val="es-ES_tradnl"/>
        </w:rPr>
        <w:t>Las metodologías</w:t>
      </w:r>
      <w:r w:rsidR="00BF197D" w:rsidRPr="00792118">
        <w:rPr>
          <w:i/>
          <w:iCs/>
          <w:lang w:val="es-ES_tradnl"/>
        </w:rPr>
        <w:t xml:space="preserve"> de cálculo establecidas en el p</w:t>
      </w:r>
      <w:r w:rsidR="00157BA0" w:rsidRPr="00792118">
        <w:rPr>
          <w:i/>
          <w:iCs/>
          <w:lang w:val="es-ES_tradnl"/>
        </w:rPr>
        <w:t>royecto de Recomendación se elaborar</w:t>
      </w:r>
      <w:r w:rsidR="00BF197D" w:rsidRPr="00792118">
        <w:rPr>
          <w:i/>
          <w:iCs/>
          <w:lang w:val="es-ES_tradnl"/>
        </w:rPr>
        <w:t>on basándose en las prioridades</w:t>
      </w:r>
      <w:r w:rsidR="00157BA0" w:rsidRPr="00792118">
        <w:rPr>
          <w:i/>
          <w:iCs/>
          <w:lang w:val="es-ES_tradnl"/>
        </w:rPr>
        <w:t xml:space="preserve"> indicadas en el Artículo </w:t>
      </w:r>
      <w:r w:rsidR="00157BA0" w:rsidRPr="00792118">
        <w:rPr>
          <w:b/>
          <w:bCs/>
          <w:i/>
          <w:iCs/>
          <w:lang w:val="es-ES_tradnl"/>
        </w:rPr>
        <w:t>44</w:t>
      </w:r>
      <w:r w:rsidR="00157BA0" w:rsidRPr="00792118">
        <w:rPr>
          <w:i/>
          <w:iCs/>
          <w:lang w:val="es-ES_tradnl"/>
        </w:rPr>
        <w:t xml:space="preserve"> del Reglamento de Radiocomunicaciones. Sin embargo, como muestra el </w:t>
      </w:r>
      <w:r w:rsidR="006C1AE5" w:rsidRPr="00792118">
        <w:rPr>
          <w:i/>
          <w:iCs/>
          <w:lang w:val="es-ES_tradnl"/>
        </w:rPr>
        <w:t xml:space="preserve">Documento </w:t>
      </w:r>
      <w:r w:rsidRPr="00792118">
        <w:rPr>
          <w:i/>
          <w:iCs/>
          <w:lang w:val="es-ES_tradnl"/>
        </w:rPr>
        <w:t xml:space="preserve">ACP-WGF 19/IP01 </w:t>
      </w:r>
      <w:r w:rsidR="00927390">
        <w:rPr>
          <w:i/>
          <w:iCs/>
          <w:lang w:val="es-ES_tradnl"/>
        </w:rPr>
        <w:t>del Grupo de Trabajo F </w:t>
      </w:r>
      <w:r w:rsidR="002E6B28" w:rsidRPr="00792118">
        <w:rPr>
          <w:i/>
          <w:iCs/>
          <w:lang w:val="es-ES_tradnl"/>
        </w:rPr>
        <w:t>19 de la OACI</w:t>
      </w:r>
      <w:r w:rsidR="002E6B28" w:rsidRPr="00792118">
        <w:rPr>
          <w:i/>
          <w:iCs/>
          <w:lang w:val="es-ES_tradnl"/>
        </w:rPr>
        <w:t xml:space="preserve"> </w:t>
      </w:r>
      <w:r w:rsidR="00157BA0" w:rsidRPr="00792118">
        <w:rPr>
          <w:i/>
          <w:iCs/>
          <w:lang w:val="es-ES_tradnl"/>
        </w:rPr>
        <w:t>de</w:t>
      </w:r>
      <w:r w:rsidRPr="00792118">
        <w:rPr>
          <w:i/>
          <w:iCs/>
          <w:lang w:val="es-ES_tradnl"/>
        </w:rPr>
        <w:t xml:space="preserve"> 18 </w:t>
      </w:r>
      <w:r w:rsidR="00157BA0" w:rsidRPr="00792118">
        <w:rPr>
          <w:i/>
          <w:iCs/>
          <w:lang w:val="es-ES_tradnl"/>
        </w:rPr>
        <w:t>de julio de</w:t>
      </w:r>
      <w:r w:rsidRPr="00792118">
        <w:rPr>
          <w:i/>
          <w:iCs/>
          <w:lang w:val="es-ES_tradnl"/>
        </w:rPr>
        <w:t xml:space="preserve"> 2008, </w:t>
      </w:r>
      <w:r w:rsidR="00157BA0" w:rsidRPr="00792118">
        <w:rPr>
          <w:i/>
          <w:iCs/>
          <w:lang w:val="es-ES_tradnl"/>
        </w:rPr>
        <w:t>algunas categorías</w:t>
      </w:r>
      <w:r w:rsidRPr="00792118">
        <w:rPr>
          <w:i/>
          <w:iCs/>
          <w:lang w:val="es-ES_tradnl"/>
        </w:rPr>
        <w:t xml:space="preserve"> </w:t>
      </w:r>
      <w:r w:rsidR="00A478E5" w:rsidRPr="00792118">
        <w:rPr>
          <w:i/>
          <w:iCs/>
          <w:lang w:val="es-ES_tradnl"/>
        </w:rPr>
        <w:t xml:space="preserve">de prioridad de las comunicaciones del Artículo </w:t>
      </w:r>
      <w:r w:rsidR="00A478E5" w:rsidRPr="00792118">
        <w:rPr>
          <w:b/>
          <w:bCs/>
          <w:i/>
          <w:iCs/>
          <w:lang w:val="es-ES_tradnl"/>
        </w:rPr>
        <w:t>44</w:t>
      </w:r>
      <w:r w:rsidR="00A478E5" w:rsidRPr="00792118">
        <w:rPr>
          <w:i/>
          <w:iCs/>
          <w:lang w:val="es-ES_tradnl"/>
        </w:rPr>
        <w:t xml:space="preserve"> del Reglamento de Radiocomunicaciones ya no se utilizan o no está previsto su uso (categorías de prioridad 2 y 3). Por tanto, las metodologías desarrolladas no tienen en cuenta los tipos de comunicacio</w:t>
      </w:r>
      <w:r w:rsidR="00BF197D" w:rsidRPr="00792118">
        <w:rPr>
          <w:i/>
          <w:iCs/>
          <w:lang w:val="es-ES_tradnl"/>
        </w:rPr>
        <w:t>nes de la aviación normalizados</w:t>
      </w:r>
      <w:r w:rsidR="00A478E5" w:rsidRPr="00792118">
        <w:rPr>
          <w:i/>
          <w:iCs/>
          <w:lang w:val="es-ES_tradnl"/>
        </w:rPr>
        <w:t xml:space="preserve"> por la OACI y son, por </w:t>
      </w:r>
      <w:r w:rsidR="00BF197D" w:rsidRPr="00792118">
        <w:rPr>
          <w:i/>
          <w:iCs/>
          <w:lang w:val="es-ES_tradnl"/>
        </w:rPr>
        <w:t>c</w:t>
      </w:r>
      <w:r w:rsidR="00A478E5" w:rsidRPr="00792118">
        <w:rPr>
          <w:i/>
          <w:iCs/>
          <w:lang w:val="es-ES_tradnl"/>
        </w:rPr>
        <w:t>onsiguiente, incapaces de ofrecer una apreciación suficientemente objetiva del tráfico prioritario del servicio móvil aeronáutico (en rutas) por satélite, aunque si tienen en cuenta al tráfico comercial no prioritario.</w:t>
      </w:r>
    </w:p>
    <w:p w:rsidR="00272BE9" w:rsidRPr="00792118" w:rsidRDefault="00272BE9" w:rsidP="00822172">
      <w:pPr>
        <w:pStyle w:val="enumlev1"/>
        <w:rPr>
          <w:i/>
          <w:iCs/>
          <w:lang w:val="es-ES_tradnl"/>
        </w:rPr>
      </w:pPr>
      <w:r w:rsidRPr="00792118">
        <w:rPr>
          <w:i/>
          <w:iCs/>
          <w:lang w:val="es-ES_tradnl"/>
        </w:rPr>
        <w:tab/>
        <w:t>A</w:t>
      </w:r>
      <w:r w:rsidR="00A478E5" w:rsidRPr="00792118">
        <w:rPr>
          <w:i/>
          <w:iCs/>
          <w:lang w:val="es-ES_tradnl"/>
        </w:rPr>
        <w:t>sí m</w:t>
      </w:r>
      <w:r w:rsidR="00BF197D" w:rsidRPr="00792118">
        <w:rPr>
          <w:i/>
          <w:iCs/>
          <w:lang w:val="es-ES_tradnl"/>
        </w:rPr>
        <w:t>ismo, durante los trabajos del G</w:t>
      </w:r>
      <w:r w:rsidR="00A478E5" w:rsidRPr="00792118">
        <w:rPr>
          <w:i/>
          <w:iCs/>
          <w:lang w:val="es-ES_tradnl"/>
        </w:rPr>
        <w:t xml:space="preserve">rupo por correspondencia con el mandato que figura en el Anexo 12 al </w:t>
      </w:r>
      <w:r w:rsidR="0036686B" w:rsidRPr="00792118">
        <w:rPr>
          <w:i/>
          <w:iCs/>
          <w:lang w:val="es-ES_tradnl"/>
        </w:rPr>
        <w:t xml:space="preserve">Documento </w:t>
      </w:r>
      <w:r w:rsidRPr="00792118">
        <w:rPr>
          <w:i/>
          <w:iCs/>
          <w:lang w:val="es-ES_tradnl"/>
        </w:rPr>
        <w:t xml:space="preserve">4C/369 </w:t>
      </w:r>
      <w:r w:rsidR="00A478E5" w:rsidRPr="00792118">
        <w:rPr>
          <w:i/>
          <w:iCs/>
          <w:lang w:val="es-ES_tradnl"/>
        </w:rPr>
        <w:t>de</w:t>
      </w:r>
      <w:r w:rsidRPr="00792118">
        <w:rPr>
          <w:i/>
          <w:iCs/>
          <w:lang w:val="es-ES_tradnl"/>
        </w:rPr>
        <w:t xml:space="preserve"> 18 </w:t>
      </w:r>
      <w:r w:rsidR="00A478E5" w:rsidRPr="00792118">
        <w:rPr>
          <w:i/>
          <w:iCs/>
          <w:lang w:val="es-ES_tradnl"/>
        </w:rPr>
        <w:t>julio de</w:t>
      </w:r>
      <w:r w:rsidRPr="00792118">
        <w:rPr>
          <w:i/>
          <w:iCs/>
          <w:lang w:val="es-ES_tradnl"/>
        </w:rPr>
        <w:t xml:space="preserve"> 2014, </w:t>
      </w:r>
      <w:r w:rsidR="00A478E5" w:rsidRPr="00792118">
        <w:rPr>
          <w:i/>
          <w:iCs/>
          <w:lang w:val="es-ES_tradnl"/>
        </w:rPr>
        <w:t>la Administración de la Federación de Rusia</w:t>
      </w:r>
      <w:r w:rsidRPr="00792118">
        <w:rPr>
          <w:i/>
          <w:iCs/>
          <w:lang w:val="es-ES_tradnl"/>
        </w:rPr>
        <w:t xml:space="preserve"> </w:t>
      </w:r>
      <w:r w:rsidR="00A478E5" w:rsidRPr="00792118">
        <w:rPr>
          <w:i/>
          <w:iCs/>
          <w:lang w:val="es-ES_tradnl"/>
        </w:rPr>
        <w:t>propuso una estructura para calcular las necesidades y las condiciones</w:t>
      </w:r>
      <w:r w:rsidR="000A1363" w:rsidRPr="00792118">
        <w:rPr>
          <w:i/>
          <w:iCs/>
          <w:lang w:val="es-ES_tradnl"/>
        </w:rPr>
        <w:t xml:space="preserve"> para un posible uso de canales por satélite para comunicaciones prioritarias, así como una</w:t>
      </w:r>
      <w:r w:rsidRPr="00792118">
        <w:rPr>
          <w:i/>
          <w:iCs/>
          <w:lang w:val="es-ES_tradnl"/>
        </w:rPr>
        <w:t xml:space="preserve"> </w:t>
      </w:r>
      <w:r w:rsidR="000A1363" w:rsidRPr="00792118">
        <w:rPr>
          <w:i/>
          <w:iCs/>
          <w:lang w:val="es-ES_tradnl"/>
        </w:rPr>
        <w:t>lista básica de datos y requisitos</w:t>
      </w:r>
      <w:r w:rsidRPr="00792118">
        <w:rPr>
          <w:i/>
          <w:iCs/>
          <w:lang w:val="es-ES_tradnl"/>
        </w:rPr>
        <w:t xml:space="preserve"> </w:t>
      </w:r>
      <w:r w:rsidR="000A1363" w:rsidRPr="00792118">
        <w:rPr>
          <w:i/>
          <w:iCs/>
          <w:lang w:val="es-ES_tradnl"/>
        </w:rPr>
        <w:t>para su presentación. La toma en consideración de estas propuestas y el desarrollo de las metodologías correspondientes permitirían excluir del cálculo el tráfico comercial, la repetición del registro de las necesidades de las diferentes empresas de transporte aéreo</w:t>
      </w:r>
      <w:r w:rsidR="00303FA4" w:rsidRPr="00792118">
        <w:rPr>
          <w:i/>
          <w:iCs/>
          <w:lang w:val="es-ES_tradnl"/>
        </w:rPr>
        <w:t xml:space="preserve"> y el tráfico transmitido en el marco del servicio móvil aeronáutico (R). Sin embargo, estas propuestas no se han tenido en cuenta en los trabajos sino que </w:t>
      </w:r>
      <w:r w:rsidR="00BF197D" w:rsidRPr="00792118">
        <w:rPr>
          <w:i/>
          <w:iCs/>
          <w:lang w:val="es-ES_tradnl"/>
        </w:rPr>
        <w:t xml:space="preserve">el Presidente del </w:t>
      </w:r>
      <w:r w:rsidR="00A40271" w:rsidRPr="00792118">
        <w:rPr>
          <w:i/>
          <w:iCs/>
          <w:lang w:val="es-ES_tradnl"/>
        </w:rPr>
        <w:t xml:space="preserve">Grupo </w:t>
      </w:r>
      <w:r w:rsidR="00303FA4" w:rsidRPr="00792118">
        <w:rPr>
          <w:i/>
          <w:iCs/>
          <w:lang w:val="es-ES_tradnl"/>
        </w:rPr>
        <w:t xml:space="preserve">por correspondencia </w:t>
      </w:r>
      <w:r w:rsidR="00BF197D" w:rsidRPr="00792118">
        <w:rPr>
          <w:i/>
          <w:iCs/>
          <w:lang w:val="es-ES_tradnl"/>
        </w:rPr>
        <w:t xml:space="preserve">las presentó </w:t>
      </w:r>
      <w:r w:rsidR="00303FA4" w:rsidRPr="00792118">
        <w:rPr>
          <w:i/>
          <w:iCs/>
          <w:lang w:val="es-ES_tradnl"/>
        </w:rPr>
        <w:t>como una metodología adicional, lo que en nuestra opinión es incorrecto</w:t>
      </w:r>
      <w:r w:rsidRPr="00792118">
        <w:rPr>
          <w:i/>
          <w:iCs/>
          <w:lang w:val="es-ES_tradnl"/>
        </w:rPr>
        <w:t>.</w:t>
      </w:r>
    </w:p>
    <w:p w:rsidR="00272BE9" w:rsidRPr="00792118" w:rsidRDefault="00272BE9" w:rsidP="00822172">
      <w:pPr>
        <w:pStyle w:val="enumlev1"/>
        <w:rPr>
          <w:i/>
          <w:iCs/>
          <w:lang w:val="es-ES_tradnl"/>
        </w:rPr>
      </w:pPr>
      <w:r w:rsidRPr="00792118">
        <w:rPr>
          <w:i/>
          <w:iCs/>
          <w:lang w:val="es-ES_tradnl"/>
        </w:rPr>
        <w:tab/>
      </w:r>
      <w:r w:rsidR="00123E19" w:rsidRPr="00792118">
        <w:rPr>
          <w:i/>
          <w:iCs/>
          <w:lang w:val="es-ES_tradnl"/>
        </w:rPr>
        <w:t xml:space="preserve">Habida cuenta del tiempo limitado disponible para llevar a cabo las </w:t>
      </w:r>
      <w:r w:rsidR="00A309D1" w:rsidRPr="00792118">
        <w:rPr>
          <w:i/>
          <w:iCs/>
          <w:lang w:val="es-ES_tradnl"/>
        </w:rPr>
        <w:t>reuniones</w:t>
      </w:r>
      <w:r w:rsidR="00123E19" w:rsidRPr="00792118">
        <w:rPr>
          <w:i/>
          <w:iCs/>
          <w:lang w:val="es-ES_tradnl"/>
        </w:rPr>
        <w:t xml:space="preserve"> </w:t>
      </w:r>
      <w:r w:rsidR="00A309D1" w:rsidRPr="00792118">
        <w:rPr>
          <w:i/>
          <w:iCs/>
          <w:lang w:val="es-ES_tradnl"/>
        </w:rPr>
        <w:t>multilaterales</w:t>
      </w:r>
      <w:r w:rsidR="00123E19" w:rsidRPr="00792118">
        <w:rPr>
          <w:i/>
          <w:iCs/>
          <w:lang w:val="es-ES_tradnl"/>
        </w:rPr>
        <w:t xml:space="preserve"> o las </w:t>
      </w:r>
      <w:r w:rsidR="00A309D1" w:rsidRPr="00792118">
        <w:rPr>
          <w:i/>
          <w:iCs/>
          <w:lang w:val="es-ES_tradnl"/>
        </w:rPr>
        <w:t>reuniones</w:t>
      </w:r>
      <w:r w:rsidR="00BF197D" w:rsidRPr="00792118">
        <w:rPr>
          <w:i/>
          <w:iCs/>
          <w:lang w:val="es-ES_tradnl"/>
        </w:rPr>
        <w:t xml:space="preserve"> consiguientes</w:t>
      </w:r>
      <w:r w:rsidRPr="00792118">
        <w:rPr>
          <w:i/>
          <w:iCs/>
          <w:lang w:val="es-ES_tradnl"/>
        </w:rPr>
        <w:t xml:space="preserve"> </w:t>
      </w:r>
      <w:r w:rsidR="00A309D1" w:rsidRPr="00792118">
        <w:rPr>
          <w:i/>
          <w:iCs/>
          <w:lang w:val="es-ES_tradnl"/>
        </w:rPr>
        <w:t xml:space="preserve">en virtud de las disposiciones de la Resolución 222 del Reglamento de Radiocomunicaciones, teniendo en cuenta así mismo la complejidad de </w:t>
      </w:r>
      <w:r w:rsidR="00BF197D" w:rsidRPr="00792118">
        <w:rPr>
          <w:i/>
          <w:iCs/>
          <w:lang w:val="es-ES_tradnl"/>
        </w:rPr>
        <w:t>las metodologías propuestas y el</w:t>
      </w:r>
      <w:r w:rsidR="00A309D1" w:rsidRPr="00792118">
        <w:rPr>
          <w:i/>
          <w:iCs/>
          <w:lang w:val="es-ES_tradnl"/>
        </w:rPr>
        <w:t xml:space="preserve"> </w:t>
      </w:r>
      <w:r w:rsidR="00BF197D" w:rsidRPr="00792118">
        <w:rPr>
          <w:i/>
          <w:iCs/>
          <w:lang w:val="es-ES_tradnl"/>
        </w:rPr>
        <w:t>elevado</w:t>
      </w:r>
      <w:r w:rsidR="00A309D1" w:rsidRPr="00792118">
        <w:rPr>
          <w:i/>
          <w:iCs/>
          <w:lang w:val="es-ES_tradnl"/>
        </w:rPr>
        <w:t xml:space="preserve"> número de parámetros (unos 150), parece poco probable que </w:t>
      </w:r>
      <w:r w:rsidR="00805E9C" w:rsidRPr="00792118">
        <w:rPr>
          <w:i/>
          <w:iCs/>
          <w:lang w:val="es-ES_tradnl"/>
        </w:rPr>
        <w:t>durante la</w:t>
      </w:r>
      <w:r w:rsidR="00A47126" w:rsidRPr="00792118">
        <w:rPr>
          <w:i/>
          <w:iCs/>
          <w:lang w:val="es-ES_tradnl"/>
        </w:rPr>
        <w:t xml:space="preserve"> </w:t>
      </w:r>
      <w:r w:rsidR="00805E9C" w:rsidRPr="00792118">
        <w:rPr>
          <w:i/>
          <w:iCs/>
          <w:lang w:val="es-ES_tradnl"/>
        </w:rPr>
        <w:t xml:space="preserve">reunión </w:t>
      </w:r>
      <w:r w:rsidR="00A309D1" w:rsidRPr="00792118">
        <w:rPr>
          <w:i/>
          <w:iCs/>
          <w:lang w:val="es-ES_tradnl"/>
        </w:rPr>
        <w:t>se alcance un acuerdo sobre el uso de las metodologías de cálculo propuestas y de los datos de entrada correspondientes. Por lo tanto, seguirá siendo impo</w:t>
      </w:r>
      <w:r w:rsidR="00805E9C" w:rsidRPr="00792118">
        <w:rPr>
          <w:i/>
          <w:iCs/>
          <w:lang w:val="es-ES_tradnl"/>
        </w:rPr>
        <w:t>sible en el futuro satisfacer la</w:t>
      </w:r>
      <w:r w:rsidR="00A309D1" w:rsidRPr="00792118">
        <w:rPr>
          <w:i/>
          <w:iCs/>
          <w:lang w:val="es-ES_tradnl"/>
        </w:rPr>
        <w:t xml:space="preserve">s </w:t>
      </w:r>
      <w:r w:rsidR="00805E9C" w:rsidRPr="00792118">
        <w:rPr>
          <w:i/>
          <w:iCs/>
          <w:lang w:val="es-ES_tradnl"/>
        </w:rPr>
        <w:t>necesidades</w:t>
      </w:r>
      <w:r w:rsidR="00A309D1" w:rsidRPr="00792118">
        <w:rPr>
          <w:i/>
          <w:iCs/>
          <w:lang w:val="es-ES_tradnl"/>
        </w:rPr>
        <w:t xml:space="preserve"> de un operador que transmita exclusivamente comunicaciones prioritarias de </w:t>
      </w:r>
      <w:r w:rsidR="00573E3D" w:rsidRPr="00792118">
        <w:rPr>
          <w:i/>
          <w:iCs/>
          <w:lang w:val="es-ES_tradnl"/>
        </w:rPr>
        <w:t xml:space="preserve">las </w:t>
      </w:r>
      <w:r w:rsidR="00A309D1" w:rsidRPr="00792118">
        <w:rPr>
          <w:i/>
          <w:iCs/>
          <w:lang w:val="es-ES_tradnl"/>
        </w:rPr>
        <w:t>categoría</w:t>
      </w:r>
      <w:r w:rsidR="00573E3D" w:rsidRPr="00792118">
        <w:rPr>
          <w:i/>
          <w:iCs/>
          <w:lang w:val="es-ES_tradnl"/>
        </w:rPr>
        <w:t>s</w:t>
      </w:r>
      <w:r w:rsidR="00A309D1" w:rsidRPr="00792118">
        <w:rPr>
          <w:i/>
          <w:iCs/>
          <w:lang w:val="es-ES_tradnl"/>
        </w:rPr>
        <w:t xml:space="preserve"> 1-6 del Artículo </w:t>
      </w:r>
      <w:r w:rsidR="00A309D1" w:rsidRPr="00792118">
        <w:rPr>
          <w:b/>
          <w:bCs/>
          <w:i/>
          <w:iCs/>
          <w:lang w:val="es-ES_tradnl"/>
        </w:rPr>
        <w:t>44</w:t>
      </w:r>
      <w:r w:rsidR="00A309D1" w:rsidRPr="00792118">
        <w:rPr>
          <w:i/>
          <w:iCs/>
          <w:lang w:val="es-ES_tradnl"/>
        </w:rPr>
        <w:t xml:space="preserve"> del Reglamento de Radiocomunicaciones.</w:t>
      </w:r>
    </w:p>
    <w:p w:rsidR="00272BE9" w:rsidRPr="00792118" w:rsidRDefault="00272BE9" w:rsidP="00822172">
      <w:pPr>
        <w:pStyle w:val="enumlev1"/>
        <w:rPr>
          <w:i/>
          <w:iCs/>
          <w:lang w:val="es-ES_tradnl"/>
        </w:rPr>
      </w:pPr>
      <w:r w:rsidRPr="00792118">
        <w:rPr>
          <w:i/>
          <w:iCs/>
          <w:lang w:val="es-ES_tradnl"/>
        </w:rPr>
        <w:tab/>
      </w:r>
      <w:r w:rsidR="00805E9C" w:rsidRPr="00792118">
        <w:rPr>
          <w:i/>
          <w:iCs/>
          <w:lang w:val="es-ES_tradnl"/>
        </w:rPr>
        <w:t>Así mismo</w:t>
      </w:r>
      <w:r w:rsidR="00573E3D" w:rsidRPr="00792118">
        <w:rPr>
          <w:i/>
          <w:iCs/>
          <w:lang w:val="es-ES_tradnl"/>
        </w:rPr>
        <w:t xml:space="preserve">, deseamos llamar su atención sobre el hecho de que, para implantar una metodología efectiva, es necesario resolver en su totalidad los asuntos siguientes. </w:t>
      </w:r>
    </w:p>
    <w:p w:rsidR="00272BE9" w:rsidRPr="00792118" w:rsidRDefault="00822172" w:rsidP="00822172">
      <w:pPr>
        <w:pStyle w:val="enumlev2"/>
        <w:rPr>
          <w:i/>
          <w:iCs/>
          <w:lang w:val="es-ES_tradnl"/>
        </w:rPr>
      </w:pPr>
      <w:r w:rsidRPr="00792118">
        <w:rPr>
          <w:i/>
          <w:iCs/>
          <w:lang w:val="es-ES_tradnl"/>
        </w:rPr>
        <w:t>1)</w:t>
      </w:r>
      <w:r w:rsidR="00272BE9" w:rsidRPr="00792118">
        <w:rPr>
          <w:i/>
          <w:iCs/>
          <w:lang w:val="es-ES_tradnl"/>
        </w:rPr>
        <w:tab/>
      </w:r>
      <w:r w:rsidR="00573E3D" w:rsidRPr="00792118">
        <w:rPr>
          <w:i/>
          <w:iCs/>
          <w:lang w:val="es-ES_tradnl"/>
        </w:rPr>
        <w:t xml:space="preserve">Las categorías de prioridad del Artículo </w:t>
      </w:r>
      <w:r w:rsidR="00573E3D" w:rsidRPr="00792118">
        <w:rPr>
          <w:b/>
          <w:bCs/>
          <w:i/>
          <w:iCs/>
          <w:lang w:val="es-ES_tradnl"/>
        </w:rPr>
        <w:t>44</w:t>
      </w:r>
      <w:r w:rsidR="00573E3D" w:rsidRPr="00792118">
        <w:rPr>
          <w:i/>
          <w:iCs/>
          <w:lang w:val="es-ES_tradnl"/>
        </w:rPr>
        <w:t xml:space="preserve"> del Reglamento de Radiocomunicaciones deben alinearse con las necesidades actuales y futuras de los servicios aeronáuticos</w:t>
      </w:r>
      <w:r w:rsidR="00272BE9" w:rsidRPr="00792118">
        <w:rPr>
          <w:i/>
          <w:iCs/>
          <w:lang w:val="es-ES_tradnl"/>
        </w:rPr>
        <w:t>.</w:t>
      </w:r>
      <w:r w:rsidR="00A451E2" w:rsidRPr="00792118">
        <w:rPr>
          <w:i/>
          <w:iCs/>
          <w:lang w:val="es-ES_tradnl"/>
        </w:rPr>
        <w:t xml:space="preserve"> </w:t>
      </w:r>
    </w:p>
    <w:p w:rsidR="00272BE9" w:rsidRPr="00792118" w:rsidRDefault="00822172" w:rsidP="00822172">
      <w:pPr>
        <w:pStyle w:val="enumlev2"/>
        <w:rPr>
          <w:i/>
          <w:iCs/>
          <w:lang w:val="es-ES_tradnl"/>
        </w:rPr>
      </w:pPr>
      <w:r w:rsidRPr="00792118">
        <w:rPr>
          <w:i/>
          <w:iCs/>
          <w:lang w:val="es-ES_tradnl"/>
        </w:rPr>
        <w:t>2)</w:t>
      </w:r>
      <w:r w:rsidR="00272BE9" w:rsidRPr="00792118">
        <w:rPr>
          <w:i/>
          <w:iCs/>
          <w:lang w:val="es-ES_tradnl"/>
        </w:rPr>
        <w:tab/>
      </w:r>
      <w:r w:rsidR="00A451E2" w:rsidRPr="00792118">
        <w:rPr>
          <w:i/>
          <w:iCs/>
          <w:lang w:val="es-ES_tradnl"/>
        </w:rPr>
        <w:t>Para comunicaciones prioritarias, en particular en materia de comunicaciones</w:t>
      </w:r>
      <w:r w:rsidR="00A47126" w:rsidRPr="00792118">
        <w:rPr>
          <w:i/>
          <w:iCs/>
          <w:lang w:val="es-ES_tradnl"/>
        </w:rPr>
        <w:t xml:space="preserve"> </w:t>
      </w:r>
      <w:r w:rsidR="00A451E2" w:rsidRPr="00792118">
        <w:rPr>
          <w:i/>
          <w:iCs/>
          <w:lang w:val="es-ES_tradnl"/>
        </w:rPr>
        <w:t>relacionadas con la seguridad de vuelo, no es aceptable la distribución de la fiabilidad de las transmisiones y de las necesidades de tiempo dependiendo de si esas comunicaciones se transmiten</w:t>
      </w:r>
      <w:r w:rsidR="0072055D" w:rsidRPr="00792118">
        <w:rPr>
          <w:i/>
          <w:iCs/>
          <w:lang w:val="es-ES_tradnl"/>
        </w:rPr>
        <w:t xml:space="preserve"> en el servicio aeronáutico de radiocomunicaciones terrenal o por satélite. Si estos requisitos fueran impracticables cuando se utiliza el segmento espacial, habría que volver a </w:t>
      </w:r>
      <w:r w:rsidR="0072055D" w:rsidRPr="00792118">
        <w:rPr>
          <w:i/>
          <w:iCs/>
          <w:lang w:val="es-ES_tradnl"/>
        </w:rPr>
        <w:lastRenderedPageBreak/>
        <w:t xml:space="preserve">considerar el asunto de la priorización de las comunicaciones. Por lo tanto, conviene examinar los diferentes tipos de comunicaciones aeronáuticas que se </w:t>
      </w:r>
      <w:r w:rsidR="00805E9C" w:rsidRPr="00792118">
        <w:rPr>
          <w:i/>
          <w:iCs/>
          <w:lang w:val="es-ES_tradnl"/>
        </w:rPr>
        <w:t>cursan</w:t>
      </w:r>
      <w:r w:rsidR="0072055D" w:rsidRPr="00792118">
        <w:rPr>
          <w:i/>
          <w:iCs/>
          <w:lang w:val="es-ES_tradnl"/>
        </w:rPr>
        <w:t xml:space="preserve"> mediante vehículos espaciales geoestacionarios y deben asignarse las prioridades a estas comunicaciones, teniendo en cuenta los principios establecidos </w:t>
      </w:r>
      <w:r w:rsidR="00F61F52" w:rsidRPr="00792118">
        <w:rPr>
          <w:i/>
          <w:iCs/>
          <w:lang w:val="es-ES_tradnl"/>
        </w:rPr>
        <w:t>en los considerando de la Recomendación</w:t>
      </w:r>
      <w:r w:rsidR="00272BE9" w:rsidRPr="00792118">
        <w:rPr>
          <w:i/>
          <w:iCs/>
          <w:lang w:val="es-ES_tradnl"/>
        </w:rPr>
        <w:t>.</w:t>
      </w:r>
    </w:p>
    <w:p w:rsidR="00272BE9" w:rsidRPr="00792118" w:rsidRDefault="00822172" w:rsidP="00822172">
      <w:pPr>
        <w:pStyle w:val="enumlev2"/>
        <w:rPr>
          <w:i/>
          <w:iCs/>
          <w:lang w:val="es-ES_tradnl"/>
        </w:rPr>
      </w:pPr>
      <w:r w:rsidRPr="00792118">
        <w:rPr>
          <w:i/>
          <w:iCs/>
          <w:lang w:val="es-ES_tradnl"/>
        </w:rPr>
        <w:t>3)</w:t>
      </w:r>
      <w:r w:rsidR="00272BE9" w:rsidRPr="00792118">
        <w:rPr>
          <w:i/>
          <w:iCs/>
          <w:lang w:val="es-ES_tradnl"/>
        </w:rPr>
        <w:tab/>
      </w:r>
      <w:r w:rsidR="00F61F52" w:rsidRPr="00792118">
        <w:rPr>
          <w:i/>
          <w:iCs/>
          <w:lang w:val="es-ES_tradnl"/>
        </w:rPr>
        <w:t>La OACI u otro organismo responsa</w:t>
      </w:r>
      <w:r w:rsidR="00805E9C" w:rsidRPr="00792118">
        <w:rPr>
          <w:i/>
          <w:iCs/>
          <w:lang w:val="es-ES_tradnl"/>
        </w:rPr>
        <w:t>ble del sector aeronáutico debe</w:t>
      </w:r>
      <w:r w:rsidR="00F61F52" w:rsidRPr="00792118">
        <w:rPr>
          <w:i/>
          <w:iCs/>
          <w:lang w:val="es-ES_tradnl"/>
        </w:rPr>
        <w:t xml:space="preserve"> confirmar la información sobre la cantidad de aeronaves equipadas con estaciones de comunicaciones por satélite y sobre el tráfico prioritario para cada aeronave en función de la lo</w:t>
      </w:r>
      <w:r w:rsidR="002407ED" w:rsidRPr="00792118">
        <w:rPr>
          <w:i/>
          <w:iCs/>
          <w:lang w:val="es-ES_tradnl"/>
        </w:rPr>
        <w:t>ngitud de su ruta, entre otros.</w:t>
      </w:r>
    </w:p>
    <w:p w:rsidR="00272BE9" w:rsidRPr="00792118" w:rsidRDefault="00272BE9" w:rsidP="00822172">
      <w:pPr>
        <w:pStyle w:val="enumlev1"/>
        <w:rPr>
          <w:i/>
          <w:iCs/>
          <w:lang w:val="es-ES_tradnl"/>
        </w:rPr>
      </w:pPr>
      <w:r w:rsidRPr="00792118">
        <w:rPr>
          <w:lang w:val="es-ES_tradnl"/>
        </w:rPr>
        <w:tab/>
      </w:r>
      <w:r w:rsidR="00F61F52" w:rsidRPr="00792118">
        <w:rPr>
          <w:i/>
          <w:iCs/>
          <w:lang w:val="es-ES_tradnl"/>
        </w:rPr>
        <w:t xml:space="preserve">Los </w:t>
      </w:r>
      <w:r w:rsidR="00805E9C" w:rsidRPr="00792118">
        <w:rPr>
          <w:i/>
          <w:iCs/>
          <w:lang w:val="es-ES_tradnl"/>
        </w:rPr>
        <w:t>problemas citados anteriormente</w:t>
      </w:r>
      <w:r w:rsidRPr="00792118">
        <w:rPr>
          <w:i/>
          <w:iCs/>
          <w:lang w:val="es-ES_tradnl"/>
        </w:rPr>
        <w:t xml:space="preserve"> </w:t>
      </w:r>
      <w:r w:rsidR="00F61F52" w:rsidRPr="00792118">
        <w:rPr>
          <w:i/>
          <w:iCs/>
          <w:lang w:val="es-ES_tradnl"/>
        </w:rPr>
        <w:t>plantean la necesidad de un examen</w:t>
      </w:r>
      <w:r w:rsidR="00A47126" w:rsidRPr="00792118">
        <w:rPr>
          <w:i/>
          <w:iCs/>
          <w:lang w:val="es-ES_tradnl"/>
        </w:rPr>
        <w:t xml:space="preserve"> </w:t>
      </w:r>
      <w:r w:rsidR="000D1FAD" w:rsidRPr="00792118">
        <w:rPr>
          <w:i/>
          <w:iCs/>
          <w:lang w:val="es-ES_tradnl"/>
        </w:rPr>
        <w:t>pormen</w:t>
      </w:r>
      <w:r w:rsidR="00805E9C" w:rsidRPr="00792118">
        <w:rPr>
          <w:i/>
          <w:iCs/>
          <w:lang w:val="es-ES_tradnl"/>
        </w:rPr>
        <w:t>orizado en el seno de las Comisiones de E</w:t>
      </w:r>
      <w:r w:rsidR="000D1FAD" w:rsidRPr="00792118">
        <w:rPr>
          <w:i/>
          <w:iCs/>
          <w:lang w:val="es-ES_tradnl"/>
        </w:rPr>
        <w:t>studio del UIT-R y se pueden incluir entre las Cuestiones de estudio formando parte de la consideración prevista de un punto adicional del orden del día de la CMR-15</w:t>
      </w:r>
      <w:r w:rsidR="000D1FAD" w:rsidRPr="00792118">
        <w:rPr>
          <w:color w:val="000000"/>
          <w:lang w:val="es-ES_tradnl"/>
        </w:rPr>
        <w:t xml:space="preserve"> </w:t>
      </w:r>
      <w:r w:rsidR="000D1FAD" w:rsidRPr="00792118">
        <w:rPr>
          <w:i/>
          <w:iCs/>
          <w:lang w:val="es-ES_tradnl"/>
        </w:rPr>
        <w:t>que considere cuestiones relativas al seguimiento mundial de vuelos de la aviación civil</w:t>
      </w:r>
      <w:r w:rsidRPr="00792118">
        <w:rPr>
          <w:i/>
          <w:iCs/>
          <w:lang w:val="es-ES_tradnl"/>
        </w:rPr>
        <w:t>.</w:t>
      </w:r>
      <w:r w:rsidR="00A47126" w:rsidRPr="00792118">
        <w:rPr>
          <w:i/>
          <w:iCs/>
          <w:lang w:val="es-ES_tradnl"/>
        </w:rPr>
        <w:t>»</w:t>
      </w:r>
    </w:p>
    <w:p w:rsidR="00272BE9" w:rsidRPr="00792118" w:rsidRDefault="000D1FAD" w:rsidP="00B743BD">
      <w:pPr>
        <w:rPr>
          <w:lang w:val="es-ES_tradnl"/>
        </w:rPr>
      </w:pPr>
      <w:r w:rsidRPr="00792118">
        <w:rPr>
          <w:color w:val="000000"/>
          <w:lang w:val="es-ES_tradnl"/>
        </w:rPr>
        <w:t>En vista de lo anterior</w:t>
      </w:r>
      <w:r w:rsidR="00272BE9" w:rsidRPr="00792118">
        <w:rPr>
          <w:lang w:val="es-ES_tradnl"/>
        </w:rPr>
        <w:t xml:space="preserve">, </w:t>
      </w:r>
      <w:r w:rsidRPr="00792118">
        <w:rPr>
          <w:lang w:val="es-ES_tradnl"/>
        </w:rPr>
        <w:t xml:space="preserve">de conformidad con el </w:t>
      </w:r>
      <w:r w:rsidR="00B743BD" w:rsidRPr="00B743BD">
        <w:rPr>
          <w:lang w:val="es-ES_tradnl"/>
        </w:rPr>
        <w:t>§</w:t>
      </w:r>
      <w:r w:rsidR="00B743BD">
        <w:rPr>
          <w:lang w:val="es-ES_tradnl"/>
        </w:rPr>
        <w:t> </w:t>
      </w:r>
      <w:r w:rsidR="00272BE9" w:rsidRPr="00792118">
        <w:rPr>
          <w:lang w:val="es-ES_tradnl"/>
        </w:rPr>
        <w:t xml:space="preserve">10.2.1.2 </w:t>
      </w:r>
      <w:r w:rsidRPr="00792118">
        <w:rPr>
          <w:lang w:val="es-ES_tradnl"/>
        </w:rPr>
        <w:t>de la Resolución UIT-R</w:t>
      </w:r>
      <w:r w:rsidR="00272BE9" w:rsidRPr="00792118">
        <w:rPr>
          <w:lang w:val="es-ES_tradnl"/>
        </w:rPr>
        <w:t xml:space="preserve"> 1-6 </w:t>
      </w:r>
      <w:r w:rsidRPr="00792118">
        <w:rPr>
          <w:lang w:val="es-ES_tradnl"/>
        </w:rPr>
        <w:t>y considerando que</w:t>
      </w:r>
      <w:r w:rsidR="00272BE9" w:rsidRPr="00792118">
        <w:rPr>
          <w:lang w:val="es-ES_tradnl"/>
        </w:rPr>
        <w:t>:</w:t>
      </w:r>
    </w:p>
    <w:p w:rsidR="00272BE9" w:rsidRPr="00792118" w:rsidRDefault="00272BE9" w:rsidP="00930A75">
      <w:pPr>
        <w:pStyle w:val="enumlev1"/>
        <w:rPr>
          <w:lang w:val="es-ES_tradnl"/>
        </w:rPr>
      </w:pPr>
      <w:r w:rsidRPr="00792118">
        <w:rPr>
          <w:lang w:val="es-ES_tradnl"/>
        </w:rPr>
        <w:t>–</w:t>
      </w:r>
      <w:r w:rsidRPr="00792118">
        <w:rPr>
          <w:lang w:val="es-ES_tradnl"/>
        </w:rPr>
        <w:tab/>
      </w:r>
      <w:r w:rsidR="00DE5B6B" w:rsidRPr="00792118">
        <w:rPr>
          <w:lang w:val="es-ES_tradnl"/>
        </w:rPr>
        <w:t xml:space="preserve">este asunto se ha </w:t>
      </w:r>
      <w:r w:rsidR="0094591F" w:rsidRPr="00792118">
        <w:rPr>
          <w:lang w:val="es-ES_tradnl"/>
        </w:rPr>
        <w:t>debatido ampliamente desde el</w:t>
      </w:r>
      <w:r w:rsidR="00930A75">
        <w:rPr>
          <w:lang w:val="es-ES_tradnl"/>
        </w:rPr>
        <w:t xml:space="preserve"> punto de vista técnico en el GT </w:t>
      </w:r>
      <w:r w:rsidR="00D861A9">
        <w:rPr>
          <w:lang w:val="es-ES_tradnl"/>
        </w:rPr>
        <w:t>4C y en </w:t>
      </w:r>
      <w:r w:rsidR="0094591F" w:rsidRPr="00792118">
        <w:rPr>
          <w:lang w:val="es-ES_tradnl"/>
        </w:rPr>
        <w:t>la CE</w:t>
      </w:r>
      <w:r w:rsidR="00832B2B" w:rsidRPr="00792118">
        <w:rPr>
          <w:lang w:val="es-ES_tradnl"/>
        </w:rPr>
        <w:t> </w:t>
      </w:r>
      <w:r w:rsidR="0094591F" w:rsidRPr="00792118">
        <w:rPr>
          <w:lang w:val="es-ES_tradnl"/>
        </w:rPr>
        <w:t>4</w:t>
      </w:r>
      <w:r w:rsidRPr="00792118">
        <w:rPr>
          <w:lang w:val="es-ES_tradnl"/>
        </w:rPr>
        <w:t>;</w:t>
      </w:r>
    </w:p>
    <w:p w:rsidR="00272BE9" w:rsidRPr="00792118" w:rsidRDefault="00272BE9" w:rsidP="00822172">
      <w:pPr>
        <w:pStyle w:val="enumlev1"/>
        <w:rPr>
          <w:lang w:val="es-ES_tradnl"/>
        </w:rPr>
      </w:pPr>
      <w:r w:rsidRPr="00792118">
        <w:rPr>
          <w:lang w:val="es-ES_tradnl"/>
        </w:rPr>
        <w:t>–</w:t>
      </w:r>
      <w:r w:rsidRPr="00792118">
        <w:rPr>
          <w:lang w:val="es-ES_tradnl"/>
        </w:rPr>
        <w:tab/>
      </w:r>
      <w:r w:rsidR="0094591F" w:rsidRPr="00792118">
        <w:rPr>
          <w:lang w:val="es-ES_tradnl"/>
        </w:rPr>
        <w:t>la elaboración de esta Recomendación emana de la Resolución</w:t>
      </w:r>
      <w:r w:rsidRPr="00792118">
        <w:rPr>
          <w:lang w:val="es-ES_tradnl"/>
        </w:rPr>
        <w:t xml:space="preserve"> </w:t>
      </w:r>
      <w:r w:rsidRPr="00792118">
        <w:rPr>
          <w:b/>
          <w:lang w:val="es-ES_tradnl"/>
        </w:rPr>
        <w:t>422</w:t>
      </w:r>
      <w:r w:rsidRPr="00792118">
        <w:rPr>
          <w:lang w:val="es-ES_tradnl"/>
        </w:rPr>
        <w:t xml:space="preserve"> (</w:t>
      </w:r>
      <w:r w:rsidR="0094591F" w:rsidRPr="00792118">
        <w:rPr>
          <w:b/>
          <w:lang w:val="es-ES_tradnl"/>
        </w:rPr>
        <w:t>CMR</w:t>
      </w:r>
      <w:r w:rsidRPr="00792118">
        <w:rPr>
          <w:b/>
          <w:lang w:val="es-ES_tradnl"/>
        </w:rPr>
        <w:t>-12</w:t>
      </w:r>
      <w:r w:rsidRPr="00792118">
        <w:rPr>
          <w:lang w:val="es-ES_tradnl"/>
        </w:rPr>
        <w:t>);</w:t>
      </w:r>
    </w:p>
    <w:p w:rsidR="00272BE9" w:rsidRPr="00792118" w:rsidRDefault="00272BE9" w:rsidP="00822172">
      <w:pPr>
        <w:pStyle w:val="enumlev1"/>
        <w:rPr>
          <w:lang w:val="es-ES_tradnl"/>
        </w:rPr>
      </w:pPr>
      <w:r w:rsidRPr="00792118">
        <w:rPr>
          <w:lang w:val="es-ES_tradnl"/>
        </w:rPr>
        <w:t>–</w:t>
      </w:r>
      <w:r w:rsidRPr="00792118">
        <w:rPr>
          <w:lang w:val="es-ES_tradnl"/>
        </w:rPr>
        <w:tab/>
      </w:r>
      <w:r w:rsidR="0094591F" w:rsidRPr="00792118">
        <w:rPr>
          <w:lang w:val="es-ES_tradnl"/>
        </w:rPr>
        <w:t xml:space="preserve">muchas </w:t>
      </w:r>
      <w:bookmarkStart w:id="10" w:name="_GoBack"/>
      <w:r w:rsidR="00D81635" w:rsidRPr="00792118">
        <w:rPr>
          <w:lang w:val="es-ES_tradnl"/>
        </w:rPr>
        <w:t>administraciones</w:t>
      </w:r>
      <w:bookmarkEnd w:id="10"/>
      <w:r w:rsidR="00D81635" w:rsidRPr="00792118">
        <w:rPr>
          <w:lang w:val="es-ES_tradnl"/>
        </w:rPr>
        <w:t xml:space="preserve"> </w:t>
      </w:r>
      <w:r w:rsidR="0094591F" w:rsidRPr="00792118">
        <w:rPr>
          <w:lang w:val="es-ES_tradnl"/>
        </w:rPr>
        <w:t>consideran esta Recomendación extremadamente importante</w:t>
      </w:r>
      <w:r w:rsidRPr="00792118">
        <w:rPr>
          <w:lang w:val="es-ES_tradnl"/>
        </w:rPr>
        <w:t>;</w:t>
      </w:r>
    </w:p>
    <w:p w:rsidR="00272BE9" w:rsidRPr="00792118" w:rsidRDefault="00272BE9" w:rsidP="00822172">
      <w:pPr>
        <w:pStyle w:val="enumlev1"/>
        <w:rPr>
          <w:lang w:val="es-ES_tradnl"/>
        </w:rPr>
      </w:pPr>
      <w:r w:rsidRPr="00792118">
        <w:rPr>
          <w:lang w:val="es-ES_tradnl"/>
        </w:rPr>
        <w:t>–</w:t>
      </w:r>
      <w:r w:rsidRPr="00792118">
        <w:rPr>
          <w:lang w:val="es-ES_tradnl"/>
        </w:rPr>
        <w:tab/>
      </w:r>
      <w:r w:rsidR="0094591F" w:rsidRPr="00792118">
        <w:rPr>
          <w:lang w:val="es-ES_tradnl"/>
        </w:rPr>
        <w:t>no hay prevista ninguna reunión de la Comisión de Estudio 4 antes de la Asamblea de Radiocomunicaciones</w:t>
      </w:r>
      <w:r w:rsidRPr="00792118">
        <w:rPr>
          <w:lang w:val="es-ES_tradnl"/>
        </w:rPr>
        <w:t>,</w:t>
      </w:r>
    </w:p>
    <w:p w:rsidR="00272BE9" w:rsidRPr="00792118" w:rsidRDefault="00805E9C" w:rsidP="00822172">
      <w:pPr>
        <w:rPr>
          <w:lang w:val="es-ES_tradnl"/>
        </w:rPr>
      </w:pPr>
      <w:r w:rsidRPr="00792118">
        <w:rPr>
          <w:lang w:val="es-ES_tradnl"/>
        </w:rPr>
        <w:t xml:space="preserve">se ha enviado </w:t>
      </w:r>
      <w:r w:rsidR="0094591F" w:rsidRPr="00792118">
        <w:rPr>
          <w:lang w:val="es-ES_tradnl"/>
        </w:rPr>
        <w:t>el</w:t>
      </w:r>
      <w:r w:rsidR="00A47126" w:rsidRPr="00792118">
        <w:rPr>
          <w:lang w:val="es-ES_tradnl"/>
        </w:rPr>
        <w:t xml:space="preserve"> </w:t>
      </w:r>
      <w:r w:rsidR="0094591F" w:rsidRPr="00792118">
        <w:rPr>
          <w:lang w:val="es-ES_tradnl"/>
        </w:rPr>
        <w:t>proyecto de nueva Recomendación</w:t>
      </w:r>
      <w:r w:rsidR="00272BE9" w:rsidRPr="00792118">
        <w:rPr>
          <w:lang w:val="es-ES_tradnl"/>
        </w:rPr>
        <w:t xml:space="preserve"> </w:t>
      </w:r>
      <w:r w:rsidR="0094591F" w:rsidRPr="00792118">
        <w:rPr>
          <w:lang w:val="es-ES_tradnl"/>
        </w:rPr>
        <w:t>UIT</w:t>
      </w:r>
      <w:r w:rsidR="00272BE9" w:rsidRPr="00792118">
        <w:rPr>
          <w:lang w:val="es-ES_tradnl"/>
        </w:rPr>
        <w:t xml:space="preserve">-R M.[AMS(R)S.METHODOLOGY]-0 </w:t>
      </w:r>
      <w:r w:rsidR="0094591F" w:rsidRPr="00792118">
        <w:rPr>
          <w:lang w:val="es-ES_tradnl"/>
        </w:rPr>
        <w:t>a la AR</w:t>
      </w:r>
      <w:r w:rsidR="00272BE9" w:rsidRPr="00792118">
        <w:rPr>
          <w:lang w:val="es-ES_tradnl"/>
        </w:rPr>
        <w:t xml:space="preserve">-15 </w:t>
      </w:r>
      <w:r w:rsidR="0094591F" w:rsidRPr="00792118">
        <w:rPr>
          <w:lang w:val="es-ES_tradnl"/>
        </w:rPr>
        <w:t>para</w:t>
      </w:r>
      <w:r w:rsidR="00272BE9" w:rsidRPr="00792118">
        <w:rPr>
          <w:lang w:val="es-ES_tradnl"/>
        </w:rPr>
        <w:t xml:space="preserve"> </w:t>
      </w:r>
      <w:r w:rsidR="0094591F" w:rsidRPr="00792118">
        <w:rPr>
          <w:lang w:val="es-ES_tradnl"/>
        </w:rPr>
        <w:t>que ofrezca orientaciones sobre esta cuestión.</w:t>
      </w:r>
    </w:p>
    <w:p w:rsidR="00025F56" w:rsidRPr="00792118" w:rsidRDefault="00025F56" w:rsidP="00822172">
      <w:pPr>
        <w:rPr>
          <w:lang w:val="es-ES_tradnl"/>
        </w:rPr>
      </w:pPr>
      <w:r w:rsidRPr="00792118">
        <w:rPr>
          <w:lang w:val="es-ES_tradnl"/>
        </w:rPr>
        <w:t>El estado de las Cuestiones asignadas a la CE 4 figura en el Documento 4/1003.</w:t>
      </w:r>
    </w:p>
    <w:p w:rsidR="001469F4" w:rsidRPr="00792118" w:rsidRDefault="001469F4" w:rsidP="00822172">
      <w:pPr>
        <w:pStyle w:val="Heading1"/>
        <w:rPr>
          <w:lang w:val="es-ES_tradnl"/>
        </w:rPr>
      </w:pPr>
      <w:r w:rsidRPr="00792118">
        <w:rPr>
          <w:lang w:val="es-ES_tradnl"/>
        </w:rPr>
        <w:t>2</w:t>
      </w:r>
      <w:r w:rsidRPr="00792118">
        <w:rPr>
          <w:lang w:val="es-ES_tradnl"/>
        </w:rPr>
        <w:tab/>
        <w:t>Actividades de los Grupos de Trabajo</w:t>
      </w:r>
    </w:p>
    <w:p w:rsidR="001469F4" w:rsidRPr="00792118" w:rsidRDefault="001469F4" w:rsidP="00822172">
      <w:pPr>
        <w:pStyle w:val="Heading2"/>
        <w:rPr>
          <w:lang w:val="es-ES_tradnl"/>
        </w:rPr>
      </w:pPr>
      <w:r w:rsidRPr="00792118">
        <w:rPr>
          <w:lang w:val="es-ES_tradnl"/>
        </w:rPr>
        <w:t>2.1</w:t>
      </w:r>
      <w:r w:rsidRPr="00792118">
        <w:rPr>
          <w:lang w:val="es-ES_tradnl"/>
        </w:rPr>
        <w:tab/>
        <w:t>Grupo de Trabajo 4A</w:t>
      </w:r>
    </w:p>
    <w:p w:rsidR="007B1284" w:rsidRPr="00792118" w:rsidRDefault="007B1284" w:rsidP="00822172">
      <w:pPr>
        <w:rPr>
          <w:lang w:val="es-ES_tradnl"/>
        </w:rPr>
      </w:pPr>
      <w:r w:rsidRPr="00792118">
        <w:rPr>
          <w:lang w:val="es-ES_tradnl"/>
        </w:rPr>
        <w:t xml:space="preserve">En el actual periodo de estudios, el Grupo de Trabajo 4A celebró </w:t>
      </w:r>
      <w:r w:rsidR="002B7603" w:rsidRPr="00792118">
        <w:rPr>
          <w:lang w:val="es-ES_tradnl"/>
        </w:rPr>
        <w:t>siete</w:t>
      </w:r>
      <w:r w:rsidRPr="00792118">
        <w:rPr>
          <w:lang w:val="es-ES_tradnl"/>
        </w:rPr>
        <w:t xml:space="preserve"> reuniones presididas por el Sr. J. Wengryniuk (Estados Unidos). En esas reuniones el GT 4A elaboró en total </w:t>
      </w:r>
      <w:r w:rsidR="002B7603" w:rsidRPr="00792118">
        <w:rPr>
          <w:lang w:val="es-ES_tradnl"/>
        </w:rPr>
        <w:t>dos</w:t>
      </w:r>
      <w:r w:rsidRPr="00792118">
        <w:rPr>
          <w:lang w:val="es-ES_tradnl"/>
        </w:rPr>
        <w:t xml:space="preserve"> proyectos de nuevas Recomendaciones, </w:t>
      </w:r>
      <w:r w:rsidR="002B7603" w:rsidRPr="00792118">
        <w:rPr>
          <w:lang w:val="es-ES_tradnl"/>
        </w:rPr>
        <w:t>siete</w:t>
      </w:r>
      <w:r w:rsidRPr="00792118">
        <w:rPr>
          <w:lang w:val="es-ES_tradnl"/>
        </w:rPr>
        <w:t xml:space="preserve"> proyectos de revisión de Recomendaciones, </w:t>
      </w:r>
      <w:r w:rsidR="002B7603" w:rsidRPr="00792118">
        <w:rPr>
          <w:lang w:val="es-ES_tradnl"/>
        </w:rPr>
        <w:t>doce</w:t>
      </w:r>
      <w:r w:rsidRPr="00792118">
        <w:rPr>
          <w:lang w:val="es-ES_tradnl"/>
        </w:rPr>
        <w:t xml:space="preserve"> proyectos de nuevos Informes y </w:t>
      </w:r>
      <w:r w:rsidR="00805E9C" w:rsidRPr="00792118">
        <w:rPr>
          <w:lang w:val="es-ES_tradnl"/>
        </w:rPr>
        <w:t>un</w:t>
      </w:r>
      <w:r w:rsidRPr="00792118">
        <w:rPr>
          <w:lang w:val="es-ES_tradnl"/>
        </w:rPr>
        <w:t xml:space="preserve"> proyecto de revisión de Informe</w:t>
      </w:r>
      <w:r w:rsidR="00805E9C" w:rsidRPr="00792118">
        <w:rPr>
          <w:lang w:val="es-ES_tradnl"/>
        </w:rPr>
        <w:t>,</w:t>
      </w:r>
      <w:r w:rsidRPr="00792118">
        <w:rPr>
          <w:lang w:val="es-ES_tradnl"/>
        </w:rPr>
        <w:t xml:space="preserve"> que se enumeran en el Anexo 1.</w:t>
      </w:r>
    </w:p>
    <w:p w:rsidR="007B1284" w:rsidRPr="00792118" w:rsidRDefault="007B1284" w:rsidP="00822172">
      <w:pPr>
        <w:rPr>
          <w:lang w:val="es-ES_tradnl"/>
        </w:rPr>
      </w:pPr>
      <w:r w:rsidRPr="00792118">
        <w:rPr>
          <w:lang w:val="es-ES_tradnl"/>
        </w:rPr>
        <w:t>El GT 4A finalizó el proyecto de texto de la RPC sobre los punto</w:t>
      </w:r>
      <w:r w:rsidR="00783315">
        <w:rPr>
          <w:lang w:val="es-ES_tradnl"/>
        </w:rPr>
        <w:t>s del orden del día de la CMR-15</w:t>
      </w:r>
      <w:r w:rsidRPr="00792118">
        <w:rPr>
          <w:lang w:val="es-ES_tradnl"/>
        </w:rPr>
        <w:t xml:space="preserve"> en los que actuaba como grupo </w:t>
      </w:r>
      <w:r w:rsidR="00CC5151" w:rsidRPr="00792118">
        <w:rPr>
          <w:lang w:val="es-ES_tradnl"/>
        </w:rPr>
        <w:t>responsable</w:t>
      </w:r>
      <w:r w:rsidRPr="00792118">
        <w:rPr>
          <w:lang w:val="es-ES_tradnl"/>
        </w:rPr>
        <w:t xml:space="preserve">. El GT 4A estaba encargado de coordinar </w:t>
      </w:r>
      <w:r w:rsidR="002B7603" w:rsidRPr="00792118">
        <w:rPr>
          <w:lang w:val="es-ES_tradnl"/>
        </w:rPr>
        <w:t>nueve</w:t>
      </w:r>
      <w:r w:rsidRPr="00792118">
        <w:rPr>
          <w:lang w:val="es-ES_tradnl"/>
        </w:rPr>
        <w:t xml:space="preserve"> puntos del orden del día en calidad de grupo </w:t>
      </w:r>
      <w:r w:rsidR="00CC5151" w:rsidRPr="00792118">
        <w:rPr>
          <w:lang w:val="es-ES_tradnl"/>
        </w:rPr>
        <w:t>responsable</w:t>
      </w:r>
      <w:r w:rsidRPr="00792118">
        <w:rPr>
          <w:lang w:val="es-ES_tradnl"/>
        </w:rPr>
        <w:t xml:space="preserve"> y contribuyó a </w:t>
      </w:r>
      <w:r w:rsidR="002B7603" w:rsidRPr="00792118">
        <w:rPr>
          <w:lang w:val="es-ES_tradnl"/>
        </w:rPr>
        <w:t>once</w:t>
      </w:r>
      <w:r w:rsidRPr="00792118">
        <w:rPr>
          <w:lang w:val="es-ES_tradnl"/>
        </w:rPr>
        <w:t xml:space="preserve"> temas en calidad de grupo de apoyo. Los temas relativos a los estudios preparatorios de la CMR</w:t>
      </w:r>
      <w:r w:rsidR="002B7603" w:rsidRPr="00792118">
        <w:rPr>
          <w:lang w:val="es-ES_tradnl"/>
        </w:rPr>
        <w:t>-15</w:t>
      </w:r>
      <w:r w:rsidRPr="00792118">
        <w:rPr>
          <w:lang w:val="es-ES_tradnl"/>
        </w:rPr>
        <w:t xml:space="preserve"> correspondientes a los puntos del orden del día que el GT 4A estaba encargado de coordinar hicieron que el trabajo del grupo aumentara considerablemente:</w:t>
      </w:r>
    </w:p>
    <w:p w:rsidR="00045147" w:rsidRPr="00792118" w:rsidRDefault="00184F63" w:rsidP="00822172">
      <w:pPr>
        <w:pStyle w:val="Headingb"/>
        <w:rPr>
          <w:lang w:val="es-ES_tradnl"/>
        </w:rPr>
      </w:pPr>
      <w:r w:rsidRPr="00792118">
        <w:rPr>
          <w:lang w:val="es-ES_tradnl"/>
        </w:rPr>
        <w:t>Punto</w:t>
      </w:r>
      <w:r w:rsidR="00045147" w:rsidRPr="00792118">
        <w:rPr>
          <w:lang w:val="es-ES_tradnl"/>
        </w:rPr>
        <w:t xml:space="preserve"> 1.6</w:t>
      </w:r>
      <w:r w:rsidRPr="00792118">
        <w:rPr>
          <w:lang w:val="es-ES_tradnl"/>
        </w:rPr>
        <w:t xml:space="preserve"> del orden del día</w:t>
      </w:r>
      <w:r w:rsidR="00045147" w:rsidRPr="00792118">
        <w:rPr>
          <w:lang w:val="es-ES_tradnl"/>
        </w:rPr>
        <w:t>:</w:t>
      </w:r>
      <w:r w:rsidR="00045147" w:rsidRPr="00792118">
        <w:rPr>
          <w:lang w:val="es-ES_tradnl"/>
        </w:rPr>
        <w:tab/>
      </w:r>
      <w:r w:rsidR="000F2849" w:rsidRPr="00792118">
        <w:rPr>
          <w:lang w:val="es-ES_tradnl"/>
        </w:rPr>
        <w:t>considerar posibles atribuciones adicionales a titulo primario</w:t>
      </w:r>
      <w:r w:rsidR="00045147" w:rsidRPr="00792118">
        <w:rPr>
          <w:lang w:val="es-ES_tradnl"/>
        </w:rPr>
        <w:t>:</w:t>
      </w:r>
    </w:p>
    <w:p w:rsidR="00045147" w:rsidRPr="00792118" w:rsidRDefault="00045147" w:rsidP="00822172">
      <w:pPr>
        <w:pStyle w:val="enumlev1"/>
        <w:rPr>
          <w:b/>
          <w:bCs/>
          <w:lang w:val="es-ES_tradnl"/>
        </w:rPr>
      </w:pPr>
      <w:r w:rsidRPr="00792118">
        <w:rPr>
          <w:b/>
          <w:bCs/>
          <w:lang w:val="es-ES_tradnl"/>
        </w:rPr>
        <w:t>1.6.1</w:t>
      </w:r>
      <w:r w:rsidRPr="00792118">
        <w:rPr>
          <w:b/>
          <w:bCs/>
          <w:lang w:val="es-ES_tradnl"/>
        </w:rPr>
        <w:tab/>
      </w:r>
      <w:r w:rsidR="000F2849" w:rsidRPr="00792118">
        <w:rPr>
          <w:b/>
          <w:bCs/>
          <w:lang w:val="es-ES_tradnl"/>
        </w:rPr>
        <w:t>al servicio fijo por satélite (Tierra-espacio y espacio-Tierra) de 250 MHz en la gama entre 10 GHz y 17 GHz en la Región 1</w:t>
      </w:r>
      <w:r w:rsidRPr="00792118">
        <w:rPr>
          <w:b/>
          <w:bCs/>
          <w:lang w:val="es-ES_tradnl"/>
        </w:rPr>
        <w:t>;</w:t>
      </w:r>
    </w:p>
    <w:p w:rsidR="00045147" w:rsidRPr="00792118" w:rsidRDefault="00045147" w:rsidP="00822172">
      <w:pPr>
        <w:pStyle w:val="enumlev1"/>
        <w:rPr>
          <w:b/>
          <w:bCs/>
          <w:lang w:val="es-ES_tradnl"/>
        </w:rPr>
      </w:pPr>
      <w:r w:rsidRPr="00792118">
        <w:rPr>
          <w:b/>
          <w:bCs/>
          <w:lang w:val="es-ES_tradnl"/>
        </w:rPr>
        <w:t>1.6.2</w:t>
      </w:r>
      <w:r w:rsidRPr="00792118">
        <w:rPr>
          <w:b/>
          <w:bCs/>
          <w:lang w:val="es-ES_tradnl"/>
        </w:rPr>
        <w:tab/>
      </w:r>
      <w:r w:rsidR="000F2849" w:rsidRPr="00792118">
        <w:rPr>
          <w:b/>
          <w:bCs/>
          <w:lang w:val="es-ES_tradnl"/>
        </w:rPr>
        <w:t>al servicio fijo por satélite (Tierra-espacio) de 250 MHz en la Región 2 y 300 MHz en la Región 3 en la gama 13-17 GHz</w:t>
      </w:r>
      <w:r w:rsidRPr="00792118">
        <w:rPr>
          <w:b/>
          <w:bCs/>
          <w:lang w:val="es-ES_tradnl"/>
        </w:rPr>
        <w:t>;</w:t>
      </w:r>
    </w:p>
    <w:p w:rsidR="00045147" w:rsidRPr="00792118" w:rsidRDefault="000F2849" w:rsidP="00822172">
      <w:pPr>
        <w:rPr>
          <w:b/>
          <w:bCs/>
          <w:lang w:val="es-ES_tradnl"/>
        </w:rPr>
      </w:pPr>
      <w:r w:rsidRPr="00792118">
        <w:rPr>
          <w:b/>
          <w:bCs/>
          <w:lang w:val="es-ES_tradnl"/>
        </w:rPr>
        <w:lastRenderedPageBreak/>
        <w:t>y revisar las disposiciones reglamentarias relativas a las atribuciones actuales al servicio fijo por satélite en cada gama, teniendo en cuenta los resultados de los estudios del UIT R, conforme a las Resoluciones 151 (CMR-12) y 152 (CMR-12) respectivamente</w:t>
      </w:r>
    </w:p>
    <w:p w:rsidR="00045147" w:rsidRPr="00792118" w:rsidRDefault="002B7603" w:rsidP="00822172">
      <w:pPr>
        <w:rPr>
          <w:lang w:val="es-ES_tradnl"/>
        </w:rPr>
      </w:pPr>
      <w:r w:rsidRPr="00792118">
        <w:rPr>
          <w:lang w:val="es-ES_tradnl"/>
        </w:rPr>
        <w:t xml:space="preserve">El GT 4A finalizó el proyecto de texto de la RPC sobre estos puntos del orden del día. Así mismo, el GT 4A finalizó dos </w:t>
      </w:r>
      <w:r w:rsidR="00271946" w:rsidRPr="00792118">
        <w:rPr>
          <w:lang w:val="es-ES_tradnl"/>
        </w:rPr>
        <w:t>Informes muy extensos,</w:t>
      </w:r>
      <w:r w:rsidRPr="00792118">
        <w:rPr>
          <w:lang w:val="es-ES_tradnl"/>
        </w:rPr>
        <w:t xml:space="preserve"> asociados con cada uno de los subpuntos del orden del día, que incluyen los resultados de los estudios de compartició</w:t>
      </w:r>
      <w:r w:rsidR="00271946" w:rsidRPr="00792118">
        <w:rPr>
          <w:lang w:val="es-ES_tradnl"/>
        </w:rPr>
        <w:t>n aportados al Grupo de Trabajo</w:t>
      </w:r>
      <w:r w:rsidRPr="00792118">
        <w:rPr>
          <w:lang w:val="es-ES_tradnl"/>
        </w:rPr>
        <w:t xml:space="preserve"> y un tercer Informe</w:t>
      </w:r>
      <w:r w:rsidR="009B7631" w:rsidRPr="00792118">
        <w:rPr>
          <w:lang w:val="es-ES_tradnl"/>
        </w:rPr>
        <w:t xml:space="preserve"> con características y modelos de </w:t>
      </w:r>
      <w:r w:rsidR="00271946" w:rsidRPr="00792118">
        <w:rPr>
          <w:lang w:val="es-ES_tradnl"/>
        </w:rPr>
        <w:t>despliegue</w:t>
      </w:r>
      <w:r w:rsidR="009B7631" w:rsidRPr="00792118">
        <w:rPr>
          <w:lang w:val="es-ES_tradnl"/>
        </w:rPr>
        <w:t xml:space="preserve"> más detallados de las estaciones terrenas del SFS que han de utilizarse par</w:t>
      </w:r>
      <w:r w:rsidR="00783EA1" w:rsidRPr="00792118">
        <w:rPr>
          <w:lang w:val="es-ES_tradnl"/>
        </w:rPr>
        <w:t>a los estudios de compartición.</w:t>
      </w:r>
    </w:p>
    <w:p w:rsidR="00045147" w:rsidRPr="00792118" w:rsidRDefault="00184F63" w:rsidP="00153F43">
      <w:pPr>
        <w:pStyle w:val="Headingb"/>
        <w:rPr>
          <w:lang w:val="es-ES_tradnl"/>
        </w:rPr>
      </w:pPr>
      <w:r w:rsidRPr="00792118">
        <w:rPr>
          <w:lang w:val="es-ES_tradnl"/>
        </w:rPr>
        <w:t>Punto</w:t>
      </w:r>
      <w:r w:rsidR="00045147" w:rsidRPr="00792118">
        <w:rPr>
          <w:lang w:val="es-ES_tradnl"/>
        </w:rPr>
        <w:t xml:space="preserve"> 1.7</w:t>
      </w:r>
      <w:r w:rsidRPr="00792118">
        <w:rPr>
          <w:lang w:val="es-ES_tradnl"/>
        </w:rPr>
        <w:t xml:space="preserve"> del orden del día</w:t>
      </w:r>
      <w:r w:rsidR="00045147" w:rsidRPr="00792118">
        <w:rPr>
          <w:lang w:val="es-ES_tradnl"/>
        </w:rPr>
        <w:t>:</w:t>
      </w:r>
      <w:r w:rsidR="00045147" w:rsidRPr="00792118">
        <w:rPr>
          <w:lang w:val="es-ES_tradnl"/>
        </w:rPr>
        <w:tab/>
      </w:r>
      <w:r w:rsidR="00AC0CBE" w:rsidRPr="00792118">
        <w:rPr>
          <w:lang w:val="es-ES_tradnl"/>
        </w:rPr>
        <w:t>examinar la utilización de la banda 5</w:t>
      </w:r>
      <w:r w:rsidR="00153F43" w:rsidRPr="00792118">
        <w:rPr>
          <w:lang w:val="es-ES_tradnl"/>
        </w:rPr>
        <w:t> 091-5 150 </w:t>
      </w:r>
      <w:r w:rsidR="00AC0CBE" w:rsidRPr="00792118">
        <w:rPr>
          <w:lang w:val="es-ES_tradnl"/>
        </w:rPr>
        <w:t>MHz por el servicio fijo por satélite (Tierra espacio) (exclusivamente para enlaces de conexión de los sistemas de satélite no geoestacionario del servicio móvil por satélite), de conformidad con la Resolución 114 (Rev.CMR-12)</w:t>
      </w:r>
    </w:p>
    <w:p w:rsidR="00045147" w:rsidRPr="00792118" w:rsidRDefault="009B7631" w:rsidP="00822172">
      <w:pPr>
        <w:rPr>
          <w:lang w:val="es-ES_tradnl"/>
        </w:rPr>
      </w:pPr>
      <w:r w:rsidRPr="00792118">
        <w:rPr>
          <w:lang w:val="es-ES_tradnl"/>
        </w:rPr>
        <w:t>El GT 4A finalizó el proyecto de texto de la RPC sobre este punto del orden del día. El texto incluye un único método para responder al punto del orden del día y parece que este método tiene buena aceptación en otros Grupos de Trabajo interesados</w:t>
      </w:r>
      <w:r w:rsidR="00045147" w:rsidRPr="00792118">
        <w:rPr>
          <w:lang w:val="es-ES_tradnl"/>
        </w:rPr>
        <w:t xml:space="preserve">. </w:t>
      </w:r>
    </w:p>
    <w:p w:rsidR="00045147" w:rsidRPr="00792118" w:rsidRDefault="00184F63" w:rsidP="00822172">
      <w:pPr>
        <w:pStyle w:val="Headingb"/>
        <w:rPr>
          <w:lang w:val="es-ES_tradnl"/>
        </w:rPr>
      </w:pPr>
      <w:r w:rsidRPr="00792118">
        <w:rPr>
          <w:lang w:val="es-ES_tradnl"/>
        </w:rPr>
        <w:t>Punto</w:t>
      </w:r>
      <w:r w:rsidR="00045147" w:rsidRPr="00792118">
        <w:rPr>
          <w:lang w:val="es-ES_tradnl"/>
        </w:rPr>
        <w:t xml:space="preserve"> 1.8</w:t>
      </w:r>
      <w:r w:rsidRPr="00792118">
        <w:rPr>
          <w:lang w:val="es-ES_tradnl"/>
        </w:rPr>
        <w:t xml:space="preserve"> del orden del día</w:t>
      </w:r>
      <w:r w:rsidR="00045147" w:rsidRPr="00792118">
        <w:rPr>
          <w:lang w:val="es-ES_tradnl"/>
        </w:rPr>
        <w:t>:</w:t>
      </w:r>
      <w:r w:rsidR="00045147" w:rsidRPr="00792118">
        <w:rPr>
          <w:lang w:val="es-ES_tradnl"/>
        </w:rPr>
        <w:tab/>
      </w:r>
      <w:r w:rsidR="00AC0CBE" w:rsidRPr="00792118">
        <w:rPr>
          <w:lang w:val="es-ES_tradnl"/>
        </w:rPr>
        <w:t>examinar las disposiciones relativas a las estaciones terrenas situadas a bordo de barcos (ETB), basándose en los estudios realizados de conformidad con la Resolución 909 (CMR 12)</w:t>
      </w:r>
    </w:p>
    <w:p w:rsidR="00045147" w:rsidRPr="00792118" w:rsidRDefault="009B7631" w:rsidP="00723249">
      <w:pPr>
        <w:rPr>
          <w:lang w:val="es-ES_tradnl"/>
        </w:rPr>
      </w:pPr>
      <w:r w:rsidRPr="00792118">
        <w:rPr>
          <w:lang w:val="es-ES_tradnl"/>
        </w:rPr>
        <w:t>El GT 4A finalizó el proyecto de texto de la RPC sobre este punto del</w:t>
      </w:r>
      <w:r w:rsidR="00E573F7" w:rsidRPr="00792118">
        <w:rPr>
          <w:lang w:val="es-ES_tradnl"/>
        </w:rPr>
        <w:t xml:space="preserve"> orden del día. Así mismo el GT </w:t>
      </w:r>
      <w:r w:rsidRPr="00792118">
        <w:rPr>
          <w:lang w:val="es-ES_tradnl"/>
        </w:rPr>
        <w:t xml:space="preserve">4A finalizó un Informe asociado con este punto del orden del día sobre </w:t>
      </w:r>
      <w:r w:rsidRPr="00792118">
        <w:rPr>
          <w:color w:val="000000"/>
          <w:lang w:val="es-ES_tradnl"/>
        </w:rPr>
        <w:t>los efectos de la interferencia de las transmisiones desde estaciones terrenas a bordo de barcos que funcionan en redes del servicio fijo por satélite sobre las estaciones terrenales en la misma frecuencia. Este Informe resume detalladamente el trabajo realizado en los</w:t>
      </w:r>
      <w:r w:rsidR="00CF0A47" w:rsidRPr="00792118">
        <w:rPr>
          <w:color w:val="000000"/>
          <w:lang w:val="es-ES_tradnl"/>
        </w:rPr>
        <w:t xml:space="preserve"> </w:t>
      </w:r>
      <w:r w:rsidRPr="00792118">
        <w:rPr>
          <w:color w:val="000000"/>
          <w:lang w:val="es-ES_tradnl"/>
        </w:rPr>
        <w:t xml:space="preserve">tres estudios que se presentaron </w:t>
      </w:r>
      <w:r w:rsidR="00CF0A47" w:rsidRPr="00792118">
        <w:rPr>
          <w:color w:val="000000"/>
          <w:lang w:val="es-ES_tradnl"/>
        </w:rPr>
        <w:t>a</w:t>
      </w:r>
      <w:r w:rsidRPr="00792118">
        <w:rPr>
          <w:color w:val="000000"/>
          <w:lang w:val="es-ES_tradnl"/>
        </w:rPr>
        <w:t xml:space="preserve"> la </w:t>
      </w:r>
      <w:r w:rsidR="00723249" w:rsidRPr="00792118">
        <w:rPr>
          <w:lang w:val="es-ES_tradnl"/>
        </w:rPr>
        <w:t>RPC15-2</w:t>
      </w:r>
      <w:r w:rsidR="00CF0A47" w:rsidRPr="00792118">
        <w:rPr>
          <w:color w:val="000000"/>
          <w:lang w:val="es-ES_tradnl"/>
        </w:rPr>
        <w:t>, aunque también incluye asuntos que algunos consideran que precisan estudios ulteriores</w:t>
      </w:r>
      <w:r w:rsidR="00045147" w:rsidRPr="00792118">
        <w:rPr>
          <w:lang w:val="es-ES_tradnl"/>
        </w:rPr>
        <w:t xml:space="preserve">. </w:t>
      </w:r>
      <w:r w:rsidR="00CF0A47" w:rsidRPr="00792118">
        <w:rPr>
          <w:lang w:val="es-ES_tradnl"/>
        </w:rPr>
        <w:t>El Informe aprobado realmente describe con exactitud el estado actual del trabajo realizado en el UIT-R sobre este asunto</w:t>
      </w:r>
      <w:r w:rsidR="00045147" w:rsidRPr="00792118">
        <w:rPr>
          <w:lang w:val="es-ES_tradnl"/>
        </w:rPr>
        <w:t>.</w:t>
      </w:r>
    </w:p>
    <w:p w:rsidR="00045147" w:rsidRPr="00792118" w:rsidRDefault="00184F63" w:rsidP="00C43EE3">
      <w:pPr>
        <w:pStyle w:val="Headingb"/>
        <w:tabs>
          <w:tab w:val="left" w:pos="3119"/>
        </w:tabs>
        <w:rPr>
          <w:lang w:val="es-ES_tradnl"/>
        </w:rPr>
      </w:pPr>
      <w:r w:rsidRPr="00792118">
        <w:rPr>
          <w:lang w:val="es-ES_tradnl"/>
        </w:rPr>
        <w:t>Punto</w:t>
      </w:r>
      <w:r w:rsidR="00045147" w:rsidRPr="00792118">
        <w:rPr>
          <w:lang w:val="es-ES_tradnl"/>
        </w:rPr>
        <w:t xml:space="preserve"> 1.9.1</w:t>
      </w:r>
      <w:r w:rsidRPr="00792118">
        <w:rPr>
          <w:lang w:val="es-ES_tradnl"/>
        </w:rPr>
        <w:t xml:space="preserve"> del orden del día</w:t>
      </w:r>
      <w:r w:rsidR="00045147" w:rsidRPr="00792118">
        <w:rPr>
          <w:lang w:val="es-ES_tradnl"/>
        </w:rPr>
        <w:t>:</w:t>
      </w:r>
      <w:r w:rsidR="00045147" w:rsidRPr="00792118">
        <w:rPr>
          <w:lang w:val="es-ES_tradnl"/>
        </w:rPr>
        <w:tab/>
      </w:r>
      <w:r w:rsidRPr="00792118">
        <w:rPr>
          <w:lang w:val="es-ES_tradnl"/>
        </w:rPr>
        <w:t>considerar, con arreglo a la Resolución 758 (CMR-12)</w:t>
      </w:r>
      <w:r w:rsidR="00045147" w:rsidRPr="00792118">
        <w:rPr>
          <w:lang w:val="es-ES_tradnl"/>
        </w:rPr>
        <w:t xml:space="preserve">: </w:t>
      </w:r>
      <w:r w:rsidRPr="00792118">
        <w:rPr>
          <w:lang w:val="es-ES_tradnl"/>
        </w:rPr>
        <w:t>posibles nuevas atribuciones al servicio fijo por satélite, en las bandas de frecuencias 7 150</w:t>
      </w:r>
      <w:r w:rsidR="00A24F7F" w:rsidRPr="00792118">
        <w:rPr>
          <w:lang w:val="es-ES_tradnl"/>
        </w:rPr>
        <w:noBreakHyphen/>
        <w:t>7 250 MHz (espacio-Tierra) y 8 400-8 </w:t>
      </w:r>
      <w:r w:rsidR="00F8545B" w:rsidRPr="00792118">
        <w:rPr>
          <w:lang w:val="es-ES_tradnl"/>
        </w:rPr>
        <w:t>500 </w:t>
      </w:r>
      <w:r w:rsidRPr="00792118">
        <w:rPr>
          <w:lang w:val="es-ES_tradnl"/>
        </w:rPr>
        <w:t>MHz (Tierra-espacio), sujetas a las condiciones de compartición pertinentes</w:t>
      </w:r>
    </w:p>
    <w:p w:rsidR="00045147" w:rsidRPr="00792118" w:rsidRDefault="00F50FB6" w:rsidP="00822172">
      <w:pPr>
        <w:rPr>
          <w:lang w:val="es-ES_tradnl"/>
        </w:rPr>
      </w:pPr>
      <w:r w:rsidRPr="00792118">
        <w:rPr>
          <w:lang w:val="es-ES_tradnl"/>
        </w:rPr>
        <w:t>El GT </w:t>
      </w:r>
      <w:r w:rsidR="00CF0A47" w:rsidRPr="00792118">
        <w:rPr>
          <w:lang w:val="es-ES_tradnl"/>
        </w:rPr>
        <w:t>4A finalizó el proyecto de texto de la RPC sobre este</w:t>
      </w:r>
      <w:r w:rsidRPr="00792118">
        <w:rPr>
          <w:lang w:val="es-ES_tradnl"/>
        </w:rPr>
        <w:t xml:space="preserve"> punto del orden del día. El GT </w:t>
      </w:r>
      <w:r w:rsidR="00CF0A47" w:rsidRPr="00792118">
        <w:rPr>
          <w:lang w:val="es-ES_tradnl"/>
        </w:rPr>
        <w:t>4A elaboró así mismo un proyecto de Informe</w:t>
      </w:r>
      <w:r w:rsidR="00045147" w:rsidRPr="00792118">
        <w:rPr>
          <w:lang w:val="es-ES_tradnl"/>
        </w:rPr>
        <w:t xml:space="preserve"> </w:t>
      </w:r>
      <w:r w:rsidR="00CF0A47" w:rsidRPr="00792118">
        <w:rPr>
          <w:lang w:val="es-ES_tradnl"/>
        </w:rPr>
        <w:t xml:space="preserve">que incluye un compendio de los estudios llevados a cabo en relación con este punto del orden del día. Tras un esfuerzo considerable, se concluyó que realmente el Grupo de Trabajo no estaba en disposición de finalizar un proyecto de nuevo Informe sobre este tema. </w:t>
      </w:r>
      <w:r w:rsidR="00DF322E" w:rsidRPr="00792118">
        <w:rPr>
          <w:lang w:val="es-ES_tradnl"/>
        </w:rPr>
        <w:t xml:space="preserve">El </w:t>
      </w:r>
      <w:r w:rsidR="00271946" w:rsidRPr="00792118">
        <w:rPr>
          <w:lang w:val="es-ES_tradnl"/>
        </w:rPr>
        <w:t>proyecto de Informe existente muestra</w:t>
      </w:r>
      <w:r w:rsidR="00DF322E" w:rsidRPr="00792118">
        <w:rPr>
          <w:lang w:val="es-ES_tradnl"/>
        </w:rPr>
        <w:t xml:space="preserve"> la gran cantidad de trabajo dedicada a este asunto y se </w:t>
      </w:r>
      <w:r w:rsidR="00271946" w:rsidRPr="00792118">
        <w:rPr>
          <w:lang w:val="es-ES_tradnl"/>
        </w:rPr>
        <w:t>ha remitido</w:t>
      </w:r>
      <w:r w:rsidR="00DF322E" w:rsidRPr="00792118">
        <w:rPr>
          <w:lang w:val="es-ES_tradnl"/>
        </w:rPr>
        <w:t xml:space="preserve"> para una posible revisión adicional en el futuro.</w:t>
      </w:r>
    </w:p>
    <w:p w:rsidR="00045147" w:rsidRPr="00792118" w:rsidRDefault="00184F63" w:rsidP="00822172">
      <w:pPr>
        <w:pStyle w:val="Headingb"/>
        <w:rPr>
          <w:lang w:val="es-ES_tradnl"/>
        </w:rPr>
      </w:pPr>
      <w:r w:rsidRPr="00792118">
        <w:rPr>
          <w:lang w:val="es-ES_tradnl"/>
        </w:rPr>
        <w:t>Punto</w:t>
      </w:r>
      <w:r w:rsidR="00045147" w:rsidRPr="00792118">
        <w:rPr>
          <w:lang w:val="es-ES_tradnl"/>
        </w:rPr>
        <w:t xml:space="preserve"> 7</w:t>
      </w:r>
      <w:r w:rsidRPr="00792118">
        <w:rPr>
          <w:lang w:val="es-ES_tradnl"/>
        </w:rPr>
        <w:t xml:space="preserve"> del orden del día</w:t>
      </w:r>
      <w:r w:rsidR="00045147" w:rsidRPr="00792118">
        <w:rPr>
          <w:lang w:val="es-ES_tradnl"/>
        </w:rPr>
        <w:t>:</w:t>
      </w:r>
      <w:r w:rsidR="00045147" w:rsidRPr="00792118">
        <w:rPr>
          <w:lang w:val="es-ES_tradnl"/>
        </w:rPr>
        <w:tab/>
      </w:r>
      <w:r w:rsidR="000F2849" w:rsidRPr="00792118">
        <w:rPr>
          <w:lang w:val="es-ES_tradnl"/>
        </w:rPr>
        <w:t>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86 (Rev.CMR-07), para facilitar la utilización racional, eficaz y económica de las frecuencias radioeléctricas y toda órbita asociada, incluida la órbita de los satélites geoestacionarios</w:t>
      </w:r>
    </w:p>
    <w:p w:rsidR="00045147" w:rsidRPr="00792118" w:rsidRDefault="008E1581" w:rsidP="00172773">
      <w:pPr>
        <w:rPr>
          <w:lang w:val="es-ES_tradnl"/>
        </w:rPr>
      </w:pPr>
      <w:r w:rsidRPr="00792118">
        <w:rPr>
          <w:lang w:val="es-ES_tradnl"/>
        </w:rPr>
        <w:t xml:space="preserve">El GT 4A finalizó el proyecto de texto de la RPC sobre cinco asuntos diferenciados del punto </w:t>
      </w:r>
      <w:r w:rsidR="00271946" w:rsidRPr="00792118">
        <w:rPr>
          <w:lang w:val="es-ES_tradnl"/>
        </w:rPr>
        <w:t xml:space="preserve">7 </w:t>
      </w:r>
      <w:r w:rsidRPr="00792118">
        <w:rPr>
          <w:lang w:val="es-ES_tradnl"/>
        </w:rPr>
        <w:t xml:space="preserve">del orden del día de la CMR-15 y casi completó el proyecto de texto de la RPC para </w:t>
      </w:r>
      <w:r w:rsidR="00172773" w:rsidRPr="00792118">
        <w:rPr>
          <w:lang w:val="es-ES_tradnl"/>
        </w:rPr>
        <w:t xml:space="preserve">otros </w:t>
      </w:r>
      <w:r w:rsidRPr="00792118">
        <w:rPr>
          <w:lang w:val="es-ES_tradnl"/>
        </w:rPr>
        <w:t xml:space="preserve">dos asuntos. </w:t>
      </w:r>
      <w:r w:rsidRPr="00792118">
        <w:rPr>
          <w:lang w:val="es-ES_tradnl"/>
        </w:rPr>
        <w:lastRenderedPageBreak/>
        <w:t>Todo ello se señal</w:t>
      </w:r>
      <w:r w:rsidR="00271946" w:rsidRPr="00792118">
        <w:rPr>
          <w:lang w:val="es-ES_tradnl"/>
        </w:rPr>
        <w:t>ó a la atención de la Comisión E</w:t>
      </w:r>
      <w:r w:rsidRPr="00792118">
        <w:rPr>
          <w:lang w:val="es-ES_tradnl"/>
        </w:rPr>
        <w:t>special para su examen</w:t>
      </w:r>
      <w:r w:rsidR="0091713B" w:rsidRPr="00792118">
        <w:rPr>
          <w:lang w:val="es-ES_tradnl"/>
        </w:rPr>
        <w:t xml:space="preserve"> y el proyecto de texto completo de la RPC se remitió a la RPC15-2</w:t>
      </w:r>
      <w:r w:rsidR="00045147" w:rsidRPr="00792118">
        <w:rPr>
          <w:lang w:val="es-ES_tradnl"/>
        </w:rPr>
        <w:t>.</w:t>
      </w:r>
    </w:p>
    <w:p w:rsidR="00045147" w:rsidRPr="00792118" w:rsidRDefault="00184F63" w:rsidP="00822172">
      <w:pPr>
        <w:pStyle w:val="Headingb"/>
        <w:rPr>
          <w:lang w:val="es-ES_tradnl"/>
        </w:rPr>
      </w:pPr>
      <w:r w:rsidRPr="00792118">
        <w:rPr>
          <w:lang w:val="es-ES_tradnl"/>
        </w:rPr>
        <w:t>Punto</w:t>
      </w:r>
      <w:r w:rsidR="00045147" w:rsidRPr="00792118">
        <w:rPr>
          <w:lang w:val="es-ES_tradnl"/>
        </w:rPr>
        <w:t xml:space="preserve"> 9.1</w:t>
      </w:r>
      <w:r w:rsidRPr="00792118">
        <w:rPr>
          <w:lang w:val="es-ES_tradnl"/>
        </w:rPr>
        <w:t xml:space="preserve"> del orden del día</w:t>
      </w:r>
      <w:r w:rsidR="00045147" w:rsidRPr="00792118">
        <w:rPr>
          <w:lang w:val="es-ES_tradnl"/>
        </w:rPr>
        <w:t xml:space="preserve">, </w:t>
      </w:r>
      <w:r w:rsidR="00E96899" w:rsidRPr="00792118">
        <w:rPr>
          <w:lang w:val="es-ES_tradnl"/>
        </w:rPr>
        <w:t>tema</w:t>
      </w:r>
      <w:r w:rsidR="00045147" w:rsidRPr="00792118">
        <w:rPr>
          <w:lang w:val="es-ES_tradnl"/>
        </w:rPr>
        <w:t xml:space="preserve"> 9.1.2:</w:t>
      </w:r>
      <w:r w:rsidR="00045147" w:rsidRPr="00792118">
        <w:rPr>
          <w:lang w:val="es-ES_tradnl"/>
        </w:rPr>
        <w:tab/>
      </w:r>
      <w:r w:rsidR="00AC0CBE" w:rsidRPr="00792118">
        <w:rPr>
          <w:lang w:val="es-ES_tradnl"/>
        </w:rPr>
        <w:t>Resolución 756 (CMR-12): Estudios sobre la posible reducción del arco de coordinación y los criterios técnicos utilizados para la aplicación del número 9.41 con respecto a la coordinación con arreglo al número 9.7</w:t>
      </w:r>
    </w:p>
    <w:p w:rsidR="00045147" w:rsidRPr="00792118" w:rsidRDefault="0091713B" w:rsidP="00822172">
      <w:pPr>
        <w:rPr>
          <w:lang w:val="es-ES_tradnl"/>
        </w:rPr>
      </w:pPr>
      <w:r w:rsidRPr="00792118">
        <w:rPr>
          <w:lang w:val="es-ES_tradnl"/>
        </w:rPr>
        <w:t xml:space="preserve">El GT 4A finalizó el proyecto de texto de la RPC sobre este punto del orden del día. El GT 4A elaboró también un proyecto de Informe muy completo que engloba múltiples estudios asociados con este asunto. Dada la importancia de este tema y la cantidad de material recopilado en el proyecto de Informe, el Grupo de Trabajo decidió, en lugar de intentar finalizar precipitadamente un proyecto de nuevo Informe, remitir el proyecto de Informe existente para una elaboración ulterior en el futuro. </w:t>
      </w:r>
    </w:p>
    <w:p w:rsidR="00045147" w:rsidRPr="00792118" w:rsidRDefault="00184F63" w:rsidP="00822172">
      <w:pPr>
        <w:pStyle w:val="Headingb"/>
        <w:rPr>
          <w:lang w:val="es-ES_tradnl"/>
        </w:rPr>
      </w:pPr>
      <w:r w:rsidRPr="00792118">
        <w:rPr>
          <w:lang w:val="es-ES_tradnl"/>
        </w:rPr>
        <w:t>Punto</w:t>
      </w:r>
      <w:r w:rsidR="00045147" w:rsidRPr="00792118">
        <w:rPr>
          <w:lang w:val="es-ES_tradnl"/>
        </w:rPr>
        <w:t xml:space="preserve"> 9.1</w:t>
      </w:r>
      <w:r w:rsidRPr="00792118">
        <w:rPr>
          <w:lang w:val="es-ES_tradnl"/>
        </w:rPr>
        <w:t xml:space="preserve"> del orden del día</w:t>
      </w:r>
      <w:r w:rsidR="00045147" w:rsidRPr="00792118">
        <w:rPr>
          <w:lang w:val="es-ES_tradnl"/>
        </w:rPr>
        <w:t xml:space="preserve">, </w:t>
      </w:r>
      <w:r w:rsidR="00E96899" w:rsidRPr="00792118">
        <w:rPr>
          <w:lang w:val="es-ES_tradnl"/>
        </w:rPr>
        <w:t>tema</w:t>
      </w:r>
      <w:r w:rsidR="00045147" w:rsidRPr="00792118">
        <w:rPr>
          <w:lang w:val="es-ES_tradnl"/>
        </w:rPr>
        <w:t xml:space="preserve"> 9.1.3:</w:t>
      </w:r>
      <w:r w:rsidR="00045147" w:rsidRPr="00792118">
        <w:rPr>
          <w:lang w:val="es-ES_tradnl"/>
        </w:rPr>
        <w:tab/>
      </w:r>
      <w:r w:rsidR="00AC0CBE" w:rsidRPr="00792118">
        <w:rPr>
          <w:lang w:val="es-ES_tradnl"/>
        </w:rPr>
        <w:t>Resolución 11 (CMR-12): Utilización de las posiciones orbitales de satélite y el espectro de frecuencias asociado para prestar servicios públicos de telecomunicaciones internacionales en países en desarrollo</w:t>
      </w:r>
    </w:p>
    <w:p w:rsidR="00045147" w:rsidRPr="00792118" w:rsidRDefault="004833BA" w:rsidP="00822172">
      <w:pPr>
        <w:rPr>
          <w:lang w:val="es-ES_tradnl"/>
        </w:rPr>
      </w:pPr>
      <w:r w:rsidRPr="00792118">
        <w:rPr>
          <w:lang w:val="es-ES_tradnl"/>
        </w:rPr>
        <w:t>El GT 4A finalizó el proyecto de texto de la RPC sobre este punto del orden del día</w:t>
      </w:r>
      <w:r w:rsidR="00045147" w:rsidRPr="00792118">
        <w:rPr>
          <w:lang w:val="es-ES_tradnl"/>
        </w:rPr>
        <w:t>.</w:t>
      </w:r>
    </w:p>
    <w:p w:rsidR="00045147" w:rsidRPr="00792118" w:rsidRDefault="00184F63" w:rsidP="00822172">
      <w:pPr>
        <w:pStyle w:val="Headingb"/>
        <w:rPr>
          <w:lang w:val="es-ES_tradnl"/>
        </w:rPr>
      </w:pPr>
      <w:r w:rsidRPr="00792118">
        <w:rPr>
          <w:lang w:val="es-ES_tradnl"/>
        </w:rPr>
        <w:t>Punto</w:t>
      </w:r>
      <w:r w:rsidR="00045147" w:rsidRPr="00792118">
        <w:rPr>
          <w:lang w:val="es-ES_tradnl"/>
        </w:rPr>
        <w:t xml:space="preserve"> 9.1</w:t>
      </w:r>
      <w:r w:rsidRPr="00792118">
        <w:rPr>
          <w:lang w:val="es-ES_tradnl"/>
        </w:rPr>
        <w:t xml:space="preserve"> del orden del día</w:t>
      </w:r>
      <w:r w:rsidR="00045147" w:rsidRPr="00792118">
        <w:rPr>
          <w:lang w:val="es-ES_tradnl"/>
        </w:rPr>
        <w:t xml:space="preserve">, </w:t>
      </w:r>
      <w:r w:rsidR="00E96899" w:rsidRPr="00792118">
        <w:rPr>
          <w:lang w:val="es-ES_tradnl"/>
        </w:rPr>
        <w:t>tema</w:t>
      </w:r>
      <w:r w:rsidR="00045147" w:rsidRPr="00792118">
        <w:rPr>
          <w:lang w:val="es-ES_tradnl"/>
        </w:rPr>
        <w:t xml:space="preserve"> 9.1.5:</w:t>
      </w:r>
      <w:r w:rsidR="00045147" w:rsidRPr="00792118">
        <w:rPr>
          <w:lang w:val="es-ES_tradnl"/>
        </w:rPr>
        <w:tab/>
      </w:r>
      <w:r w:rsidR="00AC0CBE" w:rsidRPr="00792118">
        <w:rPr>
          <w:lang w:val="es-ES_tradnl"/>
        </w:rPr>
        <w:t>Resolución 154 (CMR-12): Consideración de medidas técnicas y reglamentarias para apoyar el funcionamiento actual y futuro de las estaciones terrenas del servicio fijo por satélite en la banda 3 400-4 200 MHz como ayuda a la explotación de aeronaves en condiciones de seguridad y la difusión fiable de información meteorológica en algunos países de la Región 1</w:t>
      </w:r>
    </w:p>
    <w:p w:rsidR="00045147" w:rsidRPr="00792118" w:rsidRDefault="004833BA" w:rsidP="00822172">
      <w:pPr>
        <w:rPr>
          <w:lang w:val="es-ES_tradnl"/>
        </w:rPr>
      </w:pPr>
      <w:r w:rsidRPr="00792118">
        <w:rPr>
          <w:lang w:val="es-ES_tradnl"/>
        </w:rPr>
        <w:t>El GT 4A finalizó el proyecto de texto de la RPC sobre este punto del orden del día</w:t>
      </w:r>
      <w:r w:rsidR="00045147" w:rsidRPr="00792118">
        <w:rPr>
          <w:lang w:val="es-ES_tradnl"/>
        </w:rPr>
        <w:t>.</w:t>
      </w:r>
    </w:p>
    <w:p w:rsidR="00045147" w:rsidRPr="00792118" w:rsidRDefault="00184F63" w:rsidP="00822172">
      <w:pPr>
        <w:pStyle w:val="Headingb"/>
        <w:rPr>
          <w:lang w:val="es-ES_tradnl"/>
        </w:rPr>
      </w:pPr>
      <w:r w:rsidRPr="00792118">
        <w:rPr>
          <w:lang w:val="es-ES_tradnl"/>
        </w:rPr>
        <w:t>Punto</w:t>
      </w:r>
      <w:r w:rsidR="00045147" w:rsidRPr="00792118">
        <w:rPr>
          <w:lang w:val="es-ES_tradnl"/>
        </w:rPr>
        <w:t xml:space="preserve"> 9.3</w:t>
      </w:r>
      <w:r w:rsidRPr="00792118">
        <w:rPr>
          <w:lang w:val="es-ES_tradnl"/>
        </w:rPr>
        <w:t xml:space="preserve"> del orden del día</w:t>
      </w:r>
      <w:r w:rsidR="00045147" w:rsidRPr="00792118">
        <w:rPr>
          <w:lang w:val="es-ES_tradnl"/>
        </w:rPr>
        <w:t>:</w:t>
      </w:r>
      <w:r w:rsidR="00045147" w:rsidRPr="00792118">
        <w:rPr>
          <w:lang w:val="es-ES_tradnl"/>
        </w:rPr>
        <w:tab/>
      </w:r>
      <w:r w:rsidRPr="00792118">
        <w:rPr>
          <w:lang w:val="es-ES_tradnl"/>
        </w:rPr>
        <w:t>Resolución 80 (Rev.CMR-07): Diligencia debida en la aplicación de los principios recogidos en la Constitución</w:t>
      </w:r>
    </w:p>
    <w:p w:rsidR="00045147" w:rsidRPr="00792118" w:rsidRDefault="004833BA" w:rsidP="00822172">
      <w:pPr>
        <w:rPr>
          <w:lang w:val="es-ES_tradnl"/>
        </w:rPr>
      </w:pPr>
      <w:r w:rsidRPr="00792118">
        <w:rPr>
          <w:lang w:val="es-ES_tradnl"/>
        </w:rPr>
        <w:t>Como único grupo contribuyente, el GT 4A finalizó el proyecto de texto de la RPC sobre este punto del orden del día.</w:t>
      </w:r>
    </w:p>
    <w:p w:rsidR="00184F63" w:rsidRPr="00792118" w:rsidRDefault="00184F63" w:rsidP="00822172">
      <w:pPr>
        <w:rPr>
          <w:lang w:val="es-ES_tradnl"/>
        </w:rPr>
      </w:pPr>
      <w:r w:rsidRPr="00792118">
        <w:rPr>
          <w:lang w:val="es-ES_tradnl"/>
        </w:rPr>
        <w:t>El Grupo de Trabajo también se coordinó estrechamente con los grupos responsables de preparar el proyecto de texto de la RPC sobre otros punto</w:t>
      </w:r>
      <w:r w:rsidR="004833BA" w:rsidRPr="00792118">
        <w:rPr>
          <w:lang w:val="es-ES_tradnl"/>
        </w:rPr>
        <w:t>s del orden del día de la CMR-15</w:t>
      </w:r>
      <w:r w:rsidRPr="00792118">
        <w:rPr>
          <w:lang w:val="es-ES_tradnl"/>
        </w:rPr>
        <w:t xml:space="preserve"> mencionados </w:t>
      </w:r>
      <w:r w:rsidR="004833BA" w:rsidRPr="00792118">
        <w:rPr>
          <w:lang w:val="es-ES_tradnl"/>
        </w:rPr>
        <w:t>anteriormente</w:t>
      </w:r>
      <w:r w:rsidRPr="00792118">
        <w:rPr>
          <w:lang w:val="es-ES_tradnl"/>
        </w:rPr>
        <w:t xml:space="preserve"> que inciden en el SFS y</w:t>
      </w:r>
      <w:r w:rsidR="00271946" w:rsidRPr="00792118">
        <w:rPr>
          <w:lang w:val="es-ES_tradnl"/>
        </w:rPr>
        <w:t xml:space="preserve"> el SRS, a saber, los p</w:t>
      </w:r>
      <w:r w:rsidR="004833BA" w:rsidRPr="00792118">
        <w:rPr>
          <w:lang w:val="es-ES_tradnl"/>
        </w:rPr>
        <w:t>untos 1.1, 1.2</w:t>
      </w:r>
      <w:r w:rsidRPr="00792118">
        <w:rPr>
          <w:lang w:val="es-ES_tradnl"/>
        </w:rPr>
        <w:t xml:space="preserve">, </w:t>
      </w:r>
      <w:r w:rsidR="004833BA" w:rsidRPr="00792118">
        <w:rPr>
          <w:lang w:val="es-ES_tradnl"/>
        </w:rPr>
        <w:t>1.5, 1.9.2, 1.10, 1.11, 1.15, 1.17 y 9.1</w:t>
      </w:r>
      <w:r w:rsidR="009A48A1" w:rsidRPr="00792118">
        <w:rPr>
          <w:lang w:val="es-ES_tradnl"/>
        </w:rPr>
        <w:t>,</w:t>
      </w:r>
      <w:r w:rsidR="004833BA" w:rsidRPr="00792118">
        <w:rPr>
          <w:lang w:val="es-ES_tradnl"/>
        </w:rPr>
        <w:t xml:space="preserve"> temas 9.1.6 y 9.1.8</w:t>
      </w:r>
      <w:r w:rsidR="009A48A1" w:rsidRPr="00792118">
        <w:rPr>
          <w:lang w:val="es-ES_tradnl"/>
        </w:rPr>
        <w:t>,</w:t>
      </w:r>
      <w:r w:rsidR="003350A4" w:rsidRPr="00792118">
        <w:rPr>
          <w:lang w:val="es-ES_tradnl"/>
        </w:rPr>
        <w:t xml:space="preserve"> del orden del día de la CMR-15</w:t>
      </w:r>
      <w:r w:rsidRPr="00792118">
        <w:rPr>
          <w:lang w:val="es-ES_tradnl"/>
        </w:rPr>
        <w:t>.</w:t>
      </w:r>
    </w:p>
    <w:p w:rsidR="00184F63" w:rsidRPr="00792118" w:rsidRDefault="00184F63" w:rsidP="00822172">
      <w:pPr>
        <w:rPr>
          <w:lang w:val="es-ES_tradnl"/>
        </w:rPr>
      </w:pPr>
      <w:r w:rsidRPr="00792118">
        <w:rPr>
          <w:lang w:val="es-ES_tradnl"/>
        </w:rPr>
        <w:t xml:space="preserve">Por último, durante el periodo de estudios el GT 4A intercambió </w:t>
      </w:r>
      <w:r w:rsidR="00A76B10" w:rsidRPr="00792118">
        <w:rPr>
          <w:lang w:val="es-ES_tradnl"/>
        </w:rPr>
        <w:t xml:space="preserve">Declaraciones </w:t>
      </w:r>
      <w:r w:rsidRPr="00792118">
        <w:rPr>
          <w:lang w:val="es-ES_tradnl"/>
        </w:rPr>
        <w:t xml:space="preserve">de </w:t>
      </w:r>
      <w:r w:rsidR="00A76B10" w:rsidRPr="00792118">
        <w:rPr>
          <w:lang w:val="es-ES_tradnl"/>
        </w:rPr>
        <w:t xml:space="preserve">Coordinación </w:t>
      </w:r>
      <w:r w:rsidRPr="00792118">
        <w:rPr>
          <w:lang w:val="es-ES_tradnl"/>
        </w:rPr>
        <w:t>con los Grupos de Tra</w:t>
      </w:r>
      <w:r w:rsidR="009A48A1" w:rsidRPr="00792118">
        <w:rPr>
          <w:lang w:val="es-ES_tradnl"/>
        </w:rPr>
        <w:t>bajo 1A, 1B, 3K</w:t>
      </w:r>
      <w:r w:rsidRPr="00792118">
        <w:rPr>
          <w:lang w:val="es-ES_tradnl"/>
        </w:rPr>
        <w:t>, 3</w:t>
      </w:r>
      <w:r w:rsidR="009A48A1" w:rsidRPr="00792118">
        <w:rPr>
          <w:lang w:val="es-ES_tradnl"/>
        </w:rPr>
        <w:t>L, 3</w:t>
      </w:r>
      <w:r w:rsidRPr="00792118">
        <w:rPr>
          <w:lang w:val="es-ES_tradnl"/>
        </w:rPr>
        <w:t>M, 4B, 4C,</w:t>
      </w:r>
      <w:r w:rsidR="009A48A1" w:rsidRPr="00792118">
        <w:rPr>
          <w:lang w:val="es-ES_tradnl"/>
        </w:rPr>
        <w:t xml:space="preserve"> 5A, 5B, 5C, 5D, 6A,</w:t>
      </w:r>
      <w:r w:rsidRPr="00792118">
        <w:rPr>
          <w:lang w:val="es-ES_tradnl"/>
        </w:rPr>
        <w:t xml:space="preserve"> 7B, 7C y 7D, </w:t>
      </w:r>
      <w:r w:rsidR="00080AB5" w:rsidRPr="00792118">
        <w:rPr>
          <w:lang w:val="es-ES_tradnl"/>
        </w:rPr>
        <w:t xml:space="preserve">el </w:t>
      </w:r>
      <w:r w:rsidRPr="00792118">
        <w:rPr>
          <w:lang w:val="es-ES_tradnl"/>
        </w:rPr>
        <w:t>GT</w:t>
      </w:r>
      <w:r w:rsidRPr="00792118">
        <w:rPr>
          <w:lang w:val="es-ES_tradnl"/>
        </w:rPr>
        <w:noBreakHyphen/>
        <w:t xml:space="preserve">SC, </w:t>
      </w:r>
      <w:r w:rsidR="00080AB5" w:rsidRPr="00792118">
        <w:rPr>
          <w:lang w:val="es-ES_tradnl"/>
        </w:rPr>
        <w:t xml:space="preserve">el </w:t>
      </w:r>
      <w:r w:rsidR="009A48A1" w:rsidRPr="00792118">
        <w:rPr>
          <w:color w:val="000000"/>
          <w:lang w:val="es-ES_tradnl"/>
        </w:rPr>
        <w:t xml:space="preserve">GMTE 4-5-6-7, </w:t>
      </w:r>
      <w:r w:rsidR="00080AB5" w:rsidRPr="00792118">
        <w:rPr>
          <w:color w:val="000000"/>
          <w:lang w:val="es-ES_tradnl"/>
        </w:rPr>
        <w:t xml:space="preserve">la </w:t>
      </w:r>
      <w:r w:rsidR="009A48A1" w:rsidRPr="00792118">
        <w:rPr>
          <w:color w:val="000000"/>
          <w:lang w:val="es-ES_tradnl"/>
        </w:rPr>
        <w:t xml:space="preserve">CE 2 del UIT-D, </w:t>
      </w:r>
      <w:r w:rsidR="00080AB5" w:rsidRPr="00792118">
        <w:rPr>
          <w:color w:val="000000"/>
          <w:lang w:val="es-ES_tradnl"/>
        </w:rPr>
        <w:t xml:space="preserve">la </w:t>
      </w:r>
      <w:r w:rsidR="009A48A1" w:rsidRPr="00792118">
        <w:rPr>
          <w:color w:val="000000"/>
          <w:lang w:val="es-ES_tradnl"/>
        </w:rPr>
        <w:t xml:space="preserve">CE 5 del UIT-T, </w:t>
      </w:r>
      <w:r w:rsidR="00080AB5" w:rsidRPr="00792118">
        <w:rPr>
          <w:color w:val="000000"/>
          <w:lang w:val="es-ES_tradnl"/>
        </w:rPr>
        <w:t xml:space="preserve">el </w:t>
      </w:r>
      <w:r w:rsidR="009A48A1" w:rsidRPr="00792118">
        <w:rPr>
          <w:color w:val="000000"/>
          <w:lang w:val="es-ES_tradnl"/>
        </w:rPr>
        <w:t xml:space="preserve">FGAC del UIT-T, </w:t>
      </w:r>
      <w:r w:rsidR="00080AB5" w:rsidRPr="00792118">
        <w:rPr>
          <w:color w:val="000000"/>
          <w:lang w:val="es-ES_tradnl"/>
        </w:rPr>
        <w:t>el FG-DR&amp;NRR del UIT-T, la OMI, la OMM, la OACI, la ESA</w:t>
      </w:r>
      <w:r w:rsidRPr="00792118">
        <w:rPr>
          <w:lang w:val="es-ES_tradnl"/>
        </w:rPr>
        <w:t xml:space="preserve"> y la BR.</w:t>
      </w:r>
    </w:p>
    <w:p w:rsidR="00574EBC" w:rsidRPr="00792118" w:rsidRDefault="00574EBC" w:rsidP="00822172">
      <w:pPr>
        <w:pStyle w:val="Heading2"/>
        <w:rPr>
          <w:lang w:val="es-ES_tradnl"/>
        </w:rPr>
      </w:pPr>
      <w:r w:rsidRPr="00792118">
        <w:rPr>
          <w:lang w:val="es-ES_tradnl"/>
        </w:rPr>
        <w:t>2.2</w:t>
      </w:r>
      <w:r w:rsidRPr="00792118">
        <w:rPr>
          <w:lang w:val="es-ES_tradnl"/>
        </w:rPr>
        <w:tab/>
        <w:t>Grupo de Trabajo 4B</w:t>
      </w:r>
    </w:p>
    <w:p w:rsidR="00574EBC" w:rsidRPr="00792118" w:rsidRDefault="00574EBC" w:rsidP="00822172">
      <w:pPr>
        <w:rPr>
          <w:lang w:val="es-ES_tradnl"/>
        </w:rPr>
      </w:pPr>
      <w:r w:rsidRPr="00792118">
        <w:rPr>
          <w:lang w:val="es-ES_tradnl"/>
        </w:rPr>
        <w:t xml:space="preserve">En el actual periodo de estudios el Grupo de Trabajo 4B celebró </w:t>
      </w:r>
      <w:r w:rsidR="00080AB5" w:rsidRPr="00792118">
        <w:rPr>
          <w:lang w:val="es-ES_tradnl"/>
        </w:rPr>
        <w:t>siete</w:t>
      </w:r>
      <w:r w:rsidRPr="00792118">
        <w:rPr>
          <w:lang w:val="es-ES_tradnl"/>
        </w:rPr>
        <w:t xml:space="preserve"> reuniones presididas por el Sr. D. Weinreich (Estados Unidos). En esas reuniones el GT 4B elaboró en total </w:t>
      </w:r>
      <w:r w:rsidR="00080AB5" w:rsidRPr="00792118">
        <w:rPr>
          <w:lang w:val="es-ES_tradnl"/>
        </w:rPr>
        <w:t>tres</w:t>
      </w:r>
      <w:r w:rsidRPr="00792118">
        <w:rPr>
          <w:lang w:val="es-ES_tradnl"/>
        </w:rPr>
        <w:t xml:space="preserve"> proyectos de nuevas Recomendaciones, </w:t>
      </w:r>
      <w:r w:rsidR="00080AB5" w:rsidRPr="00792118">
        <w:rPr>
          <w:lang w:val="es-ES_tradnl"/>
        </w:rPr>
        <w:t>tres</w:t>
      </w:r>
      <w:r w:rsidRPr="00792118">
        <w:rPr>
          <w:lang w:val="es-ES_tradnl"/>
        </w:rPr>
        <w:t xml:space="preserve"> proyectos d</w:t>
      </w:r>
      <w:r w:rsidR="00080AB5" w:rsidRPr="00792118">
        <w:rPr>
          <w:lang w:val="es-ES_tradnl"/>
        </w:rPr>
        <w:t>e revisión de Recomendaciones, tres</w:t>
      </w:r>
      <w:r w:rsidRPr="00792118">
        <w:rPr>
          <w:lang w:val="es-ES_tradnl"/>
        </w:rPr>
        <w:t xml:space="preserve"> proyectos de nuevos Informes </w:t>
      </w:r>
      <w:r w:rsidR="00080AB5" w:rsidRPr="00792118">
        <w:rPr>
          <w:lang w:val="es-ES_tradnl"/>
        </w:rPr>
        <w:t>y tres proyectos de revisión de Informes</w:t>
      </w:r>
      <w:r w:rsidR="00271946" w:rsidRPr="00792118">
        <w:rPr>
          <w:lang w:val="es-ES_tradnl"/>
        </w:rPr>
        <w:t>,</w:t>
      </w:r>
      <w:r w:rsidR="00080AB5" w:rsidRPr="00792118">
        <w:rPr>
          <w:lang w:val="es-ES_tradnl"/>
        </w:rPr>
        <w:t xml:space="preserve"> </w:t>
      </w:r>
      <w:r w:rsidRPr="00792118">
        <w:rPr>
          <w:lang w:val="es-ES_tradnl"/>
        </w:rPr>
        <w:t>que se enumeran en el Anexo 2.</w:t>
      </w:r>
    </w:p>
    <w:p w:rsidR="00045147" w:rsidRPr="00792118" w:rsidRDefault="005B1B79" w:rsidP="00822172">
      <w:pPr>
        <w:rPr>
          <w:lang w:val="es-ES_tradnl" w:eastAsia="ja-JP"/>
        </w:rPr>
      </w:pPr>
      <w:r w:rsidRPr="00792118">
        <w:rPr>
          <w:lang w:val="es-ES_tradnl"/>
        </w:rPr>
        <w:t>Entre otros temas, el Grupo de Trabajo 4B estudió la componente de satélite de las IMT</w:t>
      </w:r>
      <w:r w:rsidR="00045147" w:rsidRPr="00792118">
        <w:rPr>
          <w:lang w:val="es-ES_tradnl" w:eastAsia="ja-JP"/>
        </w:rPr>
        <w:t xml:space="preserve">, </w:t>
      </w:r>
      <w:r w:rsidR="00080AB5" w:rsidRPr="00792118">
        <w:rPr>
          <w:lang w:val="es-ES_tradnl" w:eastAsia="ja-JP"/>
        </w:rPr>
        <w:t xml:space="preserve">la </w:t>
      </w:r>
      <w:r w:rsidR="00DD7DF6" w:rsidRPr="00792118">
        <w:rPr>
          <w:lang w:val="es-ES_tradnl" w:eastAsia="ja-JP"/>
        </w:rPr>
        <w:t>transmisión</w:t>
      </w:r>
      <w:r w:rsidR="00045147" w:rsidRPr="00792118">
        <w:rPr>
          <w:lang w:val="es-ES_tradnl" w:eastAsia="ja-JP"/>
        </w:rPr>
        <w:t xml:space="preserve"> </w:t>
      </w:r>
      <w:r w:rsidR="00080AB5" w:rsidRPr="00792118">
        <w:rPr>
          <w:lang w:val="es-ES_tradnl" w:eastAsia="ja-JP"/>
        </w:rPr>
        <w:t>por</w:t>
      </w:r>
      <w:r w:rsidR="00045147" w:rsidRPr="00792118">
        <w:rPr>
          <w:lang w:val="es-ES_tradnl" w:eastAsia="ja-JP"/>
        </w:rPr>
        <w:t xml:space="preserve"> </w:t>
      </w:r>
      <w:r w:rsidR="00DD7DF6" w:rsidRPr="00792118">
        <w:rPr>
          <w:lang w:val="es-ES_tradnl" w:eastAsia="ja-JP"/>
        </w:rPr>
        <w:t>satélite</w:t>
      </w:r>
      <w:r w:rsidR="00080AB5" w:rsidRPr="00792118">
        <w:rPr>
          <w:lang w:val="es-ES_tradnl" w:eastAsia="ja-JP"/>
        </w:rPr>
        <w:t xml:space="preserve"> de </w:t>
      </w:r>
      <w:r w:rsidR="00950AB3" w:rsidRPr="00792118">
        <w:rPr>
          <w:lang w:val="es-ES_tradnl"/>
        </w:rPr>
        <w:t>TVUAD</w:t>
      </w:r>
      <w:r w:rsidR="00045147" w:rsidRPr="00792118">
        <w:rPr>
          <w:lang w:val="es-ES_tradnl" w:eastAsia="ja-JP"/>
        </w:rPr>
        <w:t xml:space="preserve">, </w:t>
      </w:r>
      <w:r w:rsidR="00080AB5" w:rsidRPr="00792118">
        <w:rPr>
          <w:lang w:val="es-ES_tradnl" w:eastAsia="ja-JP"/>
        </w:rPr>
        <w:t>las características de calidad a corto plazo,</w:t>
      </w:r>
      <w:r w:rsidR="00080AB5" w:rsidRPr="00792118">
        <w:rPr>
          <w:lang w:val="es-ES_tradnl"/>
        </w:rPr>
        <w:t xml:space="preserve"> las señales multiportadora/multidimensionales para su uso en satélites, la identificación de portadoras digitales, la disponibilidad de satélites, las comunicaciones en caso de catástrofe, los procedimientos de acceso a satélites, la codificación y modulación adaptativa, la calidad de </w:t>
      </w:r>
      <w:r w:rsidR="00DD7DF6" w:rsidRPr="00792118">
        <w:rPr>
          <w:lang w:val="es-ES_tradnl"/>
        </w:rPr>
        <w:t>funcionamiento de los satélites y el</w:t>
      </w:r>
      <w:r w:rsidR="00080AB5" w:rsidRPr="00792118">
        <w:rPr>
          <w:lang w:val="es-ES_tradnl"/>
        </w:rPr>
        <w:t xml:space="preserve"> periodismo por satélite</w:t>
      </w:r>
      <w:r w:rsidR="00080AB5" w:rsidRPr="00792118">
        <w:rPr>
          <w:lang w:val="es-ES_tradnl" w:eastAsia="ja-JP"/>
        </w:rPr>
        <w:t xml:space="preserve"> </w:t>
      </w:r>
      <w:r w:rsidR="00045147" w:rsidRPr="00792118">
        <w:rPr>
          <w:lang w:val="es-ES_tradnl" w:eastAsia="ja-JP"/>
        </w:rPr>
        <w:t>(SNG).</w:t>
      </w:r>
    </w:p>
    <w:p w:rsidR="00045147" w:rsidRPr="00792118" w:rsidRDefault="00DD7DF6" w:rsidP="00822172">
      <w:pPr>
        <w:rPr>
          <w:lang w:val="es-ES_tradnl" w:eastAsia="zh-CN"/>
        </w:rPr>
      </w:pPr>
      <w:r w:rsidRPr="00792118">
        <w:rPr>
          <w:lang w:val="es-ES_tradnl"/>
        </w:rPr>
        <w:lastRenderedPageBreak/>
        <w:t xml:space="preserve">En lo que respecta a la identificación de portadoras digitales, el GT 4B elaboró una nueva </w:t>
      </w:r>
      <w:r w:rsidR="0033072A" w:rsidRPr="00792118">
        <w:rPr>
          <w:lang w:val="es-ES_tradnl"/>
        </w:rPr>
        <w:t xml:space="preserve">Recomendación </w:t>
      </w:r>
      <w:r w:rsidRPr="00792118">
        <w:rPr>
          <w:lang w:val="es-ES_tradnl"/>
        </w:rPr>
        <w:t xml:space="preserve">sobre </w:t>
      </w:r>
      <w:r w:rsidRPr="00792118">
        <w:rPr>
          <w:color w:val="000000"/>
          <w:lang w:val="es-ES_tradnl"/>
        </w:rPr>
        <w:t>un sistema de identificación de portadora de las transmisiones de modulación digital del servicio fijo por satélite (SFS) que hacen una utilización ocasional (UO) del servicio fijo por satélite (SFS) para transmisiones de portadora de estación terrena utilizando redes de satélites geoestacionarios en las bandas 4/6 GHz y 11-12/13/14 GHz del SFS</w:t>
      </w:r>
      <w:r w:rsidR="00045147" w:rsidRPr="00792118">
        <w:rPr>
          <w:lang w:val="es-ES_tradnl" w:eastAsia="zh-CN"/>
        </w:rPr>
        <w:t>.</w:t>
      </w:r>
    </w:p>
    <w:p w:rsidR="00045147" w:rsidRPr="00792118" w:rsidRDefault="00DD7DF6" w:rsidP="00822172">
      <w:pPr>
        <w:rPr>
          <w:lang w:val="es-ES_tradnl"/>
        </w:rPr>
      </w:pPr>
      <w:r w:rsidRPr="00792118">
        <w:rPr>
          <w:lang w:val="es-ES_tradnl"/>
        </w:rPr>
        <w:t>En lo que respecta a los procedimientos de acceso, el GT 4B</w:t>
      </w:r>
      <w:r w:rsidR="00045147" w:rsidRPr="00792118">
        <w:rPr>
          <w:lang w:val="es-ES_tradnl"/>
        </w:rPr>
        <w:t xml:space="preserve"> </w:t>
      </w:r>
      <w:r w:rsidRPr="00792118">
        <w:rPr>
          <w:lang w:val="es-ES_tradnl"/>
        </w:rPr>
        <w:t xml:space="preserve">elaboró una nueva </w:t>
      </w:r>
      <w:r w:rsidR="0033072A" w:rsidRPr="00792118">
        <w:rPr>
          <w:lang w:val="es-ES_tradnl"/>
        </w:rPr>
        <w:t xml:space="preserve">Recomendación </w:t>
      </w:r>
      <w:r w:rsidRPr="00792118">
        <w:rPr>
          <w:lang w:val="es-ES_tradnl"/>
        </w:rPr>
        <w:t xml:space="preserve">sobre </w:t>
      </w:r>
      <w:r w:rsidRPr="00792118">
        <w:rPr>
          <w:color w:val="000000"/>
          <w:lang w:val="es-ES_tradnl"/>
        </w:rPr>
        <w:t>procedimientos de acceso de estaciones terrenas que utilizan ocasionalmente (UO) el servicio fijo por satélite para transmisiones a estaciones espaciales de la órbita de satélites geoestacionarios</w:t>
      </w:r>
      <w:r w:rsidR="00045147" w:rsidRPr="00792118">
        <w:rPr>
          <w:lang w:val="es-ES_tradnl"/>
        </w:rPr>
        <w:t>.</w:t>
      </w:r>
    </w:p>
    <w:p w:rsidR="00045147" w:rsidRPr="00792118" w:rsidRDefault="00DD7DF6" w:rsidP="007814F4">
      <w:pPr>
        <w:rPr>
          <w:lang w:val="es-ES_tradnl"/>
        </w:rPr>
      </w:pPr>
      <w:r w:rsidRPr="00792118">
        <w:rPr>
          <w:lang w:val="es-ES_tradnl"/>
        </w:rPr>
        <w:t>En lo que respecta a</w:t>
      </w:r>
      <w:r w:rsidR="00155D66" w:rsidRPr="00792118">
        <w:rPr>
          <w:lang w:val="es-ES_tradnl"/>
        </w:rPr>
        <w:t>l uso por los satélites de</w:t>
      </w:r>
      <w:r w:rsidRPr="00792118">
        <w:rPr>
          <w:lang w:val="es-ES_tradnl"/>
        </w:rPr>
        <w:t xml:space="preserve"> las señales multiportadora</w:t>
      </w:r>
      <w:r w:rsidR="00155D66" w:rsidRPr="00792118">
        <w:rPr>
          <w:lang w:val="es-ES_tradnl"/>
        </w:rPr>
        <w:t>/multidimension</w:t>
      </w:r>
      <w:r w:rsidR="003350A4" w:rsidRPr="00792118">
        <w:rPr>
          <w:lang w:val="es-ES_tradnl"/>
        </w:rPr>
        <w:t>ales, el GT </w:t>
      </w:r>
      <w:r w:rsidR="00155D66" w:rsidRPr="00792118">
        <w:rPr>
          <w:lang w:val="es-ES_tradnl"/>
        </w:rPr>
        <w:t xml:space="preserve">4B elaboró un nuevo </w:t>
      </w:r>
      <w:r w:rsidR="00A765FB" w:rsidRPr="00792118">
        <w:rPr>
          <w:lang w:val="es-ES_tradnl"/>
        </w:rPr>
        <w:t xml:space="preserve">informe </w:t>
      </w:r>
      <w:r w:rsidR="00155D66" w:rsidRPr="00792118">
        <w:rPr>
          <w:lang w:val="es-ES_tradnl"/>
        </w:rPr>
        <w:t xml:space="preserve">sobre </w:t>
      </w:r>
      <w:r w:rsidR="00155D66" w:rsidRPr="00792118">
        <w:rPr>
          <w:color w:val="000000"/>
          <w:lang w:val="es-ES_tradnl"/>
        </w:rPr>
        <w:t>técnicas de correspondencia de señales multidimensionales para las comunicaciones por satélite</w:t>
      </w:r>
      <w:r w:rsidR="00045147" w:rsidRPr="00792118">
        <w:rPr>
          <w:lang w:val="es-ES_tradnl"/>
        </w:rPr>
        <w:t xml:space="preserve"> </w:t>
      </w:r>
      <w:r w:rsidR="007814F4">
        <w:rPr>
          <w:lang w:val="es-ES_tradnl"/>
        </w:rPr>
        <w:t xml:space="preserve">y un </w:t>
      </w:r>
      <w:r w:rsidR="0013419F">
        <w:rPr>
          <w:lang w:val="es-ES_tradnl"/>
        </w:rPr>
        <w:t xml:space="preserve">Informe </w:t>
      </w:r>
      <w:r w:rsidR="007814F4">
        <w:rPr>
          <w:lang w:val="es-ES_tradnl"/>
        </w:rPr>
        <w:t xml:space="preserve">revisado </w:t>
      </w:r>
      <w:r w:rsidR="00155D66" w:rsidRPr="00792118">
        <w:rPr>
          <w:lang w:val="es-ES_tradnl"/>
        </w:rPr>
        <w:t>sobre</w:t>
      </w:r>
      <w:r w:rsidR="00155D66" w:rsidRPr="00792118">
        <w:rPr>
          <w:color w:val="000000"/>
          <w:lang w:val="es-ES_tradnl"/>
        </w:rPr>
        <w:t xml:space="preserve"> técnicas de transmisión por multiportadora para sistemas de satélites</w:t>
      </w:r>
      <w:r w:rsidR="00045147" w:rsidRPr="00792118">
        <w:rPr>
          <w:lang w:val="es-ES_tradnl"/>
        </w:rPr>
        <w:t>.</w:t>
      </w:r>
    </w:p>
    <w:p w:rsidR="00045147" w:rsidRPr="00792118" w:rsidRDefault="00D21FBC" w:rsidP="00822172">
      <w:pPr>
        <w:rPr>
          <w:lang w:val="es-ES_tradnl"/>
        </w:rPr>
      </w:pPr>
      <w:r w:rsidRPr="00792118">
        <w:rPr>
          <w:lang w:val="es-ES_tradnl"/>
        </w:rPr>
        <w:t xml:space="preserve">En lo que respecta a los terminales de muy pequeña apertura, el GT 4B elaboró </w:t>
      </w:r>
      <w:r w:rsidR="00B613F9" w:rsidRPr="00792118">
        <w:rPr>
          <w:lang w:val="es-ES_tradnl"/>
        </w:rPr>
        <w:t xml:space="preserve">conjuntamente con el GT 4A un nuevo </w:t>
      </w:r>
      <w:r w:rsidR="0013419F" w:rsidRPr="00792118">
        <w:rPr>
          <w:lang w:val="es-ES_tradnl"/>
        </w:rPr>
        <w:t xml:space="preserve">Informe </w:t>
      </w:r>
      <w:r w:rsidRPr="00792118">
        <w:rPr>
          <w:lang w:val="es-ES_tradnl"/>
        </w:rPr>
        <w:t>sobre terminales de muy pequeña apertura (VSAT).</w:t>
      </w:r>
    </w:p>
    <w:p w:rsidR="00045147" w:rsidRPr="00792118" w:rsidRDefault="005B1B79" w:rsidP="000604DA">
      <w:pPr>
        <w:rPr>
          <w:lang w:val="es-ES_tradnl"/>
        </w:rPr>
      </w:pPr>
      <w:r w:rsidRPr="00792118">
        <w:rPr>
          <w:lang w:val="es-ES_tradnl"/>
        </w:rPr>
        <w:t>En lo que respecta a la componente de satélite de las IMT, el Grupo de Trabajo redactó una nueva Recomendación sobre las especificaciones detalladas</w:t>
      </w:r>
      <w:r w:rsidR="00045147" w:rsidRPr="00792118">
        <w:rPr>
          <w:lang w:val="es-ES_tradnl"/>
        </w:rPr>
        <w:t xml:space="preserve"> </w:t>
      </w:r>
      <w:r w:rsidR="00D21FBC" w:rsidRPr="00792118">
        <w:rPr>
          <w:lang w:val="es-ES_tradnl"/>
        </w:rPr>
        <w:t>de las interfaces radioeléctricas de satélite de las</w:t>
      </w:r>
      <w:r w:rsidR="00D21FBC" w:rsidRPr="00792118">
        <w:rPr>
          <w:color w:val="000000"/>
          <w:lang w:val="es-ES_tradnl"/>
        </w:rPr>
        <w:t xml:space="preserve"> telecomunicaciones móviles internacionales avanzadas (IMT-Avanzadas) y un nuevo Informe sobre</w:t>
      </w:r>
      <w:r w:rsidR="00A47126" w:rsidRPr="00792118">
        <w:rPr>
          <w:color w:val="000000"/>
          <w:lang w:val="es-ES_tradnl"/>
        </w:rPr>
        <w:t xml:space="preserve"> </w:t>
      </w:r>
      <w:r w:rsidR="00D21FBC" w:rsidRPr="00792118">
        <w:rPr>
          <w:color w:val="000000"/>
          <w:lang w:val="es-ES_tradnl"/>
        </w:rPr>
        <w:t>el resultado de la evaluación, la creación y la toma de decisiones sobre el proceso de satélite de las IMT-Avanzadas (pasos 4 a 7), incluidas las características de las interfaces radioeléctricas de satélite de las IMT-Avanzadas.</w:t>
      </w:r>
      <w:r w:rsidR="00045147" w:rsidRPr="00792118">
        <w:rPr>
          <w:lang w:val="es-ES_tradnl"/>
        </w:rPr>
        <w:t xml:space="preserve"> </w:t>
      </w:r>
      <w:r w:rsidRPr="00792118">
        <w:rPr>
          <w:lang w:val="es-ES_tradnl"/>
        </w:rPr>
        <w:t>Este trabajo se rige por la Resolución UIT-R 57</w:t>
      </w:r>
      <w:r w:rsidR="00D21FBC" w:rsidRPr="00792118">
        <w:rPr>
          <w:lang w:val="es-ES_tradnl"/>
        </w:rPr>
        <w:t>-1</w:t>
      </w:r>
      <w:r w:rsidRPr="00792118">
        <w:rPr>
          <w:lang w:val="es-ES_tradnl"/>
        </w:rPr>
        <w:t xml:space="preserve"> en la que se indican los criterios y principios esenciales que se utilizarán en la elaboración de Recomendacione</w:t>
      </w:r>
      <w:r w:rsidR="00981D6F">
        <w:rPr>
          <w:lang w:val="es-ES_tradnl"/>
        </w:rPr>
        <w:t>s e Informes sobre las IMT-</w:t>
      </w:r>
      <w:r w:rsidRPr="00792118">
        <w:rPr>
          <w:lang w:val="es-ES_tradnl"/>
        </w:rPr>
        <w:t>Avanzadas, incluidas Recomendaciones sobre especificaciones de interfaces radioeléctricas</w:t>
      </w:r>
      <w:r w:rsidR="00045147" w:rsidRPr="00792118">
        <w:rPr>
          <w:lang w:val="es-ES_tradnl"/>
        </w:rPr>
        <w:t xml:space="preserve">. </w:t>
      </w:r>
      <w:r w:rsidR="00D21FBC" w:rsidRPr="00792118">
        <w:rPr>
          <w:lang w:val="es-ES_tradnl"/>
        </w:rPr>
        <w:t xml:space="preserve">El Grupo de Trabajo también elaboró una Recomendación </w:t>
      </w:r>
      <w:r w:rsidR="000604DA">
        <w:rPr>
          <w:lang w:val="es-ES_tradnl"/>
        </w:rPr>
        <w:t xml:space="preserve">revisada </w:t>
      </w:r>
      <w:r w:rsidR="00D21FBC" w:rsidRPr="00792118">
        <w:rPr>
          <w:lang w:val="es-ES_tradnl"/>
        </w:rPr>
        <w:t xml:space="preserve">sobre </w:t>
      </w:r>
      <w:r w:rsidR="00D21FBC" w:rsidRPr="00792118">
        <w:rPr>
          <w:color w:val="000000"/>
          <w:lang w:val="es-ES_tradnl"/>
        </w:rPr>
        <w:t>circulación mundial de terminales de satélite IMT</w:t>
      </w:r>
      <w:r w:rsidR="00045147" w:rsidRPr="00792118">
        <w:rPr>
          <w:lang w:val="es-ES_tradnl"/>
        </w:rPr>
        <w:t>.</w:t>
      </w:r>
    </w:p>
    <w:p w:rsidR="00045147" w:rsidRPr="00792118" w:rsidRDefault="00D21FBC" w:rsidP="00822172">
      <w:pPr>
        <w:rPr>
          <w:lang w:val="es-ES_tradnl"/>
        </w:rPr>
      </w:pPr>
      <w:r w:rsidRPr="00792118">
        <w:rPr>
          <w:lang w:val="es-ES_tradnl"/>
        </w:rPr>
        <w:t xml:space="preserve">En lo que respecta al periodismo </w:t>
      </w:r>
      <w:r w:rsidR="00242E78" w:rsidRPr="00792118">
        <w:rPr>
          <w:lang w:val="es-ES_tradnl"/>
        </w:rPr>
        <w:t>electrónico digital por satélite, el GT 4B</w:t>
      </w:r>
      <w:r w:rsidR="00045147" w:rsidRPr="00792118">
        <w:rPr>
          <w:lang w:val="es-ES_tradnl"/>
        </w:rPr>
        <w:t xml:space="preserve"> </w:t>
      </w:r>
      <w:r w:rsidR="00242E78" w:rsidRPr="00792118">
        <w:rPr>
          <w:lang w:val="es-ES_tradnl"/>
        </w:rPr>
        <w:t>creó una base de datos con información sobre p</w:t>
      </w:r>
      <w:r w:rsidR="00B613F9" w:rsidRPr="00792118">
        <w:rPr>
          <w:lang w:val="es-ES_tradnl"/>
        </w:rPr>
        <w:t>untos de contacto en materia de</w:t>
      </w:r>
      <w:r w:rsidR="00045147" w:rsidRPr="00792118">
        <w:rPr>
          <w:lang w:val="es-ES_tradnl"/>
        </w:rPr>
        <w:t xml:space="preserve"> SNG (</w:t>
      </w:r>
      <w:r w:rsidR="00242E78" w:rsidRPr="00792118">
        <w:rPr>
          <w:lang w:val="es-ES_tradnl"/>
        </w:rPr>
        <w:t>también en materia de</w:t>
      </w:r>
      <w:r w:rsidR="00045147" w:rsidRPr="00792118">
        <w:rPr>
          <w:lang w:val="es-ES_tradnl"/>
        </w:rPr>
        <w:t xml:space="preserve"> ENG). </w:t>
      </w:r>
      <w:r w:rsidR="00242E78" w:rsidRPr="00792118">
        <w:rPr>
          <w:lang w:val="es-ES_tradnl"/>
        </w:rPr>
        <w:t xml:space="preserve">El objeto de esta base de datos es proporcionar la información necesaria para facilitar la autorización temporal para las operaciones SNG en un país (o zona), de conformidad con los procedimientos que figuran en la Recomendación UIT-R </w:t>
      </w:r>
      <w:r w:rsidR="00045147" w:rsidRPr="00792118">
        <w:rPr>
          <w:lang w:val="es-ES_tradnl"/>
        </w:rPr>
        <w:t xml:space="preserve">SNG.770-2 </w:t>
      </w:r>
      <w:r w:rsidR="00A47126" w:rsidRPr="00792118">
        <w:rPr>
          <w:lang w:val="es-ES_tradnl"/>
        </w:rPr>
        <w:t>«</w:t>
      </w:r>
      <w:r w:rsidR="00242E78" w:rsidRPr="00792118">
        <w:rPr>
          <w:color w:val="000000"/>
          <w:lang w:val="es-ES_tradnl"/>
        </w:rPr>
        <w:t>Procedimientos operativos uniformes para el periodismo electrónico digital por satélite</w:t>
      </w:r>
      <w:r w:rsidR="00045147" w:rsidRPr="00792118">
        <w:rPr>
          <w:lang w:val="es-ES_tradnl"/>
        </w:rPr>
        <w:t xml:space="preserve"> (DSNG)</w:t>
      </w:r>
      <w:r w:rsidR="00A47126" w:rsidRPr="00792118">
        <w:rPr>
          <w:lang w:val="es-ES_tradnl"/>
        </w:rPr>
        <w:t>»</w:t>
      </w:r>
      <w:r w:rsidR="00045147" w:rsidRPr="00792118">
        <w:rPr>
          <w:lang w:val="es-ES_tradnl"/>
        </w:rPr>
        <w:t>.</w:t>
      </w:r>
    </w:p>
    <w:p w:rsidR="00574EBC" w:rsidRPr="00792118" w:rsidRDefault="00574EBC" w:rsidP="008A705F">
      <w:pPr>
        <w:rPr>
          <w:lang w:val="es-ES_tradnl"/>
        </w:rPr>
      </w:pPr>
      <w:r w:rsidRPr="00792118">
        <w:rPr>
          <w:lang w:val="es-ES_tradnl"/>
        </w:rPr>
        <w:t xml:space="preserve">Por último, durante el periodo de estudios el GT 4B envió </w:t>
      </w:r>
      <w:r w:rsidR="00A76B10" w:rsidRPr="00792118">
        <w:rPr>
          <w:lang w:val="es-ES_tradnl"/>
        </w:rPr>
        <w:t xml:space="preserve">Declaraciones </w:t>
      </w:r>
      <w:r w:rsidRPr="00792118">
        <w:rPr>
          <w:lang w:val="es-ES_tradnl"/>
        </w:rPr>
        <w:t xml:space="preserve">de </w:t>
      </w:r>
      <w:r w:rsidR="00A76B10" w:rsidRPr="00792118">
        <w:rPr>
          <w:lang w:val="es-ES_tradnl"/>
        </w:rPr>
        <w:t xml:space="preserve">Coordinación </w:t>
      </w:r>
      <w:r w:rsidRPr="00792118">
        <w:rPr>
          <w:lang w:val="es-ES_tradnl"/>
        </w:rPr>
        <w:t xml:space="preserve">a los Grupos de Trabajo </w:t>
      </w:r>
      <w:r w:rsidR="00AC503F" w:rsidRPr="00792118">
        <w:rPr>
          <w:lang w:val="es-ES_tradnl"/>
        </w:rPr>
        <w:t xml:space="preserve">3K, 3M, </w:t>
      </w:r>
      <w:r w:rsidR="003350A4" w:rsidRPr="00792118">
        <w:rPr>
          <w:lang w:val="es-ES_tradnl"/>
        </w:rPr>
        <w:t>4A, 5A, 5B</w:t>
      </w:r>
      <w:r w:rsidRPr="00792118">
        <w:rPr>
          <w:lang w:val="es-ES_tradnl"/>
        </w:rPr>
        <w:t>, 5</w:t>
      </w:r>
      <w:r w:rsidR="00AC503F" w:rsidRPr="00792118">
        <w:rPr>
          <w:lang w:val="es-ES_tradnl"/>
        </w:rPr>
        <w:t>D, 6A, 6B, 6C,</w:t>
      </w:r>
      <w:r w:rsidRPr="00792118">
        <w:rPr>
          <w:lang w:val="es-ES_tradnl"/>
        </w:rPr>
        <w:t xml:space="preserve"> a la </w:t>
      </w:r>
      <w:r w:rsidR="00930616">
        <w:rPr>
          <w:lang w:val="es-ES_tradnl"/>
        </w:rPr>
        <w:t>CE </w:t>
      </w:r>
      <w:r w:rsidRPr="00792118">
        <w:rPr>
          <w:lang w:val="es-ES_tradnl"/>
        </w:rPr>
        <w:t>2 del UIT</w:t>
      </w:r>
      <w:r w:rsidRPr="00792118">
        <w:rPr>
          <w:lang w:val="es-ES_tradnl"/>
        </w:rPr>
        <w:noBreakHyphen/>
        <w:t>D</w:t>
      </w:r>
      <w:r w:rsidR="00AC503F" w:rsidRPr="00792118">
        <w:rPr>
          <w:lang w:val="es-ES_tradnl"/>
        </w:rPr>
        <w:t>, a las Comisiones de Estudio 5</w:t>
      </w:r>
      <w:r w:rsidRPr="00792118">
        <w:rPr>
          <w:lang w:val="es-ES_tradnl"/>
        </w:rPr>
        <w:t>,</w:t>
      </w:r>
      <w:r w:rsidR="00AC503F" w:rsidRPr="00792118">
        <w:rPr>
          <w:lang w:val="es-ES_tradnl"/>
        </w:rPr>
        <w:t xml:space="preserve"> 9 y 15</w:t>
      </w:r>
      <w:r w:rsidRPr="00792118">
        <w:rPr>
          <w:lang w:val="es-ES_tradnl"/>
        </w:rPr>
        <w:t xml:space="preserve"> del UIT-T</w:t>
      </w:r>
      <w:r w:rsidR="008A705F">
        <w:rPr>
          <w:lang w:val="es-ES_tradnl"/>
        </w:rPr>
        <w:t>,</w:t>
      </w:r>
      <w:r w:rsidRPr="00792118">
        <w:rPr>
          <w:lang w:val="es-ES_tradnl"/>
        </w:rPr>
        <w:t xml:space="preserve"> </w:t>
      </w:r>
      <w:r w:rsidR="00AC503F" w:rsidRPr="00792118">
        <w:rPr>
          <w:lang w:val="es-ES_tradnl"/>
        </w:rPr>
        <w:t>al FG-DR&amp;NRR del UIT-</w:t>
      </w:r>
      <w:r w:rsidR="008A705F">
        <w:rPr>
          <w:lang w:val="es-ES_tradnl"/>
        </w:rPr>
        <w:t>T</w:t>
      </w:r>
      <w:r w:rsidR="00AC503F" w:rsidRPr="00792118">
        <w:rPr>
          <w:lang w:val="es-ES_tradnl"/>
        </w:rPr>
        <w:t xml:space="preserve"> </w:t>
      </w:r>
      <w:r w:rsidRPr="00792118">
        <w:rPr>
          <w:lang w:val="es-ES_tradnl"/>
        </w:rPr>
        <w:t xml:space="preserve">y a la </w:t>
      </w:r>
      <w:r w:rsidR="00AC503F" w:rsidRPr="00792118">
        <w:rPr>
          <w:lang w:val="es-ES_tradnl"/>
        </w:rPr>
        <w:t>ETSI</w:t>
      </w:r>
      <w:r w:rsidRPr="00792118">
        <w:rPr>
          <w:lang w:val="es-ES_tradnl"/>
        </w:rPr>
        <w:t>.</w:t>
      </w:r>
    </w:p>
    <w:p w:rsidR="00574EBC" w:rsidRPr="00792118" w:rsidRDefault="00574EBC" w:rsidP="00822172">
      <w:pPr>
        <w:pStyle w:val="Heading2"/>
        <w:rPr>
          <w:lang w:val="es-ES_tradnl"/>
        </w:rPr>
      </w:pPr>
      <w:r w:rsidRPr="00792118">
        <w:rPr>
          <w:lang w:val="es-ES_tradnl"/>
        </w:rPr>
        <w:t>2.3</w:t>
      </w:r>
      <w:r w:rsidRPr="00792118">
        <w:rPr>
          <w:lang w:val="es-ES_tradnl"/>
        </w:rPr>
        <w:tab/>
        <w:t>Grupo de Trabajo 4C</w:t>
      </w:r>
    </w:p>
    <w:p w:rsidR="00574EBC" w:rsidRPr="00792118" w:rsidRDefault="00574EBC" w:rsidP="00822172">
      <w:pPr>
        <w:rPr>
          <w:lang w:val="es-ES_tradnl"/>
        </w:rPr>
      </w:pPr>
      <w:r w:rsidRPr="00792118">
        <w:rPr>
          <w:lang w:val="es-ES_tradnl"/>
        </w:rPr>
        <w:t xml:space="preserve">Durante el actual periodo de estudios el Grupo de Trabajo 4C </w:t>
      </w:r>
      <w:r w:rsidR="00B613F9" w:rsidRPr="00792118">
        <w:rPr>
          <w:lang w:val="es-ES_tradnl"/>
        </w:rPr>
        <w:t xml:space="preserve">celebró </w:t>
      </w:r>
      <w:r w:rsidRPr="00792118">
        <w:rPr>
          <w:lang w:val="es-ES_tradnl"/>
        </w:rPr>
        <w:t xml:space="preserve">siete reuniones bajo la presidencia del Sr. Alexandre Vallet (Francia). En esas reuniones el GT 4C elaboró en total </w:t>
      </w:r>
      <w:r w:rsidR="00EE4E72" w:rsidRPr="00792118">
        <w:rPr>
          <w:lang w:val="es-ES_tradnl"/>
        </w:rPr>
        <w:t>cinco</w:t>
      </w:r>
      <w:r w:rsidRPr="00792118">
        <w:rPr>
          <w:lang w:val="es-ES_tradnl"/>
        </w:rPr>
        <w:t xml:space="preserve"> proyectos de nuevas Recomendaciones, </w:t>
      </w:r>
      <w:r w:rsidR="00EE4E72" w:rsidRPr="00792118">
        <w:rPr>
          <w:lang w:val="es-ES_tradnl"/>
        </w:rPr>
        <w:t>seis</w:t>
      </w:r>
      <w:r w:rsidRPr="00792118">
        <w:rPr>
          <w:lang w:val="es-ES_tradnl"/>
        </w:rPr>
        <w:t xml:space="preserve"> proyecto</w:t>
      </w:r>
      <w:r w:rsidR="00EE4E72" w:rsidRPr="00792118">
        <w:rPr>
          <w:lang w:val="es-ES_tradnl"/>
        </w:rPr>
        <w:t>s de Recomendaciones revisadas y un proyecto</w:t>
      </w:r>
      <w:r w:rsidRPr="00792118">
        <w:rPr>
          <w:lang w:val="es-ES_tradnl"/>
        </w:rPr>
        <w:t xml:space="preserve"> d</w:t>
      </w:r>
      <w:r w:rsidR="00B613F9" w:rsidRPr="00792118">
        <w:rPr>
          <w:lang w:val="es-ES_tradnl"/>
        </w:rPr>
        <w:t>e nuevo Informe</w:t>
      </w:r>
      <w:r w:rsidRPr="00792118">
        <w:rPr>
          <w:lang w:val="es-ES_tradnl"/>
        </w:rPr>
        <w:t>, que se enumeran en el Anexo 3.</w:t>
      </w:r>
    </w:p>
    <w:p w:rsidR="00574EBC" w:rsidRPr="00792118" w:rsidRDefault="00574EBC" w:rsidP="009C16F6">
      <w:pPr>
        <w:rPr>
          <w:lang w:val="es-ES_tradnl"/>
        </w:rPr>
      </w:pPr>
      <w:r w:rsidRPr="00792118">
        <w:rPr>
          <w:lang w:val="es-ES_tradnl"/>
        </w:rPr>
        <w:t>El GT 4C finalizó el proyecto de texto de la RPC sobre los punto</w:t>
      </w:r>
      <w:r w:rsidR="00EE4E72" w:rsidRPr="00792118">
        <w:rPr>
          <w:lang w:val="es-ES_tradnl"/>
        </w:rPr>
        <w:t>s del orden del día de la CMR-15</w:t>
      </w:r>
      <w:r w:rsidRPr="00792118">
        <w:rPr>
          <w:lang w:val="es-ES_tradnl"/>
        </w:rPr>
        <w:t xml:space="preserve"> para los cuales es</w:t>
      </w:r>
      <w:r w:rsidR="00B613F9" w:rsidRPr="00792118">
        <w:rPr>
          <w:lang w:val="es-ES_tradnl"/>
        </w:rPr>
        <w:t xml:space="preserve"> el</w:t>
      </w:r>
      <w:r w:rsidRPr="00792118">
        <w:rPr>
          <w:lang w:val="es-ES_tradnl"/>
        </w:rPr>
        <w:t xml:space="preserve"> grupo </w:t>
      </w:r>
      <w:r w:rsidR="00B613F9" w:rsidRPr="00792118">
        <w:rPr>
          <w:lang w:val="es-ES_tradnl"/>
        </w:rPr>
        <w:t>responsable</w:t>
      </w:r>
      <w:r w:rsidRPr="00792118">
        <w:rPr>
          <w:lang w:val="es-ES_tradnl"/>
        </w:rPr>
        <w:t xml:space="preserve">. El GT 4C </w:t>
      </w:r>
      <w:r w:rsidR="00B613F9" w:rsidRPr="00792118">
        <w:rPr>
          <w:lang w:val="es-ES_tradnl"/>
        </w:rPr>
        <w:t>estaba encargado</w:t>
      </w:r>
      <w:r w:rsidRPr="00792118">
        <w:rPr>
          <w:lang w:val="es-ES_tradnl"/>
        </w:rPr>
        <w:t xml:space="preserve"> de tres puntos del orden del día</w:t>
      </w:r>
      <w:r w:rsidR="003E7F2D" w:rsidRPr="00792118">
        <w:rPr>
          <w:lang w:val="es-ES_tradnl"/>
        </w:rPr>
        <w:t>/temas</w:t>
      </w:r>
      <w:r w:rsidRPr="00792118">
        <w:rPr>
          <w:lang w:val="es-ES_tradnl"/>
        </w:rPr>
        <w:t xml:space="preserve"> en calidad de Grupo de Trabajo </w:t>
      </w:r>
      <w:r w:rsidR="00B613F9" w:rsidRPr="00792118">
        <w:rPr>
          <w:lang w:val="es-ES_tradnl"/>
        </w:rPr>
        <w:t>responsable</w:t>
      </w:r>
      <w:r w:rsidRPr="00792118">
        <w:rPr>
          <w:lang w:val="es-ES_tradnl"/>
        </w:rPr>
        <w:t xml:space="preserve"> y participó en </w:t>
      </w:r>
      <w:r w:rsidR="003E7F2D" w:rsidRPr="00792118">
        <w:rPr>
          <w:lang w:val="es-ES_tradnl"/>
        </w:rPr>
        <w:t>nueve</w:t>
      </w:r>
      <w:r w:rsidRPr="00792118">
        <w:rPr>
          <w:lang w:val="es-ES_tradnl"/>
        </w:rPr>
        <w:t xml:space="preserve"> </w:t>
      </w:r>
      <w:r w:rsidR="003E7F2D" w:rsidRPr="00792118">
        <w:rPr>
          <w:lang w:val="es-ES_tradnl"/>
        </w:rPr>
        <w:t>puntos del orden del día/</w:t>
      </w:r>
      <w:r w:rsidRPr="00792118">
        <w:rPr>
          <w:lang w:val="es-ES_tradnl"/>
        </w:rPr>
        <w:t>temas como grupo contribuyente. Los estudios en preparación de la CMR-1</w:t>
      </w:r>
      <w:r w:rsidR="009C16F6">
        <w:rPr>
          <w:lang w:val="es-ES_tradnl"/>
        </w:rPr>
        <w:t>5</w:t>
      </w:r>
      <w:r w:rsidRPr="00792118">
        <w:rPr>
          <w:lang w:val="es-ES_tradnl"/>
        </w:rPr>
        <w:t xml:space="preserve"> sobre los puntos para los cuales el GT 4C era el grupo responsable aumentaron notablemente su carga de trabajo:</w:t>
      </w:r>
    </w:p>
    <w:p w:rsidR="0055461E" w:rsidRPr="00792118" w:rsidRDefault="00CD52AC" w:rsidP="00BE60C8">
      <w:pPr>
        <w:pStyle w:val="Headingb"/>
        <w:tabs>
          <w:tab w:val="left" w:pos="3119"/>
        </w:tabs>
        <w:rPr>
          <w:lang w:val="es-ES_tradnl"/>
        </w:rPr>
      </w:pPr>
      <w:r w:rsidRPr="00792118">
        <w:rPr>
          <w:lang w:val="es-ES_tradnl"/>
        </w:rPr>
        <w:t>Punto</w:t>
      </w:r>
      <w:r w:rsidR="0055461E" w:rsidRPr="00792118">
        <w:rPr>
          <w:lang w:val="es-ES_tradnl"/>
        </w:rPr>
        <w:t xml:space="preserve"> 1.9.2</w:t>
      </w:r>
      <w:r w:rsidRPr="00792118">
        <w:rPr>
          <w:lang w:val="es-ES_tradnl"/>
        </w:rPr>
        <w:t xml:space="preserve"> del orden del día</w:t>
      </w:r>
      <w:r w:rsidR="0055461E" w:rsidRPr="00792118">
        <w:rPr>
          <w:lang w:val="es-ES_tradnl"/>
        </w:rPr>
        <w:t>:</w:t>
      </w:r>
      <w:r w:rsidR="0055461E" w:rsidRPr="00792118">
        <w:rPr>
          <w:lang w:val="es-ES_tradnl"/>
        </w:rPr>
        <w:tab/>
      </w:r>
      <w:r w:rsidRPr="00792118">
        <w:rPr>
          <w:lang w:val="es-ES_tradnl"/>
        </w:rPr>
        <w:t>considerar, con arreglo a la Resolución 758 (CMR-12):</w:t>
      </w:r>
      <w:r w:rsidR="0055461E" w:rsidRPr="00792118">
        <w:rPr>
          <w:lang w:val="es-ES_tradnl"/>
        </w:rPr>
        <w:t xml:space="preserve"> </w:t>
      </w:r>
      <w:r w:rsidRPr="00792118">
        <w:rPr>
          <w:lang w:val="es-ES_tradnl"/>
        </w:rPr>
        <w:t xml:space="preserve">la posibilidad de atribuir las bandas 7 375-7 750 MHz y 8 025-8 400 MHz al servicio móvil </w:t>
      </w:r>
      <w:r w:rsidRPr="00792118">
        <w:rPr>
          <w:lang w:val="es-ES_tradnl"/>
        </w:rPr>
        <w:lastRenderedPageBreak/>
        <w:t>marítimo por satélite y otras medidas reglamentarias, en función de los resultados de los estudios correspondientes</w:t>
      </w:r>
    </w:p>
    <w:p w:rsidR="0055461E" w:rsidRPr="00792118" w:rsidRDefault="003E7F2D" w:rsidP="003350A4">
      <w:pPr>
        <w:rPr>
          <w:lang w:val="es-ES_tradnl"/>
        </w:rPr>
      </w:pPr>
      <w:r w:rsidRPr="00792118">
        <w:rPr>
          <w:lang w:val="es-ES_tradnl"/>
        </w:rPr>
        <w:t xml:space="preserve">El GT 4C finalizó el proyecto de texto de la RPC. </w:t>
      </w:r>
      <w:r w:rsidR="0055461E" w:rsidRPr="00792118">
        <w:rPr>
          <w:lang w:val="es-ES_tradnl"/>
        </w:rPr>
        <w:t xml:space="preserve">En la Resolución </w:t>
      </w:r>
      <w:r w:rsidR="0055461E" w:rsidRPr="00792118">
        <w:rPr>
          <w:b/>
          <w:bCs/>
          <w:lang w:val="es-ES_tradnl"/>
        </w:rPr>
        <w:t>758 (CMR-12)</w:t>
      </w:r>
      <w:r w:rsidR="0055461E" w:rsidRPr="00792118">
        <w:rPr>
          <w:lang w:val="es-ES_tradnl"/>
        </w:rPr>
        <w:t>,</w:t>
      </w:r>
      <w:r w:rsidR="0055461E" w:rsidRPr="00792118">
        <w:rPr>
          <w:b/>
          <w:bCs/>
          <w:lang w:val="es-ES_tradnl"/>
        </w:rPr>
        <w:t xml:space="preserve"> </w:t>
      </w:r>
      <w:r w:rsidR="0055461E" w:rsidRPr="00792118">
        <w:rPr>
          <w:lang w:val="es-ES_tradnl"/>
        </w:rPr>
        <w:t xml:space="preserve">la CMR-12 invita al UIT-R a llevar a cabo estudios técnicos y reglamentarios sobre la posibilidad de atribuir las bandas de frecuencias 7 </w:t>
      </w:r>
      <w:r w:rsidR="003350A4" w:rsidRPr="00792118">
        <w:rPr>
          <w:lang w:val="es-ES_tradnl"/>
        </w:rPr>
        <w:t>375</w:t>
      </w:r>
      <w:r w:rsidR="0055461E" w:rsidRPr="00792118">
        <w:rPr>
          <w:lang w:val="es-ES_tradnl"/>
        </w:rPr>
        <w:t xml:space="preserve">-7 </w:t>
      </w:r>
      <w:r w:rsidR="003350A4" w:rsidRPr="00792118">
        <w:rPr>
          <w:lang w:val="es-ES_tradnl"/>
        </w:rPr>
        <w:t>750</w:t>
      </w:r>
      <w:r w:rsidR="0055461E" w:rsidRPr="00792118">
        <w:rPr>
          <w:lang w:val="es-ES_tradnl"/>
        </w:rPr>
        <w:t xml:space="preserve"> MHz y 8 </w:t>
      </w:r>
      <w:r w:rsidR="003350A4" w:rsidRPr="00792118">
        <w:rPr>
          <w:lang w:val="es-ES_tradnl"/>
        </w:rPr>
        <w:t>025</w:t>
      </w:r>
      <w:r w:rsidR="003350A4" w:rsidRPr="00792118">
        <w:rPr>
          <w:lang w:val="es-ES_tradnl"/>
        </w:rPr>
        <w:noBreakHyphen/>
        <w:t>8 4</w:t>
      </w:r>
      <w:r w:rsidR="0055461E" w:rsidRPr="00792118">
        <w:rPr>
          <w:lang w:val="es-ES_tradnl"/>
        </w:rPr>
        <w:t xml:space="preserve">00 MHz o tramos de esas bandas al servicio móvil marítimo por satélite (SMMS), garantizando la compatibilidad con los servicios existentes. Estudios realizados en el UIT-R demuestran que muchas estaciones terrenas de todo el mundo que funcionan con servicios científicos, así como estaciones terrenales fijas y móviles, necesitan protección contra interferencias perjudiciales procedentes de estaciones del SMMS en esas bandas de frecuencias. Según esos estudios, la distancia de separación necesaria para proteger contra interferencias a las estaciones terrenas del servicio de exploración de la Tierra por satélite (SETS) y a las estaciones fijas es del orden de varios cientos de kilómetros. Los estudios también señalan que las estaciones terrenas en el espacio lejano del servicio de investigación espacial (SIE) que funcionan en las bandas adyacentes tendrían que protegerse estableciendo límites a las emisiones no deseadas y/o distancias de separación. Además, no es evidente la forma de aplicar las disposiciones de los números </w:t>
      </w:r>
      <w:r w:rsidR="0055461E" w:rsidRPr="00792118">
        <w:rPr>
          <w:b/>
          <w:bCs/>
          <w:lang w:val="es-ES_tradnl"/>
        </w:rPr>
        <w:t>9.17</w:t>
      </w:r>
      <w:r w:rsidR="0055461E" w:rsidRPr="00792118">
        <w:rPr>
          <w:lang w:val="es-ES_tradnl"/>
        </w:rPr>
        <w:t xml:space="preserve">, </w:t>
      </w:r>
      <w:r w:rsidR="0055461E" w:rsidRPr="00792118">
        <w:rPr>
          <w:b/>
          <w:bCs/>
          <w:lang w:val="es-ES_tradnl"/>
        </w:rPr>
        <w:t xml:space="preserve">9.17A </w:t>
      </w:r>
      <w:r w:rsidR="0055461E" w:rsidRPr="00792118">
        <w:rPr>
          <w:lang w:val="es-ES_tradnl"/>
        </w:rPr>
        <w:t>y</w:t>
      </w:r>
      <w:r w:rsidR="0055461E" w:rsidRPr="00792118">
        <w:rPr>
          <w:b/>
          <w:bCs/>
          <w:lang w:val="es-ES_tradnl"/>
        </w:rPr>
        <w:t xml:space="preserve"> 9.18</w:t>
      </w:r>
      <w:r w:rsidR="0055461E" w:rsidRPr="00792118">
        <w:rPr>
          <w:lang w:val="es-ES_tradnl"/>
        </w:rPr>
        <w:t xml:space="preserve"> del Reglamento de Radiocomunicaciones para las estaciones terrenas </w:t>
      </w:r>
      <w:r w:rsidR="00C856C3" w:rsidRPr="00792118">
        <w:rPr>
          <w:lang w:val="es-ES_tradnl"/>
        </w:rPr>
        <w:t xml:space="preserve">del </w:t>
      </w:r>
      <w:r w:rsidR="0055461E" w:rsidRPr="00792118">
        <w:rPr>
          <w:lang w:val="es-ES_tradnl"/>
        </w:rPr>
        <w:t>SMMS.</w:t>
      </w:r>
      <w:r w:rsidR="00C856C3" w:rsidRPr="00792118">
        <w:rPr>
          <w:lang w:val="es-ES_tradnl"/>
        </w:rPr>
        <w:t xml:space="preserve"> También se finalizó el Informe que presenta los estudios para este punto del orden del día.</w:t>
      </w:r>
    </w:p>
    <w:p w:rsidR="00045147" w:rsidRPr="00792118" w:rsidRDefault="00267A57" w:rsidP="00154ED3">
      <w:pPr>
        <w:pStyle w:val="Headingb"/>
        <w:tabs>
          <w:tab w:val="left" w:pos="3119"/>
        </w:tabs>
        <w:rPr>
          <w:lang w:val="es-ES_tradnl"/>
        </w:rPr>
      </w:pPr>
      <w:r w:rsidRPr="00792118">
        <w:rPr>
          <w:lang w:val="es-ES_tradnl"/>
        </w:rPr>
        <w:t>Punto</w:t>
      </w:r>
      <w:r w:rsidR="00045147" w:rsidRPr="00792118">
        <w:rPr>
          <w:lang w:val="es-ES_tradnl"/>
        </w:rPr>
        <w:t xml:space="preserve"> 1.10</w:t>
      </w:r>
      <w:r w:rsidRPr="00792118">
        <w:rPr>
          <w:lang w:val="es-ES_tradnl"/>
        </w:rPr>
        <w:t xml:space="preserve"> del orden del día</w:t>
      </w:r>
      <w:r w:rsidR="00045147" w:rsidRPr="00792118">
        <w:rPr>
          <w:lang w:val="es-ES_tradnl"/>
        </w:rPr>
        <w:t>:</w:t>
      </w:r>
      <w:r w:rsidR="00045147" w:rsidRPr="00792118">
        <w:rPr>
          <w:lang w:val="es-ES_tradnl"/>
        </w:rPr>
        <w:tab/>
      </w:r>
      <w:r w:rsidRPr="00792118">
        <w:rPr>
          <w:lang w:val="es-ES_tradnl"/>
        </w:rPr>
        <w:t>considerar los requisitos de espectro y posibles atribuciones de espectro adicionales para el servicio móvil por satélite en los sentidos Tierra-espacio y espacio-Tierra, incluido el componente de satélite para las aplicaciones de banda ancha, incluidas las telecomunicaciones móviles internacionales (IMT), en la gama de frecuencias de 22 GHz a 26 GHz, de conformidad con la Resolución 234 (CMR-12)</w:t>
      </w:r>
    </w:p>
    <w:p w:rsidR="00045147" w:rsidRPr="00792118" w:rsidRDefault="00C170EA" w:rsidP="00822172">
      <w:pPr>
        <w:rPr>
          <w:lang w:val="es-ES_tradnl"/>
        </w:rPr>
      </w:pPr>
      <w:r w:rsidRPr="00792118">
        <w:rPr>
          <w:lang w:val="es-ES_tradnl"/>
        </w:rPr>
        <w:t>El GT 4C finalizó el proyecto de texto de la RPC</w:t>
      </w:r>
      <w:r w:rsidR="00045147" w:rsidRPr="00792118">
        <w:rPr>
          <w:lang w:val="es-ES_tradnl"/>
        </w:rPr>
        <w:t xml:space="preserve">. </w:t>
      </w:r>
      <w:r w:rsidR="00267A57" w:rsidRPr="00792118">
        <w:rPr>
          <w:lang w:val="es-ES_tradnl"/>
        </w:rPr>
        <w:t>El UIT-R ha realizado estudios de posibles bandas para nuevas atribuciones al servicio móvil por satélite (SMS) en lo</w:t>
      </w:r>
      <w:r w:rsidRPr="00792118">
        <w:rPr>
          <w:lang w:val="es-ES_tradnl"/>
        </w:rPr>
        <w:t>s sentidos Tierra-espacio y espacio-Tierra</w:t>
      </w:r>
      <w:r w:rsidR="00267A57" w:rsidRPr="00792118">
        <w:rPr>
          <w:lang w:val="es-ES_tradnl"/>
        </w:rPr>
        <w:t xml:space="preserve"> dentro de la gama de frecuencias 22-26 GHz, teniendo en cuenta numerosos aspectos relacionados con la compartición y la compatibilidad. En la Resolución </w:t>
      </w:r>
      <w:r w:rsidR="00267A57" w:rsidRPr="00792118">
        <w:rPr>
          <w:b/>
          <w:bCs/>
          <w:lang w:val="es-ES_tradnl"/>
        </w:rPr>
        <w:t>234 (CMR-12)</w:t>
      </w:r>
      <w:r w:rsidR="00267A57" w:rsidRPr="00792118">
        <w:rPr>
          <w:lang w:val="es-ES_tradnl"/>
        </w:rPr>
        <w:t xml:space="preserve"> se considera y reconoce que no se ha cubierto la falta de espectro para introducir IMT y aplicaciones de banda ancha en la gama 4</w:t>
      </w:r>
      <w:r w:rsidR="00267A57" w:rsidRPr="00792118">
        <w:rPr>
          <w:lang w:val="es-ES_tradnl"/>
        </w:rPr>
        <w:noBreakHyphen/>
        <w:t>16 GHz para el SMS de entre 240 MHz y 335 MHz, pero el UIT-R aún no ha evaluado las necesidades globales para el SMS en la gama de frecuencias 22</w:t>
      </w:r>
      <w:r w:rsidR="00267A57" w:rsidRPr="00792118">
        <w:rPr>
          <w:lang w:val="es-ES_tradnl"/>
        </w:rPr>
        <w:noBreakHyphen/>
        <w:t>26 GHz. Se han evaluado varias bandas de frecuencias en la gama de frecuencias 22-26 GHz para una posible compartición con los nuevos sistemas del SMS, aunque no se han examinado todos los servicios dentro de esas bandas para su compartición con los nuevos sistemas del SMS. Algunas bandas de frecuencias en la gama 22</w:t>
      </w:r>
      <w:r w:rsidR="00267A57" w:rsidRPr="00792118">
        <w:rPr>
          <w:lang w:val="es-ES_tradnl"/>
        </w:rPr>
        <w:noBreakHyphen/>
        <w:t>26 GHz no han sido objeto de estudio.</w:t>
      </w:r>
      <w:r w:rsidR="00045147" w:rsidRPr="00792118">
        <w:rPr>
          <w:lang w:val="es-ES_tradnl"/>
        </w:rPr>
        <w:t xml:space="preserve"> </w:t>
      </w:r>
      <w:r w:rsidRPr="00792118">
        <w:rPr>
          <w:lang w:val="es-ES_tradnl"/>
        </w:rPr>
        <w:t>También se finalizó el Informe que presenta los estudios para este punto del orden del día.</w:t>
      </w:r>
    </w:p>
    <w:p w:rsidR="005E14DE" w:rsidRPr="00792118" w:rsidRDefault="00267A57" w:rsidP="00822172">
      <w:pPr>
        <w:pStyle w:val="Headingb"/>
        <w:rPr>
          <w:lang w:val="es-ES_tradnl"/>
        </w:rPr>
      </w:pPr>
      <w:r w:rsidRPr="00792118">
        <w:rPr>
          <w:lang w:val="es-ES_tradnl"/>
        </w:rPr>
        <w:t>Punto</w:t>
      </w:r>
      <w:r w:rsidR="005E14DE" w:rsidRPr="00792118">
        <w:rPr>
          <w:lang w:val="es-ES_tradnl"/>
        </w:rPr>
        <w:t xml:space="preserve"> 9.1</w:t>
      </w:r>
      <w:r w:rsidRPr="00792118">
        <w:rPr>
          <w:lang w:val="es-ES_tradnl"/>
        </w:rPr>
        <w:t xml:space="preserve"> del orden del día</w:t>
      </w:r>
      <w:r w:rsidR="005E14DE" w:rsidRPr="00792118">
        <w:rPr>
          <w:lang w:val="es-ES_tradnl"/>
        </w:rPr>
        <w:t xml:space="preserve">, </w:t>
      </w:r>
      <w:r w:rsidR="00E96899" w:rsidRPr="00792118">
        <w:rPr>
          <w:lang w:val="es-ES_tradnl"/>
        </w:rPr>
        <w:t>tema</w:t>
      </w:r>
      <w:r w:rsidR="005E14DE" w:rsidRPr="00792118">
        <w:rPr>
          <w:lang w:val="es-ES_tradnl"/>
        </w:rPr>
        <w:t xml:space="preserve"> 9.1.1:</w:t>
      </w:r>
      <w:r w:rsidR="005E14DE" w:rsidRPr="00792118">
        <w:rPr>
          <w:lang w:val="es-ES_tradnl"/>
        </w:rPr>
        <w:tab/>
      </w:r>
      <w:r w:rsidRPr="00792118">
        <w:rPr>
          <w:lang w:val="es-ES_tradnl"/>
        </w:rPr>
        <w:t>Resolución 205 (Rev.CMR-12): Protección de los sistemas del servicio móvil por satélite que funcionan en la banda 406-406,1 MHz</w:t>
      </w:r>
    </w:p>
    <w:p w:rsidR="005E14DE" w:rsidRPr="00792118" w:rsidRDefault="005C2C40" w:rsidP="00822172">
      <w:pPr>
        <w:rPr>
          <w:lang w:val="es-ES_tradnl"/>
        </w:rPr>
      </w:pPr>
      <w:r w:rsidRPr="00792118">
        <w:rPr>
          <w:lang w:val="es-ES_tradnl"/>
        </w:rPr>
        <w:t xml:space="preserve">El GT 4C finalizó el proyecto de texto de la RPC. </w:t>
      </w:r>
      <w:r w:rsidR="005E14DE" w:rsidRPr="00792118">
        <w:rPr>
          <w:lang w:val="es-ES_tradnl"/>
        </w:rPr>
        <w:t xml:space="preserve">De conformidad con la Resolución </w:t>
      </w:r>
      <w:r w:rsidR="005E14DE" w:rsidRPr="00792118">
        <w:rPr>
          <w:b/>
          <w:lang w:val="es-ES_tradnl"/>
        </w:rPr>
        <w:t>205 (Rev.CMR-12)</w:t>
      </w:r>
      <w:r w:rsidR="005E14DE" w:rsidRPr="00792118">
        <w:rPr>
          <w:lang w:val="es-ES_tradnl"/>
        </w:rPr>
        <w:t xml:space="preserve">, el UIT-R realiza estudios reglamentarios, técnicos y operativos con objeto de garantizar la protección adecuada de los sistemas del </w:t>
      </w:r>
      <w:r w:rsidR="005E14DE" w:rsidRPr="00792118">
        <w:rPr>
          <w:szCs w:val="24"/>
          <w:lang w:val="es-ES_tradnl"/>
        </w:rPr>
        <w:t>SMS</w:t>
      </w:r>
      <w:r w:rsidR="005E14DE" w:rsidRPr="00792118">
        <w:rPr>
          <w:lang w:val="es-ES_tradnl"/>
        </w:rPr>
        <w:t xml:space="preserve"> que funcionan en la banda de frecuencias 406-406,1 MHz, como se estipula en los números </w:t>
      </w:r>
      <w:r w:rsidR="005E14DE" w:rsidRPr="00792118">
        <w:rPr>
          <w:b/>
          <w:lang w:val="es-ES_tradnl"/>
        </w:rPr>
        <w:t>4.22</w:t>
      </w:r>
      <w:r w:rsidR="005E14DE" w:rsidRPr="00792118">
        <w:rPr>
          <w:bCs/>
          <w:lang w:val="es-ES_tradnl"/>
        </w:rPr>
        <w:t xml:space="preserve">, </w:t>
      </w:r>
      <w:r w:rsidR="005E14DE" w:rsidRPr="00792118">
        <w:rPr>
          <w:b/>
          <w:lang w:val="es-ES_tradnl"/>
        </w:rPr>
        <w:t>5.267</w:t>
      </w:r>
      <w:r w:rsidR="005E14DE" w:rsidRPr="00792118">
        <w:rPr>
          <w:lang w:val="es-ES_tradnl"/>
        </w:rPr>
        <w:t xml:space="preserve"> y el Apéndice </w:t>
      </w:r>
      <w:r w:rsidR="005E14DE" w:rsidRPr="00792118">
        <w:rPr>
          <w:b/>
          <w:lang w:val="es-ES_tradnl"/>
        </w:rPr>
        <w:t>15</w:t>
      </w:r>
      <w:r w:rsidR="005E14DE" w:rsidRPr="00792118">
        <w:rPr>
          <w:lang w:val="es-ES_tradnl"/>
        </w:rPr>
        <w:t xml:space="preserve"> (Cuadro </w:t>
      </w:r>
      <w:r w:rsidR="005E14DE" w:rsidRPr="00792118">
        <w:rPr>
          <w:b/>
          <w:bCs/>
          <w:lang w:val="es-ES_tradnl"/>
        </w:rPr>
        <w:t>15-2</w:t>
      </w:r>
      <w:r w:rsidR="005E14DE" w:rsidRPr="00792118">
        <w:rPr>
          <w:lang w:val="es-ES_tradnl"/>
        </w:rPr>
        <w:t>) del RR, teniendo en cuenta los servicios actuales y futuros que operan en las bandas de frecuencias adyacentes inferiores (390-406 MHz) y las bandas de frecuencias a</w:t>
      </w:r>
      <w:r w:rsidR="003350A4" w:rsidRPr="00792118">
        <w:rPr>
          <w:lang w:val="es-ES_tradnl"/>
        </w:rPr>
        <w:t>dyacentes superiores (406,1</w:t>
      </w:r>
      <w:r w:rsidR="003350A4" w:rsidRPr="00792118">
        <w:rPr>
          <w:lang w:val="es-ES_tradnl"/>
        </w:rPr>
        <w:noBreakHyphen/>
        <w:t>420 </w:t>
      </w:r>
      <w:r w:rsidR="005E14DE" w:rsidRPr="00792118">
        <w:rPr>
          <w:lang w:val="es-ES_tradnl"/>
        </w:rPr>
        <w:t>MHz) o en partes separadas de estas bandas de frecuencias.</w:t>
      </w:r>
    </w:p>
    <w:p w:rsidR="005E14DE" w:rsidRPr="00792118" w:rsidRDefault="005E14DE" w:rsidP="00822172">
      <w:pPr>
        <w:rPr>
          <w:lang w:val="es-ES_tradnl"/>
        </w:rPr>
      </w:pPr>
      <w:r w:rsidRPr="00792118">
        <w:rPr>
          <w:lang w:val="es-ES_tradnl"/>
        </w:rPr>
        <w:t>Se han fijado niveles admisibles de interferencia para emisiones de banda estrecha y banda ancha para tres segmentos espaciales (órbita terrestre baja (LEO), órbita terrestre media (MEO) y órbita de los satélites geoestacionarios (OSG)) que funcionan en la</w:t>
      </w:r>
      <w:r w:rsidR="009166DB" w:rsidRPr="00792118">
        <w:rPr>
          <w:lang w:val="es-ES_tradnl"/>
        </w:rPr>
        <w:t xml:space="preserve"> banda de frecuencias 406</w:t>
      </w:r>
      <w:r w:rsidR="009166DB" w:rsidRPr="00792118">
        <w:rPr>
          <w:lang w:val="es-ES_tradnl"/>
        </w:rPr>
        <w:noBreakHyphen/>
        <w:t>406,1 </w:t>
      </w:r>
      <w:r w:rsidRPr="00792118">
        <w:rPr>
          <w:lang w:val="es-ES_tradnl"/>
        </w:rPr>
        <w:t xml:space="preserve">MHz. </w:t>
      </w:r>
      <w:r w:rsidRPr="00792118">
        <w:rPr>
          <w:lang w:val="es-ES_tradnl"/>
        </w:rPr>
        <w:lastRenderedPageBreak/>
        <w:t xml:space="preserve">Los niveles de emisiones no esenciales especificados indican que las plataformas de recogida de datos del SETS no producen emisiones en banda que rebasen los criterios de interferencia en banda estrecha. Además, el funcionamiento de radiosondas en el </w:t>
      </w:r>
      <w:r w:rsidR="005C2C40" w:rsidRPr="00792118">
        <w:rPr>
          <w:color w:val="000000"/>
          <w:lang w:val="es-ES_tradnl"/>
        </w:rPr>
        <w:t>servicio de ayudas a la meteorología</w:t>
      </w:r>
      <w:r w:rsidR="005C2C40" w:rsidRPr="00792118">
        <w:rPr>
          <w:lang w:val="es-ES_tradnl"/>
        </w:rPr>
        <w:t xml:space="preserve"> </w:t>
      </w:r>
      <w:r w:rsidRPr="00792118">
        <w:rPr>
          <w:lang w:val="es-ES_tradnl"/>
        </w:rPr>
        <w:t>no superará los niveles de sensibilidad medidos en banda ancha de los receptores de búsqueda y salvamento para satélites LEO, MEO o GEO.</w:t>
      </w:r>
    </w:p>
    <w:p w:rsidR="005E14DE" w:rsidRPr="00792118" w:rsidRDefault="005E14DE" w:rsidP="00822172">
      <w:pPr>
        <w:rPr>
          <w:lang w:val="es-ES_tradnl"/>
        </w:rPr>
      </w:pPr>
      <w:r w:rsidRPr="00792118">
        <w:rPr>
          <w:lang w:val="es-ES_tradnl"/>
        </w:rPr>
        <w:t>Las simulaciones realizadas con hipótesis de despliegue típicas de países de la CEPT muestran que el componente LEO experimenta interferencias debidas a instalaciones del servicio móvil de 406,1 a 407 MHz, mientras que el componente MEO recibe interferencias hasta 410 MHz dependiendo de la constelación. El componente geoestacionario registra interferencias graves provocadas por instalaciones del servicio móvil en la banda de frecuencias 406,1-406,2 MHz.</w:t>
      </w:r>
    </w:p>
    <w:p w:rsidR="005E14DE" w:rsidRPr="00792118" w:rsidRDefault="005E14DE" w:rsidP="00822172">
      <w:pPr>
        <w:rPr>
          <w:lang w:val="es-ES_tradnl"/>
        </w:rPr>
      </w:pPr>
      <w:r w:rsidRPr="00792118">
        <w:rPr>
          <w:lang w:val="es-ES_tradnl"/>
        </w:rPr>
        <w:t>Un mayor despliegue de estaciones móviles terrestres en la gama 406,1-420 MHz puede degradar el comportamiento del Procesador de Búsqueda y Salvamento (SARP) LEOSAR, como muestran las simulaciones realizadas según las características de los sistemas canadienses, que no siempre son representativas para otros países de la Región 2. El despliegue hipotético y la tasa de crecimiento empleados no representan ningún despliegue actual y tal vez tampoco futuro para los países de la Región 2. Según este estudio, MEOSAR (Galileo), con su mayor cobertura, podría también verse afectado por un aumento de los sistemas móviles terrestres en la banda de frecuencias 406,1</w:t>
      </w:r>
      <w:r w:rsidRPr="00792118">
        <w:rPr>
          <w:lang w:val="es-ES_tradnl"/>
        </w:rPr>
        <w:noBreakHyphen/>
        <w:t>406,2 MHz.</w:t>
      </w:r>
    </w:p>
    <w:p w:rsidR="00045147" w:rsidRPr="00792118" w:rsidRDefault="005C2C40" w:rsidP="00822172">
      <w:pPr>
        <w:rPr>
          <w:lang w:val="es-ES_tradnl"/>
        </w:rPr>
      </w:pPr>
      <w:r w:rsidRPr="00792118">
        <w:rPr>
          <w:color w:val="000000"/>
          <w:lang w:val="es-ES_tradnl"/>
        </w:rPr>
        <w:t>Se han identificado dos opciones para garantizar la protección de los sistemas del SMS que funcionan en la banda de frecuencias 406-406,1 MHz. Ambas con</w:t>
      </w:r>
      <w:r w:rsidR="00E0398A" w:rsidRPr="00792118">
        <w:rPr>
          <w:color w:val="000000"/>
          <w:lang w:val="es-ES_tradnl"/>
        </w:rPr>
        <w:t>sisten en añadir una nota al</w:t>
      </w:r>
      <w:r w:rsidRPr="00792118">
        <w:rPr>
          <w:color w:val="000000"/>
          <w:lang w:val="es-ES_tradnl"/>
        </w:rPr>
        <w:t xml:space="preserve"> Cuadro de atribución de bandas de frecuencias del Artículo </w:t>
      </w:r>
      <w:r w:rsidRPr="00792118">
        <w:rPr>
          <w:b/>
          <w:bCs/>
          <w:color w:val="000000"/>
          <w:lang w:val="es-ES_tradnl"/>
        </w:rPr>
        <w:t>5</w:t>
      </w:r>
      <w:r w:rsidRPr="00792118">
        <w:rPr>
          <w:color w:val="000000"/>
          <w:lang w:val="es-ES_tradnl"/>
        </w:rPr>
        <w:t xml:space="preserve"> del RR y modificar la Resolución </w:t>
      </w:r>
      <w:r w:rsidRPr="00792118">
        <w:rPr>
          <w:b/>
          <w:bCs/>
          <w:color w:val="000000"/>
          <w:lang w:val="es-ES_tradnl"/>
        </w:rPr>
        <w:t>205 (Rev.CMR-12)</w:t>
      </w:r>
      <w:r w:rsidRPr="00792118">
        <w:rPr>
          <w:color w:val="000000"/>
          <w:lang w:val="es-ES_tradnl"/>
        </w:rPr>
        <w:t xml:space="preserve">. </w:t>
      </w:r>
      <w:r w:rsidR="00E0398A" w:rsidRPr="00792118">
        <w:rPr>
          <w:lang w:val="es-ES_tradnl"/>
        </w:rPr>
        <w:t xml:space="preserve">La diferencia entre las dos opciones radica en la forma en que se modifica la Resolución </w:t>
      </w:r>
      <w:r w:rsidR="00E0398A" w:rsidRPr="00792118">
        <w:rPr>
          <w:b/>
          <w:bCs/>
          <w:lang w:val="es-ES_tradnl"/>
        </w:rPr>
        <w:t>205 (Rev.CMR-12)</w:t>
      </w:r>
      <w:r w:rsidR="00045147" w:rsidRPr="00792118">
        <w:rPr>
          <w:lang w:val="es-ES_tradnl"/>
        </w:rPr>
        <w:t xml:space="preserve">. </w:t>
      </w:r>
      <w:r w:rsidR="00E0398A" w:rsidRPr="00792118">
        <w:rPr>
          <w:lang w:val="es-ES_tradnl"/>
        </w:rPr>
        <w:t>También se finalizó el Informe que recopila los estudios para este</w:t>
      </w:r>
      <w:r w:rsidR="00A47126" w:rsidRPr="00792118">
        <w:rPr>
          <w:lang w:val="es-ES_tradnl"/>
        </w:rPr>
        <w:t xml:space="preserve"> </w:t>
      </w:r>
      <w:r w:rsidR="00E0398A" w:rsidRPr="00792118">
        <w:rPr>
          <w:lang w:val="es-ES_tradnl"/>
        </w:rPr>
        <w:t>tema que concluye que se necesitarán dos bandas de guarda de 405,</w:t>
      </w:r>
      <w:r w:rsidR="00045147" w:rsidRPr="00792118">
        <w:rPr>
          <w:lang w:val="es-ES_tradnl"/>
        </w:rPr>
        <w:t xml:space="preserve">9 </w:t>
      </w:r>
      <w:r w:rsidR="00E0398A" w:rsidRPr="00792118">
        <w:rPr>
          <w:lang w:val="es-ES_tradnl"/>
        </w:rPr>
        <w:t>a</w:t>
      </w:r>
      <w:r w:rsidR="00045147" w:rsidRPr="00792118">
        <w:rPr>
          <w:lang w:val="es-ES_tradnl"/>
        </w:rPr>
        <w:t xml:space="preserve"> 406 MHz </w:t>
      </w:r>
      <w:r w:rsidR="00E0398A" w:rsidRPr="00792118">
        <w:rPr>
          <w:lang w:val="es-ES_tradnl"/>
        </w:rPr>
        <w:t>y de 406,</w:t>
      </w:r>
      <w:r w:rsidR="00045147" w:rsidRPr="00792118">
        <w:rPr>
          <w:lang w:val="es-ES_tradnl"/>
        </w:rPr>
        <w:t xml:space="preserve">1 </w:t>
      </w:r>
      <w:r w:rsidR="00E0398A" w:rsidRPr="00792118">
        <w:rPr>
          <w:lang w:val="es-ES_tradnl"/>
        </w:rPr>
        <w:t>a 406,</w:t>
      </w:r>
      <w:r w:rsidR="003350A4" w:rsidRPr="00792118">
        <w:rPr>
          <w:lang w:val="es-ES_tradnl"/>
        </w:rPr>
        <w:t>2 </w:t>
      </w:r>
      <w:r w:rsidR="00045147" w:rsidRPr="00792118">
        <w:rPr>
          <w:lang w:val="es-ES_tradnl"/>
        </w:rPr>
        <w:t xml:space="preserve">MHz </w:t>
      </w:r>
      <w:r w:rsidR="00E0398A" w:rsidRPr="00792118">
        <w:rPr>
          <w:lang w:val="es-ES_tradnl"/>
        </w:rPr>
        <w:t>para garantizar la protección necesaria a los sistemas del SMS que funcionan en la banda 406-406,</w:t>
      </w:r>
      <w:r w:rsidR="00045147" w:rsidRPr="00792118">
        <w:rPr>
          <w:lang w:val="es-ES_tradnl"/>
        </w:rPr>
        <w:t xml:space="preserve">1 MHz. </w:t>
      </w:r>
      <w:r w:rsidR="00E0398A" w:rsidRPr="00792118">
        <w:rPr>
          <w:lang w:val="es-ES_tradnl"/>
        </w:rPr>
        <w:t>La implementación de estas bandas de guarda precisa medidas reglamentarias que podrían tomarse durante la CMR-15.</w:t>
      </w:r>
      <w:r w:rsidR="00045147" w:rsidRPr="00792118">
        <w:rPr>
          <w:lang w:val="es-ES_tradnl"/>
        </w:rPr>
        <w:t xml:space="preserve"> </w:t>
      </w:r>
      <w:r w:rsidR="00E0398A" w:rsidRPr="00792118">
        <w:rPr>
          <w:lang w:val="es-ES_tradnl"/>
        </w:rPr>
        <w:t xml:space="preserve">También se indican otros métodos de reducción que podrían utilizar las administraciones. </w:t>
      </w:r>
    </w:p>
    <w:p w:rsidR="00045147" w:rsidRPr="00792118" w:rsidRDefault="00E0398A" w:rsidP="00822172">
      <w:pPr>
        <w:rPr>
          <w:lang w:val="es-ES_tradnl"/>
        </w:rPr>
      </w:pPr>
      <w:r w:rsidRPr="00792118">
        <w:rPr>
          <w:lang w:val="es-ES_tradnl"/>
        </w:rPr>
        <w:t>El Grupo de Trabajo también</w:t>
      </w:r>
      <w:r w:rsidR="00A47126" w:rsidRPr="00792118">
        <w:rPr>
          <w:lang w:val="es-ES_tradnl"/>
        </w:rPr>
        <w:t xml:space="preserve"> </w:t>
      </w:r>
      <w:r w:rsidR="008845BB" w:rsidRPr="00792118">
        <w:rPr>
          <w:lang w:val="es-ES_tradnl"/>
        </w:rPr>
        <w:t xml:space="preserve">se coordinó estrechamente con los grupos responsables de preparar el proyecto de texto de la RPC sobre otros puntos del orden del día de la CMR-15 mencionados anteriormente que inciden en el SMS y el SRDS, a saber, los </w:t>
      </w:r>
      <w:r w:rsidR="003B5B95" w:rsidRPr="00792118">
        <w:rPr>
          <w:lang w:val="es-ES_tradnl"/>
        </w:rPr>
        <w:t xml:space="preserve">puntos </w:t>
      </w:r>
      <w:r w:rsidR="00045147" w:rsidRPr="00792118">
        <w:rPr>
          <w:lang w:val="es-ES_tradnl"/>
        </w:rPr>
        <w:t xml:space="preserve">1.1, 1.6, 1.7, 1.8, 1.11, 1.15, 1.17, 7 </w:t>
      </w:r>
      <w:r w:rsidR="008845BB" w:rsidRPr="00792118">
        <w:rPr>
          <w:lang w:val="es-ES_tradnl"/>
        </w:rPr>
        <w:t>y</w:t>
      </w:r>
      <w:r w:rsidR="00045147" w:rsidRPr="00792118">
        <w:rPr>
          <w:lang w:val="es-ES_tradnl"/>
        </w:rPr>
        <w:t xml:space="preserve"> 9.1 </w:t>
      </w:r>
      <w:r w:rsidR="008845BB" w:rsidRPr="00792118">
        <w:rPr>
          <w:lang w:val="es-ES_tradnl"/>
        </w:rPr>
        <w:t>tema</w:t>
      </w:r>
      <w:r w:rsidR="00045147" w:rsidRPr="00792118">
        <w:rPr>
          <w:lang w:val="es-ES_tradnl"/>
        </w:rPr>
        <w:t xml:space="preserve"> 9.1.6</w:t>
      </w:r>
      <w:r w:rsidR="008845BB" w:rsidRPr="00792118">
        <w:rPr>
          <w:lang w:val="es-ES_tradnl"/>
        </w:rPr>
        <w:t xml:space="preserve"> del orden del día de la CMR-15</w:t>
      </w:r>
      <w:r w:rsidR="00045147" w:rsidRPr="00792118">
        <w:rPr>
          <w:lang w:val="es-ES_tradnl"/>
        </w:rPr>
        <w:t>.</w:t>
      </w:r>
    </w:p>
    <w:p w:rsidR="00045147" w:rsidRPr="00792118" w:rsidRDefault="008845BB" w:rsidP="00822172">
      <w:pPr>
        <w:rPr>
          <w:lang w:val="es-ES_tradnl"/>
        </w:rPr>
      </w:pPr>
      <w:r w:rsidRPr="00792118">
        <w:rPr>
          <w:lang w:val="es-ES_tradnl"/>
        </w:rPr>
        <w:t xml:space="preserve">Por último, durante el periodo de estudios el GT 4C intercambió </w:t>
      </w:r>
      <w:r w:rsidR="00A76B10" w:rsidRPr="00792118">
        <w:rPr>
          <w:lang w:val="es-ES_tradnl"/>
        </w:rPr>
        <w:t xml:space="preserve">Declaraciones </w:t>
      </w:r>
      <w:r w:rsidRPr="00792118">
        <w:rPr>
          <w:lang w:val="es-ES_tradnl"/>
        </w:rPr>
        <w:t xml:space="preserve">de </w:t>
      </w:r>
      <w:r w:rsidR="00A76B10" w:rsidRPr="00792118">
        <w:rPr>
          <w:lang w:val="es-ES_tradnl"/>
        </w:rPr>
        <w:t xml:space="preserve">Coordinación </w:t>
      </w:r>
      <w:r w:rsidRPr="00792118">
        <w:rPr>
          <w:lang w:val="es-ES_tradnl"/>
        </w:rPr>
        <w:t>con los Grupos de Trabajo 1A, 1B</w:t>
      </w:r>
      <w:r w:rsidR="00045147" w:rsidRPr="00792118">
        <w:rPr>
          <w:lang w:val="es-ES_tradnl"/>
        </w:rPr>
        <w:t xml:space="preserve">, 1C, 3J, 3K, 3L, 3M, 4A, 4B, 5A, 5B, 5C, 5D, 6A, 7A, 7B, 7C, 7D, </w:t>
      </w:r>
      <w:r w:rsidRPr="00792118">
        <w:rPr>
          <w:lang w:val="es-ES_tradnl"/>
        </w:rPr>
        <w:t>el GMTE</w:t>
      </w:r>
      <w:r w:rsidR="00045147" w:rsidRPr="00792118">
        <w:rPr>
          <w:lang w:val="es-ES_tradnl"/>
        </w:rPr>
        <w:t xml:space="preserve"> 4-5-6-7, </w:t>
      </w:r>
      <w:r w:rsidRPr="00792118">
        <w:rPr>
          <w:lang w:val="es-ES_tradnl"/>
        </w:rPr>
        <w:t>la OACI</w:t>
      </w:r>
      <w:r w:rsidR="00045147" w:rsidRPr="00792118">
        <w:rPr>
          <w:lang w:val="es-ES_tradnl"/>
        </w:rPr>
        <w:t xml:space="preserve">, </w:t>
      </w:r>
      <w:r w:rsidRPr="00792118">
        <w:rPr>
          <w:lang w:val="es-ES_tradnl"/>
        </w:rPr>
        <w:t>la OMM, la OMI, la ESA,</w:t>
      </w:r>
      <w:r w:rsidRPr="00792118">
        <w:rPr>
          <w:color w:val="000000"/>
          <w:lang w:val="es-ES_tradnl"/>
        </w:rPr>
        <w:t xml:space="preserve"> la CE 2 del UIT-D, las CE 5, 9 y 15 del UIT-T, el GT 2/5 del UIT-T, el FG-DR&amp;NRR del UIT-T, el FGAC del UIT-T </w:t>
      </w:r>
      <w:r w:rsidRPr="00792118">
        <w:rPr>
          <w:lang w:val="es-ES_tradnl"/>
        </w:rPr>
        <w:t>y la BR.</w:t>
      </w:r>
    </w:p>
    <w:p w:rsidR="00045147" w:rsidRPr="00792118" w:rsidRDefault="00045147" w:rsidP="00822172">
      <w:pPr>
        <w:pStyle w:val="Heading1"/>
        <w:rPr>
          <w:lang w:val="es-ES_tradnl"/>
        </w:rPr>
      </w:pPr>
      <w:r w:rsidRPr="00792118">
        <w:rPr>
          <w:lang w:val="es-ES_tradnl"/>
        </w:rPr>
        <w:t>3</w:t>
      </w:r>
      <w:r w:rsidRPr="00792118">
        <w:rPr>
          <w:lang w:val="es-ES_tradnl"/>
        </w:rPr>
        <w:tab/>
      </w:r>
      <w:r w:rsidR="008845BB" w:rsidRPr="00792118">
        <w:rPr>
          <w:lang w:val="es-ES_tradnl"/>
        </w:rPr>
        <w:t xml:space="preserve">Actividades del </w:t>
      </w:r>
      <w:r w:rsidR="00F03D67" w:rsidRPr="00792118">
        <w:rPr>
          <w:color w:val="000000"/>
          <w:lang w:val="es-ES_tradnl"/>
        </w:rPr>
        <w:t>Grupo Mixto de Tareas Especiales</w:t>
      </w:r>
      <w:r w:rsidRPr="00792118">
        <w:rPr>
          <w:lang w:val="es-ES_tradnl"/>
        </w:rPr>
        <w:t xml:space="preserve"> 4-5-6-7</w:t>
      </w:r>
    </w:p>
    <w:p w:rsidR="00045147" w:rsidRPr="00792118" w:rsidRDefault="00F03D67" w:rsidP="00822172">
      <w:pPr>
        <w:rPr>
          <w:lang w:val="es-ES_tradnl"/>
        </w:rPr>
      </w:pPr>
      <w:r w:rsidRPr="00792118">
        <w:rPr>
          <w:lang w:val="es-ES_tradnl"/>
        </w:rPr>
        <w:t>El informe sobre las tareas del Grupo Mixto de Tareas Especiales figura en el Anexo 4.</w:t>
      </w:r>
    </w:p>
    <w:p w:rsidR="003B57DC" w:rsidRPr="00792118" w:rsidRDefault="003B57DC" w:rsidP="00822172">
      <w:pPr>
        <w:rPr>
          <w:lang w:val="es-ES_tradnl"/>
        </w:rPr>
      </w:pPr>
      <w:r w:rsidRPr="00792118">
        <w:rPr>
          <w:lang w:val="es-ES_tradnl"/>
        </w:rPr>
        <w:br w:type="page"/>
      </w:r>
    </w:p>
    <w:p w:rsidR="00574EBC" w:rsidRPr="00792118" w:rsidRDefault="00574EBC" w:rsidP="00822172">
      <w:pPr>
        <w:pStyle w:val="AnnexNo"/>
        <w:rPr>
          <w:lang w:val="es-ES_tradnl"/>
        </w:rPr>
      </w:pPr>
      <w:r w:rsidRPr="00792118">
        <w:rPr>
          <w:lang w:val="es-ES_tradnl"/>
        </w:rPr>
        <w:lastRenderedPageBreak/>
        <w:t>Anexo 1</w:t>
      </w:r>
    </w:p>
    <w:p w:rsidR="00574EBC" w:rsidRPr="00792118" w:rsidRDefault="00574EBC" w:rsidP="00822172">
      <w:pPr>
        <w:pStyle w:val="Annextitle"/>
        <w:rPr>
          <w:lang w:val="es-ES_tradnl"/>
        </w:rPr>
      </w:pPr>
      <w:r w:rsidRPr="00792118">
        <w:rPr>
          <w:lang w:val="es-ES_tradnl"/>
        </w:rPr>
        <w:t>Recomendaciones e Informes aprobados elaborados</w:t>
      </w:r>
      <w:r w:rsidRPr="00792118">
        <w:rPr>
          <w:lang w:val="es-ES_tradnl"/>
        </w:rPr>
        <w:br/>
        <w:t>por el Grupo de Trabajo 4A</w:t>
      </w:r>
    </w:p>
    <w:p w:rsidR="00574EBC" w:rsidRPr="00792118" w:rsidRDefault="00574EBC" w:rsidP="00822172">
      <w:pPr>
        <w:rPr>
          <w:lang w:val="es-ES_tradnl"/>
        </w:rPr>
      </w:pPr>
      <w:r w:rsidRPr="00792118">
        <w:rPr>
          <w:lang w:val="es-ES_tradnl"/>
        </w:rPr>
        <w:t xml:space="preserve">Durante el actual periodo de estudios, el Grupo de Trabajo 4A se reunió en </w:t>
      </w:r>
      <w:r w:rsidR="00F03D67" w:rsidRPr="00792118">
        <w:rPr>
          <w:lang w:val="es-ES_tradnl"/>
        </w:rPr>
        <w:t>mayo/junio de 2012</w:t>
      </w:r>
      <w:r w:rsidRPr="00792118">
        <w:rPr>
          <w:lang w:val="es-ES_tradnl"/>
        </w:rPr>
        <w:t xml:space="preserve">, </w:t>
      </w:r>
      <w:r w:rsidR="00F03D67" w:rsidRPr="00792118">
        <w:rPr>
          <w:lang w:val="es-ES_tradnl"/>
        </w:rPr>
        <w:t>septiembre de 2012</w:t>
      </w:r>
      <w:r w:rsidRPr="00792118">
        <w:rPr>
          <w:lang w:val="es-ES_tradnl"/>
        </w:rPr>
        <w:t xml:space="preserve">, </w:t>
      </w:r>
      <w:r w:rsidR="00F03D67" w:rsidRPr="00792118">
        <w:rPr>
          <w:lang w:val="es-ES_tradnl"/>
        </w:rPr>
        <w:t>mayo de 2013, octubre de 2013</w:t>
      </w:r>
      <w:r w:rsidRPr="00792118">
        <w:rPr>
          <w:lang w:val="es-ES_tradnl"/>
        </w:rPr>
        <w:t xml:space="preserve">, </w:t>
      </w:r>
      <w:r w:rsidR="00F03D67" w:rsidRPr="00792118">
        <w:rPr>
          <w:lang w:val="es-ES_tradnl"/>
        </w:rPr>
        <w:t>febrero de 2014</w:t>
      </w:r>
      <w:r w:rsidRPr="00792118">
        <w:rPr>
          <w:lang w:val="es-ES_tradnl"/>
        </w:rPr>
        <w:t xml:space="preserve">, </w:t>
      </w:r>
      <w:r w:rsidR="00F03D67" w:rsidRPr="00792118">
        <w:rPr>
          <w:lang w:val="es-ES_tradnl"/>
        </w:rPr>
        <w:t xml:space="preserve">julio de 2014 </w:t>
      </w:r>
      <w:r w:rsidRPr="00792118">
        <w:rPr>
          <w:lang w:val="es-ES_tradnl"/>
        </w:rPr>
        <w:t xml:space="preserve">y </w:t>
      </w:r>
      <w:r w:rsidR="00F03D67" w:rsidRPr="00792118">
        <w:rPr>
          <w:lang w:val="es-ES_tradnl"/>
        </w:rPr>
        <w:t>junio de 2015</w:t>
      </w:r>
      <w:r w:rsidRPr="00792118">
        <w:rPr>
          <w:lang w:val="es-ES_tradnl"/>
        </w:rPr>
        <w:t xml:space="preserve"> bajo la presidencia del Sr. J. Wengryniuk (Estados Unidos). En esas reuniones el GT 4A elaboró en total </w:t>
      </w:r>
      <w:r w:rsidR="00F03D67" w:rsidRPr="00792118">
        <w:rPr>
          <w:lang w:val="es-ES_tradnl"/>
        </w:rPr>
        <w:t>dos</w:t>
      </w:r>
      <w:r w:rsidRPr="00792118">
        <w:rPr>
          <w:lang w:val="es-ES_tradnl"/>
        </w:rPr>
        <w:t xml:space="preserve"> nuevas Recomendaciones, </w:t>
      </w:r>
      <w:r w:rsidR="00F03D67" w:rsidRPr="00792118">
        <w:rPr>
          <w:lang w:val="es-ES_tradnl"/>
        </w:rPr>
        <w:t>siete</w:t>
      </w:r>
      <w:r w:rsidRPr="00792118">
        <w:rPr>
          <w:lang w:val="es-ES_tradnl"/>
        </w:rPr>
        <w:t xml:space="preserve"> Recomendaciones revisadas, </w:t>
      </w:r>
      <w:r w:rsidR="00F03D67" w:rsidRPr="00792118">
        <w:rPr>
          <w:lang w:val="es-ES_tradnl"/>
        </w:rPr>
        <w:t>doce</w:t>
      </w:r>
      <w:r w:rsidRPr="00792118">
        <w:rPr>
          <w:lang w:val="es-ES_tradnl"/>
        </w:rPr>
        <w:t xml:space="preserve"> nuevos Informes y un Informe revisado, que se enumeran a continuación.</w:t>
      </w:r>
    </w:p>
    <w:p w:rsidR="00574EBC" w:rsidRPr="00792118" w:rsidRDefault="00FD4424" w:rsidP="00822172">
      <w:pPr>
        <w:pStyle w:val="Headingb"/>
        <w:rPr>
          <w:lang w:val="es-ES_tradnl"/>
        </w:rPr>
      </w:pPr>
      <w:r>
        <w:rPr>
          <w:lang w:val="es-ES_tradnl"/>
        </w:rPr>
        <w:t>Nuevas Recomendaciones</w:t>
      </w:r>
    </w:p>
    <w:p w:rsidR="00574EBC" w:rsidRPr="00792118" w:rsidRDefault="00216D69" w:rsidP="00822172">
      <w:pPr>
        <w:pStyle w:val="enumlev1"/>
        <w:rPr>
          <w:lang w:val="es-ES_tradnl"/>
        </w:rPr>
      </w:pPr>
      <w:r w:rsidRPr="00792118">
        <w:rPr>
          <w:lang w:val="es-ES_tradnl"/>
        </w:rPr>
        <w:t>–</w:t>
      </w:r>
      <w:r w:rsidRPr="00792118">
        <w:rPr>
          <w:lang w:val="es-ES_tradnl"/>
        </w:rPr>
        <w:tab/>
      </w:r>
      <w:r w:rsidR="00D04CC5" w:rsidRPr="00792118">
        <w:rPr>
          <w:lang w:val="es-ES_tradnl"/>
        </w:rPr>
        <w:t>UIT-R S.2029-0 «Método estadístico para evaluar la interferencia variable en el tiempo causada por una red de estaciones terrenas del servicio fijo por satélite que funciona en la órbita de satélites geoestacionarios con esquemas AMDT-MF a redes de satélites geoestacionarios del servicio fijo por satélite»</w:t>
      </w:r>
    </w:p>
    <w:p w:rsidR="00216D69" w:rsidRPr="00792118" w:rsidRDefault="00216D69" w:rsidP="00822172">
      <w:pPr>
        <w:pStyle w:val="enumlev1"/>
        <w:rPr>
          <w:lang w:val="es-ES_tradnl"/>
        </w:rPr>
      </w:pPr>
      <w:r w:rsidRPr="00792118">
        <w:rPr>
          <w:lang w:val="es-ES_tradnl"/>
        </w:rPr>
        <w:t>–</w:t>
      </w:r>
      <w:r w:rsidRPr="00792118">
        <w:rPr>
          <w:lang w:val="es-ES_tradnl"/>
        </w:rPr>
        <w:tab/>
      </w:r>
      <w:r w:rsidR="00D04CC5" w:rsidRPr="00792118">
        <w:rPr>
          <w:lang w:val="es-ES_tradnl"/>
        </w:rPr>
        <w:t>UIT-R BO.2063-0 «Diagrama alternativo de radiación de antena de estación terrena del SRS para bandas de 12 GHz con aberturas efectivas entre 55 y 75 cm»</w:t>
      </w:r>
      <w:r w:rsidR="00CD58D0">
        <w:rPr>
          <w:lang w:val="es-ES_tradnl"/>
        </w:rPr>
        <w:t>.</w:t>
      </w:r>
    </w:p>
    <w:p w:rsidR="00574EBC" w:rsidRPr="00792118" w:rsidRDefault="00FD4424" w:rsidP="00822172">
      <w:pPr>
        <w:pStyle w:val="Headingb"/>
        <w:rPr>
          <w:lang w:val="es-ES_tradnl"/>
        </w:rPr>
      </w:pPr>
      <w:r>
        <w:rPr>
          <w:lang w:val="es-ES_tradnl"/>
        </w:rPr>
        <w:t>Recomendaciones revisadas</w:t>
      </w:r>
    </w:p>
    <w:p w:rsidR="00216D69" w:rsidRPr="00792118" w:rsidRDefault="00216D69" w:rsidP="00822172">
      <w:pPr>
        <w:pStyle w:val="enumlev1"/>
        <w:rPr>
          <w:lang w:val="es-ES_tradnl"/>
        </w:rPr>
      </w:pPr>
      <w:r w:rsidRPr="00792118">
        <w:rPr>
          <w:lang w:val="es-ES_tradnl"/>
        </w:rPr>
        <w:t>–</w:t>
      </w:r>
      <w:r w:rsidRPr="00792118">
        <w:rPr>
          <w:lang w:val="es-ES_tradnl"/>
        </w:rPr>
        <w:tab/>
      </w:r>
      <w:r w:rsidR="00A92D73" w:rsidRPr="00792118">
        <w:rPr>
          <w:lang w:val="es-ES_tradnl"/>
        </w:rPr>
        <w:t xml:space="preserve">UIT-R BO.1898-1 «Valor de la densidad de flujo de potencia necesaria para proteger las estaciones terrenas receptoras del servicio de radiodifusión por satélite en las Regiones 1 y 3 contra las emisiones de una estación de los servicios fijo </w:t>
      </w:r>
      <w:r w:rsidR="00943283" w:rsidRPr="00792118">
        <w:rPr>
          <w:lang w:val="es-ES_tradnl"/>
        </w:rPr>
        <w:t xml:space="preserve">y/o móvil en </w:t>
      </w:r>
      <w:r w:rsidR="00A92D73" w:rsidRPr="00792118">
        <w:rPr>
          <w:lang w:val="es-ES_tradnl"/>
        </w:rPr>
        <w:t>la banda 21,4-22 GHz»</w:t>
      </w:r>
    </w:p>
    <w:p w:rsidR="00216D69" w:rsidRPr="00792118" w:rsidRDefault="00216D69" w:rsidP="00822172">
      <w:pPr>
        <w:pStyle w:val="enumlev1"/>
        <w:rPr>
          <w:lang w:val="es-ES_tradnl"/>
        </w:rPr>
      </w:pPr>
      <w:r w:rsidRPr="00792118">
        <w:rPr>
          <w:lang w:val="es-ES_tradnl"/>
        </w:rPr>
        <w:t>–</w:t>
      </w:r>
      <w:r w:rsidRPr="00792118">
        <w:rPr>
          <w:lang w:val="es-ES_tradnl"/>
        </w:rPr>
        <w:tab/>
      </w:r>
      <w:r w:rsidR="00D632C3" w:rsidRPr="00792118">
        <w:rPr>
          <w:lang w:val="es-ES_tradnl"/>
        </w:rPr>
        <w:t>UIT-R S.732-1 «Método para el tratamiento estadístico de las crestas de los lóbulos laterales de las antenas de estación terrena para determinar excesos respecto al diagrama de referencia de antena y condiciones para la aceptabilidad de todo tipo de exceso»</w:t>
      </w:r>
    </w:p>
    <w:p w:rsidR="00216D69" w:rsidRPr="00792118" w:rsidRDefault="00216D69" w:rsidP="00822172">
      <w:pPr>
        <w:pStyle w:val="enumlev1"/>
        <w:rPr>
          <w:lang w:val="es-ES_tradnl"/>
        </w:rPr>
      </w:pPr>
      <w:r w:rsidRPr="00792118">
        <w:rPr>
          <w:lang w:val="es-ES_tradnl"/>
        </w:rPr>
        <w:t>–</w:t>
      </w:r>
      <w:r w:rsidRPr="00792118">
        <w:rPr>
          <w:lang w:val="es-ES_tradnl"/>
        </w:rPr>
        <w:tab/>
      </w:r>
      <w:r w:rsidR="00943283" w:rsidRPr="00792118">
        <w:rPr>
          <w:lang w:val="es-ES_tradnl"/>
        </w:rPr>
        <w:t>UIT-R SF.674-3 «Determinación del efecto sobre el servicio fijo que utiliza la banda 11,7-12,2 GHz causado por las redes del servicio fijo por satélite geoestacionario de la Región 2 cuando éstas superan los umbrales de densidad de flujo de potencia para la coordinación»</w:t>
      </w:r>
    </w:p>
    <w:p w:rsidR="00216D69" w:rsidRPr="00792118" w:rsidRDefault="00216D69" w:rsidP="00822172">
      <w:pPr>
        <w:pStyle w:val="enumlev1"/>
        <w:rPr>
          <w:lang w:val="es-ES_tradnl"/>
        </w:rPr>
      </w:pPr>
      <w:r w:rsidRPr="00792118">
        <w:rPr>
          <w:lang w:val="es-ES_tradnl"/>
        </w:rPr>
        <w:t>–</w:t>
      </w:r>
      <w:r w:rsidRPr="00792118">
        <w:rPr>
          <w:lang w:val="es-ES_tradnl"/>
        </w:rPr>
        <w:tab/>
      </w:r>
      <w:r w:rsidR="004A62E1" w:rsidRPr="00792118">
        <w:rPr>
          <w:lang w:val="es-ES_tradnl"/>
        </w:rPr>
        <w:t>UIT-R S.1503-2 «Descripción funcional que ha de utilizarse en el desarrollo de herramientas informáticas para determinar la conformidad de redes de satélites no geoestacionarios del servicio fijo por satélite con los lí</w:t>
      </w:r>
      <w:r w:rsidR="00DF1285" w:rsidRPr="00792118">
        <w:rPr>
          <w:lang w:val="es-ES_tradnl"/>
        </w:rPr>
        <w:t>mites contenidos en el Artículo </w:t>
      </w:r>
      <w:r w:rsidR="004A62E1" w:rsidRPr="00792118">
        <w:rPr>
          <w:b/>
          <w:bCs/>
          <w:lang w:val="es-ES_tradnl"/>
        </w:rPr>
        <w:t>22</w:t>
      </w:r>
      <w:r w:rsidR="004A62E1" w:rsidRPr="00792118">
        <w:rPr>
          <w:lang w:val="es-ES_tradnl"/>
        </w:rPr>
        <w:t xml:space="preserve"> del Reglamento de Radiocomunicaciones»</w:t>
      </w:r>
    </w:p>
    <w:p w:rsidR="00216D69" w:rsidRPr="00792118" w:rsidRDefault="00216D69" w:rsidP="00822172">
      <w:pPr>
        <w:pStyle w:val="enumlev1"/>
        <w:rPr>
          <w:lang w:val="es-ES_tradnl"/>
        </w:rPr>
      </w:pPr>
      <w:r w:rsidRPr="00792118">
        <w:rPr>
          <w:lang w:val="es-ES_tradnl"/>
        </w:rPr>
        <w:t>–</w:t>
      </w:r>
      <w:r w:rsidRPr="00792118">
        <w:rPr>
          <w:lang w:val="es-ES_tradnl"/>
        </w:rPr>
        <w:tab/>
      </w:r>
      <w:r w:rsidR="004A62E1" w:rsidRPr="00792118">
        <w:rPr>
          <w:lang w:val="es-ES_tradnl"/>
        </w:rPr>
        <w:t xml:space="preserve">UIT-R BO.1443-3 « Diagramas de antena de referencia de estación terrena del servicio de radiodifusión por satélite para utilizar en la evaluación de la interferencia entre satélites no geoestacionarios en las bandas de frecuencias incluidas en el Apéndice </w:t>
      </w:r>
      <w:r w:rsidR="004A62E1" w:rsidRPr="00792118">
        <w:rPr>
          <w:b/>
          <w:bCs/>
          <w:lang w:val="es-ES_tradnl"/>
        </w:rPr>
        <w:t>30</w:t>
      </w:r>
      <w:r w:rsidR="004A62E1" w:rsidRPr="00792118">
        <w:rPr>
          <w:lang w:val="es-ES_tradnl"/>
        </w:rPr>
        <w:t xml:space="preserve"> del RR»</w:t>
      </w:r>
    </w:p>
    <w:p w:rsidR="004A62E1" w:rsidRPr="00792118" w:rsidRDefault="004A62E1" w:rsidP="00822172">
      <w:pPr>
        <w:pStyle w:val="enumlev1"/>
        <w:rPr>
          <w:lang w:val="es-ES_tradnl"/>
        </w:rPr>
      </w:pPr>
      <w:r w:rsidRPr="00792118">
        <w:rPr>
          <w:lang w:val="es-ES_tradnl"/>
        </w:rPr>
        <w:t>–</w:t>
      </w:r>
      <w:r w:rsidRPr="00792118">
        <w:rPr>
          <w:lang w:val="es-ES_tradnl"/>
        </w:rPr>
        <w:tab/>
        <w:t>UIT-R S.1717-1 «Formato de fichero de datos electrónico para los diagramas de antena de estación terrena»</w:t>
      </w:r>
    </w:p>
    <w:p w:rsidR="00216D69" w:rsidRPr="00792118" w:rsidRDefault="00216D69" w:rsidP="00822172">
      <w:pPr>
        <w:pStyle w:val="enumlev1"/>
        <w:rPr>
          <w:lang w:val="es-ES_tradnl"/>
        </w:rPr>
      </w:pPr>
      <w:r w:rsidRPr="00792118">
        <w:rPr>
          <w:lang w:val="es-ES_tradnl"/>
        </w:rPr>
        <w:t>–</w:t>
      </w:r>
      <w:r w:rsidRPr="00792118">
        <w:rPr>
          <w:lang w:val="es-ES_tradnl"/>
        </w:rPr>
        <w:tab/>
        <w:t>UIT-R S.1587-3 «Características técnicas de las estaciones terrenas a bordo de barcos que se comunican con satélites del SFS en las bandas de frecuencia 5 925-6 425 MHz y 14-14,5 GHz atribuidas al servicio fijo por satélite»</w:t>
      </w:r>
      <w:r w:rsidR="00BB0C08">
        <w:rPr>
          <w:lang w:val="es-ES_tradnl"/>
        </w:rPr>
        <w:t>.</w:t>
      </w:r>
    </w:p>
    <w:p w:rsidR="00574EBC" w:rsidRPr="00792118" w:rsidRDefault="00574EBC" w:rsidP="00822172">
      <w:pPr>
        <w:pStyle w:val="Headingb"/>
        <w:rPr>
          <w:lang w:val="es-ES_tradnl"/>
        </w:rPr>
      </w:pPr>
      <w:r w:rsidRPr="00792118">
        <w:rPr>
          <w:lang w:val="es-ES_tradnl"/>
        </w:rPr>
        <w:t>Nuevos Info</w:t>
      </w:r>
      <w:r w:rsidR="00FD4424">
        <w:rPr>
          <w:lang w:val="es-ES_tradnl"/>
        </w:rPr>
        <w:t>rmes</w:t>
      </w:r>
    </w:p>
    <w:p w:rsidR="00216D69" w:rsidRPr="00792118" w:rsidRDefault="00216D69" w:rsidP="00822172">
      <w:pPr>
        <w:pStyle w:val="enumlev1"/>
        <w:rPr>
          <w:lang w:val="es-ES_tradnl"/>
        </w:rPr>
      </w:pPr>
      <w:r w:rsidRPr="00792118">
        <w:rPr>
          <w:lang w:val="es-ES_tradnl"/>
        </w:rPr>
        <w:t>–</w:t>
      </w:r>
      <w:r w:rsidRPr="00792118">
        <w:rPr>
          <w:lang w:val="es-ES_tradnl"/>
        </w:rPr>
        <w:tab/>
      </w:r>
      <w:r w:rsidR="00106307" w:rsidRPr="00792118">
        <w:rPr>
          <w:lang w:val="es-ES_tradnl"/>
        </w:rPr>
        <w:t xml:space="preserve">UIT-R S.2261-0 «Requisitos técnicos y operacionales de las estaciones terrenas sobre plataformas móviles que funcionan en sistemas del SFS no OSG en las bandas de </w:t>
      </w:r>
      <w:r w:rsidR="00106307" w:rsidRPr="00792118">
        <w:rPr>
          <w:lang w:val="es-ES_tradnl"/>
        </w:rPr>
        <w:lastRenderedPageBreak/>
        <w:t>frecuencia de 17,3 a 19,3 GHz; de 19,7 a 20,2 GHz, de 27 a 29,1 GHz y de 29,5 a 30,0 GHz»</w:t>
      </w:r>
    </w:p>
    <w:p w:rsidR="00216D69" w:rsidRPr="00792118" w:rsidRDefault="00216D69" w:rsidP="00822172">
      <w:pPr>
        <w:pStyle w:val="enumlev1"/>
        <w:rPr>
          <w:lang w:val="es-ES_tradnl"/>
        </w:rPr>
      </w:pPr>
      <w:r w:rsidRPr="00792118">
        <w:rPr>
          <w:lang w:val="es-ES_tradnl"/>
        </w:rPr>
        <w:t>–</w:t>
      </w:r>
      <w:r w:rsidRPr="00792118">
        <w:rPr>
          <w:lang w:val="es-ES_tradnl"/>
        </w:rPr>
        <w:tab/>
      </w:r>
      <w:r w:rsidR="0059574C" w:rsidRPr="00792118">
        <w:rPr>
          <w:lang w:val="es-ES_tradnl"/>
        </w:rPr>
        <w:t>UIT</w:t>
      </w:r>
      <w:r w:rsidR="00106307" w:rsidRPr="00792118">
        <w:rPr>
          <w:lang w:val="es-ES_tradnl"/>
        </w:rPr>
        <w:t xml:space="preserve">-R S.2278-0 </w:t>
      </w:r>
      <w:r w:rsidR="0059574C" w:rsidRPr="00792118">
        <w:rPr>
          <w:lang w:val="es-ES_tradnl"/>
        </w:rPr>
        <w:t>«Utilización de terminales de apertura muy pequeña (VSAT)»</w:t>
      </w:r>
    </w:p>
    <w:p w:rsidR="00216D69" w:rsidRPr="00792118" w:rsidRDefault="00216D69" w:rsidP="00822172">
      <w:pPr>
        <w:pStyle w:val="enumlev1"/>
        <w:rPr>
          <w:lang w:val="es-ES_tradnl"/>
        </w:rPr>
      </w:pPr>
      <w:r w:rsidRPr="00792118">
        <w:rPr>
          <w:lang w:val="es-ES_tradnl"/>
        </w:rPr>
        <w:t>–</w:t>
      </w:r>
      <w:r w:rsidRPr="00792118">
        <w:rPr>
          <w:lang w:val="es-ES_tradnl"/>
        </w:rPr>
        <w:tab/>
        <w:t>UIT-R S.2280-0 «Assessment of the orbital-frequency resource used by a geostationary satellite communication network»</w:t>
      </w:r>
    </w:p>
    <w:p w:rsidR="00216D69" w:rsidRPr="00792118" w:rsidRDefault="00216D69" w:rsidP="00822172">
      <w:pPr>
        <w:pStyle w:val="enumlev1"/>
        <w:rPr>
          <w:lang w:val="es-ES_tradnl"/>
        </w:rPr>
      </w:pPr>
      <w:r w:rsidRPr="00792118">
        <w:rPr>
          <w:lang w:val="es-ES_tradnl"/>
        </w:rPr>
        <w:t>–</w:t>
      </w:r>
      <w:r w:rsidRPr="00792118">
        <w:rPr>
          <w:lang w:val="es-ES_tradnl"/>
        </w:rPr>
        <w:tab/>
      </w:r>
      <w:r w:rsidR="00106307" w:rsidRPr="00792118">
        <w:rPr>
          <w:lang w:val="es-ES_tradnl"/>
        </w:rPr>
        <w:t>UIT-R S.2357-0 «Technical and operational guidelines for earth stations on mobile platforms communicating with geostationary space stations in the fixed-satellite service in the frequency bands 19.7-20.2 GHz and 29.5-30.0 GHz»</w:t>
      </w:r>
    </w:p>
    <w:p w:rsidR="00216D69" w:rsidRPr="00792118" w:rsidRDefault="00216D69" w:rsidP="00822172">
      <w:pPr>
        <w:pStyle w:val="enumlev1"/>
        <w:rPr>
          <w:lang w:val="es-ES_tradnl"/>
        </w:rPr>
      </w:pPr>
      <w:r w:rsidRPr="00792118">
        <w:rPr>
          <w:lang w:val="es-ES_tradnl"/>
        </w:rPr>
        <w:t>–</w:t>
      </w:r>
      <w:r w:rsidRPr="00792118">
        <w:rPr>
          <w:lang w:val="es-ES_tradnl"/>
        </w:rPr>
        <w:tab/>
      </w:r>
      <w:r w:rsidR="00E96899" w:rsidRPr="00792118">
        <w:rPr>
          <w:lang w:val="es-ES_tradnl"/>
        </w:rPr>
        <w:t>UIT-R S.2361-0 «Acceso en banda ancha con sistemas del servicio fijo por satélite»</w:t>
      </w:r>
    </w:p>
    <w:p w:rsidR="00216D69" w:rsidRPr="00792118" w:rsidRDefault="00216D69" w:rsidP="00822172">
      <w:pPr>
        <w:pStyle w:val="enumlev1"/>
        <w:rPr>
          <w:lang w:val="es-ES_tradnl"/>
        </w:rPr>
      </w:pPr>
      <w:r w:rsidRPr="00792118">
        <w:rPr>
          <w:lang w:val="es-ES_tradnl"/>
        </w:rPr>
        <w:t>–</w:t>
      </w:r>
      <w:r w:rsidRPr="00792118">
        <w:rPr>
          <w:lang w:val="es-ES_tradnl"/>
        </w:rPr>
        <w:tab/>
      </w:r>
      <w:r w:rsidR="00A97E7B" w:rsidRPr="00792118">
        <w:rPr>
          <w:lang w:val="es-ES_tradnl"/>
        </w:rPr>
        <w:t>UIT</w:t>
      </w:r>
      <w:r w:rsidR="00106307" w:rsidRPr="00792118">
        <w:rPr>
          <w:lang w:val="es-ES_tradnl"/>
        </w:rPr>
        <w:t xml:space="preserve">-R S.2362-0 </w:t>
      </w:r>
      <w:r w:rsidR="00A47126" w:rsidRPr="00792118">
        <w:rPr>
          <w:lang w:val="es-ES_tradnl"/>
        </w:rPr>
        <w:t>«</w:t>
      </w:r>
      <w:r w:rsidR="00106307" w:rsidRPr="00792118">
        <w:rPr>
          <w:lang w:val="es-ES_tradnl"/>
        </w:rPr>
        <w:t>Methodology to estimate the sensitivity of GSO FSS interference levels to the geographical location of earth stations communicating with GSO satellites in the fixed-satellite service in the 14 GHz and 30 GHz frequency ranges</w:t>
      </w:r>
      <w:r w:rsidR="00A47126" w:rsidRPr="00792118">
        <w:rPr>
          <w:lang w:val="es-ES_tradnl"/>
        </w:rPr>
        <w:t>»</w:t>
      </w:r>
    </w:p>
    <w:p w:rsidR="00216D69" w:rsidRPr="00792118" w:rsidRDefault="00216D69" w:rsidP="00822172">
      <w:pPr>
        <w:pStyle w:val="enumlev1"/>
        <w:rPr>
          <w:lang w:val="es-ES_tradnl"/>
        </w:rPr>
      </w:pPr>
      <w:r w:rsidRPr="00792118">
        <w:rPr>
          <w:lang w:val="es-ES_tradnl"/>
        </w:rPr>
        <w:t>–</w:t>
      </w:r>
      <w:r w:rsidRPr="00792118">
        <w:rPr>
          <w:lang w:val="es-ES_tradnl"/>
        </w:rPr>
        <w:tab/>
      </w:r>
      <w:r w:rsidR="00E96899" w:rsidRPr="00792118">
        <w:rPr>
          <w:lang w:val="es-ES_tradnl"/>
        </w:rPr>
        <w:t>UIT-R S.2363-0 «Efectos de la interferencia de las transmisiones desde estaciones terrenas a bordo de barcos que funcionan en redes del servicio fijo por satélite sobre las estaciones terrenales en la misma frecuencia»</w:t>
      </w:r>
    </w:p>
    <w:p w:rsidR="00216D69" w:rsidRPr="00792118" w:rsidRDefault="00216D69" w:rsidP="00822172">
      <w:pPr>
        <w:pStyle w:val="enumlev1"/>
        <w:rPr>
          <w:lang w:val="es-ES_tradnl"/>
        </w:rPr>
      </w:pPr>
      <w:r w:rsidRPr="00792118">
        <w:rPr>
          <w:lang w:val="es-ES_tradnl"/>
        </w:rPr>
        <w:t>–</w:t>
      </w:r>
      <w:r w:rsidRPr="00792118">
        <w:rPr>
          <w:lang w:val="es-ES_tradnl"/>
        </w:rPr>
        <w:tab/>
      </w:r>
      <w:r w:rsidR="00B611DD" w:rsidRPr="00792118">
        <w:rPr>
          <w:lang w:val="es-ES_tradnl"/>
        </w:rPr>
        <w:t>UIT</w:t>
      </w:r>
      <w:r w:rsidR="00106307" w:rsidRPr="00792118">
        <w:rPr>
          <w:lang w:val="es-ES_tradnl"/>
        </w:rPr>
        <w:t xml:space="preserve">-R S.2364-0 </w:t>
      </w:r>
      <w:r w:rsidR="00A47126" w:rsidRPr="00792118">
        <w:rPr>
          <w:lang w:val="es-ES_tradnl"/>
        </w:rPr>
        <w:t>«</w:t>
      </w:r>
      <w:r w:rsidR="00106307" w:rsidRPr="00792118">
        <w:rPr>
          <w:lang w:val="es-ES_tradnl"/>
        </w:rPr>
        <w:t>GSO FSS deployment characteristics in the 14-14.5 GHz band</w:t>
      </w:r>
      <w:r w:rsidR="00A47126" w:rsidRPr="00792118">
        <w:rPr>
          <w:lang w:val="es-ES_tradnl"/>
        </w:rPr>
        <w:t>»</w:t>
      </w:r>
    </w:p>
    <w:p w:rsidR="00106307" w:rsidRPr="00792118" w:rsidRDefault="00106307" w:rsidP="00822172">
      <w:pPr>
        <w:pStyle w:val="enumlev1"/>
        <w:rPr>
          <w:lang w:val="es-ES_tradnl"/>
        </w:rPr>
      </w:pPr>
      <w:r w:rsidRPr="00792118">
        <w:rPr>
          <w:lang w:val="es-ES_tradnl"/>
        </w:rPr>
        <w:t>–</w:t>
      </w:r>
      <w:r w:rsidRPr="00792118">
        <w:rPr>
          <w:lang w:val="es-ES_tradnl"/>
        </w:rPr>
        <w:tab/>
      </w:r>
      <w:r w:rsidR="00E96899" w:rsidRPr="00792118">
        <w:rPr>
          <w:lang w:val="es-ES_tradnl"/>
        </w:rPr>
        <w:t xml:space="preserve">UIT-R S.2365-0 «Evaluación de la utilización del espectro </w:t>
      </w:r>
      <w:r w:rsidR="009F4F86" w:rsidRPr="00792118">
        <w:rPr>
          <w:lang w:val="es-ES_tradnl"/>
        </w:rPr>
        <w:t>de la banda 10-</w:t>
      </w:r>
      <w:r w:rsidR="00E96899" w:rsidRPr="00792118">
        <w:rPr>
          <w:lang w:val="es-ES_tradnl"/>
        </w:rPr>
        <w:t>17 GHz por el servicio fijo por satélite OSG en la Región 1»</w:t>
      </w:r>
    </w:p>
    <w:p w:rsidR="00216D69" w:rsidRPr="00792118" w:rsidRDefault="00216D69" w:rsidP="00822172">
      <w:pPr>
        <w:pStyle w:val="enumlev1"/>
        <w:rPr>
          <w:lang w:val="es-ES_tradnl"/>
        </w:rPr>
      </w:pPr>
      <w:r w:rsidRPr="00792118">
        <w:rPr>
          <w:lang w:val="es-ES_tradnl"/>
        </w:rPr>
        <w:t>–</w:t>
      </w:r>
      <w:r w:rsidRPr="00792118">
        <w:rPr>
          <w:lang w:val="es-ES_tradnl"/>
        </w:rPr>
        <w:tab/>
      </w:r>
      <w:r w:rsidR="00106307" w:rsidRPr="00792118">
        <w:rPr>
          <w:lang w:val="es-ES_tradnl"/>
        </w:rPr>
        <w:t>UIT-R S.2366-0 «Evaluación de la utiliz</w:t>
      </w:r>
      <w:r w:rsidR="009F4F86" w:rsidRPr="00792118">
        <w:rPr>
          <w:lang w:val="es-ES_tradnl"/>
        </w:rPr>
        <w:t>ación de espectro de la gama 13-</w:t>
      </w:r>
      <w:r w:rsidR="00106307" w:rsidRPr="00792118">
        <w:rPr>
          <w:lang w:val="es-ES_tradnl"/>
        </w:rPr>
        <w:t>17 GHz por el servicio fijo por satélite OSG en las Regiones 2 y 3»</w:t>
      </w:r>
    </w:p>
    <w:p w:rsidR="00106307" w:rsidRPr="00792118" w:rsidRDefault="00106307" w:rsidP="00822172">
      <w:pPr>
        <w:pStyle w:val="enumlev1"/>
        <w:rPr>
          <w:lang w:val="es-ES_tradnl"/>
        </w:rPr>
      </w:pPr>
      <w:r w:rsidRPr="00792118">
        <w:rPr>
          <w:lang w:val="es-ES_tradnl"/>
        </w:rPr>
        <w:t>–</w:t>
      </w:r>
      <w:r w:rsidRPr="00792118">
        <w:rPr>
          <w:lang w:val="es-ES_tradnl"/>
        </w:rPr>
        <w:tab/>
      </w:r>
      <w:r w:rsidR="00B611DD" w:rsidRPr="00792118">
        <w:rPr>
          <w:lang w:val="es-ES_tradnl"/>
        </w:rPr>
        <w:t>UIT</w:t>
      </w:r>
      <w:r w:rsidRPr="00792118">
        <w:rPr>
          <w:lang w:val="es-ES_tradnl"/>
        </w:rPr>
        <w:noBreakHyphen/>
        <w:t xml:space="preserve">R S.2367-0 </w:t>
      </w:r>
      <w:r w:rsidR="00A47126" w:rsidRPr="00792118">
        <w:rPr>
          <w:lang w:val="es-ES_tradnl"/>
        </w:rPr>
        <w:t>«</w:t>
      </w:r>
      <w:r w:rsidR="009F4F86" w:rsidRPr="00792118">
        <w:rPr>
          <w:color w:val="000000"/>
          <w:lang w:val="es-ES_tradnl"/>
        </w:rPr>
        <w:t>Compartición y compatibilidad entre sistemas IMT y redes del servicio fijo por satélite en la gama de frecuencias 5 850-6 425 MHz</w:t>
      </w:r>
      <w:r w:rsidR="00A47126" w:rsidRPr="00792118">
        <w:rPr>
          <w:lang w:val="es-ES_tradnl"/>
        </w:rPr>
        <w:t>»</w:t>
      </w:r>
    </w:p>
    <w:p w:rsidR="00106307" w:rsidRPr="00792118" w:rsidRDefault="00106307" w:rsidP="00822172">
      <w:pPr>
        <w:pStyle w:val="enumlev1"/>
        <w:rPr>
          <w:lang w:val="es-ES_tradnl"/>
        </w:rPr>
      </w:pPr>
      <w:r w:rsidRPr="00792118">
        <w:rPr>
          <w:lang w:val="es-ES_tradnl"/>
        </w:rPr>
        <w:t>–</w:t>
      </w:r>
      <w:r w:rsidRPr="00792118">
        <w:rPr>
          <w:lang w:val="es-ES_tradnl"/>
        </w:rPr>
        <w:tab/>
      </w:r>
      <w:r w:rsidR="00B611DD" w:rsidRPr="00792118">
        <w:rPr>
          <w:lang w:val="es-ES_tradnl"/>
        </w:rPr>
        <w:t>UIT</w:t>
      </w:r>
      <w:r w:rsidRPr="00792118">
        <w:rPr>
          <w:lang w:val="es-ES_tradnl"/>
        </w:rPr>
        <w:noBreakHyphen/>
        <w:t xml:space="preserve">R S.2368-0 </w:t>
      </w:r>
      <w:r w:rsidR="00A47126" w:rsidRPr="00792118">
        <w:rPr>
          <w:lang w:val="es-ES_tradnl"/>
        </w:rPr>
        <w:t>«</w:t>
      </w:r>
      <w:r w:rsidRPr="00792118">
        <w:rPr>
          <w:lang w:val="es-ES_tradnl"/>
        </w:rPr>
        <w:t>Sharing studies between International Mobile Telecommunication-Advanced systems and geostationary satellite networks in the fixed-satellite service in the 3 400-4 200 MHz and 4 500-4 800 MHz frequency bands in the WRC study cycle leading to WRC-15</w:t>
      </w:r>
      <w:r w:rsidR="00A47126" w:rsidRPr="00792118">
        <w:rPr>
          <w:lang w:val="es-ES_tradnl"/>
        </w:rPr>
        <w:t>»</w:t>
      </w:r>
      <w:r w:rsidRPr="00792118">
        <w:rPr>
          <w:lang w:val="es-ES_tradnl"/>
        </w:rPr>
        <w:t>.</w:t>
      </w:r>
    </w:p>
    <w:p w:rsidR="00574EBC" w:rsidRPr="00792118" w:rsidRDefault="00FD4424" w:rsidP="00822172">
      <w:pPr>
        <w:pStyle w:val="Headingb"/>
        <w:rPr>
          <w:lang w:val="es-ES_tradnl"/>
        </w:rPr>
      </w:pPr>
      <w:r>
        <w:rPr>
          <w:lang w:val="es-ES_tradnl"/>
        </w:rPr>
        <w:t>Informe revisado</w:t>
      </w:r>
    </w:p>
    <w:p w:rsidR="00574EBC" w:rsidRPr="00792118" w:rsidRDefault="00E96899" w:rsidP="00822172">
      <w:pPr>
        <w:pStyle w:val="enumlev1"/>
        <w:rPr>
          <w:lang w:val="es-ES_tradnl"/>
        </w:rPr>
      </w:pPr>
      <w:r w:rsidRPr="00792118">
        <w:rPr>
          <w:lang w:val="es-ES_tradnl"/>
        </w:rPr>
        <w:t>–</w:t>
      </w:r>
      <w:r w:rsidRPr="00792118">
        <w:rPr>
          <w:lang w:val="es-ES_tradnl"/>
        </w:rPr>
        <w:tab/>
        <w:t>UIT-R BO.2</w:t>
      </w:r>
      <w:r w:rsidR="00407DF5">
        <w:rPr>
          <w:lang w:val="es-ES_tradnl"/>
        </w:rPr>
        <w:t>007-</w:t>
      </w:r>
      <w:r w:rsidRPr="00792118">
        <w:rPr>
          <w:lang w:val="es-ES_tradnl"/>
        </w:rPr>
        <w:t>2 «Consideraciones sobre la introducción de los sistemas de televisión de alta definición y de los servicios de ultra alta definición en el servicio de radiodifusión por satélite en la banda 21,4-22,0 GHz».</w:t>
      </w:r>
    </w:p>
    <w:p w:rsidR="00574EBC" w:rsidRPr="00792118" w:rsidRDefault="00574EBC" w:rsidP="00822172">
      <w:pPr>
        <w:rPr>
          <w:lang w:val="es-ES_tradnl"/>
        </w:rPr>
      </w:pPr>
      <w:r w:rsidRPr="00792118">
        <w:rPr>
          <w:lang w:val="es-ES_tradnl"/>
        </w:rPr>
        <w:t xml:space="preserve">EI Grupo de Trabajo 4A también elaboró </w:t>
      </w:r>
      <w:r w:rsidR="007F069E">
        <w:rPr>
          <w:lang w:val="es-ES_tradnl"/>
        </w:rPr>
        <w:t>un</w:t>
      </w:r>
      <w:r w:rsidRPr="00792118">
        <w:rPr>
          <w:lang w:val="es-ES_tradnl"/>
        </w:rPr>
        <w:t xml:space="preserve"> anteproyecto </w:t>
      </w:r>
      <w:r w:rsidR="00660C72">
        <w:rPr>
          <w:lang w:val="es-ES_tradnl"/>
        </w:rPr>
        <w:t xml:space="preserve">de nueva Recomendación (APNR), </w:t>
      </w:r>
      <w:r w:rsidR="009F4F86" w:rsidRPr="00792118">
        <w:rPr>
          <w:lang w:val="es-ES_tradnl"/>
        </w:rPr>
        <w:t xml:space="preserve">los </w:t>
      </w:r>
      <w:r w:rsidRPr="00792118">
        <w:rPr>
          <w:lang w:val="es-ES_tradnl"/>
        </w:rPr>
        <w:t>anteproyectos de nuevos Informes (A</w:t>
      </w:r>
      <w:r w:rsidR="009F4F86" w:rsidRPr="00792118">
        <w:rPr>
          <w:lang w:val="es-ES_tradnl"/>
        </w:rPr>
        <w:t>PNI)</w:t>
      </w:r>
      <w:r w:rsidR="00660C72">
        <w:rPr>
          <w:lang w:val="es-ES_tradnl"/>
        </w:rPr>
        <w:t xml:space="preserve"> y los anteproyectos de revisión de Informes (</w:t>
      </w:r>
      <w:r w:rsidR="00671985">
        <w:rPr>
          <w:lang w:val="es-ES_tradnl"/>
        </w:rPr>
        <w:t>APRI</w:t>
      </w:r>
      <w:r w:rsidR="00660C72">
        <w:rPr>
          <w:lang w:val="es-ES_tradnl"/>
        </w:rPr>
        <w:t>)</w:t>
      </w:r>
      <w:r w:rsidRPr="00792118">
        <w:rPr>
          <w:lang w:val="es-ES_tradnl"/>
        </w:rPr>
        <w:t xml:space="preserve"> que se enumeran a continuación.</w:t>
      </w:r>
    </w:p>
    <w:p w:rsidR="005C399F" w:rsidRPr="00792118" w:rsidRDefault="00F15537" w:rsidP="00822172">
      <w:pPr>
        <w:pStyle w:val="Headingb"/>
        <w:rPr>
          <w:lang w:val="es-ES_tradnl"/>
        </w:rPr>
      </w:pPr>
      <w:r w:rsidRPr="00792118">
        <w:rPr>
          <w:lang w:val="es-ES_tradnl"/>
        </w:rPr>
        <w:t>APNR</w:t>
      </w:r>
    </w:p>
    <w:p w:rsidR="00E96899" w:rsidRPr="00792118" w:rsidRDefault="00E96899" w:rsidP="00822172">
      <w:pPr>
        <w:pStyle w:val="enumlev1"/>
        <w:rPr>
          <w:lang w:val="es-ES_tradnl"/>
        </w:rPr>
      </w:pPr>
      <w:r w:rsidRPr="00792118">
        <w:rPr>
          <w:lang w:val="es-ES_tradnl"/>
        </w:rPr>
        <w:t>–</w:t>
      </w:r>
      <w:r w:rsidRPr="00792118">
        <w:rPr>
          <w:lang w:val="es-ES_tradnl"/>
        </w:rPr>
        <w:tab/>
      </w:r>
      <w:r w:rsidR="00B611DD" w:rsidRPr="00792118">
        <w:rPr>
          <w:lang w:val="es-ES_tradnl"/>
        </w:rPr>
        <w:t>UIT</w:t>
      </w:r>
      <w:r w:rsidRPr="00792118">
        <w:rPr>
          <w:lang w:val="es-ES_tradnl"/>
        </w:rPr>
        <w:noBreakHyphen/>
        <w:t xml:space="preserve">R S.[FSS-REF_FOR_UA] </w:t>
      </w:r>
      <w:r w:rsidR="00A47126" w:rsidRPr="00792118">
        <w:rPr>
          <w:lang w:val="es-ES_tradnl"/>
        </w:rPr>
        <w:t>«</w:t>
      </w:r>
      <w:r w:rsidRPr="00792118">
        <w:rPr>
          <w:lang w:val="es-ES_tradnl"/>
        </w:rPr>
        <w:t>Technical and operational characteristics of Unmanned Aircraft Control and Non-Payload satellite communication links operated in certain frequency bands allocated to the fixed-satellite service not subject to RR Appendices </w:t>
      </w:r>
      <w:r w:rsidRPr="00792118">
        <w:rPr>
          <w:b/>
          <w:bCs/>
          <w:lang w:val="es-ES_tradnl"/>
        </w:rPr>
        <w:t>30</w:t>
      </w:r>
      <w:r w:rsidRPr="00792118">
        <w:rPr>
          <w:lang w:val="es-ES_tradnl"/>
        </w:rPr>
        <w:t xml:space="preserve">, </w:t>
      </w:r>
      <w:r w:rsidRPr="00792118">
        <w:rPr>
          <w:b/>
          <w:bCs/>
          <w:lang w:val="es-ES_tradnl"/>
        </w:rPr>
        <w:t>30A</w:t>
      </w:r>
      <w:r w:rsidRPr="00792118">
        <w:rPr>
          <w:lang w:val="es-ES_tradnl"/>
        </w:rPr>
        <w:t xml:space="preserve"> and </w:t>
      </w:r>
      <w:r w:rsidRPr="00792118">
        <w:rPr>
          <w:b/>
          <w:bCs/>
          <w:lang w:val="es-ES_tradnl"/>
        </w:rPr>
        <w:t>30B</w:t>
      </w:r>
      <w:r w:rsidR="00A47126" w:rsidRPr="00792118">
        <w:rPr>
          <w:lang w:val="es-ES_tradnl"/>
        </w:rPr>
        <w:t>»</w:t>
      </w:r>
      <w:r w:rsidRPr="00792118">
        <w:rPr>
          <w:lang w:val="es-ES_tradnl"/>
        </w:rPr>
        <w:t>.</w:t>
      </w:r>
    </w:p>
    <w:p w:rsidR="005C399F" w:rsidRPr="00792118" w:rsidRDefault="00F15537" w:rsidP="00822172">
      <w:pPr>
        <w:pStyle w:val="Headingb"/>
        <w:rPr>
          <w:lang w:val="es-ES_tradnl"/>
        </w:rPr>
      </w:pPr>
      <w:r w:rsidRPr="00792118">
        <w:rPr>
          <w:lang w:val="es-ES_tradnl"/>
        </w:rPr>
        <w:t>APNI</w:t>
      </w:r>
    </w:p>
    <w:p w:rsidR="00BA43FF" w:rsidRPr="00792118" w:rsidRDefault="00BA43FF" w:rsidP="00822172">
      <w:pPr>
        <w:pStyle w:val="enumlev1"/>
        <w:rPr>
          <w:lang w:val="es-ES_tradnl"/>
        </w:rPr>
      </w:pPr>
      <w:r w:rsidRPr="00792118">
        <w:rPr>
          <w:lang w:val="es-ES_tradnl"/>
        </w:rPr>
        <w:t>–</w:t>
      </w:r>
      <w:r w:rsidRPr="00792118">
        <w:rPr>
          <w:lang w:val="es-ES_tradnl"/>
        </w:rPr>
        <w:tab/>
        <w:t>UIT-R S.[FSS 7/8 GHz COMPATIBILITY] «Estudios de compatibilidad entre el servicio fijo por satélite y otros servicios espaciales y terrenales en las bandas de frecuencias 7 150-7 250 MHz (espacio-Tierra) y 8 400 8 500 MHz (Tierra-espacio)»</w:t>
      </w:r>
    </w:p>
    <w:p w:rsidR="00103492" w:rsidRPr="00792118" w:rsidRDefault="00103492" w:rsidP="00822172">
      <w:pPr>
        <w:pStyle w:val="enumlev1"/>
        <w:rPr>
          <w:lang w:val="es-ES_tradnl"/>
        </w:rPr>
      </w:pPr>
      <w:r w:rsidRPr="00792118">
        <w:rPr>
          <w:lang w:val="es-ES_tradnl"/>
        </w:rPr>
        <w:t>–</w:t>
      </w:r>
      <w:r w:rsidRPr="00792118">
        <w:rPr>
          <w:lang w:val="es-ES_tradnl"/>
        </w:rPr>
        <w:tab/>
      </w:r>
      <w:r w:rsidR="00B611DD" w:rsidRPr="00792118">
        <w:rPr>
          <w:lang w:val="es-ES_tradnl"/>
        </w:rPr>
        <w:t>UIT</w:t>
      </w:r>
      <w:r w:rsidRPr="00792118">
        <w:rPr>
          <w:lang w:val="es-ES_tradnl"/>
        </w:rPr>
        <w:noBreakHyphen/>
        <w:t xml:space="preserve">R S.[FSS/BSS] </w:t>
      </w:r>
      <w:r w:rsidR="00A47126" w:rsidRPr="00792118">
        <w:rPr>
          <w:lang w:val="es-ES_tradnl"/>
        </w:rPr>
        <w:t>«</w:t>
      </w:r>
      <w:r w:rsidR="00837E2C" w:rsidRPr="00792118">
        <w:rPr>
          <w:color w:val="000000"/>
          <w:lang w:val="es-ES_tradnl"/>
        </w:rPr>
        <w:t xml:space="preserve">Estudio de la compartición interregional entre el SFS y el SRS contenida en el Anexo 7 al Apéndice </w:t>
      </w:r>
      <w:r w:rsidR="00837E2C" w:rsidRPr="00792118">
        <w:rPr>
          <w:b/>
          <w:bCs/>
          <w:color w:val="000000"/>
          <w:lang w:val="es-ES_tradnl"/>
        </w:rPr>
        <w:t>30</w:t>
      </w:r>
      <w:r w:rsidR="00837E2C" w:rsidRPr="00792118">
        <w:rPr>
          <w:color w:val="000000"/>
          <w:lang w:val="es-ES_tradnl"/>
        </w:rPr>
        <w:t xml:space="preserve"> del RR</w:t>
      </w:r>
      <w:r w:rsidR="00A47126" w:rsidRPr="00792118">
        <w:rPr>
          <w:lang w:val="es-ES_tradnl"/>
        </w:rPr>
        <w:t>»</w:t>
      </w:r>
    </w:p>
    <w:p w:rsidR="00BA43FF" w:rsidRPr="00792118" w:rsidRDefault="00BA43FF" w:rsidP="00822172">
      <w:pPr>
        <w:pStyle w:val="enumlev1"/>
        <w:rPr>
          <w:lang w:val="es-ES_tradnl"/>
        </w:rPr>
      </w:pPr>
      <w:r w:rsidRPr="00792118">
        <w:rPr>
          <w:lang w:val="es-ES_tradnl"/>
        </w:rPr>
        <w:lastRenderedPageBreak/>
        <w:t>–</w:t>
      </w:r>
      <w:r w:rsidRPr="00792118">
        <w:rPr>
          <w:lang w:val="es-ES_tradnl"/>
        </w:rPr>
        <w:tab/>
        <w:t xml:space="preserve">UIT-R S.[RES756] «Estudios sobre la posible reducción del arco de coordinación y los criterios técnicos utilizados en aplicación del número </w:t>
      </w:r>
      <w:r w:rsidRPr="00792118">
        <w:rPr>
          <w:b/>
          <w:bCs/>
          <w:lang w:val="es-ES_tradnl"/>
        </w:rPr>
        <w:t>9.41</w:t>
      </w:r>
      <w:r w:rsidRPr="00792118">
        <w:rPr>
          <w:lang w:val="es-ES_tradnl"/>
        </w:rPr>
        <w:t xml:space="preserve"> del RR en cuanto a la coordinación en virtud del número </w:t>
      </w:r>
      <w:r w:rsidRPr="00792118">
        <w:rPr>
          <w:b/>
          <w:bCs/>
          <w:lang w:val="es-ES_tradnl"/>
        </w:rPr>
        <w:t>9.7</w:t>
      </w:r>
      <w:r w:rsidRPr="00792118">
        <w:rPr>
          <w:lang w:val="es-ES_tradnl"/>
        </w:rPr>
        <w:t xml:space="preserve"> del RR»</w:t>
      </w:r>
      <w:r w:rsidR="006B4375">
        <w:rPr>
          <w:lang w:val="es-ES_tradnl"/>
        </w:rPr>
        <w:t>.</w:t>
      </w:r>
    </w:p>
    <w:p w:rsidR="00DF1285" w:rsidRPr="00792118" w:rsidRDefault="00EA4B8E" w:rsidP="00DF1285">
      <w:pPr>
        <w:pStyle w:val="Headingb"/>
        <w:rPr>
          <w:lang w:val="es-ES_tradnl"/>
        </w:rPr>
      </w:pPr>
      <w:r>
        <w:rPr>
          <w:lang w:val="es-ES_tradnl"/>
        </w:rPr>
        <w:t>APRI</w:t>
      </w:r>
    </w:p>
    <w:p w:rsidR="00BA43FF" w:rsidRPr="00792118" w:rsidRDefault="00103492" w:rsidP="00822172">
      <w:pPr>
        <w:pStyle w:val="enumlev1"/>
        <w:rPr>
          <w:lang w:val="es-ES_tradnl"/>
        </w:rPr>
      </w:pPr>
      <w:r w:rsidRPr="00792118">
        <w:rPr>
          <w:lang w:val="es-ES_tradnl"/>
        </w:rPr>
        <w:t>–</w:t>
      </w:r>
      <w:r w:rsidRPr="00792118">
        <w:rPr>
          <w:lang w:val="es-ES_tradnl"/>
        </w:rPr>
        <w:tab/>
        <w:t>UIT-R BO.2019 «Métodos de cálculo de la interferencia»</w:t>
      </w:r>
    </w:p>
    <w:p w:rsidR="00106307" w:rsidRPr="00792118" w:rsidRDefault="00106307" w:rsidP="00822172">
      <w:pPr>
        <w:pStyle w:val="enumlev1"/>
        <w:rPr>
          <w:lang w:val="es-ES_tradnl"/>
        </w:rPr>
      </w:pPr>
      <w:r w:rsidRPr="00792118">
        <w:rPr>
          <w:lang w:val="es-ES_tradnl"/>
        </w:rPr>
        <w:t>–</w:t>
      </w:r>
      <w:r w:rsidRPr="00792118">
        <w:rPr>
          <w:lang w:val="es-ES_tradnl"/>
        </w:rPr>
        <w:tab/>
        <w:t>UIT-R S.2223 «Requisitos técnicos y operativos de las estaciones terrenas sobre plataformas móviles que funcionan en redes de satélites geoestacionarios del SFS en las bandas de frecuencias 17,3 a 30,0 GHz»</w:t>
      </w:r>
      <w:r w:rsidR="006B4375">
        <w:rPr>
          <w:lang w:val="es-ES_tradnl"/>
        </w:rPr>
        <w:t>.</w:t>
      </w:r>
    </w:p>
    <w:p w:rsidR="00103492" w:rsidRPr="00792118" w:rsidRDefault="00E62E9E" w:rsidP="00822172">
      <w:pPr>
        <w:rPr>
          <w:lang w:val="es-ES_tradnl"/>
        </w:rPr>
      </w:pPr>
      <w:r w:rsidRPr="00792118">
        <w:rPr>
          <w:color w:val="000000"/>
          <w:lang w:val="es-ES_tradnl"/>
        </w:rPr>
        <w:t>También prosiguieron los trabajos sobre temas que podrían dar lugar a Recomendaciones y/o Informes adicionales en un futuro cercano</w:t>
      </w:r>
      <w:r w:rsidRPr="00792118">
        <w:rPr>
          <w:lang w:val="es-ES_tradnl"/>
        </w:rPr>
        <w:t>. Estos temas incluyen</w:t>
      </w:r>
      <w:r w:rsidR="00103492" w:rsidRPr="00792118">
        <w:rPr>
          <w:lang w:val="es-ES_tradnl"/>
        </w:rPr>
        <w:t>:</w:t>
      </w:r>
    </w:p>
    <w:p w:rsidR="00103492" w:rsidRPr="00792118" w:rsidRDefault="00103492" w:rsidP="00822172">
      <w:pPr>
        <w:pStyle w:val="enumlev1"/>
        <w:rPr>
          <w:lang w:val="es-ES_tradnl"/>
        </w:rPr>
      </w:pPr>
      <w:r w:rsidRPr="00792118">
        <w:rPr>
          <w:lang w:val="es-ES_tradnl"/>
        </w:rPr>
        <w:t>–</w:t>
      </w:r>
      <w:r w:rsidRPr="00792118">
        <w:rPr>
          <w:lang w:val="es-ES_tradnl"/>
        </w:rPr>
        <w:tab/>
      </w:r>
      <w:r w:rsidR="00E62E9E" w:rsidRPr="00792118">
        <w:rPr>
          <w:lang w:val="es-ES_tradnl"/>
        </w:rPr>
        <w:t xml:space="preserve">una metodología para facilitar la compatibilidad entre estaciones terrenas del servicio fijo por satélite </w:t>
      </w:r>
      <w:r w:rsidR="00E62E9E" w:rsidRPr="00792118">
        <w:rPr>
          <w:color w:val="000000"/>
          <w:lang w:val="es-ES_tradnl"/>
        </w:rPr>
        <w:t>ubicuamente implantadas y estaciones de los servicios fijo y/o móvil</w:t>
      </w:r>
      <w:r w:rsidRPr="00792118">
        <w:rPr>
          <w:lang w:val="es-ES_tradnl"/>
        </w:rPr>
        <w:t xml:space="preserve"> </w:t>
      </w:r>
      <w:r w:rsidR="00E62E9E" w:rsidRPr="00792118">
        <w:rPr>
          <w:lang w:val="es-ES_tradnl"/>
        </w:rPr>
        <w:t xml:space="preserve">en zonas adyacentes para los casos descritos en los </w:t>
      </w:r>
      <w:r w:rsidR="00D11B8F" w:rsidRPr="00792118">
        <w:rPr>
          <w:lang w:val="es-ES_tradnl"/>
        </w:rPr>
        <w:t xml:space="preserve">Cuadros </w:t>
      </w:r>
      <w:r w:rsidR="00E62E9E" w:rsidRPr="00792118">
        <w:rPr>
          <w:lang w:val="es-ES_tradnl"/>
        </w:rPr>
        <w:t>del Apéndice 7 del Reg</w:t>
      </w:r>
      <w:r w:rsidR="00D11B8F">
        <w:rPr>
          <w:lang w:val="es-ES_tradnl"/>
        </w:rPr>
        <w:t>lamento de Radiocomunicaciones;</w:t>
      </w:r>
    </w:p>
    <w:p w:rsidR="00103492" w:rsidRPr="00792118" w:rsidRDefault="00103492" w:rsidP="00822172">
      <w:pPr>
        <w:pStyle w:val="enumlev1"/>
        <w:rPr>
          <w:lang w:val="es-ES_tradnl"/>
        </w:rPr>
      </w:pPr>
      <w:r w:rsidRPr="00792118">
        <w:rPr>
          <w:lang w:val="es-ES_tradnl"/>
        </w:rPr>
        <w:t>–</w:t>
      </w:r>
      <w:r w:rsidRPr="00792118">
        <w:rPr>
          <w:lang w:val="es-ES_tradnl"/>
        </w:rPr>
        <w:tab/>
      </w:r>
      <w:r w:rsidR="00E62E9E" w:rsidRPr="00792118">
        <w:rPr>
          <w:lang w:val="es-ES_tradnl"/>
        </w:rPr>
        <w:t xml:space="preserve">una metodología para calcular distancias de separación para compartición en la gama de frecuencias </w:t>
      </w:r>
      <w:r w:rsidR="00B126CD">
        <w:rPr>
          <w:lang w:val="es-ES_tradnl"/>
        </w:rPr>
        <w:t>3 400-3 600 </w:t>
      </w:r>
      <w:r w:rsidRPr="00792118">
        <w:rPr>
          <w:lang w:val="es-ES_tradnl"/>
        </w:rPr>
        <w:t xml:space="preserve">MHz </w:t>
      </w:r>
      <w:r w:rsidR="00E62E9E" w:rsidRPr="00792118">
        <w:rPr>
          <w:lang w:val="es-ES_tradnl"/>
        </w:rPr>
        <w:t>entre estaciones terrenas del servicio fijo por satélite y estaciones del servicio móvil;</w:t>
      </w:r>
    </w:p>
    <w:p w:rsidR="00103492" w:rsidRPr="00792118" w:rsidRDefault="00103492" w:rsidP="00822172">
      <w:pPr>
        <w:pStyle w:val="enumlev1"/>
        <w:rPr>
          <w:lang w:val="es-ES_tradnl"/>
        </w:rPr>
      </w:pPr>
      <w:r w:rsidRPr="00792118">
        <w:rPr>
          <w:lang w:val="es-ES_tradnl"/>
        </w:rPr>
        <w:t>–</w:t>
      </w:r>
      <w:r w:rsidRPr="00792118">
        <w:rPr>
          <w:lang w:val="es-ES_tradnl"/>
        </w:rPr>
        <w:tab/>
      </w:r>
      <w:r w:rsidR="00E62E9E" w:rsidRPr="00792118">
        <w:rPr>
          <w:lang w:val="es-ES_tradnl"/>
        </w:rPr>
        <w:t>directrices propuestas sobre la aplicación de la Recomendación UIT</w:t>
      </w:r>
      <w:r w:rsidRPr="00792118">
        <w:rPr>
          <w:lang w:val="es-ES_tradnl"/>
        </w:rPr>
        <w:t>-R S.1432;</w:t>
      </w:r>
    </w:p>
    <w:p w:rsidR="00103492" w:rsidRPr="00792118" w:rsidRDefault="00103492" w:rsidP="00822172">
      <w:pPr>
        <w:pStyle w:val="enumlev1"/>
        <w:rPr>
          <w:lang w:val="es-ES_tradnl"/>
        </w:rPr>
      </w:pPr>
      <w:r w:rsidRPr="00792118">
        <w:rPr>
          <w:lang w:val="es-ES_tradnl"/>
        </w:rPr>
        <w:t>–</w:t>
      </w:r>
      <w:r w:rsidRPr="00792118">
        <w:rPr>
          <w:lang w:val="es-ES_tradnl"/>
        </w:rPr>
        <w:tab/>
      </w:r>
      <w:r w:rsidR="00E62E9E" w:rsidRPr="00792118">
        <w:rPr>
          <w:lang w:val="es-ES_tradnl"/>
        </w:rPr>
        <w:t>directrices que podr</w:t>
      </w:r>
      <w:r w:rsidR="005C2BAB" w:rsidRPr="00792118">
        <w:rPr>
          <w:lang w:val="es-ES_tradnl"/>
        </w:rPr>
        <w:t xml:space="preserve">ían utilizar las </w:t>
      </w:r>
      <w:r w:rsidR="00E51C84" w:rsidRPr="00792118">
        <w:rPr>
          <w:lang w:val="es-ES_tradnl"/>
        </w:rPr>
        <w:t xml:space="preserve">administraciones </w:t>
      </w:r>
      <w:r w:rsidR="005C2BAB" w:rsidRPr="00792118">
        <w:rPr>
          <w:lang w:val="es-ES_tradnl"/>
        </w:rPr>
        <w:t xml:space="preserve">que deseen </w:t>
      </w:r>
      <w:r w:rsidR="003230F6" w:rsidRPr="00792118">
        <w:rPr>
          <w:color w:val="000000"/>
          <w:lang w:val="es-ES_tradnl"/>
        </w:rPr>
        <w:t>otorgar</w:t>
      </w:r>
      <w:r w:rsidR="005C2BAB" w:rsidRPr="00792118">
        <w:rPr>
          <w:color w:val="000000"/>
          <w:lang w:val="es-ES_tradnl"/>
        </w:rPr>
        <w:t xml:space="preserve"> licencias a las ESOMP </w:t>
      </w:r>
      <w:r w:rsidR="005C2BAB" w:rsidRPr="00792118">
        <w:rPr>
          <w:lang w:val="es-ES_tradnl"/>
        </w:rPr>
        <w:t>a bordo de barcos y que funcionan en sistemas del SFS no OSG</w:t>
      </w:r>
      <w:r w:rsidR="003230F6" w:rsidRPr="00792118">
        <w:rPr>
          <w:lang w:val="es-ES_tradnl"/>
        </w:rPr>
        <w:t xml:space="preserve"> en la gama de </w:t>
      </w:r>
      <w:r w:rsidR="00053B03" w:rsidRPr="00792118">
        <w:rPr>
          <w:lang w:val="es-ES_tradnl"/>
        </w:rPr>
        <w:t xml:space="preserve">frecuencias </w:t>
      </w:r>
      <w:r w:rsidR="003230F6" w:rsidRPr="00792118">
        <w:rPr>
          <w:lang w:val="es-ES_tradnl"/>
        </w:rPr>
        <w:t>27-29,</w:t>
      </w:r>
      <w:r w:rsidRPr="00792118">
        <w:rPr>
          <w:lang w:val="es-ES_tradnl"/>
        </w:rPr>
        <w:t>1 GHz</w:t>
      </w:r>
      <w:r w:rsidR="003230F6" w:rsidRPr="00792118">
        <w:rPr>
          <w:lang w:val="es-ES_tradnl"/>
        </w:rPr>
        <w:t>,</w:t>
      </w:r>
      <w:r w:rsidRPr="00792118">
        <w:rPr>
          <w:lang w:val="es-ES_tradnl"/>
        </w:rPr>
        <w:t xml:space="preserve"> </w:t>
      </w:r>
      <w:r w:rsidR="003230F6" w:rsidRPr="00792118">
        <w:rPr>
          <w:lang w:val="es-ES_tradnl"/>
        </w:rPr>
        <w:t>asegurando a la vez la protección de los servicios terrenales</w:t>
      </w:r>
      <w:r w:rsidRPr="00792118">
        <w:rPr>
          <w:lang w:val="es-ES_tradnl"/>
        </w:rPr>
        <w:t>;</w:t>
      </w:r>
    </w:p>
    <w:p w:rsidR="00103492" w:rsidRPr="00792118" w:rsidRDefault="00103492" w:rsidP="00822172">
      <w:pPr>
        <w:pStyle w:val="enumlev1"/>
        <w:rPr>
          <w:lang w:val="es-ES_tradnl"/>
        </w:rPr>
      </w:pPr>
      <w:r w:rsidRPr="00792118">
        <w:rPr>
          <w:lang w:val="es-ES_tradnl"/>
        </w:rPr>
        <w:t>–</w:t>
      </w:r>
      <w:r w:rsidRPr="00792118">
        <w:rPr>
          <w:lang w:val="es-ES_tradnl"/>
        </w:rPr>
        <w:tab/>
      </w:r>
      <w:r w:rsidR="003230F6" w:rsidRPr="00792118">
        <w:rPr>
          <w:lang w:val="es-ES_tradnl"/>
        </w:rPr>
        <w:t xml:space="preserve">directrices que podrían utilizar las </w:t>
      </w:r>
      <w:r w:rsidR="00D66E66" w:rsidRPr="00792118">
        <w:rPr>
          <w:lang w:val="es-ES_tradnl"/>
        </w:rPr>
        <w:t xml:space="preserve">administraciones </w:t>
      </w:r>
      <w:r w:rsidR="003230F6" w:rsidRPr="00792118">
        <w:rPr>
          <w:lang w:val="es-ES_tradnl"/>
        </w:rPr>
        <w:t xml:space="preserve">que deseen </w:t>
      </w:r>
      <w:r w:rsidR="003230F6" w:rsidRPr="00792118">
        <w:rPr>
          <w:color w:val="000000"/>
          <w:lang w:val="es-ES_tradnl"/>
        </w:rPr>
        <w:t xml:space="preserve">otorgar licencias a ESOMP </w:t>
      </w:r>
      <w:r w:rsidR="003230F6" w:rsidRPr="00792118">
        <w:rPr>
          <w:lang w:val="es-ES_tradnl"/>
        </w:rPr>
        <w:t xml:space="preserve">aerotransportadas que funcionan en sistemas del SFS no OSG en la gama de </w:t>
      </w:r>
      <w:r w:rsidR="00053B03" w:rsidRPr="00792118">
        <w:rPr>
          <w:lang w:val="es-ES_tradnl"/>
        </w:rPr>
        <w:t xml:space="preserve">frecuencias </w:t>
      </w:r>
      <w:r w:rsidR="003230F6" w:rsidRPr="00792118">
        <w:rPr>
          <w:lang w:val="es-ES_tradnl"/>
        </w:rPr>
        <w:t xml:space="preserve">27-29,1 GHz, asegurando a la vez la protección de </w:t>
      </w:r>
      <w:r w:rsidR="00DF1285" w:rsidRPr="00792118">
        <w:rPr>
          <w:lang w:val="es-ES_tradnl"/>
        </w:rPr>
        <w:t>los servicios terrenales.</w:t>
      </w:r>
    </w:p>
    <w:p w:rsidR="00DF1285" w:rsidRPr="00792118" w:rsidRDefault="00DF1285">
      <w:pPr>
        <w:tabs>
          <w:tab w:val="clear" w:pos="1134"/>
          <w:tab w:val="clear" w:pos="1871"/>
          <w:tab w:val="clear" w:pos="2268"/>
        </w:tabs>
        <w:overflowPunct/>
        <w:autoSpaceDE/>
        <w:autoSpaceDN/>
        <w:adjustRightInd/>
        <w:spacing w:before="0"/>
        <w:textAlignment w:val="auto"/>
        <w:rPr>
          <w:lang w:val="es-ES_tradnl"/>
        </w:rPr>
      </w:pPr>
      <w:r w:rsidRPr="00792118">
        <w:rPr>
          <w:lang w:val="es-ES_tradnl"/>
        </w:rPr>
        <w:br w:type="page"/>
      </w:r>
    </w:p>
    <w:p w:rsidR="00574EBC" w:rsidRPr="00792118" w:rsidRDefault="00574EBC" w:rsidP="00822172">
      <w:pPr>
        <w:pStyle w:val="AnnexNo"/>
        <w:rPr>
          <w:lang w:val="es-ES_tradnl"/>
        </w:rPr>
      </w:pPr>
      <w:r w:rsidRPr="00792118">
        <w:rPr>
          <w:lang w:val="es-ES_tradnl"/>
        </w:rPr>
        <w:lastRenderedPageBreak/>
        <w:t>Anexo 2</w:t>
      </w:r>
    </w:p>
    <w:p w:rsidR="00574EBC" w:rsidRPr="00792118" w:rsidRDefault="00574EBC" w:rsidP="00822172">
      <w:pPr>
        <w:pStyle w:val="Annextitle"/>
        <w:rPr>
          <w:lang w:val="es-ES_tradnl"/>
        </w:rPr>
      </w:pPr>
      <w:r w:rsidRPr="00792118">
        <w:rPr>
          <w:lang w:val="es-ES_tradnl"/>
        </w:rPr>
        <w:t>Recomendaciones e Informes aprobados elaborados</w:t>
      </w:r>
      <w:r w:rsidRPr="00792118">
        <w:rPr>
          <w:lang w:val="es-ES_tradnl"/>
        </w:rPr>
        <w:br/>
        <w:t>por el Grupo de Trabajo 4B</w:t>
      </w:r>
    </w:p>
    <w:p w:rsidR="00574EBC" w:rsidRPr="00792118" w:rsidRDefault="00574EBC" w:rsidP="00822172">
      <w:pPr>
        <w:rPr>
          <w:lang w:val="es-ES_tradnl"/>
        </w:rPr>
      </w:pPr>
      <w:r w:rsidRPr="00792118">
        <w:rPr>
          <w:lang w:val="es-ES_tradnl"/>
        </w:rPr>
        <w:t xml:space="preserve">Durante el actual periodo de estudios, el Grupo de Trabajo 4B se reunió en </w:t>
      </w:r>
      <w:r w:rsidR="00497C5E" w:rsidRPr="00792118">
        <w:rPr>
          <w:lang w:val="es-ES_tradnl"/>
        </w:rPr>
        <w:t>mayo/junio de 2012, septiembre de 2012</w:t>
      </w:r>
      <w:r w:rsidRPr="00792118">
        <w:rPr>
          <w:lang w:val="es-ES_tradnl"/>
        </w:rPr>
        <w:t>, abril</w:t>
      </w:r>
      <w:r w:rsidR="00497C5E" w:rsidRPr="00792118">
        <w:rPr>
          <w:lang w:val="es-ES_tradnl"/>
        </w:rPr>
        <w:t>/mayo de 2013</w:t>
      </w:r>
      <w:r w:rsidRPr="00792118">
        <w:rPr>
          <w:lang w:val="es-ES_tradnl"/>
        </w:rPr>
        <w:t>, septiembre</w:t>
      </w:r>
      <w:r w:rsidR="00497C5E" w:rsidRPr="00792118">
        <w:rPr>
          <w:lang w:val="es-ES_tradnl"/>
        </w:rPr>
        <w:t>/octubre de 2013</w:t>
      </w:r>
      <w:r w:rsidRPr="00792118">
        <w:rPr>
          <w:lang w:val="es-ES_tradnl"/>
        </w:rPr>
        <w:t xml:space="preserve">, </w:t>
      </w:r>
      <w:r w:rsidR="00497C5E" w:rsidRPr="00792118">
        <w:rPr>
          <w:lang w:val="es-ES_tradnl"/>
        </w:rPr>
        <w:t>febrero de 2014</w:t>
      </w:r>
      <w:r w:rsidRPr="00792118">
        <w:rPr>
          <w:lang w:val="es-ES_tradnl"/>
        </w:rPr>
        <w:t xml:space="preserve">, </w:t>
      </w:r>
      <w:r w:rsidR="00497C5E" w:rsidRPr="00792118">
        <w:rPr>
          <w:lang w:val="es-ES_tradnl"/>
        </w:rPr>
        <w:t>junio/julio de 2014</w:t>
      </w:r>
      <w:r w:rsidRPr="00792118">
        <w:rPr>
          <w:lang w:val="es-ES_tradnl"/>
        </w:rPr>
        <w:t xml:space="preserve"> y </w:t>
      </w:r>
      <w:r w:rsidR="00497C5E" w:rsidRPr="00792118">
        <w:rPr>
          <w:lang w:val="es-ES_tradnl"/>
        </w:rPr>
        <w:t>junio de 2015</w:t>
      </w:r>
      <w:r w:rsidR="00DC4915">
        <w:rPr>
          <w:lang w:val="es-ES_tradnl"/>
        </w:rPr>
        <w:t>, bajo la presidencia del Sr. David</w:t>
      </w:r>
      <w:r w:rsidRPr="00792118">
        <w:rPr>
          <w:lang w:val="es-ES_tradnl"/>
        </w:rPr>
        <w:t xml:space="preserve"> Weinreich (Estados Unidos). En esas reuniones el GT 4B elaboró un total de </w:t>
      </w:r>
      <w:r w:rsidR="00497C5E" w:rsidRPr="00792118">
        <w:rPr>
          <w:lang w:val="es-ES_tradnl"/>
        </w:rPr>
        <w:t>tres</w:t>
      </w:r>
      <w:r w:rsidRPr="00792118">
        <w:rPr>
          <w:lang w:val="es-ES_tradnl"/>
        </w:rPr>
        <w:t xml:space="preserve"> nuevas Recomendaciones, </w:t>
      </w:r>
      <w:r w:rsidR="00497C5E" w:rsidRPr="00792118">
        <w:rPr>
          <w:lang w:val="es-ES_tradnl"/>
        </w:rPr>
        <w:t>tres</w:t>
      </w:r>
      <w:r w:rsidRPr="00792118">
        <w:rPr>
          <w:lang w:val="es-ES_tradnl"/>
        </w:rPr>
        <w:t xml:space="preserve"> Recomendaciones revisadas</w:t>
      </w:r>
      <w:r w:rsidR="00497C5E" w:rsidRPr="00792118">
        <w:rPr>
          <w:lang w:val="es-ES_tradnl"/>
        </w:rPr>
        <w:t xml:space="preserve">, tres nuevos </w:t>
      </w:r>
      <w:r w:rsidR="00713B7E" w:rsidRPr="00792118">
        <w:rPr>
          <w:lang w:val="es-ES_tradnl"/>
        </w:rPr>
        <w:t xml:space="preserve">Informes </w:t>
      </w:r>
      <w:r w:rsidRPr="00792118">
        <w:rPr>
          <w:lang w:val="es-ES_tradnl"/>
        </w:rPr>
        <w:t xml:space="preserve">y </w:t>
      </w:r>
      <w:r w:rsidR="00497C5E" w:rsidRPr="00792118">
        <w:rPr>
          <w:lang w:val="es-ES_tradnl"/>
        </w:rPr>
        <w:t>tres</w:t>
      </w:r>
      <w:r w:rsidRPr="00792118">
        <w:rPr>
          <w:lang w:val="es-ES_tradnl"/>
        </w:rPr>
        <w:t xml:space="preserve"> Informes</w:t>
      </w:r>
      <w:r w:rsidR="00497C5E" w:rsidRPr="00792118">
        <w:rPr>
          <w:lang w:val="es-ES_tradnl"/>
        </w:rPr>
        <w:t xml:space="preserve"> revisados</w:t>
      </w:r>
      <w:r w:rsidRPr="00792118">
        <w:rPr>
          <w:lang w:val="es-ES_tradnl"/>
        </w:rPr>
        <w:t>, que se enumeran a continuación.</w:t>
      </w:r>
    </w:p>
    <w:p w:rsidR="00574EBC" w:rsidRPr="00792118" w:rsidRDefault="00E847A5" w:rsidP="00822172">
      <w:pPr>
        <w:pStyle w:val="Headingb"/>
        <w:rPr>
          <w:lang w:val="es-ES_tradnl"/>
        </w:rPr>
      </w:pPr>
      <w:r w:rsidRPr="00792118">
        <w:rPr>
          <w:lang w:val="es-ES_tradnl"/>
        </w:rPr>
        <w:t>Nuevas Recomendaciones</w:t>
      </w:r>
    </w:p>
    <w:p w:rsidR="00574EBC" w:rsidRPr="00792118" w:rsidRDefault="00E85C12" w:rsidP="00822172">
      <w:pPr>
        <w:pStyle w:val="enumlev1"/>
        <w:rPr>
          <w:lang w:val="es-ES_tradnl"/>
        </w:rPr>
      </w:pPr>
      <w:r>
        <w:rPr>
          <w:lang w:val="es-ES_tradnl"/>
        </w:rPr>
        <w:t>–</w:t>
      </w:r>
      <w:r>
        <w:rPr>
          <w:lang w:val="es-ES_tradnl"/>
        </w:rPr>
        <w:tab/>
        <w:t>UIT-R M.2047-0</w:t>
      </w:r>
      <w:r w:rsidR="00365BD7" w:rsidRPr="00792118">
        <w:rPr>
          <w:lang w:val="es-ES_tradnl"/>
        </w:rPr>
        <w:t xml:space="preserve"> «Especificaciones detalladas de las interfaces radioeléctricas de la componente satelital de las telecomunicaciones móviles</w:t>
      </w:r>
      <w:r w:rsidR="0056222D">
        <w:rPr>
          <w:lang w:val="es-ES_tradnl"/>
        </w:rPr>
        <w:t xml:space="preserve"> internacionales-avanzadas (IMT-</w:t>
      </w:r>
      <w:r w:rsidR="00365BD7" w:rsidRPr="00792118">
        <w:rPr>
          <w:lang w:val="es-ES_tradnl"/>
        </w:rPr>
        <w:t>Avanzadas)»</w:t>
      </w:r>
    </w:p>
    <w:p w:rsidR="00574EBC" w:rsidRPr="00792118" w:rsidRDefault="00E85C12" w:rsidP="00822172">
      <w:pPr>
        <w:pStyle w:val="enumlev1"/>
        <w:rPr>
          <w:lang w:val="es-ES_tradnl"/>
        </w:rPr>
      </w:pPr>
      <w:r>
        <w:rPr>
          <w:lang w:val="es-ES_tradnl"/>
        </w:rPr>
        <w:t>–</w:t>
      </w:r>
      <w:r>
        <w:rPr>
          <w:lang w:val="es-ES_tradnl"/>
        </w:rPr>
        <w:tab/>
        <w:t>UIT-R S.2049-0</w:t>
      </w:r>
      <w:r w:rsidR="00365BD7" w:rsidRPr="00792118">
        <w:rPr>
          <w:lang w:val="es-ES_tradnl"/>
        </w:rPr>
        <w:t xml:space="preserve"> «Procedimientos de acceso de estaciones terrenas que utilizan ocasionalmente el servicio fijo por satélite para transmisiones a estaciones espaciales de la órbita de satélites geoestacionarios en las banda</w:t>
      </w:r>
      <w:r w:rsidR="0058477D">
        <w:rPr>
          <w:lang w:val="es-ES_tradnl"/>
        </w:rPr>
        <w:t>s 4-6 GHz y 11-12/13/14 GHz del </w:t>
      </w:r>
      <w:r w:rsidR="00365BD7" w:rsidRPr="00792118">
        <w:rPr>
          <w:lang w:val="es-ES_tradnl"/>
        </w:rPr>
        <w:t>SFS»</w:t>
      </w:r>
    </w:p>
    <w:p w:rsidR="00365BD7" w:rsidRPr="00792118" w:rsidRDefault="00365BD7" w:rsidP="00822172">
      <w:pPr>
        <w:pStyle w:val="enumlev1"/>
        <w:rPr>
          <w:lang w:val="es-ES_tradnl"/>
        </w:rPr>
      </w:pPr>
      <w:r w:rsidRPr="00792118">
        <w:rPr>
          <w:lang w:val="es-ES_tradnl"/>
        </w:rPr>
        <w:t>–</w:t>
      </w:r>
      <w:r w:rsidRPr="00792118">
        <w:rPr>
          <w:lang w:val="es-ES_tradnl"/>
        </w:rPr>
        <w:tab/>
      </w:r>
      <w:r w:rsidR="0059574C" w:rsidRPr="00792118">
        <w:rPr>
          <w:lang w:val="es-ES_tradnl"/>
        </w:rPr>
        <w:t>UIT-R S.2062-0 «Sistema de identificación de portadoras de transmisiones con modulación digital de estaciones terrenas que utilizan ocasionalmente el servicio fijo por satélite en redes de satélites geoestacionarios en las bandas 4/6 y 11-12/13/14 GHz del SFS»</w:t>
      </w:r>
      <w:r w:rsidR="00CC6065">
        <w:rPr>
          <w:lang w:val="es-ES_tradnl"/>
        </w:rPr>
        <w:t>.</w:t>
      </w:r>
    </w:p>
    <w:p w:rsidR="00574EBC" w:rsidRPr="00792118" w:rsidRDefault="00E847A5" w:rsidP="00822172">
      <w:pPr>
        <w:pStyle w:val="Headingb"/>
        <w:rPr>
          <w:lang w:val="es-ES_tradnl"/>
        </w:rPr>
      </w:pPr>
      <w:r w:rsidRPr="00792118">
        <w:rPr>
          <w:lang w:val="es-ES_tradnl"/>
        </w:rPr>
        <w:t>Recomendaciones revisadas</w:t>
      </w:r>
    </w:p>
    <w:p w:rsidR="00574EBC" w:rsidRPr="00792118" w:rsidRDefault="0059574C" w:rsidP="00822172">
      <w:pPr>
        <w:pStyle w:val="enumlev1"/>
        <w:rPr>
          <w:lang w:val="es-ES_tradnl"/>
        </w:rPr>
      </w:pPr>
      <w:r w:rsidRPr="00792118">
        <w:rPr>
          <w:lang w:val="es-ES_tradnl"/>
        </w:rPr>
        <w:t>–</w:t>
      </w:r>
      <w:r w:rsidRPr="00792118">
        <w:rPr>
          <w:lang w:val="es-ES_tradnl"/>
        </w:rPr>
        <w:tab/>
        <w:t>UIT-R M.1850-1 «Especificaciones detalladas de las interfaces radioeléctricas de la componente de satélite de las telecomunicaciones móviles internacionales (IMT-2000)»</w:t>
      </w:r>
    </w:p>
    <w:p w:rsidR="00574EBC" w:rsidRPr="00792118" w:rsidRDefault="0059574C" w:rsidP="00822172">
      <w:pPr>
        <w:pStyle w:val="enumlev1"/>
        <w:rPr>
          <w:lang w:val="es-ES_tradnl"/>
        </w:rPr>
      </w:pPr>
      <w:r w:rsidRPr="00792118">
        <w:rPr>
          <w:lang w:val="es-ES_tradnl"/>
        </w:rPr>
        <w:t>–</w:t>
      </w:r>
      <w:r w:rsidRPr="00792118">
        <w:rPr>
          <w:lang w:val="es-ES_tradnl"/>
        </w:rPr>
        <w:tab/>
        <w:t>UIT-R M.1850-2 «Especificaciones detalladas de las interfaces radioeléctricas de la componente de satélite de las telecomunicaciones móviles internacionales (IMT-2000)»</w:t>
      </w:r>
    </w:p>
    <w:p w:rsidR="0059574C" w:rsidRPr="00792118" w:rsidRDefault="0059574C" w:rsidP="00822172">
      <w:pPr>
        <w:pStyle w:val="enumlev1"/>
        <w:rPr>
          <w:lang w:val="es-ES_tradnl"/>
        </w:rPr>
      </w:pPr>
      <w:r w:rsidRPr="00792118">
        <w:rPr>
          <w:lang w:val="es-ES_tradnl"/>
        </w:rPr>
        <w:t>–</w:t>
      </w:r>
      <w:r w:rsidRPr="00792118">
        <w:rPr>
          <w:lang w:val="es-ES_tradnl"/>
        </w:rPr>
        <w:tab/>
        <w:t>UIT-R M.2014</w:t>
      </w:r>
      <w:r w:rsidR="00415757">
        <w:rPr>
          <w:lang w:val="es-ES_tradnl"/>
        </w:rPr>
        <w:t>-1</w:t>
      </w:r>
      <w:r w:rsidRPr="00792118">
        <w:rPr>
          <w:lang w:val="es-ES_tradnl"/>
        </w:rPr>
        <w:t xml:space="preserve"> «Circulación mundial de terminales de satélite IMT</w:t>
      </w:r>
      <w:r w:rsidRPr="00792118">
        <w:rPr>
          <w:lang w:val="es-ES_tradnl"/>
        </w:rPr>
        <w:noBreakHyphen/>
        <w:t>2000»</w:t>
      </w:r>
      <w:r w:rsidR="00CC6065">
        <w:rPr>
          <w:lang w:val="es-ES_tradnl"/>
        </w:rPr>
        <w:t>.</w:t>
      </w:r>
    </w:p>
    <w:p w:rsidR="00574EBC" w:rsidRPr="00792118" w:rsidRDefault="00E847A5" w:rsidP="00822172">
      <w:pPr>
        <w:pStyle w:val="Headingb"/>
        <w:rPr>
          <w:lang w:val="es-ES_tradnl"/>
        </w:rPr>
      </w:pPr>
      <w:r w:rsidRPr="00792118">
        <w:rPr>
          <w:lang w:val="es-ES_tradnl"/>
        </w:rPr>
        <w:t>Nuevos Informes</w:t>
      </w:r>
    </w:p>
    <w:p w:rsidR="0059574C" w:rsidRPr="00792118" w:rsidRDefault="0059574C" w:rsidP="00822172">
      <w:pPr>
        <w:pStyle w:val="enumlev1"/>
        <w:rPr>
          <w:lang w:val="es-ES_tradnl"/>
        </w:rPr>
      </w:pPr>
      <w:r w:rsidRPr="00792118">
        <w:rPr>
          <w:lang w:val="es-ES_tradnl"/>
        </w:rPr>
        <w:t>–</w:t>
      </w:r>
      <w:r w:rsidRPr="00792118">
        <w:rPr>
          <w:lang w:val="es-ES_tradnl"/>
        </w:rPr>
        <w:tab/>
        <w:t>UIT-R S.2278-0 «Utilización de terminales de apertura muy pequeña (VSAT)»</w:t>
      </w:r>
    </w:p>
    <w:p w:rsidR="0059574C" w:rsidRPr="00792118" w:rsidRDefault="0059574C" w:rsidP="00822172">
      <w:pPr>
        <w:pStyle w:val="enumlev1"/>
        <w:rPr>
          <w:lang w:val="es-ES_tradnl"/>
        </w:rPr>
      </w:pPr>
      <w:r w:rsidRPr="00792118">
        <w:rPr>
          <w:lang w:val="es-ES_tradnl"/>
        </w:rPr>
        <w:t>–</w:t>
      </w:r>
      <w:r w:rsidRPr="00792118">
        <w:rPr>
          <w:lang w:val="es-ES_tradnl"/>
        </w:rPr>
        <w:tab/>
        <w:t>UIT-R M.2279-0 «Resultado de la evaluación, consenso y decisiones adoptadas en el proceso de las IMT-Avanzadas (Pasos 4 a 7), especialmente sobre las características de las interfaces radioeléctricas de las IMT avanzadas»</w:t>
      </w:r>
    </w:p>
    <w:p w:rsidR="0059574C" w:rsidRPr="00792118" w:rsidRDefault="0059574C" w:rsidP="00822172">
      <w:pPr>
        <w:pStyle w:val="enumlev1"/>
        <w:rPr>
          <w:lang w:val="es-ES_tradnl"/>
        </w:rPr>
      </w:pPr>
      <w:r w:rsidRPr="00792118">
        <w:rPr>
          <w:lang w:val="es-ES_tradnl"/>
        </w:rPr>
        <w:t>–</w:t>
      </w:r>
      <w:r w:rsidRPr="00792118">
        <w:rPr>
          <w:lang w:val="es-ES_tradnl"/>
        </w:rPr>
        <w:tab/>
      </w:r>
      <w:r w:rsidR="00203D92" w:rsidRPr="00792118">
        <w:rPr>
          <w:lang w:val="es-ES_tradnl"/>
        </w:rPr>
        <w:t>UIT-R S.2306</w:t>
      </w:r>
      <w:r w:rsidR="005C399F" w:rsidRPr="00792118">
        <w:rPr>
          <w:lang w:val="es-ES_tradnl"/>
        </w:rPr>
        <w:t>-</w:t>
      </w:r>
      <w:r w:rsidR="00203D92" w:rsidRPr="00792118">
        <w:rPr>
          <w:lang w:val="es-ES_tradnl"/>
        </w:rPr>
        <w:t>0 «Técnica de correspondencia de señales multidimensionales para las comunicaciones por satélite»</w:t>
      </w:r>
      <w:r w:rsidR="00CC6065">
        <w:rPr>
          <w:lang w:val="es-ES_tradnl"/>
        </w:rPr>
        <w:t>.</w:t>
      </w:r>
    </w:p>
    <w:p w:rsidR="0059574C" w:rsidRPr="00792118" w:rsidRDefault="00E847A5" w:rsidP="00822172">
      <w:pPr>
        <w:pStyle w:val="Headingb"/>
        <w:rPr>
          <w:lang w:val="es-ES_tradnl"/>
        </w:rPr>
      </w:pPr>
      <w:r w:rsidRPr="00792118">
        <w:rPr>
          <w:lang w:val="es-ES_tradnl"/>
        </w:rPr>
        <w:t>Informes revisados</w:t>
      </w:r>
    </w:p>
    <w:p w:rsidR="00574EBC" w:rsidRPr="00792118" w:rsidRDefault="00BA43FF" w:rsidP="00822172">
      <w:pPr>
        <w:pStyle w:val="enumlev1"/>
        <w:rPr>
          <w:lang w:val="es-ES_tradnl"/>
        </w:rPr>
      </w:pPr>
      <w:r w:rsidRPr="00792118">
        <w:rPr>
          <w:lang w:val="es-ES_tradnl"/>
        </w:rPr>
        <w:t>–</w:t>
      </w:r>
      <w:r w:rsidRPr="00792118">
        <w:rPr>
          <w:lang w:val="es-ES_tradnl"/>
        </w:rPr>
        <w:tab/>
        <w:t>UIT-R S.2151-1 «Utilización y ejemplos de sistemas del servicio fijo por satélite en situaciones de catástrofe natural y otras emergencias similares para alertas y operaciones de socorro»</w:t>
      </w:r>
    </w:p>
    <w:p w:rsidR="00574EBC" w:rsidRPr="00792118" w:rsidRDefault="00574EBC" w:rsidP="00822172">
      <w:pPr>
        <w:pStyle w:val="enumlev1"/>
        <w:rPr>
          <w:lang w:val="es-ES_tradnl"/>
        </w:rPr>
      </w:pPr>
      <w:r w:rsidRPr="00792118">
        <w:rPr>
          <w:lang w:val="es-ES_tradnl"/>
        </w:rPr>
        <w:t>–</w:t>
      </w:r>
      <w:r w:rsidRPr="00792118">
        <w:rPr>
          <w:lang w:val="es-ES_tradnl"/>
        </w:rPr>
        <w:tab/>
        <w:t>UIT-R M.2176</w:t>
      </w:r>
      <w:r w:rsidR="00415757">
        <w:rPr>
          <w:lang w:val="es-ES_tradnl"/>
        </w:rPr>
        <w:t>-1</w:t>
      </w:r>
      <w:r w:rsidRPr="00792118">
        <w:rPr>
          <w:lang w:val="es-ES_tradnl"/>
        </w:rPr>
        <w:t xml:space="preserve"> «</w:t>
      </w:r>
      <w:r w:rsidR="00721213" w:rsidRPr="00792118">
        <w:rPr>
          <w:color w:val="000000"/>
          <w:lang w:val="es-ES_tradnl"/>
        </w:rPr>
        <w:t>Visión y requisitos de las interfaces radioeléctricas de los satélites de las IMT-Avanzadas</w:t>
      </w:r>
      <w:r w:rsidRPr="00792118">
        <w:rPr>
          <w:lang w:val="es-ES_tradnl"/>
        </w:rPr>
        <w:t>»</w:t>
      </w:r>
    </w:p>
    <w:p w:rsidR="00574EBC" w:rsidRPr="00792118" w:rsidRDefault="00574EBC" w:rsidP="00822172">
      <w:pPr>
        <w:pStyle w:val="enumlev1"/>
        <w:rPr>
          <w:lang w:val="es-ES_tradnl"/>
        </w:rPr>
      </w:pPr>
      <w:r w:rsidRPr="00792118">
        <w:rPr>
          <w:lang w:val="es-ES_tradnl"/>
        </w:rPr>
        <w:t>–</w:t>
      </w:r>
      <w:r w:rsidRPr="00792118">
        <w:rPr>
          <w:lang w:val="es-ES_tradnl"/>
        </w:rPr>
        <w:tab/>
        <w:t>UIT-R S.2173</w:t>
      </w:r>
      <w:r w:rsidR="00415757">
        <w:rPr>
          <w:lang w:val="es-ES_tradnl"/>
        </w:rPr>
        <w:t>-1</w:t>
      </w:r>
      <w:r w:rsidRPr="00792118">
        <w:rPr>
          <w:lang w:val="es-ES_tradnl"/>
        </w:rPr>
        <w:t xml:space="preserve"> «</w:t>
      </w:r>
      <w:r w:rsidR="00497C5E" w:rsidRPr="00792118">
        <w:rPr>
          <w:color w:val="000000"/>
          <w:lang w:val="es-ES_tradnl"/>
        </w:rPr>
        <w:t>Técnicas de transmisión por multiportadora para sistemas de satélites</w:t>
      </w:r>
      <w:r w:rsidRPr="00792118">
        <w:rPr>
          <w:lang w:val="es-ES_tradnl"/>
        </w:rPr>
        <w:t>»</w:t>
      </w:r>
      <w:r w:rsidR="00CC6065">
        <w:rPr>
          <w:lang w:val="es-ES_tradnl"/>
        </w:rPr>
        <w:t>.</w:t>
      </w:r>
    </w:p>
    <w:p w:rsidR="005C399F" w:rsidRPr="00792118" w:rsidRDefault="005C399F" w:rsidP="00822172">
      <w:pPr>
        <w:rPr>
          <w:lang w:val="es-ES_tradnl"/>
        </w:rPr>
      </w:pPr>
      <w:r w:rsidRPr="00792118">
        <w:rPr>
          <w:lang w:val="es-ES_tradnl"/>
        </w:rPr>
        <w:t xml:space="preserve">El Grupo de Trabajo 4B también preparó los </w:t>
      </w:r>
      <w:r w:rsidR="00721213" w:rsidRPr="00792118">
        <w:rPr>
          <w:lang w:val="es-ES_tradnl"/>
        </w:rPr>
        <w:t xml:space="preserve">anteproyectos de nuevas Recomendaciones (APNR) y los </w:t>
      </w:r>
      <w:r w:rsidRPr="00792118">
        <w:rPr>
          <w:lang w:val="es-ES_tradnl"/>
        </w:rPr>
        <w:t>anteproyectos de revisión de Recomendaciones (APRR) que se enumeran a continuación.</w:t>
      </w:r>
    </w:p>
    <w:p w:rsidR="00574EBC" w:rsidRPr="00792118" w:rsidRDefault="00E847A5" w:rsidP="00822172">
      <w:pPr>
        <w:pStyle w:val="Headingb"/>
        <w:rPr>
          <w:lang w:val="es-ES_tradnl"/>
        </w:rPr>
      </w:pPr>
      <w:r w:rsidRPr="00792118">
        <w:rPr>
          <w:lang w:val="es-ES_tradnl"/>
        </w:rPr>
        <w:lastRenderedPageBreak/>
        <w:t>APNR</w:t>
      </w:r>
    </w:p>
    <w:p w:rsidR="009E481B" w:rsidRPr="00792118" w:rsidRDefault="009E481B" w:rsidP="00822172">
      <w:pPr>
        <w:pStyle w:val="enumlev1"/>
        <w:rPr>
          <w:lang w:val="es-ES_tradnl"/>
        </w:rPr>
      </w:pPr>
      <w:r w:rsidRPr="00792118">
        <w:rPr>
          <w:lang w:val="es-ES_tradnl"/>
        </w:rPr>
        <w:t>–</w:t>
      </w:r>
      <w:r w:rsidRPr="00792118">
        <w:rPr>
          <w:lang w:val="es-ES_tradnl"/>
        </w:rPr>
        <w:tab/>
      </w:r>
      <w:r w:rsidR="00B611DD" w:rsidRPr="00792118">
        <w:rPr>
          <w:lang w:val="es-ES_tradnl"/>
        </w:rPr>
        <w:t>UIT</w:t>
      </w:r>
      <w:r w:rsidRPr="00792118">
        <w:rPr>
          <w:lang w:val="es-ES_tradnl"/>
        </w:rPr>
        <w:t xml:space="preserve">-R BO.[UHDTV_TRANSMISSION] </w:t>
      </w:r>
      <w:r w:rsidR="00A47126" w:rsidRPr="00792118">
        <w:rPr>
          <w:lang w:val="es-ES_tradnl"/>
        </w:rPr>
        <w:t>«</w:t>
      </w:r>
      <w:r w:rsidRPr="00792118">
        <w:rPr>
          <w:lang w:val="es-ES_tradnl"/>
        </w:rPr>
        <w:t>Transmission system for UHDTV satellite broadcasting</w:t>
      </w:r>
      <w:r w:rsidR="00A47126" w:rsidRPr="00792118">
        <w:rPr>
          <w:lang w:val="es-ES_tradnl"/>
        </w:rPr>
        <w:t>»</w:t>
      </w:r>
    </w:p>
    <w:p w:rsidR="005C399F" w:rsidRPr="00792118" w:rsidRDefault="009E481B" w:rsidP="00822172">
      <w:pPr>
        <w:pStyle w:val="enumlev1"/>
        <w:rPr>
          <w:lang w:val="es-ES_tradnl"/>
        </w:rPr>
      </w:pPr>
      <w:r w:rsidRPr="00792118">
        <w:rPr>
          <w:lang w:val="es-ES_tradnl"/>
        </w:rPr>
        <w:t>–</w:t>
      </w:r>
      <w:r w:rsidRPr="00792118">
        <w:rPr>
          <w:lang w:val="es-ES_tradnl"/>
        </w:rPr>
        <w:tab/>
      </w:r>
      <w:r w:rsidR="00B611DD" w:rsidRPr="00792118">
        <w:rPr>
          <w:lang w:val="es-ES_tradnl"/>
        </w:rPr>
        <w:t>UIT</w:t>
      </w:r>
      <w:r w:rsidRPr="00792118">
        <w:rPr>
          <w:lang w:val="es-ES_tradnl"/>
        </w:rPr>
        <w:noBreakHyphen/>
        <w:t>R S.[SHORT-TERM-PERF] «Objetivos de la característica de error a corto plazo para un trayecto digital ficticio de referencia por satélite»</w:t>
      </w:r>
      <w:r w:rsidR="00187F33">
        <w:rPr>
          <w:lang w:val="es-ES_tradnl"/>
        </w:rPr>
        <w:t>.</w:t>
      </w:r>
    </w:p>
    <w:p w:rsidR="005C399F" w:rsidRPr="00792118" w:rsidRDefault="00E847A5" w:rsidP="00822172">
      <w:pPr>
        <w:pStyle w:val="Headingb"/>
        <w:rPr>
          <w:lang w:val="es-ES_tradnl"/>
        </w:rPr>
      </w:pPr>
      <w:r w:rsidRPr="00792118">
        <w:rPr>
          <w:lang w:val="es-ES_tradnl"/>
        </w:rPr>
        <w:t>APRR</w:t>
      </w:r>
    </w:p>
    <w:p w:rsidR="009E481B" w:rsidRPr="00792118" w:rsidRDefault="009E481B" w:rsidP="00822172">
      <w:pPr>
        <w:pStyle w:val="enumlev1"/>
        <w:rPr>
          <w:lang w:val="es-ES_tradnl"/>
        </w:rPr>
      </w:pPr>
      <w:r w:rsidRPr="00792118">
        <w:rPr>
          <w:lang w:val="es-ES_tradnl"/>
        </w:rPr>
        <w:t>–</w:t>
      </w:r>
      <w:r w:rsidRPr="00792118">
        <w:rPr>
          <w:lang w:val="es-ES_tradnl"/>
        </w:rPr>
        <w:tab/>
        <w:t>Recomendación UIT-R BO.1784 «Sistema de radiodifusión digital por satélite (televisión, sonido, datos) con configuración flexible»</w:t>
      </w:r>
      <w:r w:rsidR="00521609">
        <w:rPr>
          <w:lang w:val="es-ES_tradnl"/>
        </w:rPr>
        <w:t>.</w:t>
      </w:r>
    </w:p>
    <w:p w:rsidR="009E481B" w:rsidRPr="00792118" w:rsidRDefault="00950AB3" w:rsidP="00822172">
      <w:pPr>
        <w:rPr>
          <w:lang w:val="es-ES_tradnl"/>
        </w:rPr>
      </w:pPr>
      <w:r w:rsidRPr="00792118">
        <w:rPr>
          <w:color w:val="000000"/>
          <w:lang w:val="es-ES_tradnl"/>
        </w:rPr>
        <w:t>También prosiguieron los trabajos sobre temas que podrían dar lugar a Recomendaciones y/o Informes adicionales en un futuro cercano</w:t>
      </w:r>
      <w:r w:rsidRPr="00792118">
        <w:rPr>
          <w:lang w:val="es-ES_tradnl"/>
        </w:rPr>
        <w:t>. Estos temas incluyen</w:t>
      </w:r>
      <w:r w:rsidR="009E481B" w:rsidRPr="00792118">
        <w:rPr>
          <w:lang w:val="es-ES_tradnl"/>
        </w:rPr>
        <w:t>:</w:t>
      </w:r>
    </w:p>
    <w:p w:rsidR="009E481B" w:rsidRPr="00792118" w:rsidRDefault="009E481B" w:rsidP="00822172">
      <w:pPr>
        <w:rPr>
          <w:lang w:val="es-ES_tradnl"/>
        </w:rPr>
      </w:pPr>
      <w:r w:rsidRPr="00792118">
        <w:rPr>
          <w:lang w:val="es-ES_tradnl"/>
        </w:rPr>
        <w:t>–</w:t>
      </w:r>
      <w:r w:rsidRPr="00792118">
        <w:rPr>
          <w:lang w:val="es-ES_tradnl"/>
        </w:rPr>
        <w:tab/>
      </w:r>
      <w:r w:rsidR="00950AB3" w:rsidRPr="00792118">
        <w:rPr>
          <w:lang w:val="es-ES_tradnl"/>
        </w:rPr>
        <w:t>experimentos de transmisión para radiodifusión de TVUAD por satélite</w:t>
      </w:r>
      <w:r w:rsidRPr="00792118">
        <w:rPr>
          <w:lang w:val="es-ES_tradnl"/>
        </w:rPr>
        <w:t>;</w:t>
      </w:r>
    </w:p>
    <w:p w:rsidR="009E481B" w:rsidRPr="00792118" w:rsidRDefault="009E481B" w:rsidP="00DF1285">
      <w:pPr>
        <w:rPr>
          <w:lang w:val="es-ES_tradnl"/>
        </w:rPr>
      </w:pPr>
      <w:r w:rsidRPr="00792118">
        <w:rPr>
          <w:lang w:val="es-ES_tradnl"/>
        </w:rPr>
        <w:t>–</w:t>
      </w:r>
      <w:r w:rsidRPr="00792118">
        <w:rPr>
          <w:lang w:val="es-ES_tradnl"/>
        </w:rPr>
        <w:tab/>
      </w:r>
      <w:r w:rsidR="00B611DD" w:rsidRPr="00792118">
        <w:rPr>
          <w:lang w:val="es-ES_tradnl"/>
        </w:rPr>
        <w:t>casos y características de un s</w:t>
      </w:r>
      <w:r w:rsidR="00950AB3" w:rsidRPr="00792118">
        <w:rPr>
          <w:lang w:val="es-ES_tradnl"/>
        </w:rPr>
        <w:t xml:space="preserve">istema integrado del SMS que funciona en bandas </w:t>
      </w:r>
      <w:r w:rsidR="00DF1285" w:rsidRPr="00792118">
        <w:rPr>
          <w:lang w:val="es-ES_tradnl"/>
        </w:rPr>
        <w:tab/>
      </w:r>
      <w:r w:rsidR="00950AB3" w:rsidRPr="00792118">
        <w:rPr>
          <w:lang w:val="es-ES_tradnl"/>
        </w:rPr>
        <w:t>inferiores a 3 GHz.</w:t>
      </w:r>
    </w:p>
    <w:p w:rsidR="00DF1285" w:rsidRPr="00792118" w:rsidRDefault="00DF1285">
      <w:pPr>
        <w:tabs>
          <w:tab w:val="clear" w:pos="1134"/>
          <w:tab w:val="clear" w:pos="1871"/>
          <w:tab w:val="clear" w:pos="2268"/>
        </w:tabs>
        <w:overflowPunct/>
        <w:autoSpaceDE/>
        <w:autoSpaceDN/>
        <w:adjustRightInd/>
        <w:spacing w:before="0"/>
        <w:textAlignment w:val="auto"/>
        <w:rPr>
          <w:lang w:val="es-ES_tradnl"/>
        </w:rPr>
      </w:pPr>
      <w:r w:rsidRPr="00792118">
        <w:rPr>
          <w:lang w:val="es-ES_tradnl"/>
        </w:rPr>
        <w:br w:type="page"/>
      </w:r>
    </w:p>
    <w:p w:rsidR="00574EBC" w:rsidRPr="00792118" w:rsidRDefault="00574EBC" w:rsidP="00822172">
      <w:pPr>
        <w:pStyle w:val="AnnexNo"/>
        <w:rPr>
          <w:lang w:val="es-ES_tradnl"/>
        </w:rPr>
      </w:pPr>
      <w:r w:rsidRPr="00792118">
        <w:rPr>
          <w:lang w:val="es-ES_tradnl"/>
        </w:rPr>
        <w:lastRenderedPageBreak/>
        <w:t>Anexo 3</w:t>
      </w:r>
    </w:p>
    <w:p w:rsidR="00574EBC" w:rsidRPr="00792118" w:rsidRDefault="00574EBC" w:rsidP="00822172">
      <w:pPr>
        <w:pStyle w:val="Annextitle"/>
        <w:rPr>
          <w:lang w:val="es-ES_tradnl"/>
        </w:rPr>
      </w:pPr>
      <w:r w:rsidRPr="00792118">
        <w:rPr>
          <w:lang w:val="es-ES_tradnl"/>
        </w:rPr>
        <w:t>Recomendaciones e Informes aprobados elaborados</w:t>
      </w:r>
      <w:r w:rsidRPr="00792118">
        <w:rPr>
          <w:lang w:val="es-ES_tradnl"/>
        </w:rPr>
        <w:br/>
        <w:t>por el Grupo de Trabajo 4C</w:t>
      </w:r>
    </w:p>
    <w:p w:rsidR="00574EBC" w:rsidRPr="00792118" w:rsidRDefault="00574EBC" w:rsidP="00822172">
      <w:pPr>
        <w:rPr>
          <w:lang w:val="es-ES_tradnl"/>
        </w:rPr>
      </w:pPr>
      <w:r w:rsidRPr="00792118">
        <w:rPr>
          <w:lang w:val="es-ES_tradnl"/>
        </w:rPr>
        <w:t xml:space="preserve">Durante el actual periodo de estudios, el Grupo de Trabajo 4C se reunió en </w:t>
      </w:r>
      <w:r w:rsidR="00950AB3" w:rsidRPr="00792118">
        <w:rPr>
          <w:lang w:val="es-ES_tradnl"/>
        </w:rPr>
        <w:t>mayo de 2012, septiembre de 2012, abril/mayo de 2013, septiembre/octubre de 2013</w:t>
      </w:r>
      <w:r w:rsidRPr="00792118">
        <w:rPr>
          <w:lang w:val="es-ES_tradnl"/>
        </w:rPr>
        <w:t xml:space="preserve">, </w:t>
      </w:r>
      <w:r w:rsidR="00950AB3" w:rsidRPr="00792118">
        <w:rPr>
          <w:lang w:val="es-ES_tradnl"/>
        </w:rPr>
        <w:t>febrero</w:t>
      </w:r>
      <w:r w:rsidRPr="00792118">
        <w:rPr>
          <w:lang w:val="es-ES_tradnl"/>
        </w:rPr>
        <w:t xml:space="preserve"> de </w:t>
      </w:r>
      <w:r w:rsidR="00950AB3" w:rsidRPr="00792118">
        <w:rPr>
          <w:lang w:val="es-ES_tradnl"/>
        </w:rPr>
        <w:t>2014, junio/julio de 2014 y junio de 2015</w:t>
      </w:r>
      <w:r w:rsidRPr="00792118">
        <w:rPr>
          <w:lang w:val="es-ES_tradnl"/>
        </w:rPr>
        <w:t xml:space="preserve"> bajo la presidencia del Sr. Alexandre Vallet (Francia). En esas reuniones el GT 4C elaboró en total </w:t>
      </w:r>
      <w:r w:rsidR="00111B8E" w:rsidRPr="00792118">
        <w:rPr>
          <w:lang w:val="es-ES_tradnl"/>
        </w:rPr>
        <w:t>cinco</w:t>
      </w:r>
      <w:r w:rsidRPr="00792118">
        <w:rPr>
          <w:lang w:val="es-ES_tradnl"/>
        </w:rPr>
        <w:t xml:space="preserve"> nuevas Recomendaciones, </w:t>
      </w:r>
      <w:r w:rsidR="00111B8E" w:rsidRPr="00792118">
        <w:rPr>
          <w:lang w:val="es-ES_tradnl"/>
        </w:rPr>
        <w:t>seis</w:t>
      </w:r>
      <w:r w:rsidRPr="00792118">
        <w:rPr>
          <w:lang w:val="es-ES_tradnl"/>
        </w:rPr>
        <w:t xml:space="preserve"> Recomendaciones re</w:t>
      </w:r>
      <w:r w:rsidR="00111B8E" w:rsidRPr="00792118">
        <w:rPr>
          <w:lang w:val="es-ES_tradnl"/>
        </w:rPr>
        <w:t>visadas y cinco</w:t>
      </w:r>
      <w:r w:rsidRPr="00792118">
        <w:rPr>
          <w:lang w:val="es-ES_tradnl"/>
        </w:rPr>
        <w:t xml:space="preserve"> nuevo</w:t>
      </w:r>
      <w:r w:rsidR="00111B8E" w:rsidRPr="00792118">
        <w:rPr>
          <w:lang w:val="es-ES_tradnl"/>
        </w:rPr>
        <w:t>s Informes</w:t>
      </w:r>
      <w:r w:rsidRPr="00792118">
        <w:rPr>
          <w:lang w:val="es-ES_tradnl"/>
        </w:rPr>
        <w:t>, que se enumeran a continuación.</w:t>
      </w:r>
    </w:p>
    <w:p w:rsidR="00574EBC" w:rsidRPr="00792118" w:rsidRDefault="00965EF2" w:rsidP="00822172">
      <w:pPr>
        <w:pStyle w:val="Headingb"/>
        <w:rPr>
          <w:lang w:val="es-ES_tradnl"/>
        </w:rPr>
      </w:pPr>
      <w:r w:rsidRPr="00792118">
        <w:rPr>
          <w:lang w:val="es-ES_tradnl"/>
        </w:rPr>
        <w:t>Nuevas Recomendaciones</w:t>
      </w:r>
    </w:p>
    <w:p w:rsidR="00574EBC" w:rsidRPr="00792118" w:rsidRDefault="00933D5B" w:rsidP="00822172">
      <w:pPr>
        <w:pStyle w:val="enumlev1"/>
        <w:rPr>
          <w:lang w:val="es-ES_tradnl"/>
        </w:rPr>
      </w:pPr>
      <w:r w:rsidRPr="00792118">
        <w:rPr>
          <w:lang w:val="es-ES_tradnl"/>
        </w:rPr>
        <w:t>–</w:t>
      </w:r>
      <w:r w:rsidRPr="00792118">
        <w:rPr>
          <w:lang w:val="es-ES_tradnl"/>
        </w:rPr>
        <w:tab/>
        <w:t>UIT-R M.2030-0 «Modelo de evaluación de la interferencia impulsiva causada por fuentes radioeléctricas pertinentes distintas de las del servicio de radionavegación por satélite a sistemas y redes del servicio de radionavegación por satélite que funcionan en las bandas de frecuencias 1 164-1 215 MHz, 1 215-1 300 MHz y 1 559-1 610 MHz»</w:t>
      </w:r>
    </w:p>
    <w:p w:rsidR="00574EBC" w:rsidRPr="00792118" w:rsidRDefault="00933D5B" w:rsidP="00DF1285">
      <w:pPr>
        <w:pStyle w:val="enumlev1"/>
        <w:rPr>
          <w:lang w:val="es-ES_tradnl"/>
        </w:rPr>
      </w:pPr>
      <w:r w:rsidRPr="00792118">
        <w:rPr>
          <w:lang w:val="es-ES_tradnl"/>
        </w:rPr>
        <w:t>–</w:t>
      </w:r>
      <w:r w:rsidRPr="00792118">
        <w:rPr>
          <w:lang w:val="es-ES_tradnl"/>
        </w:rPr>
        <w:tab/>
        <w:t>UIT-R M.2031-0 «Características y criterios de protección de las estaciones terrenas receptoras y características de las estaciones espaciales transmisoras del servicio de radionavegación por satélite (espacio-Tierra) que fu</w:t>
      </w:r>
      <w:r w:rsidR="00DF1285" w:rsidRPr="00792118">
        <w:rPr>
          <w:lang w:val="es-ES_tradnl"/>
        </w:rPr>
        <w:t>ncionan en la banda 5 010-5 030 </w:t>
      </w:r>
      <w:r w:rsidRPr="00792118">
        <w:rPr>
          <w:lang w:val="es-ES_tradnl"/>
        </w:rPr>
        <w:t>MHz»</w:t>
      </w:r>
    </w:p>
    <w:p w:rsidR="00574EBC" w:rsidRPr="00792118" w:rsidRDefault="0006380A" w:rsidP="00822172">
      <w:pPr>
        <w:pStyle w:val="enumlev1"/>
        <w:rPr>
          <w:lang w:val="es-ES_tradnl"/>
        </w:rPr>
      </w:pPr>
      <w:r w:rsidRPr="00792118">
        <w:rPr>
          <w:lang w:val="es-ES_tradnl"/>
        </w:rPr>
        <w:t>–</w:t>
      </w:r>
      <w:r w:rsidRPr="00792118">
        <w:rPr>
          <w:lang w:val="es-ES_tradnl"/>
        </w:rPr>
        <w:tab/>
        <w:t>UIT-R M.2046-0 «Características y criterios de protección para los sistemas del servicio móvil por satélite con satélites no geoestacionarios que funciona en la banda 399,9-400,05 MHz»</w:t>
      </w:r>
    </w:p>
    <w:p w:rsidR="0006380A" w:rsidRPr="00792118" w:rsidRDefault="0006380A" w:rsidP="00822172">
      <w:pPr>
        <w:pStyle w:val="enumlev1"/>
        <w:rPr>
          <w:lang w:val="es-ES_tradnl"/>
        </w:rPr>
      </w:pPr>
      <w:r w:rsidRPr="00792118">
        <w:rPr>
          <w:lang w:val="es-ES_tradnl"/>
        </w:rPr>
        <w:t>–</w:t>
      </w:r>
      <w:r w:rsidRPr="00792118">
        <w:rPr>
          <w:lang w:val="es-ES_tradnl"/>
        </w:rPr>
        <w:tab/>
        <w:t>Proyecto de nueva Recomendación UIT-R M.[AMS(R)S.METHODOLOGY]-0 «Metodología para calcular las necesidades de espectro para las comunicaciones del servicio móvil aeronáutico (en rutas) por satélite en las bandas de frecuencias 1 545</w:t>
      </w:r>
      <w:r w:rsidRPr="00792118">
        <w:rPr>
          <w:lang w:val="es-ES_tradnl"/>
        </w:rPr>
        <w:noBreakHyphen/>
        <w:t xml:space="preserve">1 555 MHz (espacio-Tierra) y 1 646,5-1 656,5 MHz (Tierra-espacio) relacionadas con las categorías de prioridad 1 a 6 del Artículo </w:t>
      </w:r>
      <w:r w:rsidRPr="00792118">
        <w:rPr>
          <w:b/>
          <w:bCs/>
          <w:lang w:val="es-ES_tradnl"/>
        </w:rPr>
        <w:t>44</w:t>
      </w:r>
      <w:r w:rsidRPr="00792118">
        <w:rPr>
          <w:lang w:val="es-ES_tradnl"/>
        </w:rPr>
        <w:t xml:space="preserve"> del Reglamento de Radiocomunicaciones» (</w:t>
      </w:r>
      <w:r w:rsidR="00111B8E" w:rsidRPr="00792118">
        <w:rPr>
          <w:lang w:val="es-ES_tradnl"/>
        </w:rPr>
        <w:t>véase el</w:t>
      </w:r>
      <w:r w:rsidRPr="00792118">
        <w:rPr>
          <w:lang w:val="es-ES_tradnl"/>
        </w:rPr>
        <w:t xml:space="preserve"> Document</w:t>
      </w:r>
      <w:r w:rsidR="00111B8E" w:rsidRPr="00792118">
        <w:rPr>
          <w:lang w:val="es-ES_tradnl"/>
        </w:rPr>
        <w:t>o</w:t>
      </w:r>
      <w:r w:rsidRPr="00792118">
        <w:rPr>
          <w:lang w:val="es-ES_tradnl"/>
        </w:rPr>
        <w:t xml:space="preserve"> 4/1005)</w:t>
      </w:r>
    </w:p>
    <w:p w:rsidR="0006380A" w:rsidRPr="00792118" w:rsidRDefault="0006380A" w:rsidP="00822172">
      <w:pPr>
        <w:pStyle w:val="enumlev1"/>
        <w:rPr>
          <w:lang w:val="es-ES_tradnl"/>
        </w:rPr>
      </w:pPr>
      <w:r w:rsidRPr="00792118">
        <w:rPr>
          <w:lang w:val="es-ES_tradnl"/>
        </w:rPr>
        <w:t>–</w:t>
      </w:r>
      <w:r w:rsidRPr="00792118">
        <w:rPr>
          <w:lang w:val="es-ES_tradnl"/>
        </w:rPr>
        <w:tab/>
        <w:t>Proyecto de nueva Recomendación UIT-R M.[MSS-RDSS-SHARE]</w:t>
      </w:r>
      <w:r w:rsidR="00111B8E" w:rsidRPr="00792118">
        <w:rPr>
          <w:lang w:val="es-ES_tradnl"/>
        </w:rPr>
        <w:t>-0 «Metodología y ejemplo técnico para apoyar la c</w:t>
      </w:r>
      <w:r w:rsidRPr="00792118">
        <w:rPr>
          <w:lang w:val="es-ES_tradnl"/>
        </w:rPr>
        <w:t>oordinación del servicio móvil por satélite y del servicio de radiodeterminación por satélite con el servicio fijo basada en los niveles de densidad de flujo de potencia determinantes de la coo</w:t>
      </w:r>
      <w:r w:rsidR="000734AE" w:rsidRPr="00792118">
        <w:rPr>
          <w:lang w:val="es-ES_tradnl"/>
        </w:rPr>
        <w:t>rdinación en la banda 2 483,5-2 </w:t>
      </w:r>
      <w:r w:rsidRPr="00792118">
        <w:rPr>
          <w:lang w:val="es-ES_tradnl"/>
        </w:rPr>
        <w:t>500 MHz» (</w:t>
      </w:r>
      <w:r w:rsidR="00111B8E" w:rsidRPr="00792118">
        <w:rPr>
          <w:lang w:val="es-ES_tradnl"/>
        </w:rPr>
        <w:t>véase la Circular Administrativa</w:t>
      </w:r>
      <w:r w:rsidRPr="00792118">
        <w:rPr>
          <w:lang w:val="es-ES_tradnl"/>
        </w:rPr>
        <w:t xml:space="preserve"> CACE/753).</w:t>
      </w:r>
    </w:p>
    <w:p w:rsidR="00574EBC" w:rsidRPr="00792118" w:rsidRDefault="00965EF2" w:rsidP="00822172">
      <w:pPr>
        <w:pStyle w:val="Headingb"/>
        <w:rPr>
          <w:lang w:val="es-ES_tradnl"/>
        </w:rPr>
      </w:pPr>
      <w:r w:rsidRPr="00792118">
        <w:rPr>
          <w:lang w:val="es-ES_tradnl"/>
        </w:rPr>
        <w:t>Recomendaciones revisadas</w:t>
      </w:r>
    </w:p>
    <w:p w:rsidR="00574EBC" w:rsidRPr="00792118" w:rsidRDefault="0006380A" w:rsidP="000734AE">
      <w:pPr>
        <w:pStyle w:val="enumlev1"/>
        <w:rPr>
          <w:lang w:val="es-ES_tradnl"/>
        </w:rPr>
      </w:pPr>
      <w:r w:rsidRPr="00792118">
        <w:rPr>
          <w:lang w:val="es-ES_tradnl"/>
        </w:rPr>
        <w:t>–</w:t>
      </w:r>
      <w:r w:rsidRPr="00792118">
        <w:rPr>
          <w:lang w:val="es-ES_tradnl"/>
        </w:rPr>
        <w:tab/>
        <w:t>UIT-R M.1901-1 «Directrices sobre Recomendaciones del UIT-R relativas a sistemas y redes del servicio de radionavegación por satélite que funcionan en las bandas de fre</w:t>
      </w:r>
      <w:r w:rsidR="000734AE" w:rsidRPr="00792118">
        <w:rPr>
          <w:lang w:val="es-ES_tradnl"/>
        </w:rPr>
        <w:t>cuencias 1 164-1 215 MHz, 1 215</w:t>
      </w:r>
      <w:r w:rsidRPr="00792118">
        <w:rPr>
          <w:lang w:val="es-ES_tradnl"/>
        </w:rPr>
        <w:t>-1 300 MHz, 1 559-1 610 MHz, 5</w:t>
      </w:r>
      <w:r w:rsidR="000E6B33" w:rsidRPr="00792118">
        <w:rPr>
          <w:lang w:val="es-ES_tradnl"/>
        </w:rPr>
        <w:t> </w:t>
      </w:r>
      <w:r w:rsidRPr="00792118">
        <w:rPr>
          <w:lang w:val="es-ES_tradnl"/>
        </w:rPr>
        <w:t>000</w:t>
      </w:r>
      <w:r w:rsidR="000E6B33" w:rsidRPr="00792118">
        <w:rPr>
          <w:lang w:val="es-ES_tradnl"/>
        </w:rPr>
        <w:noBreakHyphen/>
      </w:r>
      <w:r w:rsidRPr="00792118">
        <w:rPr>
          <w:lang w:val="es-ES_tradnl"/>
        </w:rPr>
        <w:t>5</w:t>
      </w:r>
      <w:r w:rsidR="000E6B33" w:rsidRPr="00792118">
        <w:rPr>
          <w:lang w:val="es-ES_tradnl"/>
        </w:rPr>
        <w:t> </w:t>
      </w:r>
      <w:r w:rsidRPr="00792118">
        <w:rPr>
          <w:lang w:val="es-ES_tradnl"/>
        </w:rPr>
        <w:t>010</w:t>
      </w:r>
      <w:r w:rsidR="000E6B33" w:rsidRPr="00792118">
        <w:rPr>
          <w:lang w:val="es-ES_tradnl"/>
        </w:rPr>
        <w:t> </w:t>
      </w:r>
      <w:r w:rsidRPr="00792118">
        <w:rPr>
          <w:lang w:val="es-ES_tradnl"/>
        </w:rPr>
        <w:t>MHz y 5 010-5 030 MHz»</w:t>
      </w:r>
    </w:p>
    <w:p w:rsidR="000E6B33" w:rsidRPr="00792118" w:rsidRDefault="000E6B33" w:rsidP="00822172">
      <w:pPr>
        <w:pStyle w:val="enumlev1"/>
        <w:rPr>
          <w:lang w:val="es-ES_tradnl"/>
        </w:rPr>
      </w:pPr>
      <w:r w:rsidRPr="00792118">
        <w:rPr>
          <w:lang w:val="es-ES_tradnl"/>
        </w:rPr>
        <w:t>–</w:t>
      </w:r>
      <w:r w:rsidRPr="00792118">
        <w:rPr>
          <w:lang w:val="es-ES_tradnl"/>
        </w:rPr>
        <w:tab/>
        <w:t>UIT</w:t>
      </w:r>
      <w:r w:rsidRPr="00792118">
        <w:rPr>
          <w:lang w:val="es-ES_tradnl"/>
        </w:rPr>
        <w:noBreakHyphen/>
        <w:t>R M.1787-2 «</w:t>
      </w:r>
      <w:r w:rsidRPr="00792118">
        <w:rPr>
          <w:bCs/>
          <w:lang w:val="es-ES_tradnl"/>
        </w:rPr>
        <w:t>Descripción de sistemas y redes del servicio de radionavegación por satélite (espacio Tierra y espacio espacio) y características técnicas de estaciones espaciales transmisora</w:t>
      </w:r>
      <w:r w:rsidR="00965EF2" w:rsidRPr="00792118">
        <w:rPr>
          <w:bCs/>
          <w:lang w:val="es-ES_tradnl"/>
        </w:rPr>
        <w:t>s que funcionan en las bandas 1 164-1 215 MHz, 1 215</w:t>
      </w:r>
      <w:r w:rsidR="00965EF2" w:rsidRPr="00792118">
        <w:rPr>
          <w:bCs/>
          <w:lang w:val="es-ES_tradnl"/>
        </w:rPr>
        <w:noBreakHyphen/>
        <w:t>1 300 MHz y 1 559</w:t>
      </w:r>
      <w:r w:rsidR="00965EF2" w:rsidRPr="00792118">
        <w:rPr>
          <w:bCs/>
          <w:lang w:val="es-ES_tradnl"/>
        </w:rPr>
        <w:noBreakHyphen/>
        <w:t>1 610 </w:t>
      </w:r>
      <w:r w:rsidRPr="00792118">
        <w:rPr>
          <w:bCs/>
          <w:lang w:val="es-ES_tradnl"/>
        </w:rPr>
        <w:t>MHz</w:t>
      </w:r>
      <w:r w:rsidRPr="00792118">
        <w:rPr>
          <w:lang w:val="es-ES_tradnl"/>
        </w:rPr>
        <w:t>»</w:t>
      </w:r>
    </w:p>
    <w:p w:rsidR="000E6B33" w:rsidRPr="00792118" w:rsidRDefault="000E6B33" w:rsidP="00822172">
      <w:pPr>
        <w:pStyle w:val="enumlev1"/>
        <w:rPr>
          <w:lang w:val="es-ES_tradnl"/>
        </w:rPr>
      </w:pPr>
      <w:r w:rsidRPr="00792118">
        <w:rPr>
          <w:lang w:val="es-ES_tradnl"/>
        </w:rPr>
        <w:t>–</w:t>
      </w:r>
      <w:r w:rsidRPr="00792118">
        <w:rPr>
          <w:lang w:val="es-ES_tradnl"/>
        </w:rPr>
        <w:tab/>
        <w:t>UIT</w:t>
      </w:r>
      <w:r w:rsidRPr="00792118">
        <w:rPr>
          <w:lang w:val="es-ES_tradnl"/>
        </w:rPr>
        <w:noBreakHyphen/>
        <w:t>R M.1478-3 «Criterios de protección de los instrumentos Cospas-Sarsat de búsqueda y salvamento en la banda 406-406,1 MHz»</w:t>
      </w:r>
    </w:p>
    <w:p w:rsidR="000E6B33" w:rsidRPr="00792118" w:rsidRDefault="000E6B33" w:rsidP="00822172">
      <w:pPr>
        <w:pStyle w:val="enumlev1"/>
        <w:rPr>
          <w:lang w:val="es-ES_tradnl"/>
        </w:rPr>
      </w:pPr>
      <w:r w:rsidRPr="00792118">
        <w:rPr>
          <w:lang w:val="es-ES_tradnl"/>
        </w:rPr>
        <w:t>–</w:t>
      </w:r>
      <w:r w:rsidRPr="00792118">
        <w:rPr>
          <w:lang w:val="es-ES_tradnl"/>
        </w:rPr>
        <w:tab/>
        <w:t>UIT</w:t>
      </w:r>
      <w:r w:rsidRPr="00792118">
        <w:rPr>
          <w:lang w:val="es-ES_tradnl"/>
        </w:rPr>
        <w:noBreakHyphen/>
        <w:t>R M.1831-1 «Metodología de coordinación para estimar la interferencia entre sistemas del SRNS»</w:t>
      </w:r>
    </w:p>
    <w:p w:rsidR="000E6B33" w:rsidRPr="00792118" w:rsidRDefault="000E6B33" w:rsidP="00822172">
      <w:pPr>
        <w:pStyle w:val="enumlev1"/>
        <w:rPr>
          <w:lang w:val="es-ES_tradnl"/>
        </w:rPr>
      </w:pPr>
      <w:r w:rsidRPr="00792118">
        <w:rPr>
          <w:lang w:val="es-ES_tradnl"/>
        </w:rPr>
        <w:lastRenderedPageBreak/>
        <w:t>–</w:t>
      </w:r>
      <w:r w:rsidRPr="00792118">
        <w:rPr>
          <w:lang w:val="es-ES_tradnl"/>
        </w:rPr>
        <w:tab/>
        <w:t>UIT</w:t>
      </w:r>
      <w:r w:rsidRPr="00792118">
        <w:rPr>
          <w:lang w:val="es-ES_tradnl"/>
        </w:rPr>
        <w:noBreakHyphen/>
        <w:t>R M.2031-1 «Características y criterios de protección de las estaciones terrenas receptoras y características de las estaciones espaciales transmisoras del servicio de radionavegación por satélite (espacio-Tierra) que funcionan en la banda 5 010</w:t>
      </w:r>
      <w:r w:rsidRPr="00792118">
        <w:rPr>
          <w:lang w:val="es-ES_tradnl"/>
        </w:rPr>
        <w:noBreakHyphen/>
        <w:t>5 030 MHz»</w:t>
      </w:r>
    </w:p>
    <w:p w:rsidR="00574EBC" w:rsidRPr="00792118" w:rsidRDefault="000E6B33" w:rsidP="00822172">
      <w:pPr>
        <w:pStyle w:val="enumlev1"/>
        <w:rPr>
          <w:lang w:val="es-ES_tradnl"/>
        </w:rPr>
      </w:pPr>
      <w:r w:rsidRPr="00792118">
        <w:rPr>
          <w:lang w:val="es-ES_tradnl"/>
        </w:rPr>
        <w:t>–</w:t>
      </w:r>
      <w:r w:rsidRPr="00792118">
        <w:rPr>
          <w:lang w:val="es-ES_tradnl"/>
        </w:rPr>
        <w:tab/>
        <w:t>UIT-R M.1906-1 «Características y criterios de protección de las estaciones espaciales receptoras y características de las estaciones terrenas transmisoras del servicio de radionavegación por satélite (Tierra-espacio) que funcionan en la banda 5 000</w:t>
      </w:r>
      <w:r w:rsidRPr="00792118">
        <w:rPr>
          <w:lang w:val="es-ES_tradnl"/>
        </w:rPr>
        <w:noBreakHyphen/>
        <w:t>5 010 MHz»</w:t>
      </w:r>
    </w:p>
    <w:p w:rsidR="00574EBC" w:rsidRPr="00792118" w:rsidRDefault="00507A38" w:rsidP="00822172">
      <w:pPr>
        <w:pStyle w:val="Headingb"/>
        <w:rPr>
          <w:lang w:val="es-ES_tradnl"/>
        </w:rPr>
      </w:pPr>
      <w:r w:rsidRPr="00792118">
        <w:rPr>
          <w:lang w:val="es-ES_tradnl"/>
        </w:rPr>
        <w:t>Nuevos Informes</w:t>
      </w:r>
    </w:p>
    <w:p w:rsidR="002E3A62" w:rsidRPr="00792118" w:rsidRDefault="002E3A62" w:rsidP="00822172">
      <w:pPr>
        <w:pStyle w:val="enumlev1"/>
        <w:rPr>
          <w:lang w:val="es-ES_tradnl"/>
        </w:rPr>
      </w:pPr>
      <w:r w:rsidRPr="00792118">
        <w:rPr>
          <w:lang w:val="es-ES_tradnl"/>
        </w:rPr>
        <w:t>–</w:t>
      </w:r>
      <w:r w:rsidRPr="00792118">
        <w:rPr>
          <w:lang w:val="es-ES_tradnl"/>
        </w:rPr>
        <w:tab/>
      </w:r>
      <w:r w:rsidR="00B611DD" w:rsidRPr="00792118">
        <w:rPr>
          <w:lang w:val="es-ES_tradnl"/>
        </w:rPr>
        <w:t>UIT</w:t>
      </w:r>
      <w:r w:rsidRPr="00792118">
        <w:rPr>
          <w:lang w:val="es-ES_tradnl"/>
        </w:rPr>
        <w:noBreakHyphen/>
        <w:t>R M.2262-0 «Potential interference between the ICAO standard microwave landing</w:t>
      </w:r>
      <w:r w:rsidR="00507A38" w:rsidRPr="00792118">
        <w:rPr>
          <w:lang w:val="es-ES_tradnl"/>
        </w:rPr>
        <w:t xml:space="preserve"> system (MLS) operating above 5 030 </w:t>
      </w:r>
      <w:r w:rsidRPr="00792118">
        <w:rPr>
          <w:lang w:val="es-ES_tradnl"/>
        </w:rPr>
        <w:t>MHz and radionavigation-satellite servi</w:t>
      </w:r>
      <w:r w:rsidR="00507A38" w:rsidRPr="00792118">
        <w:rPr>
          <w:lang w:val="es-ES_tradnl"/>
        </w:rPr>
        <w:t>ce (RNSS) systems in the band 5 000-5 030 </w:t>
      </w:r>
      <w:r w:rsidRPr="00792118">
        <w:rPr>
          <w:lang w:val="es-ES_tradnl"/>
        </w:rPr>
        <w:t>MHz»</w:t>
      </w:r>
    </w:p>
    <w:p w:rsidR="002E3A62" w:rsidRPr="00792118" w:rsidRDefault="002E3A62" w:rsidP="00822172">
      <w:pPr>
        <w:pStyle w:val="enumlev1"/>
        <w:rPr>
          <w:lang w:val="es-ES_tradnl"/>
        </w:rPr>
      </w:pPr>
      <w:r w:rsidRPr="00792118">
        <w:rPr>
          <w:lang w:val="es-ES_tradnl"/>
        </w:rPr>
        <w:t>–</w:t>
      </w:r>
      <w:r w:rsidRPr="00792118">
        <w:rPr>
          <w:lang w:val="es-ES_tradnl"/>
        </w:rPr>
        <w:tab/>
      </w:r>
      <w:r w:rsidR="00B611DD" w:rsidRPr="00792118">
        <w:rPr>
          <w:lang w:val="es-ES_tradnl"/>
        </w:rPr>
        <w:t>UIT</w:t>
      </w:r>
      <w:r w:rsidRPr="00792118">
        <w:rPr>
          <w:lang w:val="es-ES_tradnl"/>
        </w:rPr>
        <w:noBreakHyphen/>
        <w:t xml:space="preserve">R M.2305-0 </w:t>
      </w:r>
      <w:r w:rsidR="00A47126" w:rsidRPr="00792118">
        <w:rPr>
          <w:lang w:val="es-ES_tradnl"/>
        </w:rPr>
        <w:t>«</w:t>
      </w:r>
      <w:r w:rsidRPr="00792118">
        <w:rPr>
          <w:lang w:val="es-ES_tradnl"/>
        </w:rPr>
        <w:t>Consideration of aggregate radio frequency interference event potentials from multiple Earth exploration-satellite service systems on radionavigation-satellite service receive</w:t>
      </w:r>
      <w:r w:rsidR="000811CC" w:rsidRPr="00792118">
        <w:rPr>
          <w:lang w:val="es-ES_tradnl"/>
        </w:rPr>
        <w:t>rs operating in the 1 215-1 300 </w:t>
      </w:r>
      <w:r w:rsidRPr="00792118">
        <w:rPr>
          <w:lang w:val="es-ES_tradnl"/>
        </w:rPr>
        <w:t>MHz frequency band</w:t>
      </w:r>
      <w:r w:rsidR="00A47126" w:rsidRPr="00792118">
        <w:rPr>
          <w:lang w:val="es-ES_tradnl"/>
        </w:rPr>
        <w:t>»</w:t>
      </w:r>
    </w:p>
    <w:p w:rsidR="00574EBC" w:rsidRPr="00792118" w:rsidRDefault="002E3A62" w:rsidP="00822172">
      <w:pPr>
        <w:pStyle w:val="enumlev1"/>
        <w:rPr>
          <w:lang w:val="es-ES_tradnl"/>
        </w:rPr>
      </w:pPr>
      <w:r w:rsidRPr="00792118">
        <w:rPr>
          <w:lang w:val="es-ES_tradnl"/>
        </w:rPr>
        <w:t>–</w:t>
      </w:r>
      <w:r w:rsidRPr="00792118">
        <w:rPr>
          <w:lang w:val="es-ES_tradnl"/>
        </w:rPr>
        <w:tab/>
        <w:t>UIT-R M.2358-0 «Posibles atribuciones al servicio móvil marítimo por satélite en la gama 7/8 GHz</w:t>
      </w:r>
      <w:r w:rsidR="003F53CD" w:rsidRPr="00792118">
        <w:rPr>
          <w:lang w:val="es-ES_tradnl"/>
        </w:rPr>
        <w:t>»</w:t>
      </w:r>
    </w:p>
    <w:p w:rsidR="003F53CD" w:rsidRPr="00792118" w:rsidRDefault="003F53CD" w:rsidP="000811CC">
      <w:pPr>
        <w:pStyle w:val="enumlev1"/>
        <w:rPr>
          <w:lang w:val="es-ES_tradnl"/>
        </w:rPr>
      </w:pPr>
      <w:r w:rsidRPr="00792118">
        <w:rPr>
          <w:lang w:val="es-ES_tradnl"/>
        </w:rPr>
        <w:t>–</w:t>
      </w:r>
      <w:r w:rsidRPr="00792118">
        <w:rPr>
          <w:lang w:val="es-ES_tradnl"/>
        </w:rPr>
        <w:tab/>
        <w:t>UIT</w:t>
      </w:r>
      <w:r w:rsidRPr="00792118">
        <w:rPr>
          <w:lang w:val="es-ES_tradnl"/>
        </w:rPr>
        <w:noBreakHyphen/>
        <w:t>R M.2359-0 «Protección de la banda 406-406,1</w:t>
      </w:r>
      <w:r w:rsidR="000811CC" w:rsidRPr="00792118">
        <w:rPr>
          <w:lang w:val="es-ES_tradnl"/>
        </w:rPr>
        <w:t> </w:t>
      </w:r>
      <w:r w:rsidRPr="00792118">
        <w:rPr>
          <w:lang w:val="es-ES_tradnl"/>
        </w:rPr>
        <w:t>MHz»</w:t>
      </w:r>
    </w:p>
    <w:p w:rsidR="003F53CD" w:rsidRPr="00792118" w:rsidRDefault="00A97E7B" w:rsidP="00822172">
      <w:pPr>
        <w:pStyle w:val="enumlev1"/>
        <w:rPr>
          <w:lang w:val="es-ES_tradnl"/>
        </w:rPr>
      </w:pPr>
      <w:r w:rsidRPr="00792118">
        <w:rPr>
          <w:lang w:val="es-ES_tradnl"/>
        </w:rPr>
        <w:t>–</w:t>
      </w:r>
      <w:r w:rsidRPr="00792118">
        <w:rPr>
          <w:lang w:val="es-ES_tradnl"/>
        </w:rPr>
        <w:tab/>
        <w:t>UIT</w:t>
      </w:r>
      <w:r w:rsidRPr="00792118">
        <w:rPr>
          <w:lang w:val="es-ES_tradnl"/>
        </w:rPr>
        <w:noBreakHyphen/>
        <w:t>R M.2360-0 «</w:t>
      </w:r>
      <w:r w:rsidR="003F53CD" w:rsidRPr="00792118">
        <w:rPr>
          <w:lang w:val="es-ES_tradnl"/>
        </w:rPr>
        <w:t>Compartición entre el SMS OSG y otros servicios con atribuciones en la gama 22-26 GHz».</w:t>
      </w:r>
    </w:p>
    <w:p w:rsidR="003F53CD" w:rsidRPr="00792118" w:rsidRDefault="00111B8E" w:rsidP="00822172">
      <w:pPr>
        <w:rPr>
          <w:lang w:val="es-ES_tradnl"/>
        </w:rPr>
      </w:pPr>
      <w:r w:rsidRPr="00792118">
        <w:rPr>
          <w:lang w:val="es-ES_tradnl"/>
        </w:rPr>
        <w:t>El Grupo de Trabajo</w:t>
      </w:r>
      <w:r w:rsidR="003F53CD" w:rsidRPr="00792118">
        <w:rPr>
          <w:lang w:val="es-ES_tradnl"/>
        </w:rPr>
        <w:t xml:space="preserve"> 4C </w:t>
      </w:r>
      <w:r w:rsidRPr="00792118">
        <w:rPr>
          <w:lang w:val="es-ES_tradnl"/>
        </w:rPr>
        <w:t>también elaboró el anteproyecto de nuevo Informe (APNI)</w:t>
      </w:r>
      <w:r w:rsidR="003F53CD" w:rsidRPr="00792118">
        <w:rPr>
          <w:lang w:val="es-ES_tradnl"/>
        </w:rPr>
        <w:t xml:space="preserve"> </w:t>
      </w:r>
      <w:r w:rsidRPr="00792118">
        <w:rPr>
          <w:lang w:val="es-ES_tradnl"/>
        </w:rPr>
        <w:t>que se indica a continuación.</w:t>
      </w:r>
    </w:p>
    <w:p w:rsidR="005C399F" w:rsidRPr="00792118" w:rsidRDefault="00795E63" w:rsidP="00822172">
      <w:pPr>
        <w:pStyle w:val="Headingb"/>
        <w:rPr>
          <w:lang w:val="es-ES_tradnl"/>
        </w:rPr>
      </w:pPr>
      <w:r w:rsidRPr="00792118">
        <w:rPr>
          <w:lang w:val="es-ES_tradnl"/>
        </w:rPr>
        <w:t>APNI</w:t>
      </w:r>
    </w:p>
    <w:p w:rsidR="003F53CD" w:rsidRPr="00792118" w:rsidRDefault="003F53CD" w:rsidP="00822172">
      <w:pPr>
        <w:pStyle w:val="enumlev1"/>
        <w:rPr>
          <w:lang w:val="es-ES_tradnl"/>
        </w:rPr>
      </w:pPr>
      <w:r w:rsidRPr="00792118">
        <w:rPr>
          <w:lang w:val="es-ES_tradnl"/>
        </w:rPr>
        <w:t>–</w:t>
      </w:r>
      <w:r w:rsidRPr="00792118">
        <w:rPr>
          <w:lang w:val="es-ES_tradnl"/>
        </w:rPr>
        <w:tab/>
        <w:t>UIT-R M.[ADS-MSS] «Utilización de los sistemas existentes del servicio móvil por satélite para el seguimiento de aeronaves».</w:t>
      </w:r>
    </w:p>
    <w:p w:rsidR="00BA43FF" w:rsidRPr="00792118" w:rsidRDefault="00EA6F5D" w:rsidP="00822172">
      <w:pPr>
        <w:rPr>
          <w:lang w:val="es-ES_tradnl"/>
        </w:rPr>
      </w:pPr>
      <w:r w:rsidRPr="00792118">
        <w:rPr>
          <w:color w:val="000000"/>
          <w:lang w:val="es-ES_tradnl"/>
        </w:rPr>
        <w:t>También prosiguieron los trabajos sobre temas que podrían dar lugar a Recomendaciones y/o Informes adicionales en un futuro cercano</w:t>
      </w:r>
      <w:r w:rsidRPr="00792118">
        <w:rPr>
          <w:lang w:val="es-ES_tradnl"/>
        </w:rPr>
        <w:t>. Estos temas incluyen</w:t>
      </w:r>
      <w:r w:rsidR="003F53CD" w:rsidRPr="00792118">
        <w:rPr>
          <w:lang w:val="es-ES_tradnl"/>
        </w:rPr>
        <w:t>:</w:t>
      </w:r>
    </w:p>
    <w:p w:rsidR="00BA43FF" w:rsidRPr="00792118" w:rsidRDefault="00BA43FF" w:rsidP="00822172">
      <w:pPr>
        <w:pStyle w:val="enumlev1"/>
        <w:rPr>
          <w:lang w:val="es-ES_tradnl"/>
        </w:rPr>
      </w:pPr>
      <w:r w:rsidRPr="00792118">
        <w:rPr>
          <w:lang w:val="es-ES_tradnl"/>
        </w:rPr>
        <w:t>–</w:t>
      </w:r>
      <w:r w:rsidRPr="00792118">
        <w:rPr>
          <w:lang w:val="es-ES_tradnl"/>
        </w:rPr>
        <w:tab/>
        <w:t>Previsiones de tráfico y requisitos de espectro estimado para el futuro desarrollo de aplicaciones de banda ancha del servicio móvil por satélite en la gama 22-26 GHz</w:t>
      </w:r>
      <w:r w:rsidR="00D64FEA">
        <w:rPr>
          <w:lang w:val="es-ES_tradnl"/>
        </w:rPr>
        <w:t>.</w:t>
      </w:r>
    </w:p>
    <w:p w:rsidR="003F53CD" w:rsidRPr="00792118" w:rsidRDefault="003F53CD" w:rsidP="00822172">
      <w:pPr>
        <w:pStyle w:val="enumlev1"/>
        <w:rPr>
          <w:lang w:val="es-ES_tradnl"/>
        </w:rPr>
      </w:pPr>
      <w:r w:rsidRPr="00792118">
        <w:rPr>
          <w:lang w:val="es-ES_tradnl"/>
        </w:rPr>
        <w:t>–</w:t>
      </w:r>
      <w:r w:rsidRPr="00792118">
        <w:rPr>
          <w:lang w:val="es-ES_tradnl"/>
        </w:rPr>
        <w:tab/>
      </w:r>
      <w:r w:rsidR="003F5EC0" w:rsidRPr="00792118">
        <w:rPr>
          <w:lang w:val="es-ES_tradnl"/>
        </w:rPr>
        <w:t xml:space="preserve">Aplicaciones del SRNS en las bandas de frecuencias </w:t>
      </w:r>
      <w:r w:rsidR="00795E63" w:rsidRPr="00792118">
        <w:rPr>
          <w:lang w:val="es-ES_tradnl"/>
        </w:rPr>
        <w:t>1 164-1 215 MHz, 1 </w:t>
      </w:r>
      <w:r w:rsidR="000734AE" w:rsidRPr="00792118">
        <w:rPr>
          <w:lang w:val="es-ES_tradnl"/>
        </w:rPr>
        <w:t>215-1 300 </w:t>
      </w:r>
      <w:r w:rsidR="003F5EC0" w:rsidRPr="00792118">
        <w:rPr>
          <w:lang w:val="es-ES_tradnl"/>
        </w:rPr>
        <w:t xml:space="preserve">MHz y </w:t>
      </w:r>
      <w:r w:rsidR="00795E63" w:rsidRPr="00792118">
        <w:rPr>
          <w:lang w:val="es-ES_tradnl"/>
        </w:rPr>
        <w:t>1 559-1 610 </w:t>
      </w:r>
      <w:r w:rsidR="00D64FEA">
        <w:rPr>
          <w:lang w:val="es-ES_tradnl"/>
        </w:rPr>
        <w:t>MHz.</w:t>
      </w:r>
    </w:p>
    <w:p w:rsidR="003F53CD" w:rsidRPr="00792118" w:rsidRDefault="003F53CD" w:rsidP="00822172">
      <w:pPr>
        <w:pStyle w:val="enumlev1"/>
        <w:rPr>
          <w:lang w:val="es-ES_tradnl"/>
        </w:rPr>
      </w:pPr>
      <w:r w:rsidRPr="00792118">
        <w:rPr>
          <w:lang w:val="es-ES_tradnl"/>
        </w:rPr>
        <w:t>–</w:t>
      </w:r>
      <w:r w:rsidRPr="00792118">
        <w:rPr>
          <w:lang w:val="es-ES_tradnl"/>
        </w:rPr>
        <w:tab/>
      </w:r>
      <w:r w:rsidR="003F5EC0" w:rsidRPr="00792118">
        <w:rPr>
          <w:lang w:val="es-ES_tradnl"/>
        </w:rPr>
        <w:t>Estudio de compartición</w:t>
      </w:r>
      <w:r w:rsidRPr="00792118">
        <w:rPr>
          <w:lang w:val="es-ES_tradnl"/>
        </w:rPr>
        <w:t xml:space="preserve"> </w:t>
      </w:r>
      <w:r w:rsidR="003F5EC0" w:rsidRPr="00792118">
        <w:rPr>
          <w:lang w:val="es-ES_tradnl"/>
        </w:rPr>
        <w:t xml:space="preserve">entre sistemas móviles por satélite y sistemas LTE terrenales en las bandas </w:t>
      </w:r>
      <w:r w:rsidRPr="00792118">
        <w:rPr>
          <w:lang w:val="es-ES_tradnl"/>
        </w:rPr>
        <w:t>IMT</w:t>
      </w:r>
      <w:r w:rsidRPr="00792118">
        <w:rPr>
          <w:lang w:val="es-ES_tradnl"/>
        </w:rPr>
        <w:noBreakHyphen/>
        <w:t>S</w:t>
      </w:r>
      <w:r w:rsidR="00F62F43" w:rsidRPr="00792118">
        <w:rPr>
          <w:lang w:val="es-ES_tradnl"/>
        </w:rPr>
        <w:t>2.1G</w:t>
      </w:r>
      <w:r w:rsidRPr="00792118">
        <w:rPr>
          <w:lang w:val="es-ES_tradnl"/>
        </w:rPr>
        <w:t>.</w:t>
      </w:r>
    </w:p>
    <w:p w:rsidR="00795E63" w:rsidRPr="00792118" w:rsidRDefault="00795E63" w:rsidP="00822172">
      <w:pPr>
        <w:pStyle w:val="enumlev1"/>
        <w:rPr>
          <w:lang w:val="es-ES_tradnl"/>
        </w:rPr>
      </w:pPr>
      <w:r w:rsidRPr="00792118">
        <w:rPr>
          <w:lang w:val="es-ES_tradnl"/>
        </w:rPr>
        <w:br w:type="page"/>
      </w:r>
    </w:p>
    <w:p w:rsidR="00752B39" w:rsidRPr="00792118" w:rsidRDefault="00752B39" w:rsidP="00822172">
      <w:pPr>
        <w:pStyle w:val="AnnexNo"/>
        <w:rPr>
          <w:lang w:val="es-ES_tradnl"/>
        </w:rPr>
      </w:pPr>
      <w:r w:rsidRPr="00792118">
        <w:rPr>
          <w:lang w:val="es-ES_tradnl"/>
        </w:rPr>
        <w:lastRenderedPageBreak/>
        <w:t>Anexo 4</w:t>
      </w:r>
    </w:p>
    <w:p w:rsidR="00752B39" w:rsidRPr="00792118" w:rsidRDefault="00686DA1" w:rsidP="0094585A">
      <w:pPr>
        <w:pStyle w:val="Annextitle"/>
        <w:rPr>
          <w:lang w:val="es-ES_tradnl"/>
        </w:rPr>
      </w:pPr>
      <w:r w:rsidRPr="00792118">
        <w:rPr>
          <w:color w:val="000000"/>
          <w:lang w:val="es-ES_tradnl"/>
        </w:rPr>
        <w:t xml:space="preserve">Grupo Mixto de </w:t>
      </w:r>
      <w:r w:rsidRPr="00792118">
        <w:rPr>
          <w:lang w:val="es-ES_tradnl"/>
        </w:rPr>
        <w:t>Tareas</w:t>
      </w:r>
      <w:r w:rsidRPr="00792118">
        <w:rPr>
          <w:color w:val="000000"/>
          <w:lang w:val="es-ES_tradnl"/>
        </w:rPr>
        <w:t xml:space="preserve"> Especiales </w:t>
      </w:r>
      <w:r w:rsidR="00752B39" w:rsidRPr="00792118">
        <w:rPr>
          <w:lang w:val="es-ES_tradnl"/>
        </w:rPr>
        <w:t xml:space="preserve">4-5-6-7 – </w:t>
      </w:r>
      <w:r w:rsidRPr="00792118">
        <w:rPr>
          <w:lang w:val="es-ES_tradnl"/>
        </w:rPr>
        <w:t xml:space="preserve">Puntos 1.1 </w:t>
      </w:r>
      <w:r w:rsidR="0094585A">
        <w:rPr>
          <w:lang w:val="es-ES_tradnl"/>
        </w:rPr>
        <w:br/>
      </w:r>
      <w:r w:rsidRPr="00792118">
        <w:rPr>
          <w:lang w:val="es-ES_tradnl"/>
        </w:rPr>
        <w:t>y 1.2 del orden del día de la CMR/15</w:t>
      </w:r>
    </w:p>
    <w:p w:rsidR="00752B39" w:rsidRPr="00792118" w:rsidRDefault="00752B39" w:rsidP="00822172">
      <w:pPr>
        <w:pStyle w:val="Heading1"/>
        <w:rPr>
          <w:lang w:val="es-ES_tradnl"/>
        </w:rPr>
      </w:pPr>
      <w:r w:rsidRPr="00792118">
        <w:rPr>
          <w:lang w:val="es-ES_tradnl"/>
        </w:rPr>
        <w:t>1</w:t>
      </w:r>
      <w:r w:rsidRPr="00792118">
        <w:rPr>
          <w:lang w:val="es-ES_tradnl"/>
        </w:rPr>
        <w:tab/>
        <w:t>Introducción</w:t>
      </w:r>
    </w:p>
    <w:p w:rsidR="003F53CD" w:rsidRPr="00792118" w:rsidRDefault="00686DA1" w:rsidP="00FB0BAF">
      <w:pPr>
        <w:rPr>
          <w:lang w:val="es-ES_tradnl"/>
        </w:rPr>
      </w:pPr>
      <w:r w:rsidRPr="00792118">
        <w:rPr>
          <w:color w:val="000000"/>
          <w:lang w:val="es-ES_tradnl"/>
        </w:rPr>
        <w:t xml:space="preserve">El Grupo Mixto de Tareas Especiales </w:t>
      </w:r>
      <w:r w:rsidR="003F53CD" w:rsidRPr="00792118">
        <w:rPr>
          <w:lang w:val="es-ES_tradnl"/>
        </w:rPr>
        <w:t>4-5-6-7 (</w:t>
      </w:r>
      <w:r w:rsidRPr="00792118">
        <w:rPr>
          <w:lang w:val="es-ES_tradnl"/>
        </w:rPr>
        <w:t>GMTE</w:t>
      </w:r>
      <w:r w:rsidR="003F53CD" w:rsidRPr="00792118">
        <w:rPr>
          <w:lang w:val="es-ES_tradnl"/>
        </w:rPr>
        <w:t xml:space="preserve"> 4-5-6-7) </w:t>
      </w:r>
      <w:r w:rsidRPr="00792118">
        <w:rPr>
          <w:lang w:val="es-ES_tradnl"/>
        </w:rPr>
        <w:t>fue creado por decisión de la primera</w:t>
      </w:r>
      <w:r w:rsidR="00A47126" w:rsidRPr="00792118">
        <w:rPr>
          <w:lang w:val="es-ES_tradnl"/>
        </w:rPr>
        <w:t xml:space="preserve"> </w:t>
      </w:r>
      <w:r w:rsidRPr="00792118">
        <w:rPr>
          <w:lang w:val="es-ES_tradnl"/>
        </w:rPr>
        <w:t>sesión de la Reunión Prep</w:t>
      </w:r>
      <w:r w:rsidR="000734AE" w:rsidRPr="00792118">
        <w:rPr>
          <w:lang w:val="es-ES_tradnl"/>
        </w:rPr>
        <w:t>aratoria de la Conferencia (RPC</w:t>
      </w:r>
      <w:r w:rsidRPr="00792118">
        <w:rPr>
          <w:lang w:val="es-ES_tradnl"/>
        </w:rPr>
        <w:t>15</w:t>
      </w:r>
      <w:r w:rsidR="000734AE" w:rsidRPr="00792118">
        <w:rPr>
          <w:lang w:val="es-ES_tradnl"/>
        </w:rPr>
        <w:t>-1</w:t>
      </w:r>
      <w:r w:rsidRPr="00792118">
        <w:rPr>
          <w:lang w:val="es-ES_tradnl"/>
        </w:rPr>
        <w:t>) como grupo responsable de los puntos 1.1 y 1.2 del orden del día de la CMR-15. Su mandato le encomienda llevar</w:t>
      </w:r>
      <w:r w:rsidR="00A97E7B" w:rsidRPr="00792118">
        <w:rPr>
          <w:lang w:val="es-ES_tradnl"/>
        </w:rPr>
        <w:t xml:space="preserve"> a cabo estudios y elaborar un p</w:t>
      </w:r>
      <w:r w:rsidRPr="00792118">
        <w:rPr>
          <w:lang w:val="es-ES_tradnl"/>
        </w:rPr>
        <w:t>royecto de texto de la RPC de conformidad con la Resoluci</w:t>
      </w:r>
      <w:r w:rsidR="00645052" w:rsidRPr="00792118">
        <w:rPr>
          <w:lang w:val="es-ES_tradnl"/>
        </w:rPr>
        <w:t>ón 232</w:t>
      </w:r>
      <w:r w:rsidR="009B6B22" w:rsidRPr="00792118">
        <w:rPr>
          <w:lang w:val="es-ES_tradnl"/>
        </w:rPr>
        <w:t xml:space="preserve"> (CMR</w:t>
      </w:r>
      <w:r w:rsidR="009B6B22" w:rsidRPr="00792118">
        <w:rPr>
          <w:lang w:val="es-ES_tradnl"/>
        </w:rPr>
        <w:noBreakHyphen/>
      </w:r>
      <w:r w:rsidRPr="00792118">
        <w:rPr>
          <w:lang w:val="es-ES_tradnl"/>
        </w:rPr>
        <w:t>12)</w:t>
      </w:r>
      <w:r w:rsidR="00645052" w:rsidRPr="00792118">
        <w:rPr>
          <w:lang w:val="es-ES_tradnl"/>
        </w:rPr>
        <w:t xml:space="preserve"> y la Resolución 233 (CMR-12). Su mandato también permite al GMTE 4-5-6-7 elaborar</w:t>
      </w:r>
      <w:r w:rsidR="003F53CD" w:rsidRPr="00792118">
        <w:rPr>
          <w:lang w:val="es-ES_tradnl"/>
        </w:rPr>
        <w:t xml:space="preserve">, según el caso, </w:t>
      </w:r>
      <w:r w:rsidR="00866595">
        <w:rPr>
          <w:lang w:val="es-ES_tradnl"/>
        </w:rPr>
        <w:t xml:space="preserve">proyectos de </w:t>
      </w:r>
      <w:r w:rsidR="003F53CD" w:rsidRPr="00792118">
        <w:rPr>
          <w:lang w:val="es-ES_tradnl"/>
        </w:rPr>
        <w:t xml:space="preserve">Recomendaciones </w:t>
      </w:r>
      <w:r w:rsidR="00FB0BAF">
        <w:rPr>
          <w:lang w:val="es-ES_tradnl"/>
        </w:rPr>
        <w:t>e</w:t>
      </w:r>
      <w:r w:rsidR="003F53CD" w:rsidRPr="00792118">
        <w:rPr>
          <w:lang w:val="es-ES_tradnl"/>
        </w:rPr>
        <w:t xml:space="preserve"> Informes UIT-R sobre los resultados de la compartición del espectro y los estudios de compatibilidad, cuando sea necesario, para su presentación a las Comisiones de Estudio correspondientes que las adoptarán de co</w:t>
      </w:r>
      <w:r w:rsidR="003D0818">
        <w:rPr>
          <w:lang w:val="es-ES_tradnl"/>
        </w:rPr>
        <w:t>nformidad con la Resolución </w:t>
      </w:r>
      <w:r w:rsidR="007D4A1C">
        <w:rPr>
          <w:lang w:val="es-ES_tradnl"/>
        </w:rPr>
        <w:t>UIT</w:t>
      </w:r>
      <w:r w:rsidR="007D4A1C">
        <w:rPr>
          <w:lang w:val="es-ES_tradnl"/>
        </w:rPr>
        <w:noBreakHyphen/>
      </w:r>
      <w:r w:rsidR="003F53CD" w:rsidRPr="00792118">
        <w:rPr>
          <w:lang w:val="es-ES_tradnl"/>
        </w:rPr>
        <w:t>R 1-6.</w:t>
      </w:r>
    </w:p>
    <w:p w:rsidR="00752B39" w:rsidRPr="00792118" w:rsidRDefault="00645052" w:rsidP="00822172">
      <w:pPr>
        <w:rPr>
          <w:lang w:val="es-ES_tradnl"/>
        </w:rPr>
      </w:pPr>
      <w:r w:rsidRPr="00792118">
        <w:rPr>
          <w:lang w:val="es-ES_tradnl"/>
        </w:rPr>
        <w:t xml:space="preserve">El GMTE 4-5-6-7 se reunió seis veces entre julio de 2012 y julio de 2014. Las primeras dos reuniones se celebraron bajo la presidencia del Sr. Thomas </w:t>
      </w:r>
      <w:r w:rsidR="00752B39" w:rsidRPr="00792118">
        <w:rPr>
          <w:lang w:val="es-ES_tradnl"/>
        </w:rPr>
        <w:t>EWERS (</w:t>
      </w:r>
      <w:r w:rsidRPr="00792118">
        <w:rPr>
          <w:lang w:val="es-ES_tradnl"/>
        </w:rPr>
        <w:t>Alemania</w:t>
      </w:r>
      <w:r w:rsidR="00752B39" w:rsidRPr="00792118">
        <w:rPr>
          <w:lang w:val="es-ES_tradnl"/>
        </w:rPr>
        <w:t xml:space="preserve">) </w:t>
      </w:r>
      <w:r w:rsidRPr="00792118">
        <w:rPr>
          <w:lang w:val="es-ES_tradnl"/>
        </w:rPr>
        <w:t>y las cuatro últimas fueron presididas por el Sr.</w:t>
      </w:r>
      <w:r w:rsidR="00752B39" w:rsidRPr="00792118">
        <w:rPr>
          <w:lang w:val="es-ES_tradnl"/>
        </w:rPr>
        <w:t xml:space="preserve"> </w:t>
      </w:r>
      <w:r w:rsidRPr="00792118">
        <w:rPr>
          <w:lang w:val="es-ES_tradnl"/>
        </w:rPr>
        <w:t>Martin FENTON (Reino Unido</w:t>
      </w:r>
      <w:r w:rsidR="00752B39" w:rsidRPr="00792118">
        <w:rPr>
          <w:lang w:val="es-ES_tradnl"/>
        </w:rPr>
        <w:t xml:space="preserve">). </w:t>
      </w:r>
      <w:r w:rsidRPr="00792118">
        <w:rPr>
          <w:lang w:val="es-ES_tradnl"/>
        </w:rPr>
        <w:t>El Cuadro 1 muestra la participación y el número de contribuciones para cada una de las reuniones. También proporciona una referencia al Informe del Presidente para cada reunión.</w:t>
      </w:r>
    </w:p>
    <w:p w:rsidR="00752B39" w:rsidRPr="00792118" w:rsidRDefault="005C7EDC" w:rsidP="00822172">
      <w:pPr>
        <w:pStyle w:val="TableNo"/>
        <w:rPr>
          <w:lang w:val="es-ES_tradnl"/>
        </w:rPr>
      </w:pPr>
      <w:r w:rsidRPr="00792118">
        <w:rPr>
          <w:lang w:val="es-ES_tradnl"/>
        </w:rPr>
        <w:t>CUADRO</w:t>
      </w:r>
      <w:r w:rsidR="00752B39" w:rsidRPr="00792118">
        <w:rPr>
          <w:lang w:val="es-ES_tradnl"/>
        </w:rPr>
        <w:t xml:space="preserve"> 1</w:t>
      </w:r>
    </w:p>
    <w:p w:rsidR="00752B39" w:rsidRPr="00792118" w:rsidRDefault="005C7EDC" w:rsidP="00822172">
      <w:pPr>
        <w:pStyle w:val="Tabletitle"/>
        <w:rPr>
          <w:lang w:val="es-ES_tradnl"/>
        </w:rPr>
      </w:pPr>
      <w:r w:rsidRPr="00792118">
        <w:rPr>
          <w:lang w:val="es-ES_tradnl"/>
        </w:rPr>
        <w:t>Reuniones del Grupo Mixto de Tareas Especiales</w:t>
      </w:r>
      <w:r w:rsidR="006C4EFB">
        <w:rPr>
          <w:lang w:val="es-ES_tradnl"/>
        </w:rPr>
        <w:t xml:space="preserve"> 4-5-6-7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249"/>
        <w:gridCol w:w="1250"/>
        <w:gridCol w:w="1250"/>
        <w:gridCol w:w="1249"/>
        <w:gridCol w:w="1250"/>
        <w:gridCol w:w="1250"/>
      </w:tblGrid>
      <w:tr w:rsidR="00752B39" w:rsidRPr="00792118" w:rsidTr="00AC0CBE">
        <w:trPr>
          <w:jc w:val="center"/>
        </w:trPr>
        <w:tc>
          <w:tcPr>
            <w:tcW w:w="1682" w:type="dxa"/>
            <w:tcBorders>
              <w:top w:val="single" w:sz="4" w:space="0" w:color="auto"/>
              <w:left w:val="single" w:sz="4" w:space="0" w:color="auto"/>
              <w:bottom w:val="single" w:sz="4" w:space="0" w:color="auto"/>
              <w:right w:val="single" w:sz="4" w:space="0" w:color="auto"/>
            </w:tcBorders>
          </w:tcPr>
          <w:p w:rsidR="00752B39" w:rsidRPr="00792118" w:rsidRDefault="00752B39" w:rsidP="00822172">
            <w:pPr>
              <w:pStyle w:val="Tablehead"/>
              <w:rPr>
                <w:lang w:val="es-ES_tradnl"/>
              </w:rPr>
            </w:pPr>
          </w:p>
        </w:tc>
        <w:tc>
          <w:tcPr>
            <w:tcW w:w="1249" w:type="dxa"/>
            <w:tcBorders>
              <w:top w:val="single" w:sz="4" w:space="0" w:color="auto"/>
              <w:left w:val="single" w:sz="4" w:space="0" w:color="auto"/>
              <w:bottom w:val="single" w:sz="4" w:space="0" w:color="auto"/>
              <w:right w:val="single" w:sz="4" w:space="0" w:color="auto"/>
            </w:tcBorders>
            <w:hideMark/>
          </w:tcPr>
          <w:p w:rsidR="00752B39" w:rsidRPr="00792118" w:rsidRDefault="005C7EDC" w:rsidP="00822172">
            <w:pPr>
              <w:pStyle w:val="Tablehead"/>
              <w:rPr>
                <w:lang w:val="es-ES_tradnl"/>
              </w:rPr>
            </w:pPr>
            <w:r w:rsidRPr="00792118">
              <w:rPr>
                <w:lang w:val="es-ES_tradnl"/>
              </w:rPr>
              <w:t>Primera</w:t>
            </w:r>
            <w:r w:rsidR="00752B39" w:rsidRPr="00792118">
              <w:rPr>
                <w:lang w:val="es-ES_tradnl"/>
              </w:rPr>
              <w:t xml:space="preserve"> </w:t>
            </w:r>
            <w:r w:rsidRPr="00792118">
              <w:rPr>
                <w:lang w:val="es-ES_tradnl"/>
              </w:rPr>
              <w:t>reunión</w:t>
            </w:r>
          </w:p>
          <w:p w:rsidR="00752B39" w:rsidRPr="00792118" w:rsidRDefault="005C7EDC" w:rsidP="00822172">
            <w:pPr>
              <w:pStyle w:val="Tablehead"/>
              <w:rPr>
                <w:lang w:val="es-ES_tradnl"/>
              </w:rPr>
            </w:pPr>
            <w:r w:rsidRPr="00792118">
              <w:rPr>
                <w:lang w:val="es-ES_tradnl"/>
              </w:rPr>
              <w:t>Julio de</w:t>
            </w:r>
            <w:r w:rsidR="00752B39" w:rsidRPr="00792118">
              <w:rPr>
                <w:lang w:val="es-ES_tradnl"/>
              </w:rPr>
              <w:t xml:space="preserve"> 2012</w:t>
            </w:r>
          </w:p>
        </w:tc>
        <w:tc>
          <w:tcPr>
            <w:tcW w:w="1250" w:type="dxa"/>
            <w:tcBorders>
              <w:top w:val="single" w:sz="4" w:space="0" w:color="auto"/>
              <w:left w:val="single" w:sz="4" w:space="0" w:color="auto"/>
              <w:bottom w:val="single" w:sz="4" w:space="0" w:color="auto"/>
              <w:right w:val="single" w:sz="4" w:space="0" w:color="auto"/>
            </w:tcBorders>
            <w:hideMark/>
          </w:tcPr>
          <w:p w:rsidR="00752B39" w:rsidRPr="00792118" w:rsidRDefault="005C7EDC" w:rsidP="00822172">
            <w:pPr>
              <w:pStyle w:val="Tablehead"/>
              <w:rPr>
                <w:lang w:val="es-ES_tradnl"/>
              </w:rPr>
            </w:pPr>
            <w:r w:rsidRPr="00792118">
              <w:rPr>
                <w:lang w:val="es-ES_tradnl"/>
              </w:rPr>
              <w:t>Segunda</w:t>
            </w:r>
            <w:r w:rsidR="00752B39" w:rsidRPr="00792118">
              <w:rPr>
                <w:lang w:val="es-ES_tradnl"/>
              </w:rPr>
              <w:t xml:space="preserve"> </w:t>
            </w:r>
            <w:r w:rsidRPr="00792118">
              <w:rPr>
                <w:lang w:val="es-ES_tradnl"/>
              </w:rPr>
              <w:t>reunión</w:t>
            </w:r>
          </w:p>
          <w:p w:rsidR="00752B39" w:rsidRPr="00792118" w:rsidRDefault="00752B39" w:rsidP="00C513BA">
            <w:pPr>
              <w:pStyle w:val="Tablehead"/>
              <w:rPr>
                <w:lang w:val="es-ES_tradnl"/>
              </w:rPr>
            </w:pPr>
            <w:r w:rsidRPr="00792118">
              <w:rPr>
                <w:lang w:val="es-ES_tradnl"/>
              </w:rPr>
              <w:t>Nov</w:t>
            </w:r>
            <w:r w:rsidR="00C513BA">
              <w:rPr>
                <w:lang w:val="es-ES_tradnl"/>
              </w:rPr>
              <w:t>iembre de</w:t>
            </w:r>
            <w:r w:rsidRPr="00792118">
              <w:rPr>
                <w:lang w:val="es-ES_tradnl"/>
              </w:rPr>
              <w:t xml:space="preserve"> 2012</w:t>
            </w:r>
          </w:p>
        </w:tc>
        <w:tc>
          <w:tcPr>
            <w:tcW w:w="1250" w:type="dxa"/>
            <w:tcBorders>
              <w:top w:val="single" w:sz="4" w:space="0" w:color="auto"/>
              <w:left w:val="single" w:sz="4" w:space="0" w:color="auto"/>
              <w:bottom w:val="single" w:sz="4" w:space="0" w:color="auto"/>
              <w:right w:val="single" w:sz="4" w:space="0" w:color="auto"/>
            </w:tcBorders>
            <w:hideMark/>
          </w:tcPr>
          <w:p w:rsidR="00752B39" w:rsidRPr="00792118" w:rsidRDefault="005C7EDC" w:rsidP="00822172">
            <w:pPr>
              <w:pStyle w:val="Tablehead"/>
              <w:rPr>
                <w:lang w:val="es-ES_tradnl"/>
              </w:rPr>
            </w:pPr>
            <w:r w:rsidRPr="00792118">
              <w:rPr>
                <w:lang w:val="es-ES_tradnl"/>
              </w:rPr>
              <w:t>Tercera</w:t>
            </w:r>
            <w:r w:rsidR="00752B39" w:rsidRPr="00792118">
              <w:rPr>
                <w:lang w:val="es-ES_tradnl"/>
              </w:rPr>
              <w:t xml:space="preserve"> </w:t>
            </w:r>
            <w:r w:rsidRPr="00792118">
              <w:rPr>
                <w:lang w:val="es-ES_tradnl"/>
              </w:rPr>
              <w:t>reunión</w:t>
            </w:r>
          </w:p>
          <w:p w:rsidR="00752B39" w:rsidRPr="00792118" w:rsidRDefault="005C7EDC" w:rsidP="00822172">
            <w:pPr>
              <w:pStyle w:val="Tablehead"/>
              <w:rPr>
                <w:lang w:val="es-ES_tradnl"/>
              </w:rPr>
            </w:pPr>
            <w:r w:rsidRPr="00792118">
              <w:rPr>
                <w:lang w:val="es-ES_tradnl"/>
              </w:rPr>
              <w:t>Julio de</w:t>
            </w:r>
            <w:r w:rsidR="00752B39" w:rsidRPr="00792118">
              <w:rPr>
                <w:lang w:val="es-ES_tradnl"/>
              </w:rPr>
              <w:t xml:space="preserve"> 2013</w:t>
            </w:r>
          </w:p>
        </w:tc>
        <w:tc>
          <w:tcPr>
            <w:tcW w:w="1249" w:type="dxa"/>
            <w:tcBorders>
              <w:top w:val="single" w:sz="4" w:space="0" w:color="auto"/>
              <w:left w:val="single" w:sz="4" w:space="0" w:color="auto"/>
              <w:bottom w:val="single" w:sz="4" w:space="0" w:color="auto"/>
              <w:right w:val="single" w:sz="4" w:space="0" w:color="auto"/>
            </w:tcBorders>
            <w:hideMark/>
          </w:tcPr>
          <w:p w:rsidR="00752B39" w:rsidRPr="00792118" w:rsidRDefault="005C7EDC" w:rsidP="00822172">
            <w:pPr>
              <w:pStyle w:val="Tablehead"/>
              <w:rPr>
                <w:lang w:val="es-ES_tradnl"/>
              </w:rPr>
            </w:pPr>
            <w:r w:rsidRPr="00792118">
              <w:rPr>
                <w:lang w:val="es-ES_tradnl"/>
              </w:rPr>
              <w:t>Cuarta</w:t>
            </w:r>
            <w:r w:rsidR="00752B39" w:rsidRPr="00792118">
              <w:rPr>
                <w:lang w:val="es-ES_tradnl"/>
              </w:rPr>
              <w:t xml:space="preserve"> </w:t>
            </w:r>
            <w:r w:rsidRPr="00792118">
              <w:rPr>
                <w:lang w:val="es-ES_tradnl"/>
              </w:rPr>
              <w:t>reunión</w:t>
            </w:r>
          </w:p>
          <w:p w:rsidR="00752B39" w:rsidRPr="00792118" w:rsidRDefault="000A052D" w:rsidP="000A052D">
            <w:pPr>
              <w:pStyle w:val="Tablehead"/>
              <w:rPr>
                <w:lang w:val="es-ES_tradnl"/>
              </w:rPr>
            </w:pPr>
            <w:r>
              <w:rPr>
                <w:lang w:val="es-ES_tradnl"/>
              </w:rPr>
              <w:t>Octubre de </w:t>
            </w:r>
            <w:r w:rsidR="00752B39" w:rsidRPr="00792118">
              <w:rPr>
                <w:lang w:val="es-ES_tradnl"/>
              </w:rPr>
              <w:t>2013</w:t>
            </w:r>
          </w:p>
        </w:tc>
        <w:tc>
          <w:tcPr>
            <w:tcW w:w="1250" w:type="dxa"/>
            <w:tcBorders>
              <w:top w:val="single" w:sz="4" w:space="0" w:color="auto"/>
              <w:left w:val="single" w:sz="4" w:space="0" w:color="auto"/>
              <w:bottom w:val="single" w:sz="4" w:space="0" w:color="auto"/>
              <w:right w:val="single" w:sz="4" w:space="0" w:color="auto"/>
            </w:tcBorders>
            <w:hideMark/>
          </w:tcPr>
          <w:p w:rsidR="00752B39" w:rsidRPr="00792118" w:rsidRDefault="005C7EDC" w:rsidP="00822172">
            <w:pPr>
              <w:pStyle w:val="Tablehead"/>
              <w:rPr>
                <w:lang w:val="es-ES_tradnl"/>
              </w:rPr>
            </w:pPr>
            <w:r w:rsidRPr="00792118">
              <w:rPr>
                <w:lang w:val="es-ES_tradnl"/>
              </w:rPr>
              <w:t>Quinta</w:t>
            </w:r>
            <w:r w:rsidR="00752B39" w:rsidRPr="00792118">
              <w:rPr>
                <w:lang w:val="es-ES_tradnl"/>
              </w:rPr>
              <w:t xml:space="preserve"> </w:t>
            </w:r>
            <w:r w:rsidRPr="00792118">
              <w:rPr>
                <w:lang w:val="es-ES_tradnl"/>
              </w:rPr>
              <w:t>reunión</w:t>
            </w:r>
          </w:p>
          <w:p w:rsidR="00752B39" w:rsidRPr="00792118" w:rsidRDefault="00752B39" w:rsidP="00190D82">
            <w:pPr>
              <w:pStyle w:val="Tablehead"/>
              <w:rPr>
                <w:lang w:val="es-ES_tradnl"/>
              </w:rPr>
            </w:pPr>
            <w:r w:rsidRPr="00792118">
              <w:rPr>
                <w:lang w:val="es-ES_tradnl"/>
              </w:rPr>
              <w:t>Feb</w:t>
            </w:r>
            <w:r w:rsidR="00190D82">
              <w:rPr>
                <w:lang w:val="es-ES_tradnl"/>
              </w:rPr>
              <w:t>rero de </w:t>
            </w:r>
            <w:r w:rsidRPr="00792118">
              <w:rPr>
                <w:lang w:val="es-ES_tradnl"/>
              </w:rPr>
              <w:t>2014</w:t>
            </w:r>
          </w:p>
        </w:tc>
        <w:tc>
          <w:tcPr>
            <w:tcW w:w="1250" w:type="dxa"/>
            <w:tcBorders>
              <w:top w:val="single" w:sz="4" w:space="0" w:color="auto"/>
              <w:left w:val="single" w:sz="4" w:space="0" w:color="auto"/>
              <w:bottom w:val="single" w:sz="4" w:space="0" w:color="auto"/>
              <w:right w:val="single" w:sz="4" w:space="0" w:color="auto"/>
            </w:tcBorders>
          </w:tcPr>
          <w:p w:rsidR="00752B39" w:rsidRPr="00792118" w:rsidRDefault="005C7EDC" w:rsidP="00822172">
            <w:pPr>
              <w:pStyle w:val="Tablehead"/>
              <w:rPr>
                <w:lang w:val="es-ES_tradnl"/>
              </w:rPr>
            </w:pPr>
            <w:r w:rsidRPr="00792118">
              <w:rPr>
                <w:lang w:val="es-ES_tradnl"/>
              </w:rPr>
              <w:t>Sexta</w:t>
            </w:r>
            <w:r w:rsidR="00752B39" w:rsidRPr="00792118">
              <w:rPr>
                <w:lang w:val="es-ES_tradnl"/>
              </w:rPr>
              <w:t xml:space="preserve"> </w:t>
            </w:r>
            <w:r w:rsidRPr="00792118">
              <w:rPr>
                <w:lang w:val="es-ES_tradnl"/>
              </w:rPr>
              <w:t>reunión</w:t>
            </w:r>
          </w:p>
          <w:p w:rsidR="00752B39" w:rsidRPr="00792118" w:rsidRDefault="005C7EDC" w:rsidP="00822172">
            <w:pPr>
              <w:pStyle w:val="Tablehead"/>
              <w:rPr>
                <w:lang w:val="es-ES_tradnl"/>
              </w:rPr>
            </w:pPr>
            <w:r w:rsidRPr="00792118">
              <w:rPr>
                <w:lang w:val="es-ES_tradnl"/>
              </w:rPr>
              <w:t>Julio de</w:t>
            </w:r>
            <w:r w:rsidR="00752B39" w:rsidRPr="00792118">
              <w:rPr>
                <w:lang w:val="es-ES_tradnl"/>
              </w:rPr>
              <w:t xml:space="preserve"> 2014</w:t>
            </w:r>
          </w:p>
        </w:tc>
      </w:tr>
      <w:tr w:rsidR="00752B39" w:rsidRPr="00792118" w:rsidTr="00AC0CBE">
        <w:trPr>
          <w:jc w:val="center"/>
        </w:trPr>
        <w:tc>
          <w:tcPr>
            <w:tcW w:w="1682" w:type="dxa"/>
            <w:tcBorders>
              <w:top w:val="single" w:sz="4" w:space="0" w:color="auto"/>
              <w:left w:val="single" w:sz="4" w:space="0" w:color="auto"/>
              <w:bottom w:val="single" w:sz="4" w:space="0" w:color="auto"/>
              <w:right w:val="single" w:sz="4" w:space="0" w:color="auto"/>
            </w:tcBorders>
            <w:vAlign w:val="center"/>
          </w:tcPr>
          <w:p w:rsidR="00752B39" w:rsidRPr="00792118" w:rsidRDefault="005C7EDC" w:rsidP="00822172">
            <w:pPr>
              <w:pStyle w:val="Tablehead"/>
              <w:rPr>
                <w:lang w:val="es-ES_tradnl"/>
              </w:rPr>
            </w:pPr>
            <w:r w:rsidRPr="00792118">
              <w:rPr>
                <w:lang w:val="es-ES_tradnl"/>
              </w:rPr>
              <w:t>Lugar</w:t>
            </w:r>
          </w:p>
        </w:tc>
        <w:tc>
          <w:tcPr>
            <w:tcW w:w="1249" w:type="dxa"/>
            <w:tcBorders>
              <w:top w:val="single" w:sz="4" w:space="0" w:color="auto"/>
              <w:left w:val="single" w:sz="4" w:space="0" w:color="auto"/>
              <w:bottom w:val="single" w:sz="4" w:space="0" w:color="auto"/>
              <w:right w:val="single" w:sz="4" w:space="0" w:color="auto"/>
            </w:tcBorders>
            <w:vAlign w:val="center"/>
          </w:tcPr>
          <w:p w:rsidR="00752B39" w:rsidRPr="00792118" w:rsidRDefault="005C7EDC" w:rsidP="00822172">
            <w:pPr>
              <w:pStyle w:val="Tabletext"/>
              <w:jc w:val="center"/>
              <w:rPr>
                <w:lang w:val="es-ES_tradnl"/>
              </w:rPr>
            </w:pPr>
            <w:r w:rsidRPr="00792118">
              <w:rPr>
                <w:lang w:val="es-ES_tradnl"/>
              </w:rPr>
              <w:t>Ginebra</w:t>
            </w:r>
          </w:p>
        </w:tc>
        <w:tc>
          <w:tcPr>
            <w:tcW w:w="1250" w:type="dxa"/>
            <w:tcBorders>
              <w:top w:val="single" w:sz="4" w:space="0" w:color="auto"/>
              <w:left w:val="single" w:sz="4" w:space="0" w:color="auto"/>
              <w:bottom w:val="single" w:sz="4" w:space="0" w:color="auto"/>
              <w:right w:val="single" w:sz="4" w:space="0" w:color="auto"/>
            </w:tcBorders>
            <w:vAlign w:val="center"/>
          </w:tcPr>
          <w:p w:rsidR="00752B39" w:rsidRPr="00792118" w:rsidRDefault="005C7EDC" w:rsidP="00822172">
            <w:pPr>
              <w:pStyle w:val="Tabletext"/>
              <w:jc w:val="center"/>
              <w:rPr>
                <w:lang w:val="es-ES_tradnl"/>
              </w:rPr>
            </w:pPr>
            <w:r w:rsidRPr="00792118">
              <w:rPr>
                <w:lang w:val="es-ES_tradnl"/>
              </w:rPr>
              <w:t>Ginebra</w:t>
            </w:r>
          </w:p>
        </w:tc>
        <w:tc>
          <w:tcPr>
            <w:tcW w:w="1250" w:type="dxa"/>
            <w:tcBorders>
              <w:top w:val="single" w:sz="4" w:space="0" w:color="auto"/>
              <w:left w:val="single" w:sz="4" w:space="0" w:color="auto"/>
              <w:bottom w:val="single" w:sz="4" w:space="0" w:color="auto"/>
              <w:right w:val="single" w:sz="4" w:space="0" w:color="auto"/>
            </w:tcBorders>
            <w:vAlign w:val="center"/>
          </w:tcPr>
          <w:p w:rsidR="00752B39" w:rsidRPr="00792118" w:rsidRDefault="005C7EDC" w:rsidP="00822172">
            <w:pPr>
              <w:pStyle w:val="Tabletext"/>
              <w:jc w:val="center"/>
              <w:rPr>
                <w:lang w:val="es-ES_tradnl"/>
              </w:rPr>
            </w:pPr>
            <w:r w:rsidRPr="00792118">
              <w:rPr>
                <w:lang w:val="es-ES_tradnl"/>
              </w:rPr>
              <w:t>Sudáfrica</w:t>
            </w:r>
          </w:p>
        </w:tc>
        <w:tc>
          <w:tcPr>
            <w:tcW w:w="1249" w:type="dxa"/>
            <w:tcBorders>
              <w:top w:val="single" w:sz="4" w:space="0" w:color="auto"/>
              <w:left w:val="single" w:sz="4" w:space="0" w:color="auto"/>
              <w:bottom w:val="single" w:sz="4" w:space="0" w:color="auto"/>
              <w:right w:val="single" w:sz="4" w:space="0" w:color="auto"/>
            </w:tcBorders>
            <w:vAlign w:val="center"/>
          </w:tcPr>
          <w:p w:rsidR="00752B39" w:rsidRPr="00792118" w:rsidRDefault="005C7EDC" w:rsidP="00822172">
            <w:pPr>
              <w:pStyle w:val="Tabletext"/>
              <w:jc w:val="center"/>
              <w:rPr>
                <w:lang w:val="es-ES_tradnl"/>
              </w:rPr>
            </w:pPr>
            <w:r w:rsidRPr="00792118">
              <w:rPr>
                <w:lang w:val="es-ES_tradnl"/>
              </w:rPr>
              <w:t>Ginebra</w:t>
            </w:r>
          </w:p>
        </w:tc>
        <w:tc>
          <w:tcPr>
            <w:tcW w:w="1250" w:type="dxa"/>
            <w:tcBorders>
              <w:top w:val="single" w:sz="4" w:space="0" w:color="auto"/>
              <w:left w:val="single" w:sz="4" w:space="0" w:color="auto"/>
              <w:bottom w:val="single" w:sz="4" w:space="0" w:color="auto"/>
              <w:right w:val="single" w:sz="4" w:space="0" w:color="auto"/>
            </w:tcBorders>
            <w:vAlign w:val="center"/>
          </w:tcPr>
          <w:p w:rsidR="00752B39" w:rsidRPr="00792118" w:rsidRDefault="005C7EDC" w:rsidP="00822172">
            <w:pPr>
              <w:pStyle w:val="Tabletext"/>
              <w:jc w:val="center"/>
              <w:rPr>
                <w:lang w:val="es-ES_tradnl"/>
              </w:rPr>
            </w:pPr>
            <w:r w:rsidRPr="00792118">
              <w:rPr>
                <w:lang w:val="es-ES_tradnl"/>
              </w:rPr>
              <w:t>Ginebra</w:t>
            </w:r>
          </w:p>
        </w:tc>
        <w:tc>
          <w:tcPr>
            <w:tcW w:w="1250" w:type="dxa"/>
            <w:tcBorders>
              <w:top w:val="single" w:sz="4" w:space="0" w:color="auto"/>
              <w:left w:val="single" w:sz="4" w:space="0" w:color="auto"/>
              <w:bottom w:val="single" w:sz="4" w:space="0" w:color="auto"/>
              <w:right w:val="single" w:sz="4" w:space="0" w:color="auto"/>
            </w:tcBorders>
            <w:vAlign w:val="center"/>
          </w:tcPr>
          <w:p w:rsidR="00752B39" w:rsidRPr="00792118" w:rsidRDefault="005C7EDC" w:rsidP="00822172">
            <w:pPr>
              <w:pStyle w:val="Tabletext"/>
              <w:jc w:val="center"/>
              <w:rPr>
                <w:lang w:val="es-ES_tradnl"/>
              </w:rPr>
            </w:pPr>
            <w:r w:rsidRPr="00792118">
              <w:rPr>
                <w:lang w:val="es-ES_tradnl"/>
              </w:rPr>
              <w:t>Ginebra</w:t>
            </w:r>
          </w:p>
        </w:tc>
      </w:tr>
      <w:tr w:rsidR="00752B39" w:rsidRPr="00792118" w:rsidTr="00AC0CBE">
        <w:trPr>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rsidR="00752B39" w:rsidRPr="00792118" w:rsidRDefault="00752B39" w:rsidP="00822172">
            <w:pPr>
              <w:pStyle w:val="Tablehead"/>
              <w:rPr>
                <w:lang w:val="es-ES_tradnl"/>
              </w:rPr>
            </w:pPr>
            <w:r w:rsidRPr="00792118">
              <w:rPr>
                <w:lang w:val="es-ES_tradnl"/>
              </w:rPr>
              <w:t>Participant</w:t>
            </w:r>
            <w:r w:rsidR="005C7EDC" w:rsidRPr="00792118">
              <w:rPr>
                <w:lang w:val="es-ES_tradnl"/>
              </w:rPr>
              <w:t>e</w:t>
            </w:r>
            <w:r w:rsidRPr="00792118">
              <w:rPr>
                <w:lang w:val="es-ES_tradnl"/>
              </w:rPr>
              <w:t>s</w:t>
            </w:r>
          </w:p>
        </w:tc>
        <w:tc>
          <w:tcPr>
            <w:tcW w:w="1249" w:type="dxa"/>
            <w:tcBorders>
              <w:top w:val="single" w:sz="4" w:space="0" w:color="auto"/>
              <w:left w:val="single" w:sz="4" w:space="0" w:color="auto"/>
              <w:bottom w:val="single" w:sz="4" w:space="0" w:color="auto"/>
              <w:right w:val="single" w:sz="4" w:space="0" w:color="auto"/>
            </w:tcBorders>
            <w:vAlign w:val="center"/>
            <w:hideMark/>
          </w:tcPr>
          <w:p w:rsidR="00752B39" w:rsidRPr="00792118" w:rsidRDefault="00752B39" w:rsidP="00822172">
            <w:pPr>
              <w:pStyle w:val="Tabletext"/>
              <w:jc w:val="center"/>
              <w:rPr>
                <w:lang w:val="es-ES_tradnl"/>
              </w:rPr>
            </w:pPr>
            <w:r w:rsidRPr="00792118">
              <w:rPr>
                <w:lang w:val="es-ES_tradnl"/>
              </w:rPr>
              <w:t>241</w:t>
            </w:r>
          </w:p>
        </w:tc>
        <w:tc>
          <w:tcPr>
            <w:tcW w:w="1250" w:type="dxa"/>
            <w:tcBorders>
              <w:top w:val="single" w:sz="4" w:space="0" w:color="auto"/>
              <w:left w:val="single" w:sz="4" w:space="0" w:color="auto"/>
              <w:bottom w:val="single" w:sz="4" w:space="0" w:color="auto"/>
              <w:right w:val="single" w:sz="4" w:space="0" w:color="auto"/>
            </w:tcBorders>
            <w:vAlign w:val="center"/>
          </w:tcPr>
          <w:p w:rsidR="00752B39" w:rsidRPr="00792118" w:rsidRDefault="00752B39" w:rsidP="00822172">
            <w:pPr>
              <w:pStyle w:val="Tabletext"/>
              <w:jc w:val="center"/>
              <w:rPr>
                <w:lang w:val="es-ES_tradnl"/>
              </w:rPr>
            </w:pPr>
            <w:r w:rsidRPr="00792118">
              <w:rPr>
                <w:lang w:val="es-ES_tradnl"/>
              </w:rPr>
              <w:t>280</w:t>
            </w:r>
          </w:p>
        </w:tc>
        <w:tc>
          <w:tcPr>
            <w:tcW w:w="1250" w:type="dxa"/>
            <w:tcBorders>
              <w:top w:val="single" w:sz="4" w:space="0" w:color="auto"/>
              <w:left w:val="single" w:sz="4" w:space="0" w:color="auto"/>
              <w:bottom w:val="single" w:sz="4" w:space="0" w:color="auto"/>
              <w:right w:val="single" w:sz="4" w:space="0" w:color="auto"/>
            </w:tcBorders>
            <w:vAlign w:val="center"/>
          </w:tcPr>
          <w:p w:rsidR="00752B39" w:rsidRPr="00792118" w:rsidRDefault="00752B39" w:rsidP="00822172">
            <w:pPr>
              <w:pStyle w:val="Tabletext"/>
              <w:jc w:val="center"/>
              <w:rPr>
                <w:lang w:val="es-ES_tradnl"/>
              </w:rPr>
            </w:pPr>
            <w:r w:rsidRPr="00792118">
              <w:rPr>
                <w:lang w:val="es-ES_tradnl"/>
              </w:rPr>
              <w:t>270</w:t>
            </w:r>
          </w:p>
        </w:tc>
        <w:tc>
          <w:tcPr>
            <w:tcW w:w="1249" w:type="dxa"/>
            <w:tcBorders>
              <w:top w:val="single" w:sz="4" w:space="0" w:color="auto"/>
              <w:left w:val="single" w:sz="4" w:space="0" w:color="auto"/>
              <w:bottom w:val="single" w:sz="4" w:space="0" w:color="auto"/>
              <w:right w:val="single" w:sz="4" w:space="0" w:color="auto"/>
            </w:tcBorders>
            <w:vAlign w:val="center"/>
          </w:tcPr>
          <w:p w:rsidR="00752B39" w:rsidRPr="00792118" w:rsidRDefault="00752B39" w:rsidP="00822172">
            <w:pPr>
              <w:pStyle w:val="Tabletext"/>
              <w:jc w:val="center"/>
              <w:rPr>
                <w:lang w:val="es-ES_tradnl"/>
              </w:rPr>
            </w:pPr>
            <w:r w:rsidRPr="00792118">
              <w:rPr>
                <w:lang w:val="es-ES_tradnl"/>
              </w:rPr>
              <w:t>349</w:t>
            </w:r>
          </w:p>
        </w:tc>
        <w:tc>
          <w:tcPr>
            <w:tcW w:w="1250" w:type="dxa"/>
            <w:tcBorders>
              <w:top w:val="single" w:sz="4" w:space="0" w:color="auto"/>
              <w:left w:val="single" w:sz="4" w:space="0" w:color="auto"/>
              <w:bottom w:val="single" w:sz="4" w:space="0" w:color="auto"/>
              <w:right w:val="single" w:sz="4" w:space="0" w:color="auto"/>
            </w:tcBorders>
            <w:vAlign w:val="center"/>
          </w:tcPr>
          <w:p w:rsidR="00752B39" w:rsidRPr="00792118" w:rsidRDefault="00752B39" w:rsidP="00822172">
            <w:pPr>
              <w:pStyle w:val="Tabletext"/>
              <w:jc w:val="center"/>
              <w:rPr>
                <w:lang w:val="es-ES_tradnl"/>
              </w:rPr>
            </w:pPr>
            <w:r w:rsidRPr="00792118">
              <w:rPr>
                <w:lang w:val="es-ES_tradnl"/>
              </w:rPr>
              <w:t>394</w:t>
            </w:r>
          </w:p>
        </w:tc>
        <w:tc>
          <w:tcPr>
            <w:tcW w:w="1250" w:type="dxa"/>
            <w:tcBorders>
              <w:top w:val="single" w:sz="4" w:space="0" w:color="auto"/>
              <w:left w:val="single" w:sz="4" w:space="0" w:color="auto"/>
              <w:bottom w:val="single" w:sz="4" w:space="0" w:color="auto"/>
              <w:right w:val="single" w:sz="4" w:space="0" w:color="auto"/>
            </w:tcBorders>
            <w:vAlign w:val="center"/>
          </w:tcPr>
          <w:p w:rsidR="00752B39" w:rsidRPr="00792118" w:rsidRDefault="00752B39" w:rsidP="00822172">
            <w:pPr>
              <w:pStyle w:val="Tabletext"/>
              <w:jc w:val="center"/>
              <w:rPr>
                <w:lang w:val="es-ES_tradnl"/>
              </w:rPr>
            </w:pPr>
            <w:r w:rsidRPr="00792118">
              <w:rPr>
                <w:lang w:val="es-ES_tradnl"/>
              </w:rPr>
              <w:t>420</w:t>
            </w:r>
          </w:p>
        </w:tc>
      </w:tr>
      <w:tr w:rsidR="00752B39" w:rsidRPr="00792118" w:rsidTr="00AC0CBE">
        <w:trPr>
          <w:trHeight w:val="393"/>
          <w:jc w:val="center"/>
        </w:trPr>
        <w:tc>
          <w:tcPr>
            <w:tcW w:w="1682" w:type="dxa"/>
            <w:tcBorders>
              <w:top w:val="single" w:sz="4" w:space="0" w:color="auto"/>
              <w:left w:val="single" w:sz="4" w:space="0" w:color="auto"/>
              <w:bottom w:val="single" w:sz="4" w:space="0" w:color="auto"/>
              <w:right w:val="single" w:sz="4" w:space="0" w:color="auto"/>
            </w:tcBorders>
            <w:vAlign w:val="center"/>
          </w:tcPr>
          <w:p w:rsidR="00752B39" w:rsidRPr="00792118" w:rsidRDefault="00752B39" w:rsidP="00822172">
            <w:pPr>
              <w:pStyle w:val="Tablehead"/>
              <w:rPr>
                <w:lang w:val="es-ES_tradnl"/>
              </w:rPr>
            </w:pPr>
            <w:r w:rsidRPr="00792118">
              <w:rPr>
                <w:lang w:val="es-ES_tradnl"/>
              </w:rPr>
              <w:t>Administra</w:t>
            </w:r>
            <w:r w:rsidR="005C7EDC" w:rsidRPr="00792118">
              <w:rPr>
                <w:lang w:val="es-ES_tradnl"/>
              </w:rPr>
              <w:t>ciones</w:t>
            </w:r>
          </w:p>
        </w:tc>
        <w:tc>
          <w:tcPr>
            <w:tcW w:w="1249" w:type="dxa"/>
            <w:tcBorders>
              <w:top w:val="single" w:sz="4" w:space="0" w:color="auto"/>
              <w:left w:val="single" w:sz="4" w:space="0" w:color="auto"/>
              <w:bottom w:val="single" w:sz="4" w:space="0" w:color="auto"/>
              <w:right w:val="single" w:sz="4" w:space="0" w:color="auto"/>
            </w:tcBorders>
            <w:vAlign w:val="center"/>
          </w:tcPr>
          <w:p w:rsidR="00752B39" w:rsidRPr="00792118" w:rsidRDefault="00752B39" w:rsidP="00822172">
            <w:pPr>
              <w:pStyle w:val="Tabletext"/>
              <w:jc w:val="center"/>
              <w:rPr>
                <w:lang w:val="es-ES_tradnl"/>
              </w:rPr>
            </w:pPr>
            <w:r w:rsidRPr="00792118">
              <w:rPr>
                <w:lang w:val="es-ES_tradnl"/>
              </w:rPr>
              <w:t>51</w:t>
            </w:r>
          </w:p>
        </w:tc>
        <w:tc>
          <w:tcPr>
            <w:tcW w:w="1250" w:type="dxa"/>
            <w:tcBorders>
              <w:top w:val="single" w:sz="4" w:space="0" w:color="auto"/>
              <w:left w:val="single" w:sz="4" w:space="0" w:color="auto"/>
              <w:bottom w:val="single" w:sz="4" w:space="0" w:color="auto"/>
              <w:right w:val="single" w:sz="4" w:space="0" w:color="auto"/>
            </w:tcBorders>
            <w:vAlign w:val="center"/>
          </w:tcPr>
          <w:p w:rsidR="00752B39" w:rsidRPr="00792118" w:rsidRDefault="00752B39" w:rsidP="00822172">
            <w:pPr>
              <w:pStyle w:val="Tabletext"/>
              <w:jc w:val="center"/>
              <w:rPr>
                <w:lang w:val="es-ES_tradnl"/>
              </w:rPr>
            </w:pPr>
            <w:r w:rsidRPr="00792118">
              <w:rPr>
                <w:lang w:val="es-ES_tradnl"/>
              </w:rPr>
              <w:t>55</w:t>
            </w:r>
          </w:p>
        </w:tc>
        <w:tc>
          <w:tcPr>
            <w:tcW w:w="1250" w:type="dxa"/>
            <w:tcBorders>
              <w:top w:val="single" w:sz="4" w:space="0" w:color="auto"/>
              <w:left w:val="single" w:sz="4" w:space="0" w:color="auto"/>
              <w:bottom w:val="single" w:sz="4" w:space="0" w:color="auto"/>
              <w:right w:val="single" w:sz="4" w:space="0" w:color="auto"/>
            </w:tcBorders>
            <w:vAlign w:val="center"/>
          </w:tcPr>
          <w:p w:rsidR="00752B39" w:rsidRPr="00792118" w:rsidRDefault="00752B39" w:rsidP="00822172">
            <w:pPr>
              <w:pStyle w:val="Tabletext"/>
              <w:jc w:val="center"/>
              <w:rPr>
                <w:lang w:val="es-ES_tradnl"/>
              </w:rPr>
            </w:pPr>
            <w:r w:rsidRPr="00792118">
              <w:rPr>
                <w:lang w:val="es-ES_tradnl"/>
              </w:rPr>
              <w:t>42</w:t>
            </w:r>
          </w:p>
        </w:tc>
        <w:tc>
          <w:tcPr>
            <w:tcW w:w="1249" w:type="dxa"/>
            <w:tcBorders>
              <w:top w:val="single" w:sz="4" w:space="0" w:color="auto"/>
              <w:left w:val="single" w:sz="4" w:space="0" w:color="auto"/>
              <w:bottom w:val="single" w:sz="4" w:space="0" w:color="auto"/>
              <w:right w:val="single" w:sz="4" w:space="0" w:color="auto"/>
            </w:tcBorders>
            <w:vAlign w:val="center"/>
          </w:tcPr>
          <w:p w:rsidR="00752B39" w:rsidRPr="00792118" w:rsidRDefault="00752B39" w:rsidP="00822172">
            <w:pPr>
              <w:pStyle w:val="Tabletext"/>
              <w:jc w:val="center"/>
              <w:rPr>
                <w:lang w:val="es-ES_tradnl"/>
              </w:rPr>
            </w:pPr>
            <w:r w:rsidRPr="00792118">
              <w:rPr>
                <w:lang w:val="es-ES_tradnl"/>
              </w:rPr>
              <w:t>59</w:t>
            </w:r>
          </w:p>
        </w:tc>
        <w:tc>
          <w:tcPr>
            <w:tcW w:w="1250" w:type="dxa"/>
            <w:tcBorders>
              <w:top w:val="single" w:sz="4" w:space="0" w:color="auto"/>
              <w:left w:val="single" w:sz="4" w:space="0" w:color="auto"/>
              <w:bottom w:val="single" w:sz="4" w:space="0" w:color="auto"/>
              <w:right w:val="single" w:sz="4" w:space="0" w:color="auto"/>
            </w:tcBorders>
            <w:vAlign w:val="center"/>
          </w:tcPr>
          <w:p w:rsidR="00752B39" w:rsidRPr="00792118" w:rsidRDefault="00752B39" w:rsidP="00822172">
            <w:pPr>
              <w:pStyle w:val="Tabletext"/>
              <w:jc w:val="center"/>
              <w:rPr>
                <w:lang w:val="es-ES_tradnl"/>
              </w:rPr>
            </w:pPr>
            <w:r w:rsidRPr="00792118">
              <w:rPr>
                <w:lang w:val="es-ES_tradnl"/>
              </w:rPr>
              <w:t>70</w:t>
            </w:r>
          </w:p>
        </w:tc>
        <w:tc>
          <w:tcPr>
            <w:tcW w:w="1250" w:type="dxa"/>
            <w:tcBorders>
              <w:top w:val="single" w:sz="4" w:space="0" w:color="auto"/>
              <w:left w:val="single" w:sz="4" w:space="0" w:color="auto"/>
              <w:bottom w:val="single" w:sz="4" w:space="0" w:color="auto"/>
              <w:right w:val="single" w:sz="4" w:space="0" w:color="auto"/>
            </w:tcBorders>
            <w:vAlign w:val="center"/>
          </w:tcPr>
          <w:p w:rsidR="00752B39" w:rsidRPr="00792118" w:rsidRDefault="00752B39" w:rsidP="00822172">
            <w:pPr>
              <w:pStyle w:val="Tabletext"/>
              <w:jc w:val="center"/>
              <w:rPr>
                <w:lang w:val="es-ES_tradnl"/>
              </w:rPr>
            </w:pPr>
            <w:r w:rsidRPr="00792118">
              <w:rPr>
                <w:lang w:val="es-ES_tradnl"/>
              </w:rPr>
              <w:t>70</w:t>
            </w:r>
          </w:p>
        </w:tc>
      </w:tr>
      <w:tr w:rsidR="00752B39" w:rsidRPr="00792118" w:rsidTr="00AC0CBE">
        <w:trPr>
          <w:trHeight w:val="393"/>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rsidR="00752B39" w:rsidRPr="00792118" w:rsidRDefault="005C7EDC" w:rsidP="00822172">
            <w:pPr>
              <w:pStyle w:val="Tablehead"/>
              <w:rPr>
                <w:lang w:val="es-ES_tradnl"/>
              </w:rPr>
            </w:pPr>
            <w:r w:rsidRPr="00792118">
              <w:rPr>
                <w:lang w:val="es-ES_tradnl"/>
              </w:rPr>
              <w:t>Contribuciones</w:t>
            </w:r>
          </w:p>
        </w:tc>
        <w:tc>
          <w:tcPr>
            <w:tcW w:w="1249" w:type="dxa"/>
            <w:tcBorders>
              <w:top w:val="single" w:sz="4" w:space="0" w:color="auto"/>
              <w:left w:val="single" w:sz="4" w:space="0" w:color="auto"/>
              <w:bottom w:val="single" w:sz="4" w:space="0" w:color="auto"/>
              <w:right w:val="single" w:sz="4" w:space="0" w:color="auto"/>
            </w:tcBorders>
            <w:vAlign w:val="center"/>
            <w:hideMark/>
          </w:tcPr>
          <w:p w:rsidR="00752B39" w:rsidRPr="00792118" w:rsidRDefault="00752B39" w:rsidP="00822172">
            <w:pPr>
              <w:pStyle w:val="Tabletext"/>
              <w:jc w:val="center"/>
              <w:rPr>
                <w:lang w:val="es-ES_tradnl"/>
              </w:rPr>
            </w:pPr>
            <w:r w:rsidRPr="00792118">
              <w:rPr>
                <w:lang w:val="es-ES_tradnl"/>
              </w:rPr>
              <w:t>39</w:t>
            </w:r>
          </w:p>
        </w:tc>
        <w:tc>
          <w:tcPr>
            <w:tcW w:w="1250" w:type="dxa"/>
            <w:tcBorders>
              <w:top w:val="single" w:sz="4" w:space="0" w:color="auto"/>
              <w:left w:val="single" w:sz="4" w:space="0" w:color="auto"/>
              <w:bottom w:val="single" w:sz="4" w:space="0" w:color="auto"/>
              <w:right w:val="single" w:sz="4" w:space="0" w:color="auto"/>
            </w:tcBorders>
            <w:vAlign w:val="center"/>
          </w:tcPr>
          <w:p w:rsidR="00752B39" w:rsidRPr="00792118" w:rsidRDefault="00752B39" w:rsidP="00822172">
            <w:pPr>
              <w:pStyle w:val="Tabletext"/>
              <w:jc w:val="center"/>
              <w:rPr>
                <w:lang w:val="es-ES_tradnl"/>
              </w:rPr>
            </w:pPr>
            <w:r w:rsidRPr="00792118">
              <w:rPr>
                <w:lang w:val="es-ES_tradnl"/>
              </w:rPr>
              <w:t>67</w:t>
            </w:r>
          </w:p>
        </w:tc>
        <w:tc>
          <w:tcPr>
            <w:tcW w:w="1250" w:type="dxa"/>
            <w:tcBorders>
              <w:top w:val="single" w:sz="4" w:space="0" w:color="auto"/>
              <w:left w:val="single" w:sz="4" w:space="0" w:color="auto"/>
              <w:bottom w:val="single" w:sz="4" w:space="0" w:color="auto"/>
              <w:right w:val="single" w:sz="4" w:space="0" w:color="auto"/>
            </w:tcBorders>
            <w:vAlign w:val="center"/>
          </w:tcPr>
          <w:p w:rsidR="00752B39" w:rsidRPr="00792118" w:rsidRDefault="00752B39" w:rsidP="00822172">
            <w:pPr>
              <w:pStyle w:val="Tabletext"/>
              <w:jc w:val="center"/>
              <w:rPr>
                <w:lang w:val="es-ES_tradnl"/>
              </w:rPr>
            </w:pPr>
            <w:r w:rsidRPr="00792118">
              <w:rPr>
                <w:lang w:val="es-ES_tradnl"/>
              </w:rPr>
              <w:t>132</w:t>
            </w:r>
          </w:p>
        </w:tc>
        <w:tc>
          <w:tcPr>
            <w:tcW w:w="1249" w:type="dxa"/>
            <w:tcBorders>
              <w:top w:val="single" w:sz="4" w:space="0" w:color="auto"/>
              <w:left w:val="single" w:sz="4" w:space="0" w:color="auto"/>
              <w:bottom w:val="single" w:sz="4" w:space="0" w:color="auto"/>
              <w:right w:val="single" w:sz="4" w:space="0" w:color="auto"/>
            </w:tcBorders>
            <w:vAlign w:val="center"/>
          </w:tcPr>
          <w:p w:rsidR="00752B39" w:rsidRPr="00792118" w:rsidRDefault="00752B39" w:rsidP="00822172">
            <w:pPr>
              <w:pStyle w:val="Tabletext"/>
              <w:jc w:val="center"/>
              <w:rPr>
                <w:lang w:val="es-ES_tradnl"/>
              </w:rPr>
            </w:pPr>
            <w:r w:rsidRPr="00792118">
              <w:rPr>
                <w:lang w:val="es-ES_tradnl"/>
              </w:rPr>
              <w:t>154</w:t>
            </w:r>
          </w:p>
        </w:tc>
        <w:tc>
          <w:tcPr>
            <w:tcW w:w="1250" w:type="dxa"/>
            <w:tcBorders>
              <w:top w:val="single" w:sz="4" w:space="0" w:color="auto"/>
              <w:left w:val="single" w:sz="4" w:space="0" w:color="auto"/>
              <w:bottom w:val="single" w:sz="4" w:space="0" w:color="auto"/>
              <w:right w:val="single" w:sz="4" w:space="0" w:color="auto"/>
            </w:tcBorders>
            <w:vAlign w:val="center"/>
          </w:tcPr>
          <w:p w:rsidR="00752B39" w:rsidRPr="00792118" w:rsidRDefault="00752B39" w:rsidP="00822172">
            <w:pPr>
              <w:pStyle w:val="Tabletext"/>
              <w:jc w:val="center"/>
              <w:rPr>
                <w:lang w:val="es-ES_tradnl"/>
              </w:rPr>
            </w:pPr>
            <w:r w:rsidRPr="00792118">
              <w:rPr>
                <w:lang w:val="es-ES_tradnl"/>
              </w:rPr>
              <w:t>189</w:t>
            </w:r>
          </w:p>
        </w:tc>
        <w:tc>
          <w:tcPr>
            <w:tcW w:w="1250" w:type="dxa"/>
            <w:tcBorders>
              <w:top w:val="single" w:sz="4" w:space="0" w:color="auto"/>
              <w:left w:val="single" w:sz="4" w:space="0" w:color="auto"/>
              <w:bottom w:val="single" w:sz="4" w:space="0" w:color="auto"/>
              <w:right w:val="single" w:sz="4" w:space="0" w:color="auto"/>
            </w:tcBorders>
            <w:vAlign w:val="center"/>
          </w:tcPr>
          <w:p w:rsidR="00752B39" w:rsidRPr="00792118" w:rsidRDefault="00752B39" w:rsidP="00822172">
            <w:pPr>
              <w:pStyle w:val="Tabletext"/>
              <w:jc w:val="center"/>
              <w:rPr>
                <w:lang w:val="es-ES_tradnl"/>
              </w:rPr>
            </w:pPr>
            <w:r w:rsidRPr="00792118">
              <w:rPr>
                <w:lang w:val="es-ES_tradnl"/>
              </w:rPr>
              <w:t>131</w:t>
            </w:r>
          </w:p>
        </w:tc>
      </w:tr>
      <w:tr w:rsidR="00752B39" w:rsidRPr="00792118" w:rsidTr="00AC0CBE">
        <w:trPr>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rsidR="00752B39" w:rsidRPr="00792118" w:rsidRDefault="005C7EDC" w:rsidP="00822172">
            <w:pPr>
              <w:pStyle w:val="Tablehead"/>
              <w:rPr>
                <w:lang w:val="es-ES_tradnl"/>
              </w:rPr>
            </w:pPr>
            <w:r w:rsidRPr="00792118">
              <w:rPr>
                <w:lang w:val="es-ES_tradnl"/>
              </w:rPr>
              <w:t>Informe del Presidente</w:t>
            </w:r>
          </w:p>
        </w:tc>
        <w:tc>
          <w:tcPr>
            <w:tcW w:w="1249" w:type="dxa"/>
            <w:tcBorders>
              <w:top w:val="single" w:sz="4" w:space="0" w:color="auto"/>
              <w:left w:val="single" w:sz="4" w:space="0" w:color="auto"/>
              <w:bottom w:val="single" w:sz="4" w:space="0" w:color="auto"/>
              <w:right w:val="single" w:sz="4" w:space="0" w:color="auto"/>
            </w:tcBorders>
            <w:vAlign w:val="center"/>
            <w:hideMark/>
          </w:tcPr>
          <w:p w:rsidR="00752B39" w:rsidRPr="00792118" w:rsidRDefault="00752B39" w:rsidP="00822172">
            <w:pPr>
              <w:pStyle w:val="Tabletext"/>
              <w:jc w:val="center"/>
              <w:rPr>
                <w:lang w:val="es-ES_tradnl"/>
              </w:rPr>
            </w:pPr>
            <w:r w:rsidRPr="00792118">
              <w:rPr>
                <w:lang w:val="es-ES_tradnl"/>
              </w:rPr>
              <w:t>4-5-6-7/</w:t>
            </w:r>
            <w:hyperlink r:id="rId14" w:history="1">
              <w:r w:rsidRPr="00792118">
                <w:rPr>
                  <w:color w:val="0000FF"/>
                  <w:szCs w:val="24"/>
                  <w:u w:val="single"/>
                  <w:lang w:val="es-ES_tradnl"/>
                </w:rPr>
                <w:t>042</w:t>
              </w:r>
            </w:hyperlink>
          </w:p>
        </w:tc>
        <w:tc>
          <w:tcPr>
            <w:tcW w:w="1250" w:type="dxa"/>
            <w:tcBorders>
              <w:top w:val="single" w:sz="4" w:space="0" w:color="auto"/>
              <w:left w:val="single" w:sz="4" w:space="0" w:color="auto"/>
              <w:bottom w:val="single" w:sz="4" w:space="0" w:color="auto"/>
              <w:right w:val="single" w:sz="4" w:space="0" w:color="auto"/>
            </w:tcBorders>
            <w:vAlign w:val="center"/>
          </w:tcPr>
          <w:p w:rsidR="00752B39" w:rsidRPr="00792118" w:rsidRDefault="00752B39" w:rsidP="00822172">
            <w:pPr>
              <w:pStyle w:val="Tabletext"/>
              <w:jc w:val="center"/>
              <w:rPr>
                <w:lang w:val="es-ES_tradnl"/>
              </w:rPr>
            </w:pPr>
            <w:r w:rsidRPr="00792118">
              <w:rPr>
                <w:lang w:val="es-ES_tradnl"/>
              </w:rPr>
              <w:t>4-5-6-7/</w:t>
            </w:r>
            <w:hyperlink r:id="rId15" w:history="1">
              <w:r w:rsidRPr="00792118">
                <w:rPr>
                  <w:color w:val="0000FF"/>
                  <w:szCs w:val="24"/>
                  <w:u w:val="single"/>
                  <w:lang w:val="es-ES_tradnl"/>
                </w:rPr>
                <w:t>113</w:t>
              </w:r>
            </w:hyperlink>
          </w:p>
        </w:tc>
        <w:tc>
          <w:tcPr>
            <w:tcW w:w="1250" w:type="dxa"/>
            <w:tcBorders>
              <w:top w:val="single" w:sz="4" w:space="0" w:color="auto"/>
              <w:left w:val="single" w:sz="4" w:space="0" w:color="auto"/>
              <w:bottom w:val="single" w:sz="4" w:space="0" w:color="auto"/>
              <w:right w:val="single" w:sz="4" w:space="0" w:color="auto"/>
            </w:tcBorders>
            <w:vAlign w:val="center"/>
          </w:tcPr>
          <w:p w:rsidR="00752B39" w:rsidRPr="00792118" w:rsidRDefault="00752B39" w:rsidP="00822172">
            <w:pPr>
              <w:pStyle w:val="Tabletext"/>
              <w:jc w:val="center"/>
              <w:rPr>
                <w:lang w:val="es-ES_tradnl"/>
              </w:rPr>
            </w:pPr>
            <w:r w:rsidRPr="00792118">
              <w:rPr>
                <w:lang w:val="es-ES_tradnl"/>
              </w:rPr>
              <w:t>4-5-6-7/</w:t>
            </w:r>
            <w:hyperlink r:id="rId16" w:history="1">
              <w:r w:rsidRPr="00792118">
                <w:rPr>
                  <w:color w:val="0000FF"/>
                  <w:szCs w:val="24"/>
                  <w:u w:val="single"/>
                  <w:lang w:val="es-ES_tradnl"/>
                </w:rPr>
                <w:t>242</w:t>
              </w:r>
            </w:hyperlink>
          </w:p>
        </w:tc>
        <w:tc>
          <w:tcPr>
            <w:tcW w:w="1249" w:type="dxa"/>
            <w:tcBorders>
              <w:top w:val="single" w:sz="4" w:space="0" w:color="auto"/>
              <w:left w:val="single" w:sz="4" w:space="0" w:color="auto"/>
              <w:bottom w:val="single" w:sz="4" w:space="0" w:color="auto"/>
              <w:right w:val="single" w:sz="4" w:space="0" w:color="auto"/>
            </w:tcBorders>
            <w:vAlign w:val="center"/>
          </w:tcPr>
          <w:p w:rsidR="00752B39" w:rsidRPr="00792118" w:rsidRDefault="00752B39" w:rsidP="00822172">
            <w:pPr>
              <w:pStyle w:val="Tabletext"/>
              <w:jc w:val="center"/>
              <w:rPr>
                <w:lang w:val="es-ES_tradnl"/>
              </w:rPr>
            </w:pPr>
            <w:r w:rsidRPr="00792118">
              <w:rPr>
                <w:lang w:val="es-ES_tradnl"/>
              </w:rPr>
              <w:t>4-5-6-7/</w:t>
            </w:r>
            <w:hyperlink r:id="rId17" w:history="1">
              <w:r w:rsidRPr="00792118">
                <w:rPr>
                  <w:color w:val="0000FF"/>
                  <w:szCs w:val="24"/>
                  <w:u w:val="single"/>
                  <w:lang w:val="es-ES_tradnl"/>
                </w:rPr>
                <w:t>393</w:t>
              </w:r>
            </w:hyperlink>
          </w:p>
        </w:tc>
        <w:tc>
          <w:tcPr>
            <w:tcW w:w="1250" w:type="dxa"/>
            <w:tcBorders>
              <w:top w:val="single" w:sz="4" w:space="0" w:color="auto"/>
              <w:left w:val="single" w:sz="4" w:space="0" w:color="auto"/>
              <w:bottom w:val="single" w:sz="4" w:space="0" w:color="auto"/>
              <w:right w:val="single" w:sz="4" w:space="0" w:color="auto"/>
            </w:tcBorders>
            <w:vAlign w:val="center"/>
          </w:tcPr>
          <w:p w:rsidR="00752B39" w:rsidRPr="00792118" w:rsidRDefault="00752B39" w:rsidP="00822172">
            <w:pPr>
              <w:pStyle w:val="Tabletext"/>
              <w:jc w:val="center"/>
              <w:rPr>
                <w:lang w:val="es-ES_tradnl"/>
              </w:rPr>
            </w:pPr>
            <w:r w:rsidRPr="00792118">
              <w:rPr>
                <w:lang w:val="es-ES_tradnl"/>
              </w:rPr>
              <w:t>4-5-6-7/</w:t>
            </w:r>
            <w:hyperlink r:id="rId18" w:history="1">
              <w:r w:rsidRPr="00792118">
                <w:rPr>
                  <w:color w:val="0000FF"/>
                  <w:szCs w:val="24"/>
                  <w:u w:val="single"/>
                  <w:lang w:val="es-ES_tradnl"/>
                </w:rPr>
                <w:t>584</w:t>
              </w:r>
            </w:hyperlink>
          </w:p>
        </w:tc>
        <w:tc>
          <w:tcPr>
            <w:tcW w:w="1250" w:type="dxa"/>
            <w:tcBorders>
              <w:top w:val="single" w:sz="4" w:space="0" w:color="auto"/>
              <w:left w:val="single" w:sz="4" w:space="0" w:color="auto"/>
              <w:bottom w:val="single" w:sz="4" w:space="0" w:color="auto"/>
              <w:right w:val="single" w:sz="4" w:space="0" w:color="auto"/>
            </w:tcBorders>
            <w:vAlign w:val="center"/>
          </w:tcPr>
          <w:p w:rsidR="00752B39" w:rsidRPr="00792118" w:rsidRDefault="00752B39" w:rsidP="00822172">
            <w:pPr>
              <w:pStyle w:val="Tabletext"/>
              <w:jc w:val="center"/>
              <w:rPr>
                <w:lang w:val="es-ES_tradnl"/>
              </w:rPr>
            </w:pPr>
            <w:r w:rsidRPr="00792118">
              <w:rPr>
                <w:lang w:val="es-ES_tradnl"/>
              </w:rPr>
              <w:t>4-5-6-7/</w:t>
            </w:r>
            <w:hyperlink r:id="rId19" w:history="1">
              <w:r w:rsidRPr="00792118">
                <w:rPr>
                  <w:color w:val="0000FF"/>
                  <w:szCs w:val="24"/>
                  <w:u w:val="single"/>
                  <w:lang w:val="es-ES_tradnl"/>
                </w:rPr>
                <w:t>715</w:t>
              </w:r>
            </w:hyperlink>
          </w:p>
        </w:tc>
      </w:tr>
    </w:tbl>
    <w:p w:rsidR="00752B39" w:rsidRPr="00792118" w:rsidRDefault="00752B39" w:rsidP="00822172">
      <w:pPr>
        <w:pStyle w:val="Heading1"/>
        <w:rPr>
          <w:lang w:val="es-ES_tradnl"/>
        </w:rPr>
      </w:pPr>
      <w:r w:rsidRPr="00792118">
        <w:rPr>
          <w:lang w:val="es-ES_tradnl"/>
        </w:rPr>
        <w:t>2</w:t>
      </w:r>
      <w:r w:rsidRPr="00792118">
        <w:rPr>
          <w:lang w:val="es-ES_tradnl"/>
        </w:rPr>
        <w:tab/>
        <w:t>Result</w:t>
      </w:r>
      <w:r w:rsidR="005C7EDC" w:rsidRPr="00792118">
        <w:rPr>
          <w:lang w:val="es-ES_tradnl"/>
        </w:rPr>
        <w:t>ado</w:t>
      </w:r>
      <w:r w:rsidRPr="00792118">
        <w:rPr>
          <w:lang w:val="es-ES_tradnl"/>
        </w:rPr>
        <w:t>s</w:t>
      </w:r>
    </w:p>
    <w:p w:rsidR="00752B39" w:rsidRPr="00792118" w:rsidRDefault="00752B39" w:rsidP="00822172">
      <w:pPr>
        <w:pStyle w:val="Heading2"/>
        <w:rPr>
          <w:rFonts w:eastAsia="SimSun"/>
          <w:lang w:val="es-ES_tradnl"/>
        </w:rPr>
      </w:pPr>
      <w:r w:rsidRPr="00792118">
        <w:rPr>
          <w:rFonts w:eastAsia="SimSun"/>
          <w:lang w:val="es-ES_tradnl" w:eastAsia="ja-JP"/>
        </w:rPr>
        <w:t>2</w:t>
      </w:r>
      <w:r w:rsidRPr="00792118">
        <w:rPr>
          <w:rFonts w:eastAsia="SimSun"/>
          <w:lang w:val="es-ES_tradnl"/>
        </w:rPr>
        <w:t>.1</w:t>
      </w:r>
      <w:r w:rsidRPr="00792118">
        <w:rPr>
          <w:rFonts w:eastAsia="SimSun"/>
          <w:lang w:val="es-ES_tradnl"/>
        </w:rPr>
        <w:tab/>
      </w:r>
      <w:r w:rsidRPr="00792118">
        <w:rPr>
          <w:rFonts w:eastAsia="SimSun"/>
          <w:lang w:val="es-ES_tradnl" w:eastAsia="ja-JP"/>
        </w:rPr>
        <w:t>Prepara</w:t>
      </w:r>
      <w:r w:rsidR="005C7EDC" w:rsidRPr="00792118">
        <w:rPr>
          <w:rFonts w:eastAsia="SimSun"/>
          <w:lang w:val="es-ES_tradnl" w:eastAsia="ja-JP"/>
        </w:rPr>
        <w:t>ción de la CMR</w:t>
      </w:r>
      <w:r w:rsidRPr="00792118">
        <w:rPr>
          <w:rFonts w:eastAsia="SimSun"/>
          <w:lang w:val="es-ES_tradnl" w:eastAsia="ja-JP"/>
        </w:rPr>
        <w:t>-15</w:t>
      </w:r>
    </w:p>
    <w:p w:rsidR="00752B39" w:rsidRPr="00792118" w:rsidRDefault="005C7EDC" w:rsidP="00822172">
      <w:pPr>
        <w:rPr>
          <w:rFonts w:eastAsia="Arial Unicode MS"/>
          <w:b/>
          <w:lang w:val="es-ES_tradnl"/>
        </w:rPr>
      </w:pPr>
      <w:r w:rsidRPr="00792118">
        <w:rPr>
          <w:lang w:val="es-ES_tradnl"/>
        </w:rPr>
        <w:t>El Grupo Mixto de Tareas Especiales</w:t>
      </w:r>
      <w:r w:rsidR="00A47126" w:rsidRPr="00792118">
        <w:rPr>
          <w:lang w:val="es-ES_tradnl"/>
        </w:rPr>
        <w:t xml:space="preserve"> </w:t>
      </w:r>
      <w:r w:rsidR="00752B39" w:rsidRPr="00792118">
        <w:rPr>
          <w:lang w:val="es-ES_tradnl"/>
        </w:rPr>
        <w:t xml:space="preserve">4-5-6-7 </w:t>
      </w:r>
      <w:r w:rsidRPr="00792118">
        <w:rPr>
          <w:lang w:val="es-ES_tradnl"/>
        </w:rPr>
        <w:t>completó con éxito su principal tarea de finalizar el proyecto de texto de la RPC-15</w:t>
      </w:r>
      <w:r w:rsidR="00752B39" w:rsidRPr="00792118">
        <w:rPr>
          <w:lang w:val="es-ES_tradnl"/>
        </w:rPr>
        <w:t xml:space="preserve"> </w:t>
      </w:r>
      <w:r w:rsidRPr="00792118">
        <w:rPr>
          <w:lang w:val="es-ES_tradnl"/>
        </w:rPr>
        <w:t>para los puntos 1.1 y 1.2 del orden del día de la CMR-15 (véanse los Anexos 3 y 4 del Informe final del Presidente</w:t>
      </w:r>
      <w:r w:rsidR="00752B39" w:rsidRPr="00792118">
        <w:rPr>
          <w:lang w:val="es-ES_tradnl"/>
        </w:rPr>
        <w:t xml:space="preserve"> </w:t>
      </w:r>
      <w:r w:rsidRPr="00792118">
        <w:rPr>
          <w:lang w:val="es-ES_tradnl"/>
        </w:rPr>
        <w:t>del GMTE</w:t>
      </w:r>
      <w:r w:rsidR="00752B39" w:rsidRPr="00792118">
        <w:rPr>
          <w:lang w:val="es-ES_tradnl"/>
        </w:rPr>
        <w:t> 4</w:t>
      </w:r>
      <w:r w:rsidR="00752B39" w:rsidRPr="00792118">
        <w:rPr>
          <w:lang w:val="es-ES_tradnl"/>
        </w:rPr>
        <w:noBreakHyphen/>
        <w:t>5</w:t>
      </w:r>
      <w:r w:rsidR="00752B39" w:rsidRPr="00792118">
        <w:rPr>
          <w:lang w:val="es-ES_tradnl"/>
        </w:rPr>
        <w:noBreakHyphen/>
        <w:t>6</w:t>
      </w:r>
      <w:r w:rsidR="00752B39" w:rsidRPr="00792118">
        <w:rPr>
          <w:lang w:val="es-ES_tradnl"/>
        </w:rPr>
        <w:noBreakHyphen/>
        <w:t>7 (Document</w:t>
      </w:r>
      <w:r w:rsidRPr="00792118">
        <w:rPr>
          <w:lang w:val="es-ES_tradnl"/>
        </w:rPr>
        <w:t>o</w:t>
      </w:r>
      <w:r w:rsidR="00752B39" w:rsidRPr="00792118">
        <w:rPr>
          <w:lang w:val="es-ES_tradnl"/>
        </w:rPr>
        <w:t xml:space="preserve"> 4-5-6-7/</w:t>
      </w:r>
      <w:hyperlink r:id="rId20" w:history="1">
        <w:r w:rsidR="00752B39" w:rsidRPr="00792118">
          <w:rPr>
            <w:color w:val="0000FF"/>
            <w:szCs w:val="24"/>
            <w:u w:val="single"/>
            <w:lang w:val="es-ES_tradnl"/>
          </w:rPr>
          <w:t>715</w:t>
        </w:r>
      </w:hyperlink>
      <w:r w:rsidR="00752B39" w:rsidRPr="00792118">
        <w:rPr>
          <w:lang w:val="es-ES_tradnl"/>
        </w:rPr>
        <w:t>)</w:t>
      </w:r>
      <w:r w:rsidRPr="00792118">
        <w:rPr>
          <w:lang w:val="es-ES_tradnl"/>
        </w:rPr>
        <w:t>)</w:t>
      </w:r>
      <w:r w:rsidR="00D546A7" w:rsidRPr="00792118">
        <w:rPr>
          <w:lang w:val="es-ES_tradnl"/>
        </w:rPr>
        <w:t>.</w:t>
      </w:r>
    </w:p>
    <w:p w:rsidR="00752B39" w:rsidRPr="00792118" w:rsidRDefault="00752B39" w:rsidP="00822172">
      <w:pPr>
        <w:pStyle w:val="Heading2"/>
        <w:rPr>
          <w:rFonts w:eastAsia="Arial Unicode MS"/>
          <w:lang w:val="es-ES_tradnl"/>
        </w:rPr>
      </w:pPr>
      <w:r w:rsidRPr="00792118">
        <w:rPr>
          <w:rFonts w:eastAsia="Arial Unicode MS"/>
          <w:lang w:val="es-ES_tradnl"/>
        </w:rPr>
        <w:t>2.2</w:t>
      </w:r>
      <w:r w:rsidRPr="00792118">
        <w:rPr>
          <w:rFonts w:eastAsia="Arial Unicode MS"/>
          <w:lang w:val="es-ES_tradnl"/>
        </w:rPr>
        <w:tab/>
      </w:r>
      <w:r w:rsidR="005C7EDC" w:rsidRPr="00792118">
        <w:rPr>
          <w:rFonts w:eastAsia="Arial Unicode MS"/>
          <w:lang w:val="es-ES_tradnl"/>
        </w:rPr>
        <w:t>Informes</w:t>
      </w:r>
    </w:p>
    <w:p w:rsidR="00752B39" w:rsidRPr="00792118" w:rsidRDefault="005C7EDC" w:rsidP="00822172">
      <w:pPr>
        <w:rPr>
          <w:lang w:val="es-ES_tradnl"/>
        </w:rPr>
      </w:pPr>
      <w:r w:rsidRPr="00792118">
        <w:rPr>
          <w:lang w:val="es-ES_tradnl"/>
        </w:rPr>
        <w:t>El GMTE</w:t>
      </w:r>
      <w:r w:rsidR="00752B39" w:rsidRPr="00792118">
        <w:rPr>
          <w:lang w:val="es-ES_tradnl"/>
        </w:rPr>
        <w:t xml:space="preserve"> 4-5-6-7 </w:t>
      </w:r>
      <w:r w:rsidRPr="00792118">
        <w:rPr>
          <w:lang w:val="es-ES_tradnl"/>
        </w:rPr>
        <w:t>acordó</w:t>
      </w:r>
      <w:r w:rsidR="00752B39" w:rsidRPr="00792118">
        <w:rPr>
          <w:lang w:val="es-ES_tradnl"/>
        </w:rPr>
        <w:t xml:space="preserve"> </w:t>
      </w:r>
      <w:r w:rsidRPr="00792118">
        <w:rPr>
          <w:lang w:val="es-ES_tradnl"/>
        </w:rPr>
        <w:t xml:space="preserve">los </w:t>
      </w:r>
      <w:r w:rsidR="00752B39" w:rsidRPr="00792118">
        <w:rPr>
          <w:lang w:val="es-ES_tradnl"/>
        </w:rPr>
        <w:t xml:space="preserve">16 </w:t>
      </w:r>
      <w:r w:rsidRPr="00792118">
        <w:rPr>
          <w:lang w:val="es-ES_tradnl"/>
        </w:rPr>
        <w:t>proyectos de nuevos</w:t>
      </w:r>
      <w:r w:rsidR="00454950">
        <w:rPr>
          <w:lang w:val="es-ES_tradnl"/>
        </w:rPr>
        <w:t xml:space="preserve"> (PN)</w:t>
      </w:r>
      <w:r w:rsidRPr="00792118">
        <w:rPr>
          <w:lang w:val="es-ES_tradnl"/>
        </w:rPr>
        <w:t xml:space="preserve"> Informes sobre estudios </w:t>
      </w:r>
      <w:r w:rsidR="00A97E7B" w:rsidRPr="00792118">
        <w:rPr>
          <w:lang w:val="es-ES_tradnl"/>
        </w:rPr>
        <w:t>d</w:t>
      </w:r>
      <w:r w:rsidRPr="00792118">
        <w:rPr>
          <w:lang w:val="es-ES_tradnl"/>
        </w:rPr>
        <w:t>e compartición y compatibilidad</w:t>
      </w:r>
      <w:r w:rsidR="00752B39" w:rsidRPr="00792118">
        <w:rPr>
          <w:lang w:val="es-ES_tradnl"/>
        </w:rPr>
        <w:t xml:space="preserve"> </w:t>
      </w:r>
      <w:r w:rsidRPr="00792118">
        <w:rPr>
          <w:lang w:val="es-ES_tradnl"/>
        </w:rPr>
        <w:t>que se enumeran en el Cuadro 2</w:t>
      </w:r>
      <w:r w:rsidR="006F04BF" w:rsidRPr="00792118">
        <w:rPr>
          <w:lang w:val="es-ES_tradnl"/>
        </w:rPr>
        <w:t xml:space="preserve"> y que fueron enviados a las Comisiones de Estudio </w:t>
      </w:r>
      <w:r w:rsidR="006F04BF" w:rsidRPr="00792118">
        <w:rPr>
          <w:lang w:val="es-ES_tradnl"/>
        </w:rPr>
        <w:lastRenderedPageBreak/>
        <w:t>correspondientes para su consideración. Se adjuntan como Anexos 5 a 20 al Informe final del Presidente del GMTE</w:t>
      </w:r>
      <w:r w:rsidR="00752B39" w:rsidRPr="00792118">
        <w:rPr>
          <w:lang w:val="es-ES_tradnl"/>
        </w:rPr>
        <w:t xml:space="preserve"> </w:t>
      </w:r>
      <w:r w:rsidR="006F04BF" w:rsidRPr="00792118">
        <w:rPr>
          <w:lang w:val="es-ES_tradnl"/>
        </w:rPr>
        <w:t>4-5-6-7</w:t>
      </w:r>
      <w:r w:rsidR="00752B39" w:rsidRPr="00792118">
        <w:rPr>
          <w:lang w:val="es-ES_tradnl"/>
        </w:rPr>
        <w:t xml:space="preserve"> (</w:t>
      </w:r>
      <w:r w:rsidR="006F04BF" w:rsidRPr="00792118">
        <w:rPr>
          <w:lang w:val="es-ES_tradnl"/>
        </w:rPr>
        <w:t>Documento</w:t>
      </w:r>
      <w:r w:rsidR="00752B39" w:rsidRPr="00792118">
        <w:rPr>
          <w:lang w:val="es-ES_tradnl"/>
        </w:rPr>
        <w:t xml:space="preserve"> 4-5-6-7/</w:t>
      </w:r>
      <w:hyperlink r:id="rId21" w:history="1">
        <w:r w:rsidR="00752B39" w:rsidRPr="00792118">
          <w:rPr>
            <w:color w:val="0000FF"/>
            <w:szCs w:val="24"/>
            <w:u w:val="single"/>
            <w:lang w:val="es-ES_tradnl"/>
          </w:rPr>
          <w:t>715</w:t>
        </w:r>
      </w:hyperlink>
      <w:r w:rsidR="00752B39" w:rsidRPr="00792118">
        <w:rPr>
          <w:lang w:val="es-ES_tradnl"/>
        </w:rPr>
        <w:t>).</w:t>
      </w:r>
    </w:p>
    <w:p w:rsidR="00752B39" w:rsidRPr="00792118" w:rsidRDefault="006F04BF" w:rsidP="00822172">
      <w:pPr>
        <w:pStyle w:val="TableNo"/>
        <w:rPr>
          <w:lang w:val="es-ES_tradnl"/>
        </w:rPr>
      </w:pPr>
      <w:r w:rsidRPr="00792118">
        <w:rPr>
          <w:lang w:val="es-ES_tradnl"/>
        </w:rPr>
        <w:t>CUADRO</w:t>
      </w:r>
      <w:r w:rsidR="00752B39" w:rsidRPr="00792118">
        <w:rPr>
          <w:lang w:val="es-ES_tradnl"/>
        </w:rPr>
        <w:t xml:space="preserve"> 2</w:t>
      </w:r>
    </w:p>
    <w:p w:rsidR="00752B39" w:rsidRPr="00792118" w:rsidRDefault="006F04BF" w:rsidP="00822172">
      <w:pPr>
        <w:pStyle w:val="Tabletitle"/>
        <w:rPr>
          <w:lang w:val="es-ES_tradnl"/>
        </w:rPr>
      </w:pPr>
      <w:r w:rsidRPr="00792118">
        <w:rPr>
          <w:lang w:val="es-ES_tradnl"/>
        </w:rPr>
        <w:t>PN</w:t>
      </w:r>
      <w:r w:rsidR="00B23BD1">
        <w:rPr>
          <w:lang w:val="es-ES_tradnl"/>
        </w:rPr>
        <w:t xml:space="preserve"> </w:t>
      </w:r>
      <w:r w:rsidRPr="00792118">
        <w:rPr>
          <w:lang w:val="es-ES_tradnl"/>
        </w:rPr>
        <w:t>I</w:t>
      </w:r>
      <w:r w:rsidR="00B23BD1">
        <w:rPr>
          <w:lang w:val="es-ES_tradnl"/>
        </w:rPr>
        <w:t>nformes</w:t>
      </w:r>
      <w:r w:rsidRPr="00792118">
        <w:rPr>
          <w:lang w:val="es-ES_tradnl"/>
        </w:rPr>
        <w:t xml:space="preserve"> acordados por el GMTE</w:t>
      </w:r>
      <w:r w:rsidR="00752B39" w:rsidRPr="00792118">
        <w:rPr>
          <w:lang w:val="es-ES_tradnl"/>
        </w:rPr>
        <w:t xml:space="preserve"> 4-5-6-7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977"/>
        <w:gridCol w:w="1236"/>
        <w:gridCol w:w="1194"/>
      </w:tblGrid>
      <w:tr w:rsidR="006F04BF" w:rsidRPr="00792118" w:rsidTr="00AC0CBE">
        <w:trPr>
          <w:cantSplit/>
          <w:tblHeader/>
          <w:jc w:val="center"/>
        </w:trPr>
        <w:tc>
          <w:tcPr>
            <w:tcW w:w="1680" w:type="pct"/>
            <w:vAlign w:val="center"/>
          </w:tcPr>
          <w:p w:rsidR="00752B39" w:rsidRPr="00792118" w:rsidRDefault="006F04BF" w:rsidP="00822172">
            <w:pPr>
              <w:pStyle w:val="Tablehead"/>
              <w:rPr>
                <w:lang w:val="es-ES_tradnl"/>
              </w:rPr>
            </w:pPr>
            <w:r w:rsidRPr="00792118">
              <w:rPr>
                <w:lang w:val="es-ES_tradnl"/>
              </w:rPr>
              <w:t>Informes</w:t>
            </w:r>
          </w:p>
        </w:tc>
        <w:tc>
          <w:tcPr>
            <w:tcW w:w="2072" w:type="pct"/>
            <w:vAlign w:val="center"/>
          </w:tcPr>
          <w:p w:rsidR="00752B39" w:rsidRPr="00792118" w:rsidRDefault="006F04BF" w:rsidP="00822172">
            <w:pPr>
              <w:pStyle w:val="Tablehead"/>
              <w:rPr>
                <w:lang w:val="es-ES_tradnl"/>
              </w:rPr>
            </w:pPr>
            <w:r w:rsidRPr="00792118">
              <w:rPr>
                <w:lang w:val="es-ES_tradnl"/>
              </w:rPr>
              <w:t>Título</w:t>
            </w:r>
          </w:p>
        </w:tc>
        <w:tc>
          <w:tcPr>
            <w:tcW w:w="648" w:type="pct"/>
            <w:vAlign w:val="center"/>
          </w:tcPr>
          <w:p w:rsidR="00752B39" w:rsidRPr="00792118" w:rsidRDefault="006F04BF" w:rsidP="00822172">
            <w:pPr>
              <w:pStyle w:val="Tablehead"/>
              <w:rPr>
                <w:lang w:val="es-ES_tradnl"/>
              </w:rPr>
            </w:pPr>
            <w:r w:rsidRPr="00792118">
              <w:rPr>
                <w:lang w:val="es-ES_tradnl"/>
              </w:rPr>
              <w:t>Anexo al Documento</w:t>
            </w:r>
            <w:r w:rsidR="00752B39" w:rsidRPr="00792118">
              <w:rPr>
                <w:lang w:val="es-ES_tradnl"/>
              </w:rPr>
              <w:t xml:space="preserve"> 4-5-6-7/</w:t>
            </w:r>
            <w:hyperlink r:id="rId22" w:history="1">
              <w:r w:rsidR="00752B39" w:rsidRPr="00792118">
                <w:rPr>
                  <w:color w:val="0000FF"/>
                  <w:u w:val="single"/>
                  <w:lang w:val="es-ES_tradnl"/>
                </w:rPr>
                <w:t>715</w:t>
              </w:r>
            </w:hyperlink>
          </w:p>
        </w:tc>
        <w:tc>
          <w:tcPr>
            <w:tcW w:w="601" w:type="pct"/>
            <w:vAlign w:val="center"/>
          </w:tcPr>
          <w:p w:rsidR="00752B39" w:rsidRPr="00792118" w:rsidRDefault="006F04BF" w:rsidP="00822172">
            <w:pPr>
              <w:pStyle w:val="Tablehead"/>
              <w:rPr>
                <w:lang w:val="es-ES_tradnl"/>
              </w:rPr>
            </w:pPr>
            <w:r w:rsidRPr="00792118">
              <w:rPr>
                <w:lang w:val="es-ES_tradnl"/>
              </w:rPr>
              <w:t>Comisiones de Estudio interesadas</w:t>
            </w:r>
          </w:p>
        </w:tc>
      </w:tr>
      <w:tr w:rsidR="006F04BF" w:rsidRPr="00792118" w:rsidTr="00AC0CBE">
        <w:trPr>
          <w:cantSplit/>
          <w:jc w:val="center"/>
        </w:trPr>
        <w:tc>
          <w:tcPr>
            <w:tcW w:w="1680" w:type="pct"/>
          </w:tcPr>
          <w:p w:rsidR="00752B39" w:rsidRPr="00792118" w:rsidRDefault="006F04BF" w:rsidP="00822172">
            <w:pPr>
              <w:pStyle w:val="Tabletext"/>
              <w:rPr>
                <w:lang w:val="es-ES_tradnl"/>
              </w:rPr>
            </w:pPr>
            <w:r w:rsidRPr="00792118">
              <w:rPr>
                <w:lang w:val="es-ES_tradnl"/>
              </w:rPr>
              <w:t>P</w:t>
            </w:r>
            <w:r w:rsidR="00752B39" w:rsidRPr="00792118">
              <w:rPr>
                <w:lang w:val="es-ES_tradnl"/>
              </w:rPr>
              <w:t xml:space="preserve">N </w:t>
            </w:r>
            <w:r w:rsidRPr="00792118">
              <w:rPr>
                <w:lang w:val="es-ES_tradnl"/>
              </w:rPr>
              <w:t>Informe</w:t>
            </w:r>
            <w:r w:rsidR="00752B39" w:rsidRPr="00792118">
              <w:rPr>
                <w:lang w:val="es-ES_tradnl"/>
              </w:rPr>
              <w:t xml:space="preserve"> </w:t>
            </w:r>
            <w:r w:rsidRPr="00792118">
              <w:rPr>
                <w:lang w:val="es-ES_tradnl"/>
              </w:rPr>
              <w:t>UIT</w:t>
            </w:r>
            <w:r w:rsidR="00752B39" w:rsidRPr="00792118">
              <w:rPr>
                <w:lang w:val="es-ES_tradnl"/>
              </w:rPr>
              <w:t>-R BT.[MBB_</w:t>
            </w:r>
            <w:r w:rsidR="00752B39" w:rsidRPr="00792118">
              <w:rPr>
                <w:lang w:val="es-ES_tradnl"/>
              </w:rPr>
              <w:br/>
              <w:t>DTTB_470_694]</w:t>
            </w:r>
          </w:p>
          <w:p w:rsidR="00752B39" w:rsidRPr="00792118" w:rsidRDefault="00752B39" w:rsidP="00822172">
            <w:pPr>
              <w:pStyle w:val="Tabletext"/>
              <w:rPr>
                <w:lang w:val="es-ES_tradnl"/>
              </w:rPr>
            </w:pPr>
            <w:r w:rsidRPr="00792118">
              <w:rPr>
                <w:lang w:val="es-ES_tradnl"/>
              </w:rPr>
              <w:t>(</w:t>
            </w:r>
            <w:r w:rsidR="006F04BF" w:rsidRPr="00792118">
              <w:rPr>
                <w:lang w:val="es-ES_tradnl"/>
              </w:rPr>
              <w:t>Informe</w:t>
            </w:r>
            <w:r w:rsidRPr="00792118">
              <w:rPr>
                <w:lang w:val="es-ES_tradnl"/>
              </w:rPr>
              <w:t xml:space="preserve"> </w:t>
            </w:r>
            <w:r w:rsidR="006F04BF" w:rsidRPr="00792118">
              <w:rPr>
                <w:lang w:val="es-ES_tradnl"/>
              </w:rPr>
              <w:t>UIT</w:t>
            </w:r>
            <w:r w:rsidRPr="00792118">
              <w:rPr>
                <w:lang w:val="es-ES_tradnl"/>
              </w:rPr>
              <w:t>-R BT.2337)</w:t>
            </w:r>
          </w:p>
        </w:tc>
        <w:tc>
          <w:tcPr>
            <w:tcW w:w="2072" w:type="pct"/>
            <w:vAlign w:val="center"/>
          </w:tcPr>
          <w:p w:rsidR="00752B39" w:rsidRPr="00792118" w:rsidRDefault="006F04BF" w:rsidP="00822172">
            <w:pPr>
              <w:pStyle w:val="Tabletext"/>
              <w:rPr>
                <w:lang w:val="es-ES_tradnl"/>
              </w:rPr>
            </w:pPr>
            <w:r w:rsidRPr="00792118">
              <w:rPr>
                <w:color w:val="000000"/>
                <w:lang w:val="es-ES_tradnl"/>
              </w:rPr>
              <w:t>Estudios de compartición y compatibilidad entre la radiodifusión de televisión digital terrenal y las aplicaciones móviles terrenales de banda ancha, incluidas las IMT en la banda de frecuencias 470-694/698 MHz.</w:t>
            </w:r>
            <w:r w:rsidRPr="00792118">
              <w:rPr>
                <w:lang w:val="es-ES_tradnl"/>
              </w:rPr>
              <w:t xml:space="preserve"> </w:t>
            </w:r>
          </w:p>
        </w:tc>
        <w:tc>
          <w:tcPr>
            <w:tcW w:w="648" w:type="pct"/>
            <w:vAlign w:val="center"/>
          </w:tcPr>
          <w:p w:rsidR="00752B39" w:rsidRPr="00792118" w:rsidRDefault="00752B39" w:rsidP="00822172">
            <w:pPr>
              <w:pStyle w:val="Tabletext"/>
              <w:jc w:val="center"/>
              <w:rPr>
                <w:lang w:val="es-ES_tradnl"/>
              </w:rPr>
            </w:pPr>
            <w:r w:rsidRPr="00792118">
              <w:rPr>
                <w:lang w:val="es-ES_tradnl"/>
              </w:rPr>
              <w:t>5</w:t>
            </w:r>
          </w:p>
        </w:tc>
        <w:tc>
          <w:tcPr>
            <w:tcW w:w="601" w:type="pct"/>
            <w:vAlign w:val="center"/>
          </w:tcPr>
          <w:p w:rsidR="00752B39" w:rsidRPr="00792118" w:rsidRDefault="00752B39" w:rsidP="00822172">
            <w:pPr>
              <w:pStyle w:val="Tabletext"/>
              <w:jc w:val="center"/>
              <w:rPr>
                <w:lang w:val="es-ES_tradnl"/>
              </w:rPr>
            </w:pPr>
            <w:r w:rsidRPr="00792118">
              <w:rPr>
                <w:lang w:val="es-ES_tradnl"/>
              </w:rPr>
              <w:t>5 &amp; 6</w:t>
            </w:r>
          </w:p>
        </w:tc>
      </w:tr>
      <w:tr w:rsidR="006F04BF" w:rsidRPr="00792118" w:rsidTr="00AC0CBE">
        <w:trPr>
          <w:cantSplit/>
          <w:jc w:val="center"/>
        </w:trPr>
        <w:tc>
          <w:tcPr>
            <w:tcW w:w="1680" w:type="pct"/>
          </w:tcPr>
          <w:p w:rsidR="00752B39" w:rsidRPr="00792118" w:rsidRDefault="006F04BF" w:rsidP="00822172">
            <w:pPr>
              <w:pStyle w:val="Tabletext"/>
              <w:rPr>
                <w:lang w:val="es-ES_tradnl"/>
              </w:rPr>
            </w:pPr>
            <w:r w:rsidRPr="00792118">
              <w:rPr>
                <w:lang w:val="es-ES_tradnl"/>
              </w:rPr>
              <w:t>P</w:t>
            </w:r>
            <w:r w:rsidR="00752B39" w:rsidRPr="00792118">
              <w:rPr>
                <w:lang w:val="es-ES_tradnl"/>
              </w:rPr>
              <w:t xml:space="preserve">N </w:t>
            </w:r>
            <w:r w:rsidRPr="00792118">
              <w:rPr>
                <w:lang w:val="es-ES_tradnl"/>
              </w:rPr>
              <w:t>Informe</w:t>
            </w:r>
            <w:r w:rsidR="00752B39" w:rsidRPr="00792118">
              <w:rPr>
                <w:lang w:val="es-ES_tradnl"/>
              </w:rPr>
              <w:t xml:space="preserve"> </w:t>
            </w:r>
            <w:r w:rsidRPr="00792118">
              <w:rPr>
                <w:lang w:val="es-ES_tradnl"/>
              </w:rPr>
              <w:t>UIT</w:t>
            </w:r>
            <w:r w:rsidR="00752B39" w:rsidRPr="00792118">
              <w:rPr>
                <w:lang w:val="es-ES_tradnl"/>
              </w:rPr>
              <w:t>-R F.[IMT-FS 470-694/698 MHz SHARING]</w:t>
            </w:r>
          </w:p>
          <w:p w:rsidR="00752B39" w:rsidRPr="00792118" w:rsidRDefault="00752B39" w:rsidP="00822172">
            <w:pPr>
              <w:pStyle w:val="Tabletext"/>
              <w:rPr>
                <w:lang w:val="es-ES_tradnl"/>
              </w:rPr>
            </w:pPr>
            <w:r w:rsidRPr="00792118">
              <w:rPr>
                <w:lang w:val="es-ES_tradnl"/>
              </w:rPr>
              <w:t>(</w:t>
            </w:r>
            <w:r w:rsidR="006F04BF" w:rsidRPr="00792118">
              <w:rPr>
                <w:lang w:val="es-ES_tradnl"/>
              </w:rPr>
              <w:t>Informe</w:t>
            </w:r>
            <w:r w:rsidRPr="00792118">
              <w:rPr>
                <w:lang w:val="es-ES_tradnl"/>
              </w:rPr>
              <w:t xml:space="preserve"> </w:t>
            </w:r>
            <w:r w:rsidR="006F04BF" w:rsidRPr="00792118">
              <w:rPr>
                <w:lang w:val="es-ES_tradnl"/>
              </w:rPr>
              <w:t>UIT</w:t>
            </w:r>
            <w:r w:rsidRPr="00792118">
              <w:rPr>
                <w:lang w:val="es-ES_tradnl"/>
              </w:rPr>
              <w:t>-R F.2331)</w:t>
            </w:r>
          </w:p>
        </w:tc>
        <w:tc>
          <w:tcPr>
            <w:tcW w:w="2072" w:type="pct"/>
          </w:tcPr>
          <w:p w:rsidR="00752B39" w:rsidRPr="00792118" w:rsidRDefault="006F04BF" w:rsidP="00822172">
            <w:pPr>
              <w:pStyle w:val="Tabletext"/>
              <w:rPr>
                <w:lang w:val="es-ES_tradnl"/>
              </w:rPr>
            </w:pPr>
            <w:r w:rsidRPr="00792118">
              <w:rPr>
                <w:color w:val="000000"/>
                <w:lang w:val="es-ES_tradnl"/>
              </w:rPr>
              <w:t xml:space="preserve">Compartición y compatibilidad entre sistemas IMT y sistemas del servicio fijo en la gama de frecuencias 470-694/698 MHz </w:t>
            </w:r>
          </w:p>
        </w:tc>
        <w:tc>
          <w:tcPr>
            <w:tcW w:w="648" w:type="pct"/>
            <w:vAlign w:val="center"/>
          </w:tcPr>
          <w:p w:rsidR="00752B39" w:rsidRPr="00792118" w:rsidRDefault="00752B39" w:rsidP="00822172">
            <w:pPr>
              <w:pStyle w:val="Tabletext"/>
              <w:jc w:val="center"/>
              <w:rPr>
                <w:lang w:val="es-ES_tradnl"/>
              </w:rPr>
            </w:pPr>
            <w:r w:rsidRPr="00792118">
              <w:rPr>
                <w:lang w:val="es-ES_tradnl"/>
              </w:rPr>
              <w:t>6</w:t>
            </w:r>
          </w:p>
        </w:tc>
        <w:tc>
          <w:tcPr>
            <w:tcW w:w="601" w:type="pct"/>
            <w:vAlign w:val="center"/>
          </w:tcPr>
          <w:p w:rsidR="00752B39" w:rsidRPr="00792118" w:rsidRDefault="00752B39" w:rsidP="00822172">
            <w:pPr>
              <w:pStyle w:val="Tabletext"/>
              <w:jc w:val="center"/>
              <w:rPr>
                <w:lang w:val="es-ES_tradnl"/>
              </w:rPr>
            </w:pPr>
            <w:r w:rsidRPr="00792118">
              <w:rPr>
                <w:lang w:val="es-ES_tradnl"/>
              </w:rPr>
              <w:t>5</w:t>
            </w:r>
          </w:p>
        </w:tc>
      </w:tr>
      <w:tr w:rsidR="006F04BF" w:rsidRPr="00792118" w:rsidTr="00AC0CBE">
        <w:trPr>
          <w:cantSplit/>
          <w:jc w:val="center"/>
        </w:trPr>
        <w:tc>
          <w:tcPr>
            <w:tcW w:w="1680" w:type="pct"/>
          </w:tcPr>
          <w:p w:rsidR="00752B39" w:rsidRPr="00792118" w:rsidRDefault="006F04BF" w:rsidP="00822172">
            <w:pPr>
              <w:pStyle w:val="Tabletext"/>
              <w:rPr>
                <w:lang w:val="es-ES_tradnl"/>
              </w:rPr>
            </w:pPr>
            <w:r w:rsidRPr="00792118">
              <w:rPr>
                <w:lang w:val="es-ES_tradnl"/>
              </w:rPr>
              <w:t>P</w:t>
            </w:r>
            <w:r w:rsidR="00752B39" w:rsidRPr="00792118">
              <w:rPr>
                <w:lang w:val="es-ES_tradnl"/>
              </w:rPr>
              <w:t xml:space="preserve">N </w:t>
            </w:r>
            <w:r w:rsidRPr="00792118">
              <w:rPr>
                <w:lang w:val="es-ES_tradnl"/>
              </w:rPr>
              <w:t>Informe</w:t>
            </w:r>
            <w:r w:rsidR="00752B39" w:rsidRPr="00792118">
              <w:rPr>
                <w:lang w:val="es-ES_tradnl"/>
              </w:rPr>
              <w:t xml:space="preserve"> </w:t>
            </w:r>
            <w:r w:rsidRPr="00792118">
              <w:rPr>
                <w:lang w:val="es-ES_tradnl"/>
              </w:rPr>
              <w:t>UIT</w:t>
            </w:r>
            <w:r w:rsidR="00752B39" w:rsidRPr="00792118">
              <w:rPr>
                <w:lang w:val="es-ES_tradnl"/>
              </w:rPr>
              <w:t>-R RA.[RAS-IMT]</w:t>
            </w:r>
          </w:p>
          <w:p w:rsidR="00752B39" w:rsidRPr="00792118" w:rsidRDefault="00752B39" w:rsidP="00822172">
            <w:pPr>
              <w:pStyle w:val="Tabletext"/>
              <w:rPr>
                <w:lang w:val="es-ES_tradnl"/>
              </w:rPr>
            </w:pPr>
            <w:r w:rsidRPr="00792118">
              <w:rPr>
                <w:lang w:val="es-ES_tradnl"/>
              </w:rPr>
              <w:t>(</w:t>
            </w:r>
            <w:r w:rsidR="006F04BF" w:rsidRPr="00792118">
              <w:rPr>
                <w:lang w:val="es-ES_tradnl"/>
              </w:rPr>
              <w:t>Informe</w:t>
            </w:r>
            <w:r w:rsidRPr="00792118">
              <w:rPr>
                <w:lang w:val="es-ES_tradnl"/>
              </w:rPr>
              <w:t xml:space="preserve"> </w:t>
            </w:r>
            <w:r w:rsidR="006F04BF" w:rsidRPr="00792118">
              <w:rPr>
                <w:lang w:val="es-ES_tradnl"/>
              </w:rPr>
              <w:t>UIT</w:t>
            </w:r>
            <w:r w:rsidRPr="00792118">
              <w:rPr>
                <w:lang w:val="es-ES_tradnl"/>
              </w:rPr>
              <w:t>-R RA.2332)</w:t>
            </w:r>
          </w:p>
        </w:tc>
        <w:tc>
          <w:tcPr>
            <w:tcW w:w="2072" w:type="pct"/>
            <w:vAlign w:val="center"/>
          </w:tcPr>
          <w:p w:rsidR="00752B39" w:rsidRPr="00792118" w:rsidRDefault="00EC79E9" w:rsidP="00822172">
            <w:pPr>
              <w:pStyle w:val="Tabletext"/>
              <w:rPr>
                <w:lang w:val="es-ES_tradnl"/>
              </w:rPr>
            </w:pPr>
            <w:r w:rsidRPr="00792118">
              <w:rPr>
                <w:color w:val="000000"/>
                <w:lang w:val="es-ES_tradnl"/>
              </w:rPr>
              <w:t>Estudios de compartición y compatibilidad entre el servicio de radioastronomía y los sistemas IMT en las bandas de</w:t>
            </w:r>
            <w:r w:rsidR="008D6769">
              <w:rPr>
                <w:color w:val="000000"/>
                <w:lang w:val="es-ES_tradnl"/>
              </w:rPr>
              <w:t xml:space="preserve"> frecuencias 608-614 MHz, 1 330-</w:t>
            </w:r>
            <w:r w:rsidRPr="00792118">
              <w:rPr>
                <w:color w:val="000000"/>
                <w:lang w:val="es-ES_tradnl"/>
              </w:rPr>
              <w:t xml:space="preserve">1 400 MHz, </w:t>
            </w:r>
            <w:r w:rsidR="003C6DF6" w:rsidRPr="00792118">
              <w:rPr>
                <w:color w:val="000000"/>
                <w:lang w:val="es-ES_tradnl"/>
              </w:rPr>
              <w:t>1 400-1 427 </w:t>
            </w:r>
            <w:r w:rsidRPr="00792118">
              <w:rPr>
                <w:color w:val="000000"/>
                <w:lang w:val="es-ES_tradnl"/>
              </w:rPr>
              <w:t>MH</w:t>
            </w:r>
            <w:r w:rsidR="008D6769">
              <w:rPr>
                <w:color w:val="000000"/>
                <w:lang w:val="es-ES_tradnl"/>
              </w:rPr>
              <w:t>z, 1 610,6-1 613,8 MHz, 1 660-</w:t>
            </w:r>
            <w:r w:rsidR="003C6DF6" w:rsidRPr="00792118">
              <w:rPr>
                <w:color w:val="000000"/>
                <w:lang w:val="es-ES_tradnl"/>
              </w:rPr>
              <w:t>1 </w:t>
            </w:r>
            <w:r w:rsidRPr="00792118">
              <w:rPr>
                <w:color w:val="000000"/>
                <w:lang w:val="es-ES_tradnl"/>
              </w:rPr>
              <w:t>670 MH</w:t>
            </w:r>
            <w:r w:rsidR="003C6DF6" w:rsidRPr="00792118">
              <w:rPr>
                <w:color w:val="000000"/>
                <w:lang w:val="es-ES_tradnl"/>
              </w:rPr>
              <w:t>z, 2 690-2 700 MHz, 4 800-4 990 </w:t>
            </w:r>
            <w:r w:rsidR="008D6769">
              <w:rPr>
                <w:color w:val="000000"/>
                <w:lang w:val="es-ES_tradnl"/>
              </w:rPr>
              <w:t>MHz y 4 990-</w:t>
            </w:r>
            <w:r w:rsidRPr="00792118">
              <w:rPr>
                <w:color w:val="000000"/>
                <w:lang w:val="es-ES_tradnl"/>
              </w:rPr>
              <w:t xml:space="preserve">5 000 MHz </w:t>
            </w:r>
          </w:p>
        </w:tc>
        <w:tc>
          <w:tcPr>
            <w:tcW w:w="648" w:type="pct"/>
            <w:vAlign w:val="center"/>
          </w:tcPr>
          <w:p w:rsidR="00752B39" w:rsidRPr="00792118" w:rsidRDefault="00752B39" w:rsidP="00822172">
            <w:pPr>
              <w:pStyle w:val="Tabletext"/>
              <w:jc w:val="center"/>
              <w:rPr>
                <w:lang w:val="es-ES_tradnl"/>
              </w:rPr>
            </w:pPr>
            <w:r w:rsidRPr="00792118">
              <w:rPr>
                <w:lang w:val="es-ES_tradnl"/>
              </w:rPr>
              <w:t>7</w:t>
            </w:r>
          </w:p>
        </w:tc>
        <w:tc>
          <w:tcPr>
            <w:tcW w:w="601" w:type="pct"/>
            <w:vAlign w:val="center"/>
          </w:tcPr>
          <w:p w:rsidR="00752B39" w:rsidRPr="00792118" w:rsidRDefault="00752B39" w:rsidP="00822172">
            <w:pPr>
              <w:pStyle w:val="Tabletext"/>
              <w:jc w:val="center"/>
              <w:rPr>
                <w:lang w:val="es-ES_tradnl"/>
              </w:rPr>
            </w:pPr>
            <w:r w:rsidRPr="00792118">
              <w:rPr>
                <w:lang w:val="es-ES_tradnl"/>
              </w:rPr>
              <w:t>5 &amp; 7</w:t>
            </w:r>
          </w:p>
        </w:tc>
      </w:tr>
      <w:tr w:rsidR="006F04BF" w:rsidRPr="00792118" w:rsidTr="00AC0CBE">
        <w:trPr>
          <w:cantSplit/>
          <w:jc w:val="center"/>
        </w:trPr>
        <w:tc>
          <w:tcPr>
            <w:tcW w:w="1680" w:type="pct"/>
          </w:tcPr>
          <w:p w:rsidR="00752B39" w:rsidRPr="00792118" w:rsidRDefault="00EC79E9" w:rsidP="00822172">
            <w:pPr>
              <w:pStyle w:val="Tabletext"/>
              <w:rPr>
                <w:lang w:val="es-ES_tradnl"/>
              </w:rPr>
            </w:pPr>
            <w:r w:rsidRPr="00792118">
              <w:rPr>
                <w:lang w:val="es-ES_tradnl"/>
              </w:rPr>
              <w:t>P</w:t>
            </w:r>
            <w:r w:rsidR="00752B39" w:rsidRPr="00792118">
              <w:rPr>
                <w:lang w:val="es-ES_tradnl"/>
              </w:rPr>
              <w:t xml:space="preserve">N </w:t>
            </w:r>
            <w:r w:rsidRPr="00792118">
              <w:rPr>
                <w:lang w:val="es-ES_tradnl"/>
              </w:rPr>
              <w:t>Informe</w:t>
            </w:r>
            <w:r w:rsidR="00752B39" w:rsidRPr="00792118">
              <w:rPr>
                <w:lang w:val="es-ES_tradnl"/>
              </w:rPr>
              <w:t xml:space="preserve"> </w:t>
            </w:r>
            <w:r w:rsidRPr="00792118">
              <w:rPr>
                <w:lang w:val="es-ES_tradnl"/>
              </w:rPr>
              <w:t>UIT</w:t>
            </w:r>
            <w:r w:rsidR="00752B39" w:rsidRPr="00792118">
              <w:rPr>
                <w:lang w:val="es-ES_tradnl"/>
              </w:rPr>
              <w:t>-R BT.[SAB_SAP]</w:t>
            </w:r>
          </w:p>
          <w:p w:rsidR="00752B39" w:rsidRPr="00792118" w:rsidRDefault="00752B39" w:rsidP="00822172">
            <w:pPr>
              <w:pStyle w:val="Tabletext"/>
              <w:rPr>
                <w:lang w:val="es-ES_tradnl"/>
              </w:rPr>
            </w:pPr>
            <w:r w:rsidRPr="00792118">
              <w:rPr>
                <w:lang w:val="es-ES_tradnl"/>
              </w:rPr>
              <w:t>(</w:t>
            </w:r>
            <w:r w:rsidR="00EC79E9" w:rsidRPr="00792118">
              <w:rPr>
                <w:lang w:val="es-ES_tradnl"/>
              </w:rPr>
              <w:t>Informe</w:t>
            </w:r>
            <w:r w:rsidRPr="00792118">
              <w:rPr>
                <w:lang w:val="es-ES_tradnl"/>
              </w:rPr>
              <w:t xml:space="preserve"> </w:t>
            </w:r>
            <w:r w:rsidR="00EC79E9" w:rsidRPr="00792118">
              <w:rPr>
                <w:lang w:val="es-ES_tradnl"/>
              </w:rPr>
              <w:t>UIT</w:t>
            </w:r>
            <w:r w:rsidRPr="00792118">
              <w:rPr>
                <w:lang w:val="es-ES_tradnl"/>
              </w:rPr>
              <w:t>-R BT.2338)</w:t>
            </w:r>
          </w:p>
        </w:tc>
        <w:tc>
          <w:tcPr>
            <w:tcW w:w="2072" w:type="pct"/>
            <w:vAlign w:val="center"/>
          </w:tcPr>
          <w:p w:rsidR="00752B39" w:rsidRPr="00792118" w:rsidRDefault="00EC79E9" w:rsidP="00822172">
            <w:pPr>
              <w:pStyle w:val="Tabletext"/>
              <w:rPr>
                <w:lang w:val="es-ES_tradnl"/>
              </w:rPr>
            </w:pPr>
            <w:r w:rsidRPr="00792118">
              <w:rPr>
                <w:color w:val="000000"/>
                <w:lang w:val="es-ES_tradnl"/>
              </w:rPr>
              <w:t>Utilización del espectro para SAB/SAP en la Región 1 y consecuencias de una atribución coprimaria al servicio móvil en la banda de frecuencias 694-790 MHz</w:t>
            </w:r>
          </w:p>
        </w:tc>
        <w:tc>
          <w:tcPr>
            <w:tcW w:w="648" w:type="pct"/>
            <w:vAlign w:val="center"/>
          </w:tcPr>
          <w:p w:rsidR="00752B39" w:rsidRPr="00792118" w:rsidRDefault="00752B39" w:rsidP="00822172">
            <w:pPr>
              <w:pStyle w:val="Tabletext"/>
              <w:jc w:val="center"/>
              <w:rPr>
                <w:lang w:val="es-ES_tradnl"/>
              </w:rPr>
            </w:pPr>
            <w:r w:rsidRPr="00792118">
              <w:rPr>
                <w:lang w:val="es-ES_tradnl"/>
              </w:rPr>
              <w:t>8</w:t>
            </w:r>
          </w:p>
        </w:tc>
        <w:tc>
          <w:tcPr>
            <w:tcW w:w="601" w:type="pct"/>
            <w:vAlign w:val="center"/>
          </w:tcPr>
          <w:p w:rsidR="00752B39" w:rsidRPr="00792118" w:rsidRDefault="00752B39" w:rsidP="00822172">
            <w:pPr>
              <w:pStyle w:val="Tabletext"/>
              <w:jc w:val="center"/>
              <w:rPr>
                <w:lang w:val="es-ES_tradnl"/>
              </w:rPr>
            </w:pPr>
            <w:r w:rsidRPr="00792118">
              <w:rPr>
                <w:lang w:val="es-ES_tradnl"/>
              </w:rPr>
              <w:t>5 &amp; 6</w:t>
            </w:r>
          </w:p>
        </w:tc>
      </w:tr>
      <w:tr w:rsidR="006F04BF" w:rsidRPr="00792118" w:rsidTr="00AC0CBE">
        <w:trPr>
          <w:cantSplit/>
          <w:jc w:val="center"/>
        </w:trPr>
        <w:tc>
          <w:tcPr>
            <w:tcW w:w="1680" w:type="pct"/>
          </w:tcPr>
          <w:p w:rsidR="00752B39" w:rsidRPr="00792118" w:rsidRDefault="00EC79E9" w:rsidP="00822172">
            <w:pPr>
              <w:pStyle w:val="Tabletext"/>
              <w:rPr>
                <w:lang w:val="es-ES_tradnl"/>
              </w:rPr>
            </w:pPr>
            <w:r w:rsidRPr="00792118">
              <w:rPr>
                <w:lang w:val="es-ES_tradnl"/>
              </w:rPr>
              <w:t>P</w:t>
            </w:r>
            <w:r w:rsidR="00752B39" w:rsidRPr="00792118">
              <w:rPr>
                <w:lang w:val="es-ES_tradnl"/>
              </w:rPr>
              <w:t xml:space="preserve">N </w:t>
            </w:r>
            <w:r w:rsidR="00A97E7B" w:rsidRPr="00792118">
              <w:rPr>
                <w:lang w:val="es-ES_tradnl"/>
              </w:rPr>
              <w:t>Informe</w:t>
            </w:r>
            <w:r w:rsidR="00752B39" w:rsidRPr="00792118">
              <w:rPr>
                <w:lang w:val="es-ES_tradnl"/>
              </w:rPr>
              <w:t xml:space="preserve"> </w:t>
            </w:r>
            <w:r w:rsidRPr="00792118">
              <w:rPr>
                <w:lang w:val="es-ES_tradnl"/>
              </w:rPr>
              <w:t>UIT</w:t>
            </w:r>
            <w:r w:rsidR="00752B39" w:rsidRPr="00792118">
              <w:rPr>
                <w:lang w:val="es-ES_tradnl"/>
              </w:rPr>
              <w:t>-R BT.[IMT_DTTB_</w:t>
            </w:r>
            <w:r w:rsidR="00752B39" w:rsidRPr="00792118">
              <w:rPr>
                <w:lang w:val="es-ES_tradnl"/>
              </w:rPr>
              <w:br/>
              <w:t>694-790-Co-Channel]</w:t>
            </w:r>
          </w:p>
          <w:p w:rsidR="00752B39" w:rsidRPr="00792118" w:rsidRDefault="00752B39" w:rsidP="00822172">
            <w:pPr>
              <w:pStyle w:val="Tabletext"/>
              <w:rPr>
                <w:lang w:val="es-ES_tradnl"/>
              </w:rPr>
            </w:pPr>
            <w:r w:rsidRPr="00792118">
              <w:rPr>
                <w:lang w:val="es-ES_tradnl"/>
              </w:rPr>
              <w:t>(</w:t>
            </w:r>
            <w:r w:rsidR="00EC79E9" w:rsidRPr="00792118">
              <w:rPr>
                <w:lang w:val="es-ES_tradnl"/>
              </w:rPr>
              <w:t>Informe</w:t>
            </w:r>
            <w:r w:rsidRPr="00792118">
              <w:rPr>
                <w:lang w:val="es-ES_tradnl"/>
              </w:rPr>
              <w:t xml:space="preserve"> </w:t>
            </w:r>
            <w:r w:rsidR="00EC79E9" w:rsidRPr="00792118">
              <w:rPr>
                <w:lang w:val="es-ES_tradnl"/>
              </w:rPr>
              <w:t>UIT</w:t>
            </w:r>
            <w:r w:rsidRPr="00792118">
              <w:rPr>
                <w:lang w:val="es-ES_tradnl"/>
              </w:rPr>
              <w:t>-R BT.2339)</w:t>
            </w:r>
          </w:p>
        </w:tc>
        <w:tc>
          <w:tcPr>
            <w:tcW w:w="2072" w:type="pct"/>
          </w:tcPr>
          <w:p w:rsidR="00752B39" w:rsidRPr="00792118" w:rsidRDefault="00EC79E9" w:rsidP="00822172">
            <w:pPr>
              <w:pStyle w:val="Tabletext"/>
              <w:rPr>
                <w:lang w:val="es-ES_tradnl"/>
              </w:rPr>
            </w:pPr>
            <w:r w:rsidRPr="00792118">
              <w:rPr>
                <w:color w:val="000000"/>
                <w:lang w:val="es-ES_tradnl"/>
              </w:rPr>
              <w:t xml:space="preserve">Estudios de compartición y compatibilidad cocanal entre la radiodifusión de televisión digital terrenal y las IMT en la banda de frecuencias 694-790 MHz en la zona de </w:t>
            </w:r>
            <w:r w:rsidR="00752B39" w:rsidRPr="00792118">
              <w:rPr>
                <w:lang w:val="es-ES_tradnl"/>
              </w:rPr>
              <w:t xml:space="preserve">GE06 </w:t>
            </w:r>
          </w:p>
        </w:tc>
        <w:tc>
          <w:tcPr>
            <w:tcW w:w="648" w:type="pct"/>
            <w:vAlign w:val="center"/>
          </w:tcPr>
          <w:p w:rsidR="00752B39" w:rsidRPr="00792118" w:rsidRDefault="00752B39" w:rsidP="00822172">
            <w:pPr>
              <w:pStyle w:val="Tabletext"/>
              <w:jc w:val="center"/>
              <w:rPr>
                <w:lang w:val="es-ES_tradnl"/>
              </w:rPr>
            </w:pPr>
            <w:r w:rsidRPr="00792118">
              <w:rPr>
                <w:lang w:val="es-ES_tradnl"/>
              </w:rPr>
              <w:t>9</w:t>
            </w:r>
          </w:p>
        </w:tc>
        <w:tc>
          <w:tcPr>
            <w:tcW w:w="601" w:type="pct"/>
            <w:vAlign w:val="center"/>
          </w:tcPr>
          <w:p w:rsidR="00752B39" w:rsidRPr="00792118" w:rsidRDefault="00752B39" w:rsidP="00822172">
            <w:pPr>
              <w:pStyle w:val="Tabletext"/>
              <w:jc w:val="center"/>
              <w:rPr>
                <w:lang w:val="es-ES_tradnl"/>
              </w:rPr>
            </w:pPr>
            <w:r w:rsidRPr="00792118">
              <w:rPr>
                <w:lang w:val="es-ES_tradnl"/>
              </w:rPr>
              <w:t>5 &amp; 6</w:t>
            </w:r>
          </w:p>
        </w:tc>
      </w:tr>
      <w:tr w:rsidR="006F04BF" w:rsidRPr="00792118" w:rsidTr="00AC0CBE">
        <w:trPr>
          <w:cantSplit/>
          <w:jc w:val="center"/>
        </w:trPr>
        <w:tc>
          <w:tcPr>
            <w:tcW w:w="1680" w:type="pct"/>
          </w:tcPr>
          <w:p w:rsidR="00752B39" w:rsidRPr="00792118" w:rsidRDefault="00EC79E9" w:rsidP="00822172">
            <w:pPr>
              <w:pStyle w:val="Tabletext"/>
              <w:rPr>
                <w:lang w:val="es-ES_tradnl"/>
              </w:rPr>
            </w:pPr>
            <w:r w:rsidRPr="00792118">
              <w:rPr>
                <w:lang w:val="es-ES_tradnl"/>
              </w:rPr>
              <w:t>P</w:t>
            </w:r>
            <w:r w:rsidR="00752B39" w:rsidRPr="00792118">
              <w:rPr>
                <w:lang w:val="es-ES_tradnl"/>
              </w:rPr>
              <w:t xml:space="preserve">N </w:t>
            </w:r>
            <w:r w:rsidRPr="00792118">
              <w:rPr>
                <w:lang w:val="es-ES_tradnl"/>
              </w:rPr>
              <w:t>Informe</w:t>
            </w:r>
            <w:r w:rsidR="00752B39" w:rsidRPr="00792118">
              <w:rPr>
                <w:lang w:val="es-ES_tradnl"/>
              </w:rPr>
              <w:t xml:space="preserve"> </w:t>
            </w:r>
            <w:r w:rsidRPr="00792118">
              <w:rPr>
                <w:lang w:val="es-ES_tradnl"/>
              </w:rPr>
              <w:t>UIT</w:t>
            </w:r>
            <w:r w:rsidR="00752B39" w:rsidRPr="00792118">
              <w:rPr>
                <w:lang w:val="es-ES_tradnl"/>
              </w:rPr>
              <w:t>-R F.[FS-IMT 1 350</w:t>
            </w:r>
            <w:r w:rsidR="00752B39" w:rsidRPr="00792118">
              <w:rPr>
                <w:lang w:val="es-ES_tradnl"/>
              </w:rPr>
              <w:noBreakHyphen/>
              <w:t>1 530 MHz CO</w:t>
            </w:r>
            <w:r w:rsidR="00752B39" w:rsidRPr="00792118">
              <w:rPr>
                <w:lang w:val="es-ES_tradnl"/>
              </w:rPr>
              <w:noBreakHyphen/>
              <w:t>CHANNEL SHARING]</w:t>
            </w:r>
          </w:p>
          <w:p w:rsidR="00752B39" w:rsidRPr="00792118" w:rsidRDefault="00752B39" w:rsidP="00822172">
            <w:pPr>
              <w:pStyle w:val="Tabletext"/>
              <w:rPr>
                <w:lang w:val="es-ES_tradnl"/>
              </w:rPr>
            </w:pPr>
            <w:r w:rsidRPr="00792118">
              <w:rPr>
                <w:lang w:val="es-ES_tradnl"/>
              </w:rPr>
              <w:t>(</w:t>
            </w:r>
            <w:r w:rsidR="00EC79E9" w:rsidRPr="00792118">
              <w:rPr>
                <w:lang w:val="es-ES_tradnl"/>
              </w:rPr>
              <w:t>Informe</w:t>
            </w:r>
            <w:r w:rsidRPr="00792118">
              <w:rPr>
                <w:lang w:val="es-ES_tradnl"/>
              </w:rPr>
              <w:t xml:space="preserve"> </w:t>
            </w:r>
            <w:r w:rsidR="00EC79E9" w:rsidRPr="00792118">
              <w:rPr>
                <w:lang w:val="es-ES_tradnl"/>
              </w:rPr>
              <w:t>UIT</w:t>
            </w:r>
            <w:r w:rsidRPr="00792118">
              <w:rPr>
                <w:lang w:val="es-ES_tradnl"/>
              </w:rPr>
              <w:t>-R F.2333)</w:t>
            </w:r>
          </w:p>
        </w:tc>
        <w:tc>
          <w:tcPr>
            <w:tcW w:w="2072" w:type="pct"/>
          </w:tcPr>
          <w:p w:rsidR="00752B39" w:rsidRPr="00792118" w:rsidRDefault="00EC79E9" w:rsidP="00822172">
            <w:pPr>
              <w:pStyle w:val="Tabletext"/>
              <w:rPr>
                <w:lang w:val="es-ES_tradnl"/>
              </w:rPr>
            </w:pPr>
            <w:r w:rsidRPr="00792118">
              <w:rPr>
                <w:color w:val="000000"/>
                <w:lang w:val="es-ES_tradnl"/>
              </w:rPr>
              <w:t xml:space="preserve">Estudio de compartición y compatibilidad </w:t>
            </w:r>
            <w:r w:rsidR="00420235" w:rsidRPr="00792118">
              <w:rPr>
                <w:color w:val="000000"/>
                <w:lang w:val="es-ES_tradnl"/>
              </w:rPr>
              <w:t>entre las IMT y el servicio fijo</w:t>
            </w:r>
          </w:p>
        </w:tc>
        <w:tc>
          <w:tcPr>
            <w:tcW w:w="648" w:type="pct"/>
            <w:vAlign w:val="center"/>
          </w:tcPr>
          <w:p w:rsidR="00752B39" w:rsidRPr="00792118" w:rsidRDefault="00752B39" w:rsidP="00822172">
            <w:pPr>
              <w:pStyle w:val="Tabletext"/>
              <w:jc w:val="center"/>
              <w:rPr>
                <w:lang w:val="es-ES_tradnl"/>
              </w:rPr>
            </w:pPr>
            <w:r w:rsidRPr="00792118">
              <w:rPr>
                <w:lang w:val="es-ES_tradnl"/>
              </w:rPr>
              <w:t>10</w:t>
            </w:r>
          </w:p>
        </w:tc>
        <w:tc>
          <w:tcPr>
            <w:tcW w:w="601" w:type="pct"/>
            <w:vAlign w:val="center"/>
          </w:tcPr>
          <w:p w:rsidR="00752B39" w:rsidRPr="00792118" w:rsidRDefault="00752B39" w:rsidP="00822172">
            <w:pPr>
              <w:pStyle w:val="Tabletext"/>
              <w:jc w:val="center"/>
              <w:rPr>
                <w:lang w:val="es-ES_tradnl"/>
              </w:rPr>
            </w:pPr>
            <w:r w:rsidRPr="00792118">
              <w:rPr>
                <w:lang w:val="es-ES_tradnl"/>
              </w:rPr>
              <w:t>5</w:t>
            </w:r>
          </w:p>
        </w:tc>
      </w:tr>
      <w:tr w:rsidR="006F04BF" w:rsidRPr="00792118" w:rsidTr="00AC0CBE">
        <w:trPr>
          <w:cantSplit/>
          <w:jc w:val="center"/>
        </w:trPr>
        <w:tc>
          <w:tcPr>
            <w:tcW w:w="1680" w:type="pct"/>
          </w:tcPr>
          <w:p w:rsidR="00752B39" w:rsidRPr="00792118" w:rsidRDefault="00420235" w:rsidP="00822172">
            <w:pPr>
              <w:pStyle w:val="Tabletext"/>
              <w:rPr>
                <w:lang w:val="es-ES_tradnl"/>
              </w:rPr>
            </w:pPr>
            <w:r w:rsidRPr="00792118">
              <w:rPr>
                <w:lang w:val="es-ES_tradnl"/>
              </w:rPr>
              <w:t>P</w:t>
            </w:r>
            <w:r w:rsidR="00752B39" w:rsidRPr="00792118">
              <w:rPr>
                <w:lang w:val="es-ES_tradnl"/>
              </w:rPr>
              <w:t xml:space="preserve">N </w:t>
            </w:r>
            <w:r w:rsidRPr="00792118">
              <w:rPr>
                <w:lang w:val="es-ES_tradnl"/>
              </w:rPr>
              <w:t>Informe</w:t>
            </w:r>
            <w:r w:rsidR="00752B39" w:rsidRPr="00792118">
              <w:rPr>
                <w:lang w:val="es-ES_tradnl"/>
              </w:rPr>
              <w:t xml:space="preserve"> </w:t>
            </w:r>
            <w:r w:rsidRPr="00792118">
              <w:rPr>
                <w:lang w:val="es-ES_tradnl"/>
              </w:rPr>
              <w:t>UIT</w:t>
            </w:r>
            <w:r w:rsidR="00752B39" w:rsidRPr="00792118">
              <w:rPr>
                <w:lang w:val="es-ES_tradnl"/>
              </w:rPr>
              <w:t>-R RS.[EESS-IMT 1.4 GHz]</w:t>
            </w:r>
          </w:p>
          <w:p w:rsidR="00752B39" w:rsidRPr="00792118" w:rsidRDefault="00752B39" w:rsidP="00822172">
            <w:pPr>
              <w:pStyle w:val="Tabletext"/>
              <w:rPr>
                <w:lang w:val="es-ES_tradnl"/>
              </w:rPr>
            </w:pPr>
            <w:r w:rsidRPr="00792118">
              <w:rPr>
                <w:lang w:val="es-ES_tradnl"/>
              </w:rPr>
              <w:t>(</w:t>
            </w:r>
            <w:r w:rsidR="00420235" w:rsidRPr="00792118">
              <w:rPr>
                <w:lang w:val="es-ES_tradnl"/>
              </w:rPr>
              <w:t>Informe</w:t>
            </w:r>
            <w:r w:rsidRPr="00792118">
              <w:rPr>
                <w:lang w:val="es-ES_tradnl"/>
              </w:rPr>
              <w:t xml:space="preserve"> </w:t>
            </w:r>
            <w:r w:rsidR="00420235" w:rsidRPr="00792118">
              <w:rPr>
                <w:lang w:val="es-ES_tradnl"/>
              </w:rPr>
              <w:t>UIT</w:t>
            </w:r>
            <w:r w:rsidRPr="00792118">
              <w:rPr>
                <w:lang w:val="es-ES_tradnl"/>
              </w:rPr>
              <w:t>-R RS.2336)</w:t>
            </w:r>
          </w:p>
        </w:tc>
        <w:tc>
          <w:tcPr>
            <w:tcW w:w="2072" w:type="pct"/>
          </w:tcPr>
          <w:p w:rsidR="00752B39" w:rsidRPr="00792118" w:rsidRDefault="00B612F9" w:rsidP="00822172">
            <w:pPr>
              <w:pStyle w:val="Tabletext"/>
              <w:rPr>
                <w:lang w:val="es-ES_tradnl"/>
              </w:rPr>
            </w:pPr>
            <w:r w:rsidRPr="00792118">
              <w:rPr>
                <w:lang w:val="es-ES_tradnl"/>
              </w:rPr>
              <w:t>Examen de las bandas de frecuencias entre</w:t>
            </w:r>
            <w:r w:rsidR="00752B39" w:rsidRPr="00792118">
              <w:rPr>
                <w:lang w:val="es-ES_tradnl"/>
              </w:rPr>
              <w:t xml:space="preserve"> 1 375</w:t>
            </w:r>
            <w:r w:rsidR="00752B39" w:rsidRPr="00792118">
              <w:rPr>
                <w:lang w:val="es-ES_tradnl"/>
              </w:rPr>
              <w:noBreakHyphen/>
              <w:t xml:space="preserve">1 400 MHz </w:t>
            </w:r>
            <w:r w:rsidRPr="00792118">
              <w:rPr>
                <w:lang w:val="es-ES_tradnl"/>
              </w:rPr>
              <w:t>y</w:t>
            </w:r>
            <w:r w:rsidR="00752B39" w:rsidRPr="00792118">
              <w:rPr>
                <w:lang w:val="es-ES_tradnl"/>
              </w:rPr>
              <w:t xml:space="preserve"> 1 427</w:t>
            </w:r>
            <w:r w:rsidR="00752B39" w:rsidRPr="00792118">
              <w:rPr>
                <w:lang w:val="es-ES_tradnl"/>
              </w:rPr>
              <w:noBreakHyphen/>
              <w:t xml:space="preserve">1 452 MHz </w:t>
            </w:r>
            <w:r w:rsidRPr="00792118">
              <w:rPr>
                <w:lang w:val="es-ES_tradnl"/>
              </w:rPr>
              <w:t>para la compatibilidad del servicio móvil con sistemas del servicio de exploración de la Tierra por satélite</w:t>
            </w:r>
            <w:r w:rsidR="00752B39" w:rsidRPr="00792118">
              <w:rPr>
                <w:lang w:val="es-ES_tradnl"/>
              </w:rPr>
              <w:t xml:space="preserve"> </w:t>
            </w:r>
            <w:r w:rsidRPr="00792118">
              <w:rPr>
                <w:lang w:val="es-ES_tradnl"/>
              </w:rPr>
              <w:t>(SETS) en la banda de frecuencias</w:t>
            </w:r>
            <w:r w:rsidR="003C6DF6" w:rsidRPr="00792118">
              <w:rPr>
                <w:lang w:val="es-ES_tradnl"/>
              </w:rPr>
              <w:t xml:space="preserve"> 1 </w:t>
            </w:r>
            <w:r w:rsidR="00752B39" w:rsidRPr="00792118">
              <w:rPr>
                <w:lang w:val="es-ES_tradnl"/>
              </w:rPr>
              <w:t>400-1 427 MHz</w:t>
            </w:r>
          </w:p>
        </w:tc>
        <w:tc>
          <w:tcPr>
            <w:tcW w:w="648" w:type="pct"/>
            <w:vAlign w:val="center"/>
          </w:tcPr>
          <w:p w:rsidR="00752B39" w:rsidRPr="00792118" w:rsidRDefault="00752B39" w:rsidP="00822172">
            <w:pPr>
              <w:pStyle w:val="Tabletext"/>
              <w:jc w:val="center"/>
              <w:rPr>
                <w:lang w:val="es-ES_tradnl"/>
              </w:rPr>
            </w:pPr>
            <w:r w:rsidRPr="00792118">
              <w:rPr>
                <w:lang w:val="es-ES_tradnl"/>
              </w:rPr>
              <w:t>11</w:t>
            </w:r>
          </w:p>
        </w:tc>
        <w:tc>
          <w:tcPr>
            <w:tcW w:w="601" w:type="pct"/>
            <w:vAlign w:val="center"/>
          </w:tcPr>
          <w:p w:rsidR="00752B39" w:rsidRPr="00792118" w:rsidRDefault="00752B39" w:rsidP="00822172">
            <w:pPr>
              <w:pStyle w:val="Tabletext"/>
              <w:jc w:val="center"/>
              <w:rPr>
                <w:lang w:val="es-ES_tradnl"/>
              </w:rPr>
            </w:pPr>
            <w:r w:rsidRPr="00792118">
              <w:rPr>
                <w:lang w:val="es-ES_tradnl"/>
              </w:rPr>
              <w:t>5 &amp; 7</w:t>
            </w:r>
          </w:p>
        </w:tc>
      </w:tr>
      <w:tr w:rsidR="006F04BF" w:rsidRPr="00792118" w:rsidTr="00AC0CBE">
        <w:trPr>
          <w:cantSplit/>
          <w:jc w:val="center"/>
        </w:trPr>
        <w:tc>
          <w:tcPr>
            <w:tcW w:w="1680" w:type="pct"/>
          </w:tcPr>
          <w:p w:rsidR="00752B39" w:rsidRPr="00792118" w:rsidRDefault="00B612F9" w:rsidP="00822172">
            <w:pPr>
              <w:pStyle w:val="Tabletext"/>
              <w:rPr>
                <w:lang w:val="es-ES_tradnl"/>
              </w:rPr>
            </w:pPr>
            <w:r w:rsidRPr="00792118">
              <w:rPr>
                <w:lang w:val="es-ES_tradnl"/>
              </w:rPr>
              <w:t>P</w:t>
            </w:r>
            <w:r w:rsidR="00752B39" w:rsidRPr="00792118">
              <w:rPr>
                <w:lang w:val="es-ES_tradnl"/>
              </w:rPr>
              <w:t xml:space="preserve">N </w:t>
            </w:r>
            <w:r w:rsidRPr="00792118">
              <w:rPr>
                <w:lang w:val="es-ES_tradnl"/>
              </w:rPr>
              <w:t>Informe</w:t>
            </w:r>
            <w:r w:rsidR="00752B39" w:rsidRPr="00792118">
              <w:rPr>
                <w:lang w:val="es-ES_tradnl"/>
              </w:rPr>
              <w:t xml:space="preserve"> </w:t>
            </w:r>
            <w:r w:rsidRPr="00792118">
              <w:rPr>
                <w:lang w:val="es-ES_tradnl"/>
              </w:rPr>
              <w:t>UIT</w:t>
            </w:r>
            <w:r w:rsidR="00752B39" w:rsidRPr="00792118">
              <w:rPr>
                <w:lang w:val="es-ES_tradnl"/>
              </w:rPr>
              <w:t>-R M.[AMT-IMT.SHARING.L-BAND]</w:t>
            </w:r>
          </w:p>
          <w:p w:rsidR="00752B39" w:rsidRPr="00792118" w:rsidRDefault="00752B39" w:rsidP="00822172">
            <w:pPr>
              <w:pStyle w:val="Tabletext"/>
              <w:rPr>
                <w:lang w:val="es-ES_tradnl"/>
              </w:rPr>
            </w:pPr>
            <w:r w:rsidRPr="00792118">
              <w:rPr>
                <w:lang w:val="es-ES_tradnl"/>
              </w:rPr>
              <w:t>(</w:t>
            </w:r>
            <w:r w:rsidR="00B612F9" w:rsidRPr="00792118">
              <w:rPr>
                <w:lang w:val="es-ES_tradnl"/>
              </w:rPr>
              <w:t>Informe</w:t>
            </w:r>
            <w:r w:rsidRPr="00792118">
              <w:rPr>
                <w:lang w:val="es-ES_tradnl"/>
              </w:rPr>
              <w:t xml:space="preserve"> </w:t>
            </w:r>
            <w:r w:rsidR="00B612F9" w:rsidRPr="00792118">
              <w:rPr>
                <w:lang w:val="es-ES_tradnl"/>
              </w:rPr>
              <w:t>UIT</w:t>
            </w:r>
            <w:r w:rsidRPr="00792118">
              <w:rPr>
                <w:lang w:val="es-ES_tradnl"/>
              </w:rPr>
              <w:t>-R M.2324)</w:t>
            </w:r>
          </w:p>
        </w:tc>
        <w:tc>
          <w:tcPr>
            <w:tcW w:w="2072" w:type="pct"/>
          </w:tcPr>
          <w:p w:rsidR="00752B39" w:rsidRPr="00792118" w:rsidRDefault="00B612F9" w:rsidP="003C6DF6">
            <w:pPr>
              <w:pStyle w:val="Tabletext"/>
              <w:rPr>
                <w:lang w:val="es-ES_tradnl"/>
              </w:rPr>
            </w:pPr>
            <w:r w:rsidRPr="00792118">
              <w:rPr>
                <w:color w:val="000000"/>
                <w:lang w:val="es-ES_tradnl"/>
              </w:rPr>
              <w:t>Estudios de compartición entre posibles sistemas IMT y sistemas de telemedida móvil aeronáutica en la banda de frecuencias 1 429-1</w:t>
            </w:r>
            <w:r w:rsidR="003C6DF6" w:rsidRPr="00792118">
              <w:rPr>
                <w:color w:val="000000"/>
                <w:lang w:val="es-ES_tradnl"/>
              </w:rPr>
              <w:t> </w:t>
            </w:r>
            <w:r w:rsidRPr="00792118">
              <w:rPr>
                <w:color w:val="000000"/>
                <w:lang w:val="es-ES_tradnl"/>
              </w:rPr>
              <w:t>535 MHz</w:t>
            </w:r>
          </w:p>
        </w:tc>
        <w:tc>
          <w:tcPr>
            <w:tcW w:w="648" w:type="pct"/>
            <w:vAlign w:val="center"/>
          </w:tcPr>
          <w:p w:rsidR="00752B39" w:rsidRPr="00792118" w:rsidRDefault="00752B39" w:rsidP="00822172">
            <w:pPr>
              <w:pStyle w:val="Tabletext"/>
              <w:jc w:val="center"/>
              <w:rPr>
                <w:lang w:val="es-ES_tradnl"/>
              </w:rPr>
            </w:pPr>
            <w:r w:rsidRPr="00792118">
              <w:rPr>
                <w:lang w:val="es-ES_tradnl"/>
              </w:rPr>
              <w:t>12</w:t>
            </w:r>
          </w:p>
        </w:tc>
        <w:tc>
          <w:tcPr>
            <w:tcW w:w="601" w:type="pct"/>
            <w:shd w:val="clear" w:color="auto" w:fill="auto"/>
            <w:vAlign w:val="center"/>
          </w:tcPr>
          <w:p w:rsidR="00752B39" w:rsidRPr="00792118" w:rsidRDefault="00752B39" w:rsidP="00822172">
            <w:pPr>
              <w:pStyle w:val="Tabletext"/>
              <w:jc w:val="center"/>
              <w:rPr>
                <w:lang w:val="es-ES_tradnl"/>
              </w:rPr>
            </w:pPr>
            <w:r w:rsidRPr="00792118">
              <w:rPr>
                <w:lang w:val="es-ES_tradnl"/>
              </w:rPr>
              <w:t>5</w:t>
            </w:r>
          </w:p>
        </w:tc>
      </w:tr>
      <w:tr w:rsidR="006F04BF" w:rsidRPr="00792118" w:rsidTr="00AC0CBE">
        <w:trPr>
          <w:cantSplit/>
          <w:jc w:val="center"/>
        </w:trPr>
        <w:tc>
          <w:tcPr>
            <w:tcW w:w="1680" w:type="pct"/>
          </w:tcPr>
          <w:p w:rsidR="00752B39" w:rsidRPr="00792118" w:rsidRDefault="00B612F9" w:rsidP="00822172">
            <w:pPr>
              <w:pStyle w:val="Tabletext"/>
              <w:rPr>
                <w:lang w:val="es-ES_tradnl"/>
              </w:rPr>
            </w:pPr>
            <w:r w:rsidRPr="00792118">
              <w:rPr>
                <w:lang w:val="es-ES_tradnl"/>
              </w:rPr>
              <w:t>P</w:t>
            </w:r>
            <w:r w:rsidR="00752B39" w:rsidRPr="00792118">
              <w:rPr>
                <w:lang w:val="es-ES_tradnl"/>
              </w:rPr>
              <w:t xml:space="preserve">N </w:t>
            </w:r>
            <w:r w:rsidRPr="00792118">
              <w:rPr>
                <w:lang w:val="es-ES_tradnl"/>
              </w:rPr>
              <w:t>Informe</w:t>
            </w:r>
            <w:r w:rsidR="00752B39" w:rsidRPr="00792118">
              <w:rPr>
                <w:lang w:val="es-ES_tradnl"/>
              </w:rPr>
              <w:t xml:space="preserve"> </w:t>
            </w:r>
            <w:r w:rsidRPr="00792118">
              <w:rPr>
                <w:lang w:val="es-ES_tradnl"/>
              </w:rPr>
              <w:t>UIT</w:t>
            </w:r>
            <w:r w:rsidR="00752B39" w:rsidRPr="00792118">
              <w:rPr>
                <w:lang w:val="es-ES_tradnl"/>
              </w:rPr>
              <w:t>-R BS.[BS_IMT]</w:t>
            </w:r>
          </w:p>
          <w:p w:rsidR="00752B39" w:rsidRPr="00792118" w:rsidRDefault="00752B39" w:rsidP="00822172">
            <w:pPr>
              <w:pStyle w:val="Tabletext"/>
              <w:rPr>
                <w:lang w:val="es-ES_tradnl"/>
              </w:rPr>
            </w:pPr>
            <w:r w:rsidRPr="00792118">
              <w:rPr>
                <w:lang w:val="es-ES_tradnl"/>
              </w:rPr>
              <w:t>(</w:t>
            </w:r>
            <w:r w:rsidR="00B612F9" w:rsidRPr="00792118">
              <w:rPr>
                <w:lang w:val="es-ES_tradnl"/>
              </w:rPr>
              <w:t>Informe</w:t>
            </w:r>
            <w:r w:rsidRPr="00792118">
              <w:rPr>
                <w:lang w:val="es-ES_tradnl"/>
              </w:rPr>
              <w:t xml:space="preserve"> </w:t>
            </w:r>
            <w:r w:rsidR="00B612F9" w:rsidRPr="00792118">
              <w:rPr>
                <w:lang w:val="es-ES_tradnl"/>
              </w:rPr>
              <w:t>UIT</w:t>
            </w:r>
            <w:r w:rsidRPr="00792118">
              <w:rPr>
                <w:lang w:val="es-ES_tradnl"/>
              </w:rPr>
              <w:t>-R BS.2340)</w:t>
            </w:r>
          </w:p>
        </w:tc>
        <w:tc>
          <w:tcPr>
            <w:tcW w:w="2072" w:type="pct"/>
          </w:tcPr>
          <w:p w:rsidR="00752B39" w:rsidRPr="00792118" w:rsidRDefault="00B612F9" w:rsidP="00822172">
            <w:pPr>
              <w:pStyle w:val="Tabletext"/>
              <w:rPr>
                <w:lang w:val="es-ES_tradnl"/>
              </w:rPr>
            </w:pPr>
            <w:r w:rsidRPr="00792118">
              <w:rPr>
                <w:color w:val="000000"/>
                <w:lang w:val="es-ES_tradnl"/>
              </w:rPr>
              <w:t>Compartición entre el servicio móvil (SM) y el servicio de radiodifusión (SR) en la banda de frecuencias 1 452-1 492 MHz</w:t>
            </w:r>
          </w:p>
        </w:tc>
        <w:tc>
          <w:tcPr>
            <w:tcW w:w="648" w:type="pct"/>
            <w:vAlign w:val="center"/>
          </w:tcPr>
          <w:p w:rsidR="00752B39" w:rsidRPr="00792118" w:rsidRDefault="00752B39" w:rsidP="00822172">
            <w:pPr>
              <w:pStyle w:val="Tabletext"/>
              <w:jc w:val="center"/>
              <w:rPr>
                <w:lang w:val="es-ES_tradnl"/>
              </w:rPr>
            </w:pPr>
            <w:r w:rsidRPr="00792118">
              <w:rPr>
                <w:lang w:val="es-ES_tradnl"/>
              </w:rPr>
              <w:t>13</w:t>
            </w:r>
          </w:p>
        </w:tc>
        <w:tc>
          <w:tcPr>
            <w:tcW w:w="601" w:type="pct"/>
            <w:vAlign w:val="center"/>
          </w:tcPr>
          <w:p w:rsidR="00752B39" w:rsidRPr="00792118" w:rsidRDefault="00752B39" w:rsidP="00822172">
            <w:pPr>
              <w:pStyle w:val="Tabletext"/>
              <w:jc w:val="center"/>
              <w:rPr>
                <w:lang w:val="es-ES_tradnl"/>
              </w:rPr>
            </w:pPr>
            <w:r w:rsidRPr="00792118">
              <w:rPr>
                <w:lang w:val="es-ES_tradnl"/>
              </w:rPr>
              <w:t>5 &amp; 6</w:t>
            </w:r>
          </w:p>
        </w:tc>
      </w:tr>
      <w:tr w:rsidR="006F04BF" w:rsidRPr="00792118" w:rsidTr="00AC0CBE">
        <w:trPr>
          <w:cantSplit/>
          <w:jc w:val="center"/>
        </w:trPr>
        <w:tc>
          <w:tcPr>
            <w:tcW w:w="1680" w:type="pct"/>
          </w:tcPr>
          <w:p w:rsidR="00752B39" w:rsidRPr="00792118" w:rsidRDefault="00B612F9" w:rsidP="00822172">
            <w:pPr>
              <w:pStyle w:val="Tabletext"/>
              <w:rPr>
                <w:lang w:val="es-ES_tradnl"/>
              </w:rPr>
            </w:pPr>
            <w:r w:rsidRPr="00792118">
              <w:rPr>
                <w:lang w:val="es-ES_tradnl"/>
              </w:rPr>
              <w:t>P</w:t>
            </w:r>
            <w:r w:rsidR="00752B39" w:rsidRPr="00792118">
              <w:rPr>
                <w:lang w:val="es-ES_tradnl"/>
              </w:rPr>
              <w:t xml:space="preserve">N </w:t>
            </w:r>
            <w:r w:rsidRPr="00792118">
              <w:rPr>
                <w:lang w:val="es-ES_tradnl"/>
              </w:rPr>
              <w:t>Informe</w:t>
            </w:r>
            <w:r w:rsidR="00752B39" w:rsidRPr="00792118">
              <w:rPr>
                <w:lang w:val="es-ES_tradnl"/>
              </w:rPr>
              <w:t xml:space="preserve"> </w:t>
            </w:r>
            <w:r w:rsidRPr="00792118">
              <w:rPr>
                <w:lang w:val="es-ES_tradnl"/>
              </w:rPr>
              <w:t>UIT</w:t>
            </w:r>
            <w:r w:rsidR="00752B39" w:rsidRPr="00792118">
              <w:rPr>
                <w:lang w:val="es-ES_tradnl"/>
              </w:rPr>
              <w:t>-R SA.[METSAT-IMT 1.7 GHz]</w:t>
            </w:r>
          </w:p>
          <w:p w:rsidR="00752B39" w:rsidRPr="00792118" w:rsidRDefault="00752B39" w:rsidP="00822172">
            <w:pPr>
              <w:pStyle w:val="Tabletext"/>
              <w:rPr>
                <w:lang w:val="es-ES_tradnl"/>
              </w:rPr>
            </w:pPr>
            <w:r w:rsidRPr="00792118">
              <w:rPr>
                <w:lang w:val="es-ES_tradnl"/>
              </w:rPr>
              <w:t>(</w:t>
            </w:r>
            <w:r w:rsidR="00B612F9" w:rsidRPr="00792118">
              <w:rPr>
                <w:lang w:val="es-ES_tradnl"/>
              </w:rPr>
              <w:t>Informe</w:t>
            </w:r>
            <w:r w:rsidRPr="00792118">
              <w:rPr>
                <w:lang w:val="es-ES_tradnl"/>
              </w:rPr>
              <w:t xml:space="preserve"> </w:t>
            </w:r>
            <w:r w:rsidR="00B612F9" w:rsidRPr="00792118">
              <w:rPr>
                <w:lang w:val="es-ES_tradnl"/>
              </w:rPr>
              <w:t>UIT</w:t>
            </w:r>
            <w:r w:rsidRPr="00792118">
              <w:rPr>
                <w:lang w:val="es-ES_tradnl"/>
              </w:rPr>
              <w:t>-R SA.2329)</w:t>
            </w:r>
          </w:p>
        </w:tc>
        <w:tc>
          <w:tcPr>
            <w:tcW w:w="2072" w:type="pct"/>
            <w:vAlign w:val="center"/>
          </w:tcPr>
          <w:p w:rsidR="00752B39" w:rsidRPr="00792118" w:rsidRDefault="00F3693F" w:rsidP="00822172">
            <w:pPr>
              <w:pStyle w:val="Tabletext"/>
              <w:rPr>
                <w:lang w:val="es-ES_tradnl"/>
              </w:rPr>
            </w:pPr>
            <w:r w:rsidRPr="00792118">
              <w:rPr>
                <w:color w:val="000000"/>
                <w:lang w:val="es-ES_tradnl"/>
              </w:rPr>
              <w:t>Evaluación de la compartición entre sistemas de satélites meteorológicos y estaciones IMT en la banda de frecuencias 1 695-1 710 MHz</w:t>
            </w:r>
          </w:p>
        </w:tc>
        <w:tc>
          <w:tcPr>
            <w:tcW w:w="648" w:type="pct"/>
            <w:vAlign w:val="center"/>
          </w:tcPr>
          <w:p w:rsidR="00752B39" w:rsidRPr="00792118" w:rsidRDefault="00752B39" w:rsidP="00822172">
            <w:pPr>
              <w:pStyle w:val="Tabletext"/>
              <w:jc w:val="center"/>
              <w:rPr>
                <w:lang w:val="es-ES_tradnl"/>
              </w:rPr>
            </w:pPr>
            <w:r w:rsidRPr="00792118">
              <w:rPr>
                <w:lang w:val="es-ES_tradnl"/>
              </w:rPr>
              <w:t>14</w:t>
            </w:r>
          </w:p>
        </w:tc>
        <w:tc>
          <w:tcPr>
            <w:tcW w:w="601" w:type="pct"/>
            <w:vAlign w:val="center"/>
          </w:tcPr>
          <w:p w:rsidR="00752B39" w:rsidRPr="00792118" w:rsidRDefault="00752B39" w:rsidP="00822172">
            <w:pPr>
              <w:pStyle w:val="Tabletext"/>
              <w:jc w:val="center"/>
              <w:rPr>
                <w:lang w:val="es-ES_tradnl"/>
              </w:rPr>
            </w:pPr>
            <w:r w:rsidRPr="00792118">
              <w:rPr>
                <w:lang w:val="es-ES_tradnl"/>
              </w:rPr>
              <w:t>5 &amp; 7</w:t>
            </w:r>
          </w:p>
        </w:tc>
      </w:tr>
      <w:tr w:rsidR="006F04BF" w:rsidRPr="00792118" w:rsidTr="00AC0CBE">
        <w:trPr>
          <w:cantSplit/>
          <w:jc w:val="center"/>
        </w:trPr>
        <w:tc>
          <w:tcPr>
            <w:tcW w:w="1680" w:type="pct"/>
          </w:tcPr>
          <w:p w:rsidR="00752B39" w:rsidRPr="00792118" w:rsidRDefault="00B612F9" w:rsidP="00822172">
            <w:pPr>
              <w:pStyle w:val="Tabletext"/>
              <w:rPr>
                <w:lang w:val="es-ES_tradnl"/>
              </w:rPr>
            </w:pPr>
            <w:r w:rsidRPr="00792118">
              <w:rPr>
                <w:lang w:val="es-ES_tradnl"/>
              </w:rPr>
              <w:lastRenderedPageBreak/>
              <w:t>P</w:t>
            </w:r>
            <w:r w:rsidR="00752B39" w:rsidRPr="00792118">
              <w:rPr>
                <w:lang w:val="es-ES_tradnl"/>
              </w:rPr>
              <w:t xml:space="preserve">N </w:t>
            </w:r>
            <w:r w:rsidRPr="00792118">
              <w:rPr>
                <w:lang w:val="es-ES_tradnl"/>
              </w:rPr>
              <w:t>Informe</w:t>
            </w:r>
            <w:r w:rsidR="00752B39" w:rsidRPr="00792118">
              <w:rPr>
                <w:lang w:val="es-ES_tradnl"/>
              </w:rPr>
              <w:t xml:space="preserve"> </w:t>
            </w:r>
            <w:r w:rsidRPr="00792118">
              <w:rPr>
                <w:lang w:val="es-ES_tradnl"/>
              </w:rPr>
              <w:t>UIT</w:t>
            </w:r>
            <w:r w:rsidR="00752B39" w:rsidRPr="00792118">
              <w:rPr>
                <w:lang w:val="es-ES_tradnl"/>
              </w:rPr>
              <w:t>-R SA.[EESS-IMT2 025-2 290 MHz]</w:t>
            </w:r>
          </w:p>
          <w:p w:rsidR="00752B39" w:rsidRPr="00792118" w:rsidRDefault="00752B39" w:rsidP="00822172">
            <w:pPr>
              <w:pStyle w:val="Tabletext"/>
              <w:rPr>
                <w:lang w:val="es-ES_tradnl"/>
              </w:rPr>
            </w:pPr>
            <w:r w:rsidRPr="00792118">
              <w:rPr>
                <w:lang w:val="es-ES_tradnl"/>
              </w:rPr>
              <w:t>(</w:t>
            </w:r>
            <w:r w:rsidR="00B612F9" w:rsidRPr="00792118">
              <w:rPr>
                <w:lang w:val="es-ES_tradnl"/>
              </w:rPr>
              <w:t>Informe</w:t>
            </w:r>
            <w:r w:rsidRPr="00792118">
              <w:rPr>
                <w:lang w:val="es-ES_tradnl"/>
              </w:rPr>
              <w:t xml:space="preserve"> </w:t>
            </w:r>
            <w:r w:rsidR="00B612F9" w:rsidRPr="00792118">
              <w:rPr>
                <w:lang w:val="es-ES_tradnl"/>
              </w:rPr>
              <w:t>UIT</w:t>
            </w:r>
            <w:r w:rsidRPr="00792118">
              <w:rPr>
                <w:lang w:val="es-ES_tradnl"/>
              </w:rPr>
              <w:t>-R SA.2325)</w:t>
            </w:r>
          </w:p>
        </w:tc>
        <w:tc>
          <w:tcPr>
            <w:tcW w:w="2072" w:type="pct"/>
            <w:vAlign w:val="center"/>
          </w:tcPr>
          <w:p w:rsidR="00752B39" w:rsidRPr="00792118" w:rsidRDefault="00F3693F" w:rsidP="00822172">
            <w:pPr>
              <w:pStyle w:val="Tabletext"/>
              <w:rPr>
                <w:lang w:val="es-ES_tradnl"/>
              </w:rPr>
            </w:pPr>
            <w:r w:rsidRPr="00792118">
              <w:rPr>
                <w:color w:val="000000"/>
                <w:lang w:val="es-ES_tradnl"/>
              </w:rPr>
              <w:t xml:space="preserve">Compartición entre enlaces espacio-espacio de los servicios de investigación espacial, de operaciones espaciales y de exploración de la Tierra por satélite y sistemas IMT en las bandas de </w:t>
            </w:r>
            <w:r w:rsidR="003C6DF6" w:rsidRPr="00792118">
              <w:rPr>
                <w:color w:val="000000"/>
                <w:lang w:val="es-ES_tradnl"/>
              </w:rPr>
              <w:t>frecuencias 2 025-2 110 MHz y 2 </w:t>
            </w:r>
            <w:r w:rsidRPr="00792118">
              <w:rPr>
                <w:color w:val="000000"/>
                <w:lang w:val="es-ES_tradnl"/>
              </w:rPr>
              <w:t>200-2 290 MHz</w:t>
            </w:r>
          </w:p>
        </w:tc>
        <w:tc>
          <w:tcPr>
            <w:tcW w:w="648" w:type="pct"/>
            <w:vAlign w:val="center"/>
          </w:tcPr>
          <w:p w:rsidR="00752B39" w:rsidRPr="00792118" w:rsidRDefault="00752B39" w:rsidP="00822172">
            <w:pPr>
              <w:pStyle w:val="Tabletext"/>
              <w:jc w:val="center"/>
              <w:rPr>
                <w:lang w:val="es-ES_tradnl"/>
              </w:rPr>
            </w:pPr>
            <w:r w:rsidRPr="00792118">
              <w:rPr>
                <w:lang w:val="es-ES_tradnl"/>
              </w:rPr>
              <w:t>15</w:t>
            </w:r>
          </w:p>
        </w:tc>
        <w:tc>
          <w:tcPr>
            <w:tcW w:w="601" w:type="pct"/>
            <w:vAlign w:val="center"/>
          </w:tcPr>
          <w:p w:rsidR="00752B39" w:rsidRPr="00792118" w:rsidRDefault="00752B39" w:rsidP="00822172">
            <w:pPr>
              <w:pStyle w:val="Tabletext"/>
              <w:jc w:val="center"/>
              <w:rPr>
                <w:lang w:val="es-ES_tradnl"/>
              </w:rPr>
            </w:pPr>
            <w:r w:rsidRPr="00792118">
              <w:rPr>
                <w:lang w:val="es-ES_tradnl"/>
              </w:rPr>
              <w:t>5 &amp; 7</w:t>
            </w:r>
          </w:p>
        </w:tc>
      </w:tr>
      <w:tr w:rsidR="006F04BF" w:rsidRPr="00792118" w:rsidTr="00AC0CBE">
        <w:trPr>
          <w:cantSplit/>
          <w:jc w:val="center"/>
        </w:trPr>
        <w:tc>
          <w:tcPr>
            <w:tcW w:w="1680" w:type="pct"/>
          </w:tcPr>
          <w:p w:rsidR="00752B39" w:rsidRPr="00792118" w:rsidRDefault="00F3693F" w:rsidP="00822172">
            <w:pPr>
              <w:pStyle w:val="Tabletext"/>
              <w:rPr>
                <w:lang w:val="es-ES_tradnl"/>
              </w:rPr>
            </w:pPr>
            <w:r w:rsidRPr="00792118">
              <w:rPr>
                <w:lang w:val="es-ES_tradnl"/>
              </w:rPr>
              <w:t>P</w:t>
            </w:r>
            <w:r w:rsidR="00752B39" w:rsidRPr="00792118">
              <w:rPr>
                <w:lang w:val="es-ES_tradnl"/>
              </w:rPr>
              <w:t xml:space="preserve">N </w:t>
            </w:r>
            <w:r w:rsidRPr="00792118">
              <w:rPr>
                <w:lang w:val="es-ES_tradnl"/>
              </w:rPr>
              <w:t>Informe</w:t>
            </w:r>
            <w:r w:rsidR="00752B39" w:rsidRPr="00792118">
              <w:rPr>
                <w:lang w:val="es-ES_tradnl"/>
              </w:rPr>
              <w:t xml:space="preserve"> </w:t>
            </w:r>
            <w:r w:rsidRPr="00792118">
              <w:rPr>
                <w:lang w:val="es-ES_tradnl"/>
              </w:rPr>
              <w:t>UIT</w:t>
            </w:r>
            <w:r w:rsidR="00A47126" w:rsidRPr="00792118">
              <w:rPr>
                <w:lang w:val="es-ES_tradnl"/>
              </w:rPr>
              <w:t>-R F.[IMT-FS 3 </w:t>
            </w:r>
            <w:r w:rsidR="00752B39" w:rsidRPr="00792118">
              <w:rPr>
                <w:lang w:val="es-ES_tradnl"/>
              </w:rPr>
              <w:t>400-4 200 MHz SHARING]</w:t>
            </w:r>
          </w:p>
          <w:p w:rsidR="00752B39" w:rsidRPr="00792118" w:rsidRDefault="00752B39" w:rsidP="00822172">
            <w:pPr>
              <w:pStyle w:val="Tabletext"/>
              <w:rPr>
                <w:lang w:val="es-ES_tradnl"/>
              </w:rPr>
            </w:pPr>
            <w:r w:rsidRPr="00792118">
              <w:rPr>
                <w:lang w:val="es-ES_tradnl"/>
              </w:rPr>
              <w:t>(</w:t>
            </w:r>
            <w:r w:rsidR="00F3693F" w:rsidRPr="00792118">
              <w:rPr>
                <w:lang w:val="es-ES_tradnl"/>
              </w:rPr>
              <w:t>Informe</w:t>
            </w:r>
            <w:r w:rsidRPr="00792118">
              <w:rPr>
                <w:lang w:val="es-ES_tradnl"/>
              </w:rPr>
              <w:t xml:space="preserve"> </w:t>
            </w:r>
            <w:r w:rsidR="00F3693F" w:rsidRPr="00792118">
              <w:rPr>
                <w:lang w:val="es-ES_tradnl"/>
              </w:rPr>
              <w:t>UIT</w:t>
            </w:r>
            <w:r w:rsidRPr="00792118">
              <w:rPr>
                <w:lang w:val="es-ES_tradnl"/>
              </w:rPr>
              <w:t>-R F.2328)</w:t>
            </w:r>
          </w:p>
        </w:tc>
        <w:tc>
          <w:tcPr>
            <w:tcW w:w="2072" w:type="pct"/>
          </w:tcPr>
          <w:p w:rsidR="00752B39" w:rsidRPr="00792118" w:rsidRDefault="00F3693F" w:rsidP="00822172">
            <w:pPr>
              <w:pStyle w:val="Tabletext"/>
              <w:rPr>
                <w:lang w:val="es-ES_tradnl"/>
              </w:rPr>
            </w:pPr>
            <w:r w:rsidRPr="00792118">
              <w:rPr>
                <w:color w:val="000000"/>
                <w:lang w:val="es-ES_tradnl"/>
              </w:rPr>
              <w:t>Compartición y compatibilidad entre sistemas IMT y sistemas del servicio fijo en la gama de frecuencias 3 400-4 200 MHz</w:t>
            </w:r>
          </w:p>
        </w:tc>
        <w:tc>
          <w:tcPr>
            <w:tcW w:w="648" w:type="pct"/>
            <w:vAlign w:val="center"/>
          </w:tcPr>
          <w:p w:rsidR="00752B39" w:rsidRPr="00792118" w:rsidRDefault="00752B39" w:rsidP="00822172">
            <w:pPr>
              <w:pStyle w:val="Tabletext"/>
              <w:jc w:val="center"/>
              <w:rPr>
                <w:lang w:val="es-ES_tradnl"/>
              </w:rPr>
            </w:pPr>
            <w:r w:rsidRPr="00792118">
              <w:rPr>
                <w:lang w:val="es-ES_tradnl"/>
              </w:rPr>
              <w:t>16</w:t>
            </w:r>
          </w:p>
        </w:tc>
        <w:tc>
          <w:tcPr>
            <w:tcW w:w="601" w:type="pct"/>
            <w:vAlign w:val="center"/>
          </w:tcPr>
          <w:p w:rsidR="00752B39" w:rsidRPr="00792118" w:rsidRDefault="00752B39" w:rsidP="00822172">
            <w:pPr>
              <w:pStyle w:val="Tabletext"/>
              <w:jc w:val="center"/>
              <w:rPr>
                <w:lang w:val="es-ES_tradnl"/>
              </w:rPr>
            </w:pPr>
            <w:r w:rsidRPr="00792118">
              <w:rPr>
                <w:lang w:val="es-ES_tradnl"/>
              </w:rPr>
              <w:t>5</w:t>
            </w:r>
          </w:p>
        </w:tc>
      </w:tr>
      <w:tr w:rsidR="006F04BF" w:rsidRPr="00792118" w:rsidTr="00AC0CBE">
        <w:trPr>
          <w:cantSplit/>
          <w:jc w:val="center"/>
        </w:trPr>
        <w:tc>
          <w:tcPr>
            <w:tcW w:w="1680" w:type="pct"/>
          </w:tcPr>
          <w:p w:rsidR="00752B39" w:rsidRPr="00792118" w:rsidRDefault="00FE3D48" w:rsidP="00822172">
            <w:pPr>
              <w:pStyle w:val="Tabletext"/>
              <w:rPr>
                <w:lang w:val="es-ES_tradnl"/>
              </w:rPr>
            </w:pPr>
            <w:r w:rsidRPr="00792118">
              <w:rPr>
                <w:lang w:val="es-ES_tradnl"/>
              </w:rPr>
              <w:t>PN Informe UIT-R [FSS-IMT C-BAND DOWNLINK]</w:t>
            </w:r>
          </w:p>
          <w:p w:rsidR="00752B39" w:rsidRPr="00792118" w:rsidRDefault="00752B39" w:rsidP="00822172">
            <w:pPr>
              <w:pStyle w:val="Tabletext"/>
              <w:rPr>
                <w:lang w:val="es-ES_tradnl"/>
              </w:rPr>
            </w:pPr>
            <w:r w:rsidRPr="00792118">
              <w:rPr>
                <w:lang w:val="es-ES_tradnl"/>
              </w:rPr>
              <w:t>(</w:t>
            </w:r>
            <w:r w:rsidR="00F3693F" w:rsidRPr="00792118">
              <w:rPr>
                <w:lang w:val="es-ES_tradnl"/>
              </w:rPr>
              <w:t>Informe</w:t>
            </w:r>
            <w:r w:rsidRPr="00792118">
              <w:rPr>
                <w:lang w:val="es-ES_tradnl"/>
              </w:rPr>
              <w:t xml:space="preserve"> </w:t>
            </w:r>
            <w:r w:rsidR="00F3693F" w:rsidRPr="00792118">
              <w:rPr>
                <w:lang w:val="es-ES_tradnl"/>
              </w:rPr>
              <w:t>UIT</w:t>
            </w:r>
            <w:r w:rsidRPr="00792118">
              <w:rPr>
                <w:lang w:val="es-ES_tradnl"/>
              </w:rPr>
              <w:t>-R S.2368)</w:t>
            </w:r>
          </w:p>
        </w:tc>
        <w:tc>
          <w:tcPr>
            <w:tcW w:w="2072" w:type="pct"/>
            <w:vAlign w:val="center"/>
          </w:tcPr>
          <w:p w:rsidR="00752B39" w:rsidRPr="00792118" w:rsidRDefault="00FE3D48" w:rsidP="00822172">
            <w:pPr>
              <w:pStyle w:val="Tabletext"/>
              <w:rPr>
                <w:lang w:val="es-ES_tradnl"/>
              </w:rPr>
            </w:pPr>
            <w:r w:rsidRPr="00792118">
              <w:rPr>
                <w:lang w:val="es-ES_tradnl" w:eastAsia="zh-CN"/>
              </w:rPr>
              <w:t>Estudios de compartición entre sistemas IMT-Avanzadas y redes de satélites geoestacionarios del servicio fijo por satélite en las bandas de frecuencias 3 400-4 200 MHz y 4 500-4 800 MHz</w:t>
            </w:r>
          </w:p>
        </w:tc>
        <w:tc>
          <w:tcPr>
            <w:tcW w:w="648" w:type="pct"/>
            <w:vAlign w:val="center"/>
          </w:tcPr>
          <w:p w:rsidR="00752B39" w:rsidRPr="00792118" w:rsidRDefault="00752B39" w:rsidP="00822172">
            <w:pPr>
              <w:pStyle w:val="Tabletext"/>
              <w:jc w:val="center"/>
              <w:rPr>
                <w:lang w:val="es-ES_tradnl"/>
              </w:rPr>
            </w:pPr>
            <w:r w:rsidRPr="00792118">
              <w:rPr>
                <w:lang w:val="es-ES_tradnl"/>
              </w:rPr>
              <w:t>17</w:t>
            </w:r>
          </w:p>
        </w:tc>
        <w:tc>
          <w:tcPr>
            <w:tcW w:w="601" w:type="pct"/>
            <w:vAlign w:val="center"/>
          </w:tcPr>
          <w:p w:rsidR="00752B39" w:rsidRPr="00792118" w:rsidRDefault="00752B39" w:rsidP="00822172">
            <w:pPr>
              <w:pStyle w:val="Tabletext"/>
              <w:jc w:val="center"/>
              <w:rPr>
                <w:lang w:val="es-ES_tradnl"/>
              </w:rPr>
            </w:pPr>
            <w:r w:rsidRPr="00792118">
              <w:rPr>
                <w:lang w:val="es-ES_tradnl"/>
              </w:rPr>
              <w:t>4 &amp; 5</w:t>
            </w:r>
          </w:p>
        </w:tc>
      </w:tr>
      <w:tr w:rsidR="006F04BF" w:rsidRPr="00792118" w:rsidTr="00AC0CBE">
        <w:trPr>
          <w:cantSplit/>
          <w:jc w:val="center"/>
        </w:trPr>
        <w:tc>
          <w:tcPr>
            <w:tcW w:w="1680" w:type="pct"/>
          </w:tcPr>
          <w:p w:rsidR="00752B39" w:rsidRPr="00792118" w:rsidRDefault="00F3693F" w:rsidP="00822172">
            <w:pPr>
              <w:pStyle w:val="Tabletext"/>
              <w:rPr>
                <w:lang w:val="es-ES_tradnl"/>
              </w:rPr>
            </w:pPr>
            <w:r w:rsidRPr="00792118">
              <w:rPr>
                <w:lang w:val="es-ES_tradnl"/>
              </w:rPr>
              <w:t>P</w:t>
            </w:r>
            <w:r w:rsidR="00752B39" w:rsidRPr="00792118">
              <w:rPr>
                <w:lang w:val="es-ES_tradnl"/>
              </w:rPr>
              <w:t xml:space="preserve">N </w:t>
            </w:r>
            <w:r w:rsidRPr="00792118">
              <w:rPr>
                <w:lang w:val="es-ES_tradnl"/>
              </w:rPr>
              <w:t>Informe</w:t>
            </w:r>
            <w:r w:rsidR="00752B39" w:rsidRPr="00792118">
              <w:rPr>
                <w:lang w:val="es-ES_tradnl"/>
              </w:rPr>
              <w:t xml:space="preserve"> </w:t>
            </w:r>
            <w:r w:rsidRPr="00792118">
              <w:rPr>
                <w:lang w:val="es-ES_tradnl"/>
              </w:rPr>
              <w:t>UIT</w:t>
            </w:r>
            <w:r w:rsidR="00752B39" w:rsidRPr="00792118">
              <w:rPr>
                <w:lang w:val="es-ES_tradnl"/>
              </w:rPr>
              <w:t>-R F.[FS-IMT 4 400</w:t>
            </w:r>
            <w:r w:rsidR="00752B39" w:rsidRPr="00792118">
              <w:rPr>
                <w:lang w:val="es-ES_tradnl"/>
              </w:rPr>
              <w:noBreakHyphen/>
              <w:t>4 990 MHz SHARING AND COMPATIBILITY]</w:t>
            </w:r>
          </w:p>
          <w:p w:rsidR="00752B39" w:rsidRPr="00792118" w:rsidRDefault="00752B39" w:rsidP="00822172">
            <w:pPr>
              <w:pStyle w:val="Tabletext"/>
              <w:rPr>
                <w:lang w:val="es-ES_tradnl"/>
              </w:rPr>
            </w:pPr>
            <w:r w:rsidRPr="00792118">
              <w:rPr>
                <w:lang w:val="es-ES_tradnl"/>
              </w:rPr>
              <w:t>(</w:t>
            </w:r>
            <w:r w:rsidR="00F3693F" w:rsidRPr="00792118">
              <w:rPr>
                <w:lang w:val="es-ES_tradnl"/>
              </w:rPr>
              <w:t>Informe</w:t>
            </w:r>
            <w:r w:rsidRPr="00792118">
              <w:rPr>
                <w:lang w:val="es-ES_tradnl"/>
              </w:rPr>
              <w:t xml:space="preserve"> </w:t>
            </w:r>
            <w:r w:rsidR="00F3693F" w:rsidRPr="00792118">
              <w:rPr>
                <w:lang w:val="es-ES_tradnl"/>
              </w:rPr>
              <w:t>UIT</w:t>
            </w:r>
            <w:r w:rsidRPr="00792118">
              <w:rPr>
                <w:lang w:val="es-ES_tradnl"/>
              </w:rPr>
              <w:t>-R F.2327)</w:t>
            </w:r>
          </w:p>
        </w:tc>
        <w:tc>
          <w:tcPr>
            <w:tcW w:w="2072" w:type="pct"/>
          </w:tcPr>
          <w:p w:rsidR="00752B39" w:rsidRPr="00792118" w:rsidRDefault="00F3693F" w:rsidP="00822172">
            <w:pPr>
              <w:pStyle w:val="Tabletext"/>
              <w:rPr>
                <w:lang w:val="es-ES_tradnl"/>
              </w:rPr>
            </w:pPr>
            <w:r w:rsidRPr="00792118">
              <w:rPr>
                <w:color w:val="000000"/>
                <w:lang w:val="es-ES_tradnl"/>
              </w:rPr>
              <w:t>Estudios de compartición y compatibilidad entre sistemas IMT y sistemas fijos inalámbricos punto a punto en la banda de frecuencias 4 400-4 990 MHz</w:t>
            </w:r>
          </w:p>
        </w:tc>
        <w:tc>
          <w:tcPr>
            <w:tcW w:w="648" w:type="pct"/>
            <w:vAlign w:val="center"/>
          </w:tcPr>
          <w:p w:rsidR="00752B39" w:rsidRPr="00792118" w:rsidRDefault="00752B39" w:rsidP="00822172">
            <w:pPr>
              <w:pStyle w:val="Tabletext"/>
              <w:jc w:val="center"/>
              <w:rPr>
                <w:lang w:val="es-ES_tradnl"/>
              </w:rPr>
            </w:pPr>
            <w:r w:rsidRPr="00792118">
              <w:rPr>
                <w:lang w:val="es-ES_tradnl"/>
              </w:rPr>
              <w:t>18</w:t>
            </w:r>
          </w:p>
        </w:tc>
        <w:tc>
          <w:tcPr>
            <w:tcW w:w="601" w:type="pct"/>
            <w:shd w:val="clear" w:color="auto" w:fill="auto"/>
            <w:vAlign w:val="center"/>
          </w:tcPr>
          <w:p w:rsidR="00752B39" w:rsidRPr="00792118" w:rsidRDefault="00752B39" w:rsidP="00822172">
            <w:pPr>
              <w:pStyle w:val="Tabletext"/>
              <w:jc w:val="center"/>
              <w:rPr>
                <w:lang w:val="es-ES_tradnl"/>
              </w:rPr>
            </w:pPr>
            <w:r w:rsidRPr="00792118">
              <w:rPr>
                <w:lang w:val="es-ES_tradnl"/>
              </w:rPr>
              <w:t>5</w:t>
            </w:r>
          </w:p>
        </w:tc>
      </w:tr>
      <w:tr w:rsidR="006F04BF" w:rsidRPr="00792118" w:rsidTr="00AC0CBE">
        <w:trPr>
          <w:cantSplit/>
          <w:jc w:val="center"/>
        </w:trPr>
        <w:tc>
          <w:tcPr>
            <w:tcW w:w="1680" w:type="pct"/>
          </w:tcPr>
          <w:p w:rsidR="00752B39" w:rsidRPr="00792118" w:rsidRDefault="00A61F5D" w:rsidP="00822172">
            <w:pPr>
              <w:pStyle w:val="Tabletext"/>
              <w:rPr>
                <w:lang w:val="es-ES_tradnl"/>
              </w:rPr>
            </w:pPr>
            <w:r w:rsidRPr="00792118">
              <w:rPr>
                <w:lang w:val="es-ES_tradnl"/>
              </w:rPr>
              <w:t>PN Informe UIT-R [FSS-IMT C-BAND UPLINK]</w:t>
            </w:r>
          </w:p>
          <w:p w:rsidR="00752B39" w:rsidRPr="00792118" w:rsidRDefault="00752B39" w:rsidP="00822172">
            <w:pPr>
              <w:pStyle w:val="Tabletext"/>
              <w:rPr>
                <w:lang w:val="es-ES_tradnl"/>
              </w:rPr>
            </w:pPr>
            <w:r w:rsidRPr="00792118">
              <w:rPr>
                <w:lang w:val="es-ES_tradnl"/>
              </w:rPr>
              <w:t>(</w:t>
            </w:r>
            <w:r w:rsidR="00F3693F" w:rsidRPr="00792118">
              <w:rPr>
                <w:lang w:val="es-ES_tradnl"/>
              </w:rPr>
              <w:t>Informe</w:t>
            </w:r>
            <w:r w:rsidRPr="00792118">
              <w:rPr>
                <w:lang w:val="es-ES_tradnl"/>
              </w:rPr>
              <w:t xml:space="preserve"> </w:t>
            </w:r>
            <w:r w:rsidR="00F3693F" w:rsidRPr="00792118">
              <w:rPr>
                <w:lang w:val="es-ES_tradnl"/>
              </w:rPr>
              <w:t>UIT</w:t>
            </w:r>
            <w:r w:rsidRPr="00792118">
              <w:rPr>
                <w:lang w:val="es-ES_tradnl"/>
              </w:rPr>
              <w:t>-R S.2367)</w:t>
            </w:r>
          </w:p>
        </w:tc>
        <w:tc>
          <w:tcPr>
            <w:tcW w:w="2072" w:type="pct"/>
            <w:vAlign w:val="center"/>
          </w:tcPr>
          <w:p w:rsidR="00752B39" w:rsidRPr="00792118" w:rsidRDefault="00A61F5D" w:rsidP="00822172">
            <w:pPr>
              <w:pStyle w:val="Tabletext"/>
              <w:rPr>
                <w:lang w:val="es-ES_tradnl"/>
              </w:rPr>
            </w:pPr>
            <w:r w:rsidRPr="00792118">
              <w:rPr>
                <w:lang w:val="es-ES_tradnl" w:eastAsia="zh-CN"/>
              </w:rPr>
              <w:t>Compartición y compatibilidad entre sistemas IMT y redes del servicio fijo por satélite en la gama de frecuencias 5 850-6 425 MHz</w:t>
            </w:r>
          </w:p>
        </w:tc>
        <w:tc>
          <w:tcPr>
            <w:tcW w:w="648" w:type="pct"/>
            <w:vAlign w:val="center"/>
          </w:tcPr>
          <w:p w:rsidR="00752B39" w:rsidRPr="00792118" w:rsidRDefault="00752B39" w:rsidP="00822172">
            <w:pPr>
              <w:pStyle w:val="Tabletext"/>
              <w:jc w:val="center"/>
              <w:rPr>
                <w:lang w:val="es-ES_tradnl"/>
              </w:rPr>
            </w:pPr>
            <w:r w:rsidRPr="00792118">
              <w:rPr>
                <w:lang w:val="es-ES_tradnl"/>
              </w:rPr>
              <w:t>19</w:t>
            </w:r>
          </w:p>
        </w:tc>
        <w:tc>
          <w:tcPr>
            <w:tcW w:w="601" w:type="pct"/>
            <w:vAlign w:val="center"/>
          </w:tcPr>
          <w:p w:rsidR="00752B39" w:rsidRPr="00792118" w:rsidRDefault="00752B39" w:rsidP="00822172">
            <w:pPr>
              <w:pStyle w:val="Tabletext"/>
              <w:jc w:val="center"/>
              <w:rPr>
                <w:lang w:val="es-ES_tradnl"/>
              </w:rPr>
            </w:pPr>
            <w:r w:rsidRPr="00792118">
              <w:rPr>
                <w:lang w:val="es-ES_tradnl"/>
              </w:rPr>
              <w:t>4 &amp; 5</w:t>
            </w:r>
          </w:p>
        </w:tc>
      </w:tr>
      <w:tr w:rsidR="006F04BF" w:rsidRPr="00792118" w:rsidTr="00AC0CBE">
        <w:trPr>
          <w:cantSplit/>
          <w:jc w:val="center"/>
        </w:trPr>
        <w:tc>
          <w:tcPr>
            <w:tcW w:w="1680" w:type="pct"/>
          </w:tcPr>
          <w:p w:rsidR="00752B39" w:rsidRPr="00792118" w:rsidRDefault="00F3693F" w:rsidP="00822172">
            <w:pPr>
              <w:pStyle w:val="Tabletext"/>
              <w:rPr>
                <w:lang w:val="es-ES_tradnl"/>
              </w:rPr>
            </w:pPr>
            <w:r w:rsidRPr="00792118">
              <w:rPr>
                <w:lang w:val="es-ES_tradnl"/>
              </w:rPr>
              <w:t>P</w:t>
            </w:r>
            <w:r w:rsidR="00752B39" w:rsidRPr="00792118">
              <w:rPr>
                <w:lang w:val="es-ES_tradnl"/>
              </w:rPr>
              <w:t xml:space="preserve">N </w:t>
            </w:r>
            <w:r w:rsidRPr="00792118">
              <w:rPr>
                <w:lang w:val="es-ES_tradnl"/>
              </w:rPr>
              <w:t>Informe</w:t>
            </w:r>
            <w:r w:rsidR="00752B39" w:rsidRPr="00792118">
              <w:rPr>
                <w:lang w:val="es-ES_tradnl"/>
              </w:rPr>
              <w:t xml:space="preserve"> </w:t>
            </w:r>
            <w:r w:rsidRPr="00792118">
              <w:rPr>
                <w:lang w:val="es-ES_tradnl"/>
              </w:rPr>
              <w:t>UIT</w:t>
            </w:r>
            <w:r w:rsidR="00752B39" w:rsidRPr="00792118">
              <w:rPr>
                <w:lang w:val="es-ES_tradnl"/>
              </w:rPr>
              <w:t>-R F.[IMT-FS 5 925-6 425 MHz SHARING]</w:t>
            </w:r>
          </w:p>
          <w:p w:rsidR="00752B39" w:rsidRPr="00792118" w:rsidRDefault="00752B39" w:rsidP="00822172">
            <w:pPr>
              <w:pStyle w:val="Tabletext"/>
              <w:rPr>
                <w:lang w:val="es-ES_tradnl"/>
              </w:rPr>
            </w:pPr>
            <w:r w:rsidRPr="00792118">
              <w:rPr>
                <w:lang w:val="es-ES_tradnl"/>
              </w:rPr>
              <w:t>(</w:t>
            </w:r>
            <w:r w:rsidR="00F3693F" w:rsidRPr="00792118">
              <w:rPr>
                <w:lang w:val="es-ES_tradnl"/>
              </w:rPr>
              <w:t>Informe</w:t>
            </w:r>
            <w:r w:rsidRPr="00792118">
              <w:rPr>
                <w:lang w:val="es-ES_tradnl"/>
              </w:rPr>
              <w:t xml:space="preserve"> </w:t>
            </w:r>
            <w:r w:rsidR="00F3693F" w:rsidRPr="00792118">
              <w:rPr>
                <w:lang w:val="es-ES_tradnl"/>
              </w:rPr>
              <w:t>UIT</w:t>
            </w:r>
            <w:r w:rsidRPr="00792118">
              <w:rPr>
                <w:lang w:val="es-ES_tradnl"/>
              </w:rPr>
              <w:t>-R F.2326)</w:t>
            </w:r>
          </w:p>
        </w:tc>
        <w:tc>
          <w:tcPr>
            <w:tcW w:w="2072" w:type="pct"/>
          </w:tcPr>
          <w:p w:rsidR="00752B39" w:rsidRPr="00792118" w:rsidRDefault="00A569E8" w:rsidP="00822172">
            <w:pPr>
              <w:pStyle w:val="Tabletext"/>
              <w:rPr>
                <w:lang w:val="es-ES_tradnl"/>
              </w:rPr>
            </w:pPr>
            <w:r w:rsidRPr="00792118">
              <w:rPr>
                <w:lang w:val="es-ES_tradnl"/>
              </w:rPr>
              <w:t>Estudio de compartición y compatibilidad entre pequeñas células IMT en interiores y estaciones del SF en la banda de frecuencias 5 925</w:t>
            </w:r>
            <w:r w:rsidRPr="00792118">
              <w:rPr>
                <w:lang w:val="es-ES_tradnl"/>
              </w:rPr>
              <w:noBreakHyphen/>
              <w:t>6 425 MHz</w:t>
            </w:r>
          </w:p>
        </w:tc>
        <w:tc>
          <w:tcPr>
            <w:tcW w:w="648" w:type="pct"/>
            <w:vAlign w:val="center"/>
          </w:tcPr>
          <w:p w:rsidR="00752B39" w:rsidRPr="00792118" w:rsidRDefault="00752B39" w:rsidP="00822172">
            <w:pPr>
              <w:pStyle w:val="Tabletext"/>
              <w:jc w:val="center"/>
              <w:rPr>
                <w:lang w:val="es-ES_tradnl"/>
              </w:rPr>
            </w:pPr>
            <w:r w:rsidRPr="00792118">
              <w:rPr>
                <w:lang w:val="es-ES_tradnl"/>
              </w:rPr>
              <w:t>20</w:t>
            </w:r>
          </w:p>
        </w:tc>
        <w:tc>
          <w:tcPr>
            <w:tcW w:w="601" w:type="pct"/>
            <w:vAlign w:val="center"/>
          </w:tcPr>
          <w:p w:rsidR="00752B39" w:rsidRPr="00792118" w:rsidRDefault="00752B39" w:rsidP="00822172">
            <w:pPr>
              <w:pStyle w:val="Tabletext"/>
              <w:jc w:val="center"/>
              <w:rPr>
                <w:lang w:val="es-ES_tradnl"/>
              </w:rPr>
            </w:pPr>
            <w:r w:rsidRPr="00792118">
              <w:rPr>
                <w:lang w:val="es-ES_tradnl"/>
              </w:rPr>
              <w:t>5</w:t>
            </w:r>
          </w:p>
        </w:tc>
      </w:tr>
    </w:tbl>
    <w:p w:rsidR="00752B39" w:rsidRPr="00792118" w:rsidRDefault="00F3693F" w:rsidP="00822172">
      <w:pPr>
        <w:rPr>
          <w:lang w:val="es-ES_tradnl"/>
        </w:rPr>
      </w:pPr>
      <w:r w:rsidRPr="00792118">
        <w:rPr>
          <w:lang w:val="es-ES_tradnl"/>
        </w:rPr>
        <w:t xml:space="preserve">Cabe destacar que, cuando se redactaba este informe, las Comisiones de Estudio interesadas </w:t>
      </w:r>
      <w:r w:rsidR="00AB317F" w:rsidRPr="00792118">
        <w:rPr>
          <w:lang w:val="es-ES_tradnl"/>
        </w:rPr>
        <w:t>aprobaron</w:t>
      </w:r>
      <w:r w:rsidRPr="00792118">
        <w:rPr>
          <w:lang w:val="es-ES_tradnl"/>
        </w:rPr>
        <w:t xml:space="preserve"> 14 de estos Informes. Los dos últimos están pendientes de aprobación por la Comisión de Estudio 4. También conviene destacar que en el Cuadro 2, cuando figuran dos Comisiones de Estudio </w:t>
      </w:r>
      <w:r w:rsidR="00D676BD" w:rsidRPr="00792118">
        <w:rPr>
          <w:lang w:val="es-ES_tradnl"/>
        </w:rPr>
        <w:t>como</w:t>
      </w:r>
      <w:r w:rsidRPr="00792118">
        <w:rPr>
          <w:lang w:val="es-ES_tradnl"/>
        </w:rPr>
        <w:t xml:space="preserve"> comisiones interesadas para un determinado Informe, la aprobación del Infor</w:t>
      </w:r>
      <w:r w:rsidR="00AB317F" w:rsidRPr="00792118">
        <w:rPr>
          <w:lang w:val="es-ES_tradnl"/>
        </w:rPr>
        <w:t>me es responsabilidad de ambas C</w:t>
      </w:r>
      <w:r w:rsidRPr="00792118">
        <w:rPr>
          <w:lang w:val="es-ES_tradnl"/>
        </w:rPr>
        <w:t>omi</w:t>
      </w:r>
      <w:r w:rsidR="00D676BD" w:rsidRPr="00792118">
        <w:rPr>
          <w:lang w:val="es-ES_tradnl"/>
        </w:rPr>
        <w:t>siones de Estudio</w:t>
      </w:r>
      <w:r w:rsidR="00BF24C0" w:rsidRPr="00792118">
        <w:rPr>
          <w:lang w:val="es-ES_tradnl"/>
        </w:rPr>
        <w:t>.</w:t>
      </w:r>
    </w:p>
    <w:p w:rsidR="00752B39" w:rsidRPr="00792118" w:rsidRDefault="00D676BD" w:rsidP="00822172">
      <w:pPr>
        <w:rPr>
          <w:caps/>
          <w:sz w:val="20"/>
          <w:lang w:val="es-ES_tradnl"/>
        </w:rPr>
      </w:pPr>
      <w:r w:rsidRPr="00792118">
        <w:rPr>
          <w:lang w:val="es-ES_tradnl"/>
        </w:rPr>
        <w:t>Además de los proyectos de los nuevos Informes enumerados anteriormente, el GMTE 4-5-6-7 trabajó en los documentos de trabajo sobre anteproyectos de nuevos (</w:t>
      </w:r>
      <w:r w:rsidRPr="00792118">
        <w:rPr>
          <w:color w:val="000000"/>
          <w:lang w:val="es-ES_tradnl"/>
        </w:rPr>
        <w:t>DTAPN</w:t>
      </w:r>
      <w:r w:rsidRPr="00792118">
        <w:rPr>
          <w:lang w:val="es-ES_tradnl"/>
        </w:rPr>
        <w:t xml:space="preserve">) Informes y en los anteproyectos de nuevos (APN) Informes que se enumeran en el Cuadro 3 y que figuran en los Anexos 22 a 36 del Informe final del Presidente del GMTE </w:t>
      </w:r>
      <w:r w:rsidR="00752B39" w:rsidRPr="00792118">
        <w:rPr>
          <w:lang w:val="es-ES_tradnl"/>
        </w:rPr>
        <w:t>4-5-6-7 (Document</w:t>
      </w:r>
      <w:r w:rsidRPr="00792118">
        <w:rPr>
          <w:lang w:val="es-ES_tradnl"/>
        </w:rPr>
        <w:t>o</w:t>
      </w:r>
      <w:r w:rsidR="00752B39" w:rsidRPr="00792118">
        <w:rPr>
          <w:lang w:val="es-ES_tradnl"/>
        </w:rPr>
        <w:t xml:space="preserve"> 4-5-6-7/</w:t>
      </w:r>
      <w:hyperlink r:id="rId23" w:history="1">
        <w:r w:rsidR="00752B39" w:rsidRPr="00792118">
          <w:rPr>
            <w:color w:val="0000FF"/>
            <w:szCs w:val="24"/>
            <w:u w:val="single"/>
            <w:lang w:val="es-ES_tradnl"/>
          </w:rPr>
          <w:t>715</w:t>
        </w:r>
      </w:hyperlink>
      <w:r w:rsidR="00752B39" w:rsidRPr="00792118">
        <w:rPr>
          <w:lang w:val="es-ES_tradnl"/>
        </w:rPr>
        <w:t xml:space="preserve">). </w:t>
      </w:r>
      <w:r w:rsidR="00C72BD9" w:rsidRPr="00792118">
        <w:rPr>
          <w:lang w:val="es-ES_tradnl"/>
        </w:rPr>
        <w:t>Conviene</w:t>
      </w:r>
      <w:r w:rsidRPr="00792118">
        <w:rPr>
          <w:lang w:val="es-ES_tradnl"/>
        </w:rPr>
        <w:t xml:space="preserve"> destacar, sin embargo, que no </w:t>
      </w:r>
      <w:r w:rsidR="00C72BD9" w:rsidRPr="00792118">
        <w:rPr>
          <w:lang w:val="es-ES_tradnl"/>
        </w:rPr>
        <w:t>cabe ninguna distinción sobre el estado de los anexos independientemente de que figuren como APN o DTAPN Informe/Recomendación puesto que no se han enviado a las Comisiones de Estudio para su consideración.</w:t>
      </w:r>
    </w:p>
    <w:p w:rsidR="00752B39" w:rsidRPr="00792118" w:rsidRDefault="00C72BD9" w:rsidP="00822172">
      <w:pPr>
        <w:pStyle w:val="TableNo"/>
        <w:rPr>
          <w:lang w:val="es-ES_tradnl"/>
        </w:rPr>
      </w:pPr>
      <w:r w:rsidRPr="00792118">
        <w:rPr>
          <w:lang w:val="es-ES_tradnl"/>
        </w:rPr>
        <w:t>CUADRO</w:t>
      </w:r>
      <w:r w:rsidR="00752B39" w:rsidRPr="00792118">
        <w:rPr>
          <w:lang w:val="es-ES_tradnl"/>
        </w:rPr>
        <w:t xml:space="preserve"> 3</w:t>
      </w:r>
    </w:p>
    <w:p w:rsidR="00752B39" w:rsidRPr="00792118" w:rsidRDefault="00C72BD9" w:rsidP="00822172">
      <w:pPr>
        <w:pStyle w:val="Tabletitle"/>
        <w:rPr>
          <w:lang w:val="es-ES_tradnl"/>
        </w:rPr>
      </w:pPr>
      <w:r w:rsidRPr="00792118">
        <w:rPr>
          <w:lang w:val="es-ES_tradnl"/>
        </w:rPr>
        <w:t>DTAPN</w:t>
      </w:r>
      <w:r w:rsidR="00752B39" w:rsidRPr="00792118">
        <w:rPr>
          <w:lang w:val="es-ES_tradnl"/>
        </w:rPr>
        <w:t xml:space="preserve"> &amp; </w:t>
      </w:r>
      <w:r w:rsidRPr="00792118">
        <w:rPr>
          <w:lang w:val="es-ES_tradnl"/>
        </w:rPr>
        <w:t>APN</w:t>
      </w:r>
      <w:r w:rsidR="00752B39" w:rsidRPr="00792118">
        <w:rPr>
          <w:lang w:val="es-ES_tradnl"/>
        </w:rPr>
        <w:t xml:space="preserve"> </w:t>
      </w:r>
      <w:r w:rsidRPr="00792118">
        <w:rPr>
          <w:lang w:val="es-ES_tradnl"/>
        </w:rPr>
        <w:t>Informes</w:t>
      </w:r>
      <w:r w:rsidR="00752B39" w:rsidRPr="00792118">
        <w:rPr>
          <w:lang w:val="es-ES_tradnl"/>
        </w:rPr>
        <w:t xml:space="preserve"> </w:t>
      </w:r>
      <w:r w:rsidR="00DF157E">
        <w:rPr>
          <w:lang w:val="es-ES_tradnl"/>
        </w:rPr>
        <w:t>anex</w:t>
      </w:r>
      <w:r w:rsidRPr="00792118">
        <w:rPr>
          <w:lang w:val="es-ES_tradnl"/>
        </w:rPr>
        <w:t>os al Informe final del Presidente del GMTE</w:t>
      </w:r>
      <w:r w:rsidR="00752B39" w:rsidRPr="00792118">
        <w:rPr>
          <w:lang w:val="es-ES_tradnl"/>
        </w:rPr>
        <w:t xml:space="preserve"> 4-5-6-7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4778"/>
        <w:gridCol w:w="1265"/>
      </w:tblGrid>
      <w:tr w:rsidR="00752B39" w:rsidRPr="00792118" w:rsidTr="00AC0CBE">
        <w:trPr>
          <w:cantSplit/>
          <w:tblHeader/>
          <w:jc w:val="center"/>
        </w:trPr>
        <w:tc>
          <w:tcPr>
            <w:tcW w:w="1862" w:type="pct"/>
            <w:vAlign w:val="center"/>
          </w:tcPr>
          <w:p w:rsidR="00752B39" w:rsidRPr="00792118" w:rsidRDefault="00C72BD9" w:rsidP="00822172">
            <w:pPr>
              <w:pStyle w:val="Tablehead"/>
              <w:rPr>
                <w:lang w:val="es-ES_tradnl"/>
              </w:rPr>
            </w:pPr>
            <w:r w:rsidRPr="00792118">
              <w:rPr>
                <w:lang w:val="es-ES_tradnl"/>
              </w:rPr>
              <w:t>Informes</w:t>
            </w:r>
          </w:p>
        </w:tc>
        <w:tc>
          <w:tcPr>
            <w:tcW w:w="2481" w:type="pct"/>
            <w:vAlign w:val="center"/>
          </w:tcPr>
          <w:p w:rsidR="00752B39" w:rsidRPr="00792118" w:rsidRDefault="00C72BD9" w:rsidP="00822172">
            <w:pPr>
              <w:pStyle w:val="Tablehead"/>
              <w:rPr>
                <w:lang w:val="es-ES_tradnl"/>
              </w:rPr>
            </w:pPr>
            <w:r w:rsidRPr="00792118">
              <w:rPr>
                <w:lang w:val="es-ES_tradnl"/>
              </w:rPr>
              <w:t>Título</w:t>
            </w:r>
          </w:p>
        </w:tc>
        <w:tc>
          <w:tcPr>
            <w:tcW w:w="657" w:type="pct"/>
            <w:vAlign w:val="center"/>
          </w:tcPr>
          <w:p w:rsidR="00752B39" w:rsidRPr="00792118" w:rsidRDefault="00C72BD9" w:rsidP="00822172">
            <w:pPr>
              <w:pStyle w:val="Tablehead"/>
              <w:rPr>
                <w:lang w:val="es-ES_tradnl"/>
              </w:rPr>
            </w:pPr>
            <w:r w:rsidRPr="00792118">
              <w:rPr>
                <w:lang w:val="es-ES_tradnl"/>
              </w:rPr>
              <w:t>Anexo al Documento</w:t>
            </w:r>
            <w:r w:rsidR="00752B39" w:rsidRPr="00792118">
              <w:rPr>
                <w:lang w:val="es-ES_tradnl"/>
              </w:rPr>
              <w:t xml:space="preserve"> 4-5-6-7/</w:t>
            </w:r>
            <w:hyperlink r:id="rId24" w:history="1">
              <w:r w:rsidR="00752B39" w:rsidRPr="00792118">
                <w:rPr>
                  <w:color w:val="0000FF"/>
                  <w:u w:val="single"/>
                  <w:lang w:val="es-ES_tradnl"/>
                </w:rPr>
                <w:t>715</w:t>
              </w:r>
            </w:hyperlink>
          </w:p>
        </w:tc>
      </w:tr>
      <w:tr w:rsidR="00752B39" w:rsidRPr="00792118" w:rsidTr="00AC0CBE">
        <w:trPr>
          <w:cantSplit/>
          <w:jc w:val="center"/>
        </w:trPr>
        <w:tc>
          <w:tcPr>
            <w:tcW w:w="1862" w:type="pct"/>
          </w:tcPr>
          <w:p w:rsidR="00752B39" w:rsidRPr="00792118" w:rsidRDefault="00E81B8E" w:rsidP="00822172">
            <w:pPr>
              <w:pStyle w:val="Tabletext"/>
              <w:rPr>
                <w:lang w:val="es-ES_tradnl"/>
              </w:rPr>
            </w:pPr>
            <w:r w:rsidRPr="00792118">
              <w:rPr>
                <w:lang w:val="es-ES_tradnl"/>
              </w:rPr>
              <w:t>APN Informe</w:t>
            </w:r>
            <w:r w:rsidR="00752B39" w:rsidRPr="00792118">
              <w:rPr>
                <w:lang w:val="es-ES_tradnl"/>
              </w:rPr>
              <w:t xml:space="preserve"> </w:t>
            </w:r>
            <w:r w:rsidRPr="00792118">
              <w:rPr>
                <w:lang w:val="es-ES_tradnl"/>
              </w:rPr>
              <w:t>del UIT</w:t>
            </w:r>
            <w:r w:rsidR="00752B39" w:rsidRPr="00792118">
              <w:rPr>
                <w:lang w:val="es-ES_tradnl"/>
              </w:rPr>
              <w:t xml:space="preserve">-R </w:t>
            </w:r>
            <w:r w:rsidRPr="00792118">
              <w:rPr>
                <w:lang w:val="es-ES_tradnl"/>
              </w:rPr>
              <w:t>sobre estudios de compartición y compatibilidad</w:t>
            </w:r>
            <w:r w:rsidR="00752B39" w:rsidRPr="00792118">
              <w:rPr>
                <w:lang w:val="es-ES_tradnl"/>
              </w:rPr>
              <w:t xml:space="preserve"> </w:t>
            </w:r>
            <w:r w:rsidRPr="00792118">
              <w:rPr>
                <w:lang w:val="es-ES_tradnl"/>
              </w:rPr>
              <w:t>en relación con el punto 1.2 del orden del día</w:t>
            </w:r>
          </w:p>
        </w:tc>
        <w:tc>
          <w:tcPr>
            <w:tcW w:w="2481" w:type="pct"/>
          </w:tcPr>
          <w:p w:rsidR="00752B39" w:rsidRPr="00792118" w:rsidRDefault="00E81B8E" w:rsidP="00822172">
            <w:pPr>
              <w:pStyle w:val="Tabletext"/>
              <w:rPr>
                <w:lang w:val="es-ES_tradnl"/>
              </w:rPr>
            </w:pPr>
            <w:r w:rsidRPr="00792118">
              <w:rPr>
                <w:lang w:val="es-ES_tradnl"/>
              </w:rPr>
              <w:t>Compatibilidad en el canal adyacentes entre las IMT en la banda de frecuencia</w:t>
            </w:r>
            <w:r w:rsidR="00752B39" w:rsidRPr="00792118">
              <w:rPr>
                <w:lang w:val="es-ES_tradnl"/>
              </w:rPr>
              <w:t xml:space="preserve"> 694-790 MHz </w:t>
            </w:r>
            <w:r w:rsidRPr="00792118">
              <w:rPr>
                <w:lang w:val="es-ES_tradnl"/>
              </w:rPr>
              <w:t>y la radiodifusión de televisión</w:t>
            </w:r>
            <w:r w:rsidR="000B7FE4" w:rsidRPr="00792118">
              <w:rPr>
                <w:lang w:val="es-ES_tradnl"/>
              </w:rPr>
              <w:t xml:space="preserve"> terrenal digital en la zona de planificación GE06</w:t>
            </w:r>
            <w:r w:rsidR="00752B39" w:rsidRPr="00792118">
              <w:rPr>
                <w:lang w:val="es-ES_tradnl"/>
              </w:rPr>
              <w:t xml:space="preserve"> </w:t>
            </w:r>
          </w:p>
        </w:tc>
        <w:tc>
          <w:tcPr>
            <w:tcW w:w="657" w:type="pct"/>
            <w:vAlign w:val="center"/>
          </w:tcPr>
          <w:p w:rsidR="00752B39" w:rsidRPr="00792118" w:rsidRDefault="00752B39" w:rsidP="00822172">
            <w:pPr>
              <w:pStyle w:val="Tabletext"/>
              <w:jc w:val="center"/>
              <w:rPr>
                <w:lang w:val="es-ES_tradnl"/>
              </w:rPr>
            </w:pPr>
            <w:r w:rsidRPr="00792118">
              <w:rPr>
                <w:lang w:val="es-ES_tradnl"/>
              </w:rPr>
              <w:t>22</w:t>
            </w:r>
          </w:p>
        </w:tc>
      </w:tr>
      <w:tr w:rsidR="00752B39" w:rsidRPr="00792118" w:rsidTr="00AC0CBE">
        <w:trPr>
          <w:cantSplit/>
          <w:jc w:val="center"/>
        </w:trPr>
        <w:tc>
          <w:tcPr>
            <w:tcW w:w="1862" w:type="pct"/>
          </w:tcPr>
          <w:p w:rsidR="00752B39" w:rsidRPr="00792118" w:rsidRDefault="00904A1D" w:rsidP="00822172">
            <w:pPr>
              <w:pStyle w:val="Tabletext"/>
              <w:rPr>
                <w:lang w:val="es-ES_tradnl"/>
              </w:rPr>
            </w:pPr>
            <w:r w:rsidRPr="00792118">
              <w:rPr>
                <w:lang w:val="es-ES_tradnl"/>
              </w:rPr>
              <w:lastRenderedPageBreak/>
              <w:t>DTAPN Informe UIT-R M.[ARNS-MS]</w:t>
            </w:r>
          </w:p>
        </w:tc>
        <w:tc>
          <w:tcPr>
            <w:tcW w:w="2481" w:type="pct"/>
          </w:tcPr>
          <w:p w:rsidR="00752B39" w:rsidRPr="00792118" w:rsidRDefault="00904A1D" w:rsidP="00822172">
            <w:pPr>
              <w:pStyle w:val="Tabletext"/>
              <w:rPr>
                <w:lang w:val="es-ES_tradnl"/>
              </w:rPr>
            </w:pPr>
            <w:r w:rsidRPr="00792118">
              <w:rPr>
                <w:lang w:val="es-ES_tradnl"/>
              </w:rPr>
              <w:t>Estudios de compatibilidad entre el servicio móvil y el servicio de radionavegación aeronáutica en la banda de frecuencias 694-790 MHz en la Región 1</w:t>
            </w:r>
          </w:p>
        </w:tc>
        <w:tc>
          <w:tcPr>
            <w:tcW w:w="657" w:type="pct"/>
            <w:vAlign w:val="center"/>
          </w:tcPr>
          <w:p w:rsidR="00752B39" w:rsidRPr="00792118" w:rsidRDefault="00752B39" w:rsidP="00822172">
            <w:pPr>
              <w:pStyle w:val="Tabletext"/>
              <w:jc w:val="center"/>
              <w:rPr>
                <w:lang w:val="es-ES_tradnl"/>
              </w:rPr>
            </w:pPr>
            <w:r w:rsidRPr="00792118">
              <w:rPr>
                <w:lang w:val="es-ES_tradnl"/>
              </w:rPr>
              <w:t>23</w:t>
            </w:r>
          </w:p>
        </w:tc>
      </w:tr>
      <w:tr w:rsidR="00752B39" w:rsidRPr="00792118" w:rsidTr="00AC0CBE">
        <w:trPr>
          <w:cantSplit/>
          <w:jc w:val="center"/>
        </w:trPr>
        <w:tc>
          <w:tcPr>
            <w:tcW w:w="1862" w:type="pct"/>
          </w:tcPr>
          <w:p w:rsidR="00752B39" w:rsidRPr="00792118" w:rsidRDefault="000B7FE4" w:rsidP="00822172">
            <w:pPr>
              <w:pStyle w:val="Tabletext"/>
              <w:rPr>
                <w:bCs/>
                <w:lang w:val="es-ES_tradnl"/>
              </w:rPr>
            </w:pPr>
            <w:r w:rsidRPr="00792118">
              <w:rPr>
                <w:bCs/>
                <w:lang w:val="es-ES_tradnl"/>
              </w:rPr>
              <w:t xml:space="preserve">APN </w:t>
            </w:r>
            <w:r w:rsidR="007B1842" w:rsidRPr="00792118">
              <w:rPr>
                <w:bCs/>
                <w:lang w:val="es-ES_tradnl"/>
              </w:rPr>
              <w:t>Recomendación</w:t>
            </w:r>
            <w:r w:rsidR="00752B39" w:rsidRPr="00792118">
              <w:rPr>
                <w:bCs/>
                <w:lang w:val="es-ES_tradnl"/>
              </w:rPr>
              <w:t xml:space="preserve"> </w:t>
            </w:r>
            <w:r w:rsidRPr="00792118">
              <w:rPr>
                <w:bCs/>
                <w:lang w:val="es-ES_tradnl"/>
              </w:rPr>
              <w:t>UIT</w:t>
            </w:r>
            <w:r w:rsidR="00752B39" w:rsidRPr="00792118">
              <w:rPr>
                <w:bCs/>
                <w:lang w:val="es-ES_tradnl"/>
              </w:rPr>
              <w:t>-R BT.[DVBTPROT700]</w:t>
            </w:r>
          </w:p>
        </w:tc>
        <w:tc>
          <w:tcPr>
            <w:tcW w:w="2481" w:type="pct"/>
          </w:tcPr>
          <w:p w:rsidR="00752B39" w:rsidRPr="00792118" w:rsidRDefault="000B7FE4" w:rsidP="00822172">
            <w:pPr>
              <w:pStyle w:val="Tabletext"/>
              <w:rPr>
                <w:bCs/>
                <w:lang w:val="es-ES_tradnl"/>
              </w:rPr>
            </w:pPr>
            <w:r w:rsidRPr="00792118">
              <w:rPr>
                <w:bCs/>
                <w:lang w:val="es-ES_tradnl"/>
              </w:rPr>
              <w:t xml:space="preserve">Evaluación de la protección de la recepción de </w:t>
            </w:r>
            <w:r w:rsidR="00752B39" w:rsidRPr="00792118">
              <w:rPr>
                <w:bCs/>
                <w:lang w:val="es-ES_tradnl"/>
              </w:rPr>
              <w:t xml:space="preserve">DTTB </w:t>
            </w:r>
            <w:r w:rsidRPr="00792118">
              <w:rPr>
                <w:bCs/>
                <w:lang w:val="es-ES_tradnl"/>
              </w:rPr>
              <w:t>considerando la interferencia acumulada de estaciones de base de las IMT para aplicaciones en la zona GE06</w:t>
            </w:r>
          </w:p>
        </w:tc>
        <w:tc>
          <w:tcPr>
            <w:tcW w:w="657" w:type="pct"/>
            <w:vAlign w:val="center"/>
          </w:tcPr>
          <w:p w:rsidR="00752B39" w:rsidRPr="00792118" w:rsidRDefault="00752B39" w:rsidP="00822172">
            <w:pPr>
              <w:pStyle w:val="Tabletext"/>
              <w:jc w:val="center"/>
              <w:rPr>
                <w:lang w:val="es-ES_tradnl"/>
              </w:rPr>
            </w:pPr>
            <w:r w:rsidRPr="00792118">
              <w:rPr>
                <w:lang w:val="es-ES_tradnl"/>
              </w:rPr>
              <w:t>24</w:t>
            </w:r>
          </w:p>
        </w:tc>
      </w:tr>
      <w:tr w:rsidR="00752B39" w:rsidRPr="00792118" w:rsidTr="00AC0CBE">
        <w:trPr>
          <w:cantSplit/>
          <w:jc w:val="center"/>
        </w:trPr>
        <w:tc>
          <w:tcPr>
            <w:tcW w:w="1862" w:type="pct"/>
          </w:tcPr>
          <w:p w:rsidR="00752B39" w:rsidRPr="00792118" w:rsidRDefault="00904A1D" w:rsidP="00822172">
            <w:pPr>
              <w:pStyle w:val="Tabletext"/>
              <w:rPr>
                <w:lang w:val="es-ES_tradnl"/>
              </w:rPr>
            </w:pPr>
            <w:r w:rsidRPr="00792118">
              <w:rPr>
                <w:lang w:val="es-ES_tradnl"/>
              </w:rPr>
              <w:t>DTAPN Informe UIT-R M.[RADAR1300]</w:t>
            </w:r>
          </w:p>
        </w:tc>
        <w:tc>
          <w:tcPr>
            <w:tcW w:w="2481" w:type="pct"/>
          </w:tcPr>
          <w:p w:rsidR="00752B39" w:rsidRPr="00792118" w:rsidRDefault="00904A1D" w:rsidP="00822172">
            <w:pPr>
              <w:pStyle w:val="Tabletext"/>
              <w:rPr>
                <w:lang w:val="es-ES_tradnl"/>
              </w:rPr>
            </w:pPr>
            <w:r w:rsidRPr="00792118">
              <w:rPr>
                <w:lang w:val="es-ES_tradnl" w:eastAsia="zh-CN"/>
              </w:rPr>
              <w:t>Estudios sobre la repercusión de la utilización de las IMT sobre los sistemas de radar en la gama de frecuencias 1 300</w:t>
            </w:r>
            <w:r w:rsidRPr="00792118">
              <w:rPr>
                <w:lang w:val="es-ES_tradnl" w:eastAsia="zh-CN"/>
              </w:rPr>
              <w:noBreakHyphen/>
              <w:t>1 400 MHz</w:t>
            </w:r>
          </w:p>
        </w:tc>
        <w:tc>
          <w:tcPr>
            <w:tcW w:w="657" w:type="pct"/>
            <w:vAlign w:val="center"/>
          </w:tcPr>
          <w:p w:rsidR="00752B39" w:rsidRPr="00792118" w:rsidRDefault="00752B39" w:rsidP="00822172">
            <w:pPr>
              <w:pStyle w:val="Tabletext"/>
              <w:jc w:val="center"/>
              <w:rPr>
                <w:lang w:val="es-ES_tradnl"/>
              </w:rPr>
            </w:pPr>
            <w:r w:rsidRPr="00792118">
              <w:rPr>
                <w:lang w:val="es-ES_tradnl"/>
              </w:rPr>
              <w:t>25</w:t>
            </w:r>
          </w:p>
        </w:tc>
      </w:tr>
      <w:tr w:rsidR="00752B39" w:rsidRPr="00792118" w:rsidTr="00AC0CBE">
        <w:trPr>
          <w:cantSplit/>
          <w:jc w:val="center"/>
        </w:trPr>
        <w:tc>
          <w:tcPr>
            <w:tcW w:w="1862" w:type="pct"/>
          </w:tcPr>
          <w:p w:rsidR="00752B39" w:rsidRPr="00792118" w:rsidRDefault="00904A1D" w:rsidP="00822172">
            <w:pPr>
              <w:pStyle w:val="Tabletext"/>
              <w:rPr>
                <w:lang w:val="es-ES_tradnl"/>
              </w:rPr>
            </w:pPr>
            <w:r w:rsidRPr="00792118">
              <w:rPr>
                <w:bCs/>
                <w:lang w:val="es-ES_tradnl"/>
              </w:rPr>
              <w:t>DTAPN Informe UIT-R F.[IMT 1 350-1 530 MHz ADJACENT CHANNEL SHARING]</w:t>
            </w:r>
          </w:p>
        </w:tc>
        <w:tc>
          <w:tcPr>
            <w:tcW w:w="2481" w:type="pct"/>
          </w:tcPr>
          <w:p w:rsidR="00752B39" w:rsidRPr="00792118" w:rsidRDefault="00904A1D" w:rsidP="00822172">
            <w:pPr>
              <w:pStyle w:val="Tabletext"/>
              <w:rPr>
                <w:lang w:val="es-ES_tradnl"/>
              </w:rPr>
            </w:pPr>
            <w:r w:rsidRPr="00792118">
              <w:rPr>
                <w:bCs/>
                <w:lang w:val="es-ES_tradnl"/>
              </w:rPr>
              <w:t>[Coexistencia en canal adyacente/banda adyacente de sistemas IMT y enlaces punto a punto del servicio fijo que utilizan la banda 1 350-1 527 MHz]</w:t>
            </w:r>
          </w:p>
        </w:tc>
        <w:tc>
          <w:tcPr>
            <w:tcW w:w="657" w:type="pct"/>
            <w:vAlign w:val="center"/>
          </w:tcPr>
          <w:p w:rsidR="00752B39" w:rsidRPr="00792118" w:rsidRDefault="00752B39" w:rsidP="00822172">
            <w:pPr>
              <w:pStyle w:val="Tabletext"/>
              <w:jc w:val="center"/>
              <w:rPr>
                <w:lang w:val="es-ES_tradnl"/>
              </w:rPr>
            </w:pPr>
            <w:r w:rsidRPr="00792118">
              <w:rPr>
                <w:lang w:val="es-ES_tradnl"/>
              </w:rPr>
              <w:t>26</w:t>
            </w:r>
          </w:p>
        </w:tc>
      </w:tr>
      <w:tr w:rsidR="00752B39" w:rsidRPr="00792118" w:rsidTr="00AC0CBE">
        <w:trPr>
          <w:cantSplit/>
          <w:jc w:val="center"/>
        </w:trPr>
        <w:tc>
          <w:tcPr>
            <w:tcW w:w="1862" w:type="pct"/>
          </w:tcPr>
          <w:p w:rsidR="00752B39" w:rsidRPr="00792118" w:rsidRDefault="00904A1D" w:rsidP="00822172">
            <w:pPr>
              <w:pStyle w:val="Tabletext"/>
              <w:rPr>
                <w:lang w:val="es-ES_tradnl"/>
              </w:rPr>
            </w:pPr>
            <w:r w:rsidRPr="00792118">
              <w:rPr>
                <w:lang w:val="es-ES_tradnl"/>
              </w:rPr>
              <w:t>DTAPN Informe UIT-R M.[BSS-MS]</w:t>
            </w:r>
          </w:p>
        </w:tc>
        <w:tc>
          <w:tcPr>
            <w:tcW w:w="2481" w:type="pct"/>
          </w:tcPr>
          <w:p w:rsidR="00752B39" w:rsidRPr="00792118" w:rsidRDefault="00904A1D" w:rsidP="00822172">
            <w:pPr>
              <w:pStyle w:val="Tabletext"/>
              <w:rPr>
                <w:lang w:val="es-ES_tradnl"/>
              </w:rPr>
            </w:pPr>
            <w:r w:rsidRPr="00792118">
              <w:rPr>
                <w:lang w:val="es-ES_tradnl"/>
              </w:rPr>
              <w:t>Estudios de compartición y compatibilidad entre sistemas IMT y sistemas del SRS en la banda de frecuencias 1 452-1 492 MHz</w:t>
            </w:r>
          </w:p>
        </w:tc>
        <w:tc>
          <w:tcPr>
            <w:tcW w:w="657" w:type="pct"/>
            <w:vAlign w:val="center"/>
          </w:tcPr>
          <w:p w:rsidR="00752B39" w:rsidRPr="00792118" w:rsidRDefault="00752B39" w:rsidP="00822172">
            <w:pPr>
              <w:pStyle w:val="Tabletext"/>
              <w:jc w:val="center"/>
              <w:rPr>
                <w:lang w:val="es-ES_tradnl"/>
              </w:rPr>
            </w:pPr>
            <w:r w:rsidRPr="00792118">
              <w:rPr>
                <w:lang w:val="es-ES_tradnl"/>
              </w:rPr>
              <w:t>27</w:t>
            </w:r>
          </w:p>
        </w:tc>
      </w:tr>
      <w:tr w:rsidR="00752B39" w:rsidRPr="00792118" w:rsidTr="00AC0CBE">
        <w:trPr>
          <w:cantSplit/>
          <w:jc w:val="center"/>
        </w:trPr>
        <w:tc>
          <w:tcPr>
            <w:tcW w:w="1862" w:type="pct"/>
          </w:tcPr>
          <w:p w:rsidR="00752B39" w:rsidRPr="00792118" w:rsidRDefault="000B7FE4" w:rsidP="00822172">
            <w:pPr>
              <w:pStyle w:val="Tabletext"/>
              <w:rPr>
                <w:lang w:val="es-ES_tradnl"/>
              </w:rPr>
            </w:pPr>
            <w:r w:rsidRPr="00792118">
              <w:rPr>
                <w:lang w:val="es-ES_tradnl"/>
              </w:rPr>
              <w:t>DTAPN</w:t>
            </w:r>
            <w:r w:rsidR="00752B39" w:rsidRPr="00792118">
              <w:rPr>
                <w:lang w:val="es-ES_tradnl"/>
              </w:rPr>
              <w:t xml:space="preserve"> </w:t>
            </w:r>
            <w:r w:rsidRPr="00792118">
              <w:rPr>
                <w:lang w:val="es-ES_tradnl"/>
              </w:rPr>
              <w:t>Informe para adjuntarlo al Informe del Presidente del GMTE</w:t>
            </w:r>
            <w:r w:rsidR="00752B39" w:rsidRPr="00792118">
              <w:rPr>
                <w:lang w:val="es-ES_tradnl"/>
              </w:rPr>
              <w:t xml:space="preserve"> 4-5-6-7 </w:t>
            </w:r>
          </w:p>
        </w:tc>
        <w:tc>
          <w:tcPr>
            <w:tcW w:w="2481" w:type="pct"/>
          </w:tcPr>
          <w:p w:rsidR="00752B39" w:rsidRPr="00792118" w:rsidRDefault="00A61F5D" w:rsidP="00822172">
            <w:pPr>
              <w:pStyle w:val="Tabletext"/>
              <w:rPr>
                <w:lang w:val="es-ES_tradnl"/>
              </w:rPr>
            </w:pPr>
            <w:r w:rsidRPr="00792118">
              <w:rPr>
                <w:lang w:val="es-ES_tradnl" w:eastAsia="zh-CN"/>
              </w:rPr>
              <w:t>Estudios de compatibilidad en banda adyacente de sistemas IMT-Avanzadas del servicio móvil en la banda por debajo de 1 518 MHz y sistemas del servicio móvil por satélite en la banda de frecuencias 1 518</w:t>
            </w:r>
            <w:r w:rsidRPr="00792118">
              <w:rPr>
                <w:lang w:val="es-ES_tradnl" w:eastAsia="zh-CN"/>
              </w:rPr>
              <w:noBreakHyphen/>
              <w:t>1 559 MHz</w:t>
            </w:r>
          </w:p>
        </w:tc>
        <w:tc>
          <w:tcPr>
            <w:tcW w:w="657" w:type="pct"/>
            <w:vAlign w:val="center"/>
          </w:tcPr>
          <w:p w:rsidR="00752B39" w:rsidRPr="00792118" w:rsidRDefault="00752B39" w:rsidP="00822172">
            <w:pPr>
              <w:pStyle w:val="Tabletext"/>
              <w:jc w:val="center"/>
              <w:rPr>
                <w:lang w:val="es-ES_tradnl"/>
              </w:rPr>
            </w:pPr>
            <w:r w:rsidRPr="00792118">
              <w:rPr>
                <w:lang w:val="es-ES_tradnl"/>
              </w:rPr>
              <w:t>28</w:t>
            </w:r>
          </w:p>
        </w:tc>
      </w:tr>
      <w:tr w:rsidR="00A61F5D" w:rsidRPr="00792118" w:rsidTr="00AC0CBE">
        <w:trPr>
          <w:cantSplit/>
          <w:jc w:val="center"/>
        </w:trPr>
        <w:tc>
          <w:tcPr>
            <w:tcW w:w="1862" w:type="pct"/>
          </w:tcPr>
          <w:p w:rsidR="00A61F5D" w:rsidRPr="00792118" w:rsidRDefault="000B7FE4" w:rsidP="00822172">
            <w:pPr>
              <w:pStyle w:val="Tabletext"/>
              <w:rPr>
                <w:lang w:val="es-ES_tradnl"/>
              </w:rPr>
            </w:pPr>
            <w:r w:rsidRPr="00792118">
              <w:rPr>
                <w:lang w:val="es-ES_tradnl"/>
              </w:rPr>
              <w:t>DTAPN Informe para adjuntarlo al Informe del Presidente del GMTE 4-5-6-7</w:t>
            </w:r>
          </w:p>
        </w:tc>
        <w:tc>
          <w:tcPr>
            <w:tcW w:w="2481" w:type="pct"/>
            <w:vAlign w:val="center"/>
          </w:tcPr>
          <w:p w:rsidR="00A61F5D" w:rsidRPr="00792118" w:rsidRDefault="00A61F5D" w:rsidP="00822172">
            <w:pPr>
              <w:pStyle w:val="Tabletext"/>
              <w:rPr>
                <w:lang w:val="es-ES_tradnl" w:eastAsia="zh-CN"/>
              </w:rPr>
            </w:pPr>
            <w:r w:rsidRPr="00792118">
              <w:rPr>
                <w:lang w:val="es-ES_tradnl" w:eastAsia="zh-CN"/>
              </w:rPr>
              <w:t>Estudios de compartición entre sistemas IMT-Avanzadas del servicio móvil y sistemas del servicio móvil por satélite en las bandas de frecuencias 1 518</w:t>
            </w:r>
            <w:r w:rsidRPr="00792118">
              <w:rPr>
                <w:lang w:val="es-ES_tradnl" w:eastAsia="zh-CN"/>
              </w:rPr>
              <w:noBreakHyphen/>
              <w:t>1 559 MHz, 1 626,5</w:t>
            </w:r>
            <w:r w:rsidRPr="00792118">
              <w:rPr>
                <w:lang w:val="es-ES_tradnl" w:eastAsia="zh-CN"/>
              </w:rPr>
              <w:noBreakHyphen/>
              <w:t>1 660,5 MHz y 1 668-1 675 MHz</w:t>
            </w:r>
          </w:p>
        </w:tc>
        <w:tc>
          <w:tcPr>
            <w:tcW w:w="657" w:type="pct"/>
            <w:vAlign w:val="center"/>
          </w:tcPr>
          <w:p w:rsidR="00A61F5D" w:rsidRPr="00792118" w:rsidRDefault="00A61F5D" w:rsidP="00822172">
            <w:pPr>
              <w:pStyle w:val="Tabletext"/>
              <w:jc w:val="center"/>
              <w:rPr>
                <w:lang w:val="es-ES_tradnl"/>
              </w:rPr>
            </w:pPr>
            <w:r w:rsidRPr="00792118">
              <w:rPr>
                <w:lang w:val="es-ES_tradnl"/>
              </w:rPr>
              <w:t>29</w:t>
            </w:r>
          </w:p>
        </w:tc>
      </w:tr>
      <w:tr w:rsidR="00A61F5D" w:rsidRPr="00792118" w:rsidTr="00AC0CBE">
        <w:trPr>
          <w:cantSplit/>
          <w:jc w:val="center"/>
        </w:trPr>
        <w:tc>
          <w:tcPr>
            <w:tcW w:w="1862" w:type="pct"/>
          </w:tcPr>
          <w:p w:rsidR="00A61F5D" w:rsidRPr="00792118" w:rsidRDefault="00A61F5D" w:rsidP="00822172">
            <w:pPr>
              <w:pStyle w:val="Tabletext"/>
              <w:rPr>
                <w:lang w:val="es-ES_tradnl"/>
              </w:rPr>
            </w:pPr>
            <w:r w:rsidRPr="00792118">
              <w:rPr>
                <w:lang w:val="es-ES_tradnl"/>
              </w:rPr>
              <w:t>DTAPN Informe UIT-R M.[RADAR2700]</w:t>
            </w:r>
          </w:p>
        </w:tc>
        <w:tc>
          <w:tcPr>
            <w:tcW w:w="2481" w:type="pct"/>
            <w:vAlign w:val="center"/>
          </w:tcPr>
          <w:p w:rsidR="00A61F5D" w:rsidRPr="00792118" w:rsidRDefault="00A61F5D" w:rsidP="00822172">
            <w:pPr>
              <w:pStyle w:val="Tabletext"/>
              <w:rPr>
                <w:lang w:val="es-ES_tradnl" w:eastAsia="zh-CN"/>
              </w:rPr>
            </w:pPr>
            <w:r w:rsidRPr="00792118">
              <w:rPr>
                <w:lang w:val="es-ES_tradnl" w:eastAsia="zh-CN"/>
              </w:rPr>
              <w:t>Estudios sobre la repercusión de la utilización de las IMT sobre los sistemas de radar en la banda de frecuencias 2 700-2 900 MHz</w:t>
            </w:r>
          </w:p>
        </w:tc>
        <w:tc>
          <w:tcPr>
            <w:tcW w:w="657" w:type="pct"/>
            <w:vAlign w:val="center"/>
          </w:tcPr>
          <w:p w:rsidR="00A61F5D" w:rsidRPr="00792118" w:rsidRDefault="00A61F5D" w:rsidP="00822172">
            <w:pPr>
              <w:pStyle w:val="Tabletext"/>
              <w:jc w:val="center"/>
              <w:rPr>
                <w:lang w:val="es-ES_tradnl"/>
              </w:rPr>
            </w:pPr>
            <w:r w:rsidRPr="00792118">
              <w:rPr>
                <w:lang w:val="es-ES_tradnl"/>
              </w:rPr>
              <w:t>30</w:t>
            </w:r>
          </w:p>
        </w:tc>
      </w:tr>
      <w:tr w:rsidR="00A61F5D" w:rsidRPr="00792118" w:rsidTr="00AC0CBE">
        <w:trPr>
          <w:cantSplit/>
          <w:jc w:val="center"/>
        </w:trPr>
        <w:tc>
          <w:tcPr>
            <w:tcW w:w="1862" w:type="pct"/>
          </w:tcPr>
          <w:p w:rsidR="00A61F5D" w:rsidRPr="00792118" w:rsidRDefault="000B7FE4" w:rsidP="00822172">
            <w:pPr>
              <w:pStyle w:val="Tabletext"/>
              <w:rPr>
                <w:lang w:val="es-ES_tradnl"/>
              </w:rPr>
            </w:pPr>
            <w:r w:rsidRPr="00792118">
              <w:rPr>
                <w:lang w:val="es-ES_tradnl"/>
              </w:rPr>
              <w:t>DTAPN</w:t>
            </w:r>
            <w:r w:rsidR="00A61F5D" w:rsidRPr="00792118">
              <w:rPr>
                <w:lang w:val="es-ES_tradnl"/>
              </w:rPr>
              <w:t xml:space="preserve"> </w:t>
            </w:r>
            <w:r w:rsidRPr="00792118">
              <w:rPr>
                <w:lang w:val="es-ES_tradnl"/>
              </w:rPr>
              <w:t>nuevo Informe</w:t>
            </w:r>
            <w:r w:rsidR="00A61F5D" w:rsidRPr="00792118">
              <w:rPr>
                <w:lang w:val="es-ES_tradnl"/>
              </w:rPr>
              <w:t xml:space="preserve"> </w:t>
            </w:r>
            <w:r w:rsidRPr="00792118">
              <w:rPr>
                <w:lang w:val="es-ES_tradnl"/>
              </w:rPr>
              <w:t>UIT</w:t>
            </w:r>
            <w:r w:rsidR="00A61F5D" w:rsidRPr="00792118">
              <w:rPr>
                <w:lang w:val="es-ES_tradnl"/>
              </w:rPr>
              <w:t>-R M.[RADAR2900]</w:t>
            </w:r>
          </w:p>
        </w:tc>
        <w:tc>
          <w:tcPr>
            <w:tcW w:w="2481" w:type="pct"/>
            <w:vAlign w:val="center"/>
          </w:tcPr>
          <w:p w:rsidR="00A61F5D" w:rsidRPr="00792118" w:rsidRDefault="00A61F5D" w:rsidP="00822172">
            <w:pPr>
              <w:pStyle w:val="Tabletext"/>
              <w:rPr>
                <w:lang w:val="es-ES_tradnl" w:eastAsia="zh-CN"/>
              </w:rPr>
            </w:pPr>
            <w:r w:rsidRPr="00792118">
              <w:rPr>
                <w:lang w:val="es-ES_tradnl" w:eastAsia="zh-CN"/>
              </w:rPr>
              <w:t>Estudios sobre la repercusión de la utilización de las IMT sobre los sistemas de radar en la banda 2 900-3 100 MHz</w:t>
            </w:r>
          </w:p>
        </w:tc>
        <w:tc>
          <w:tcPr>
            <w:tcW w:w="657" w:type="pct"/>
            <w:vAlign w:val="center"/>
          </w:tcPr>
          <w:p w:rsidR="00A61F5D" w:rsidRPr="00792118" w:rsidRDefault="00A61F5D" w:rsidP="00822172">
            <w:pPr>
              <w:pStyle w:val="Tabletext"/>
              <w:jc w:val="center"/>
              <w:rPr>
                <w:lang w:val="es-ES_tradnl"/>
              </w:rPr>
            </w:pPr>
            <w:r w:rsidRPr="00792118">
              <w:rPr>
                <w:lang w:val="es-ES_tradnl"/>
              </w:rPr>
              <w:t>31</w:t>
            </w:r>
          </w:p>
        </w:tc>
      </w:tr>
      <w:tr w:rsidR="00A61F5D" w:rsidRPr="00792118" w:rsidTr="00AC0CBE">
        <w:trPr>
          <w:cantSplit/>
          <w:jc w:val="center"/>
        </w:trPr>
        <w:tc>
          <w:tcPr>
            <w:tcW w:w="1862" w:type="pct"/>
          </w:tcPr>
          <w:p w:rsidR="00A61F5D" w:rsidRPr="00792118" w:rsidRDefault="00A61F5D" w:rsidP="00822172">
            <w:pPr>
              <w:pStyle w:val="Tabletext"/>
              <w:rPr>
                <w:lang w:val="es-ES_tradnl"/>
              </w:rPr>
            </w:pPr>
            <w:r w:rsidRPr="00792118">
              <w:rPr>
                <w:lang w:val="es-ES_tradnl"/>
              </w:rPr>
              <w:t>APN Informe UIT-R M.[RADAR3300]</w:t>
            </w:r>
          </w:p>
        </w:tc>
        <w:tc>
          <w:tcPr>
            <w:tcW w:w="2481" w:type="pct"/>
            <w:vAlign w:val="center"/>
          </w:tcPr>
          <w:p w:rsidR="00A61F5D" w:rsidRPr="00792118" w:rsidRDefault="00A61F5D" w:rsidP="00822172">
            <w:pPr>
              <w:pStyle w:val="Tabletext"/>
              <w:rPr>
                <w:lang w:val="es-ES_tradnl" w:eastAsia="zh-CN"/>
              </w:rPr>
            </w:pPr>
            <w:r w:rsidRPr="00792118">
              <w:rPr>
                <w:lang w:val="es-ES_tradnl" w:eastAsia="zh-CN"/>
              </w:rPr>
              <w:t>Compartición entre sistemas IMT en interiores y sistemas de radar en la banda de frecuencias 3 300</w:t>
            </w:r>
            <w:r w:rsidRPr="00792118">
              <w:rPr>
                <w:lang w:val="es-ES_tradnl" w:eastAsia="zh-CN"/>
              </w:rPr>
              <w:noBreakHyphen/>
              <w:t>3 400 MHz</w:t>
            </w:r>
          </w:p>
        </w:tc>
        <w:tc>
          <w:tcPr>
            <w:tcW w:w="657" w:type="pct"/>
            <w:vAlign w:val="center"/>
          </w:tcPr>
          <w:p w:rsidR="00A61F5D" w:rsidRPr="00792118" w:rsidRDefault="00A61F5D" w:rsidP="00822172">
            <w:pPr>
              <w:pStyle w:val="Tabletext"/>
              <w:jc w:val="center"/>
              <w:rPr>
                <w:lang w:val="es-ES_tradnl"/>
              </w:rPr>
            </w:pPr>
            <w:r w:rsidRPr="00792118">
              <w:rPr>
                <w:lang w:val="es-ES_tradnl"/>
              </w:rPr>
              <w:t>32</w:t>
            </w:r>
          </w:p>
        </w:tc>
      </w:tr>
      <w:tr w:rsidR="00752B39" w:rsidRPr="00792118" w:rsidTr="00AC0CBE">
        <w:trPr>
          <w:cantSplit/>
          <w:jc w:val="center"/>
        </w:trPr>
        <w:tc>
          <w:tcPr>
            <w:tcW w:w="1862" w:type="pct"/>
          </w:tcPr>
          <w:p w:rsidR="00752B39" w:rsidRPr="00792118" w:rsidRDefault="00A61F5D" w:rsidP="00822172">
            <w:pPr>
              <w:pStyle w:val="Tabletext"/>
              <w:rPr>
                <w:lang w:val="es-ES_tradnl"/>
              </w:rPr>
            </w:pPr>
            <w:r w:rsidRPr="00792118">
              <w:rPr>
                <w:color w:val="000000"/>
                <w:lang w:val="es-ES_tradnl" w:eastAsia="zh-CN"/>
              </w:rPr>
              <w:t>APN Informe UIT-R M.</w:t>
            </w:r>
            <w:r w:rsidRPr="00792118">
              <w:rPr>
                <w:lang w:val="es-ES_tradnl"/>
              </w:rPr>
              <w:t>[AERO-IMT.SHARING.C-BAND]</w:t>
            </w:r>
          </w:p>
        </w:tc>
        <w:tc>
          <w:tcPr>
            <w:tcW w:w="2481" w:type="pct"/>
          </w:tcPr>
          <w:p w:rsidR="00752B39" w:rsidRPr="00792118" w:rsidRDefault="00A61F5D" w:rsidP="00822172">
            <w:pPr>
              <w:pStyle w:val="Tabletext"/>
              <w:rPr>
                <w:lang w:val="es-ES_tradnl"/>
              </w:rPr>
            </w:pPr>
            <w:r w:rsidRPr="00792118">
              <w:rPr>
                <w:lang w:val="es-ES_tradnl" w:eastAsia="zh-CN"/>
              </w:rPr>
              <w:t>Estudios de compartición y compatibilidad entre aplicaciones móviles aeronáuticas [/móviles terrenas] y posibles sistemas IMT en la banda 4 400-4 990 MHz</w:t>
            </w:r>
          </w:p>
        </w:tc>
        <w:tc>
          <w:tcPr>
            <w:tcW w:w="657" w:type="pct"/>
            <w:vAlign w:val="center"/>
          </w:tcPr>
          <w:p w:rsidR="00752B39" w:rsidRPr="00792118" w:rsidRDefault="00752B39" w:rsidP="00822172">
            <w:pPr>
              <w:pStyle w:val="Tabletext"/>
              <w:jc w:val="center"/>
              <w:rPr>
                <w:lang w:val="es-ES_tradnl"/>
              </w:rPr>
            </w:pPr>
            <w:r w:rsidRPr="00792118">
              <w:rPr>
                <w:lang w:val="es-ES_tradnl"/>
              </w:rPr>
              <w:t>33</w:t>
            </w:r>
          </w:p>
        </w:tc>
      </w:tr>
      <w:tr w:rsidR="00752B39" w:rsidRPr="00792118" w:rsidTr="00AC0CBE">
        <w:trPr>
          <w:cantSplit/>
          <w:jc w:val="center"/>
        </w:trPr>
        <w:tc>
          <w:tcPr>
            <w:tcW w:w="1862" w:type="pct"/>
          </w:tcPr>
          <w:p w:rsidR="00752B39" w:rsidRPr="00792118" w:rsidRDefault="00A61F5D" w:rsidP="00822172">
            <w:pPr>
              <w:pStyle w:val="Tabletext"/>
              <w:rPr>
                <w:lang w:val="es-ES_tradnl"/>
              </w:rPr>
            </w:pPr>
            <w:r w:rsidRPr="00792118">
              <w:rPr>
                <w:lang w:val="es-ES_tradnl"/>
              </w:rPr>
              <w:t>DTAPN Informe UIT-R M.[RLAN5GHz.SHAR]</w:t>
            </w:r>
          </w:p>
        </w:tc>
        <w:tc>
          <w:tcPr>
            <w:tcW w:w="2481" w:type="pct"/>
          </w:tcPr>
          <w:p w:rsidR="00752B39" w:rsidRPr="00792118" w:rsidRDefault="00A61F5D" w:rsidP="00822172">
            <w:pPr>
              <w:pStyle w:val="Tabletext"/>
              <w:rPr>
                <w:lang w:val="es-ES_tradnl"/>
              </w:rPr>
            </w:pPr>
            <w:r w:rsidRPr="00792118">
              <w:rPr>
                <w:lang w:val="es-ES_tradnl" w:eastAsia="zh-CN"/>
              </w:rPr>
              <w:t>Estudios de compatibilidad entre sistemas de red de área local y sistemas de radiodeterminación en la banda de frecuencias 5 350-5 470 MHz</w:t>
            </w:r>
          </w:p>
        </w:tc>
        <w:tc>
          <w:tcPr>
            <w:tcW w:w="657" w:type="pct"/>
            <w:vAlign w:val="center"/>
          </w:tcPr>
          <w:p w:rsidR="00752B39" w:rsidRPr="00792118" w:rsidRDefault="00752B39" w:rsidP="00822172">
            <w:pPr>
              <w:pStyle w:val="Tabletext"/>
              <w:jc w:val="center"/>
              <w:rPr>
                <w:lang w:val="es-ES_tradnl"/>
              </w:rPr>
            </w:pPr>
            <w:r w:rsidRPr="00792118">
              <w:rPr>
                <w:lang w:val="es-ES_tradnl"/>
              </w:rPr>
              <w:t>34</w:t>
            </w:r>
          </w:p>
        </w:tc>
      </w:tr>
      <w:tr w:rsidR="00752B39" w:rsidRPr="00792118" w:rsidTr="00AC0CBE">
        <w:trPr>
          <w:cantSplit/>
          <w:jc w:val="center"/>
        </w:trPr>
        <w:tc>
          <w:tcPr>
            <w:tcW w:w="1862" w:type="pct"/>
          </w:tcPr>
          <w:p w:rsidR="00752B39" w:rsidRPr="00792118" w:rsidRDefault="00A61F5D" w:rsidP="00822172">
            <w:pPr>
              <w:pStyle w:val="Tabletext"/>
              <w:rPr>
                <w:lang w:val="es-ES_tradnl"/>
              </w:rPr>
            </w:pPr>
            <w:r w:rsidRPr="00792118">
              <w:rPr>
                <w:lang w:val="es-ES_tradnl"/>
              </w:rPr>
              <w:t>APN Informe UIT-R RS.[EESS-RLAN 5 GHz]</w:t>
            </w:r>
          </w:p>
        </w:tc>
        <w:tc>
          <w:tcPr>
            <w:tcW w:w="2481" w:type="pct"/>
          </w:tcPr>
          <w:p w:rsidR="00752B39" w:rsidRPr="00792118" w:rsidRDefault="00A61F5D" w:rsidP="00822172">
            <w:pPr>
              <w:pStyle w:val="Tabletext"/>
              <w:rPr>
                <w:lang w:val="es-ES_tradnl"/>
              </w:rPr>
            </w:pPr>
            <w:r w:rsidRPr="00792118">
              <w:rPr>
                <w:lang w:val="es-ES_tradnl" w:eastAsia="zh-CN"/>
              </w:rPr>
              <w:t>Estudios de compartición entre RLAN y sistemas del SETS (activo) en la gama de frecuencias 5 350</w:t>
            </w:r>
            <w:r w:rsidRPr="00792118">
              <w:rPr>
                <w:lang w:val="es-ES_tradnl" w:eastAsia="zh-CN"/>
              </w:rPr>
              <w:noBreakHyphen/>
              <w:t>5 470 MHz</w:t>
            </w:r>
          </w:p>
        </w:tc>
        <w:tc>
          <w:tcPr>
            <w:tcW w:w="657" w:type="pct"/>
            <w:vAlign w:val="center"/>
          </w:tcPr>
          <w:p w:rsidR="00752B39" w:rsidRPr="00792118" w:rsidRDefault="00752B39" w:rsidP="00822172">
            <w:pPr>
              <w:pStyle w:val="Tabletext"/>
              <w:jc w:val="center"/>
              <w:rPr>
                <w:lang w:val="es-ES_tradnl"/>
              </w:rPr>
            </w:pPr>
            <w:r w:rsidRPr="00792118">
              <w:rPr>
                <w:lang w:val="es-ES_tradnl"/>
              </w:rPr>
              <w:t>35</w:t>
            </w:r>
          </w:p>
        </w:tc>
      </w:tr>
      <w:tr w:rsidR="00A61F5D" w:rsidRPr="00792118" w:rsidTr="00AC0CBE">
        <w:trPr>
          <w:cantSplit/>
          <w:jc w:val="center"/>
        </w:trPr>
        <w:tc>
          <w:tcPr>
            <w:tcW w:w="1862" w:type="pct"/>
          </w:tcPr>
          <w:p w:rsidR="00A61F5D" w:rsidRPr="00792118" w:rsidRDefault="00A61F5D" w:rsidP="00822172">
            <w:pPr>
              <w:pStyle w:val="Tabletext"/>
              <w:rPr>
                <w:bCs/>
                <w:lang w:val="es-ES_tradnl"/>
              </w:rPr>
            </w:pPr>
            <w:r w:rsidRPr="00792118">
              <w:rPr>
                <w:bCs/>
                <w:lang w:val="es-ES_tradnl"/>
              </w:rPr>
              <w:t>APN Informe UIT-R M. [5 350 MHz AERO]</w:t>
            </w:r>
          </w:p>
        </w:tc>
        <w:tc>
          <w:tcPr>
            <w:tcW w:w="2481" w:type="pct"/>
            <w:vAlign w:val="center"/>
          </w:tcPr>
          <w:p w:rsidR="00A61F5D" w:rsidRPr="00792118" w:rsidRDefault="00A61F5D" w:rsidP="00822172">
            <w:pPr>
              <w:pStyle w:val="Tabletext"/>
              <w:rPr>
                <w:lang w:val="es-ES_tradnl" w:eastAsia="zh-CN"/>
              </w:rPr>
            </w:pPr>
            <w:r w:rsidRPr="00792118">
              <w:rPr>
                <w:lang w:val="es-ES_tradnl" w:eastAsia="zh-CN"/>
              </w:rPr>
              <w:t>Estudios de compatibilidad entre sistemas de red de área local y sistemas de radar aeronáutico a bordo de aeronaves en la banda de frecuencias 5 350</w:t>
            </w:r>
            <w:r w:rsidRPr="00792118">
              <w:rPr>
                <w:lang w:val="es-ES_tradnl" w:eastAsia="zh-CN"/>
              </w:rPr>
              <w:noBreakHyphen/>
              <w:t>5 470 MHz</w:t>
            </w:r>
          </w:p>
        </w:tc>
        <w:tc>
          <w:tcPr>
            <w:tcW w:w="657" w:type="pct"/>
            <w:vAlign w:val="center"/>
          </w:tcPr>
          <w:p w:rsidR="00A61F5D" w:rsidRPr="00792118" w:rsidRDefault="00A61F5D" w:rsidP="00822172">
            <w:pPr>
              <w:pStyle w:val="Tabletext"/>
              <w:jc w:val="center"/>
              <w:rPr>
                <w:lang w:val="es-ES_tradnl"/>
              </w:rPr>
            </w:pPr>
            <w:r w:rsidRPr="00792118">
              <w:rPr>
                <w:lang w:val="es-ES_tradnl"/>
              </w:rPr>
              <w:t>36</w:t>
            </w:r>
          </w:p>
        </w:tc>
      </w:tr>
    </w:tbl>
    <w:p w:rsidR="00752B39" w:rsidRPr="00792118" w:rsidRDefault="00752B39" w:rsidP="00822172">
      <w:pPr>
        <w:pStyle w:val="Heading2"/>
        <w:rPr>
          <w:rFonts w:eastAsia="Arial Unicode MS"/>
          <w:sz w:val="22"/>
          <w:lang w:val="es-ES_tradnl"/>
        </w:rPr>
      </w:pPr>
      <w:r w:rsidRPr="00792118">
        <w:rPr>
          <w:rFonts w:eastAsia="Arial Unicode MS"/>
          <w:lang w:val="es-ES_tradnl"/>
        </w:rPr>
        <w:t>2.3</w:t>
      </w:r>
      <w:r w:rsidRPr="00792118">
        <w:rPr>
          <w:rFonts w:eastAsia="Arial Unicode MS"/>
          <w:lang w:val="es-ES_tradnl"/>
        </w:rPr>
        <w:tab/>
      </w:r>
      <w:r w:rsidR="000B7FE4" w:rsidRPr="00792118">
        <w:rPr>
          <w:rFonts w:eastAsia="Arial Unicode MS"/>
          <w:lang w:val="es-ES_tradnl"/>
        </w:rPr>
        <w:t>Recomendaciones</w:t>
      </w:r>
    </w:p>
    <w:p w:rsidR="00752B39" w:rsidRPr="00792118" w:rsidRDefault="000B7FE4" w:rsidP="00822172">
      <w:pPr>
        <w:rPr>
          <w:lang w:val="es-ES_tradnl"/>
        </w:rPr>
      </w:pPr>
      <w:r w:rsidRPr="00792118">
        <w:rPr>
          <w:lang w:val="es-ES_tradnl"/>
        </w:rPr>
        <w:t>El GMTE</w:t>
      </w:r>
      <w:r w:rsidR="00752B39" w:rsidRPr="00792118">
        <w:rPr>
          <w:lang w:val="es-ES_tradnl"/>
        </w:rPr>
        <w:t xml:space="preserve"> 4-5-6-7 </w:t>
      </w:r>
      <w:r w:rsidRPr="00792118">
        <w:rPr>
          <w:lang w:val="es-ES_tradnl"/>
        </w:rPr>
        <w:t>también elaboró un</w:t>
      </w:r>
      <w:r w:rsidR="00ED462A" w:rsidRPr="00792118">
        <w:rPr>
          <w:lang w:val="es-ES_tradnl"/>
        </w:rPr>
        <w:t xml:space="preserve"> anteproyecto de nueva Recomendación</w:t>
      </w:r>
      <w:r w:rsidR="00752B39" w:rsidRPr="00792118">
        <w:rPr>
          <w:lang w:val="es-ES_tradnl"/>
        </w:rPr>
        <w:t xml:space="preserve">, </w:t>
      </w:r>
      <w:r w:rsidR="00ED462A" w:rsidRPr="00792118">
        <w:rPr>
          <w:lang w:val="es-ES_tradnl"/>
        </w:rPr>
        <w:t>UIT</w:t>
      </w:r>
      <w:r w:rsidR="00EA6C5E">
        <w:rPr>
          <w:lang w:val="es-ES_tradnl"/>
        </w:rPr>
        <w:noBreakHyphen/>
        <w:t>R </w:t>
      </w:r>
      <w:r w:rsidR="00752B39" w:rsidRPr="00792118">
        <w:rPr>
          <w:lang w:val="es-ES_tradnl"/>
        </w:rPr>
        <w:t xml:space="preserve">M.[BSMS700] </w:t>
      </w:r>
      <w:r w:rsidR="00ED462A" w:rsidRPr="00792118">
        <w:rPr>
          <w:lang w:val="es-ES_tradnl"/>
        </w:rPr>
        <w:t>sobre</w:t>
      </w:r>
      <w:r w:rsidR="00752B39" w:rsidRPr="00792118">
        <w:rPr>
          <w:lang w:val="es-ES_tradnl"/>
        </w:rPr>
        <w:t xml:space="preserve"> </w:t>
      </w:r>
      <w:r w:rsidR="00A569E8" w:rsidRPr="00792118">
        <w:rPr>
          <w:iCs/>
          <w:lang w:val="es-ES_tradnl"/>
        </w:rPr>
        <w:t>«</w:t>
      </w:r>
      <w:r w:rsidR="00FE3D48" w:rsidRPr="00792118">
        <w:rPr>
          <w:iCs/>
          <w:lang w:val="es-ES_tradnl"/>
        </w:rPr>
        <w:t xml:space="preserve">Límite de emisiones fuera de banda de las estaciones móviles IMT que funcionan en </w:t>
      </w:r>
      <w:r w:rsidR="0000552A">
        <w:rPr>
          <w:iCs/>
          <w:lang w:val="es-ES_tradnl"/>
        </w:rPr>
        <w:t>la banda de frecuencias 694-</w:t>
      </w:r>
      <w:r w:rsidR="00C57DD8" w:rsidRPr="00792118">
        <w:rPr>
          <w:iCs/>
          <w:lang w:val="es-ES_tradnl"/>
        </w:rPr>
        <w:t>790 </w:t>
      </w:r>
      <w:r w:rsidR="00FE3D48" w:rsidRPr="00792118">
        <w:rPr>
          <w:iCs/>
          <w:lang w:val="es-ES_tradnl"/>
        </w:rPr>
        <w:t>MHz en la Región 1</w:t>
      </w:r>
      <w:r w:rsidR="00A569E8" w:rsidRPr="00792118">
        <w:rPr>
          <w:iCs/>
          <w:lang w:val="es-ES_tradnl"/>
        </w:rPr>
        <w:t>»</w:t>
      </w:r>
      <w:r w:rsidR="00752B39" w:rsidRPr="00792118">
        <w:rPr>
          <w:lang w:val="es-ES_tradnl"/>
        </w:rPr>
        <w:t xml:space="preserve"> (</w:t>
      </w:r>
      <w:r w:rsidR="00ED462A" w:rsidRPr="00792118">
        <w:rPr>
          <w:lang w:val="es-ES_tradnl"/>
        </w:rPr>
        <w:t>véase el Anexo</w:t>
      </w:r>
      <w:r w:rsidR="00752B39" w:rsidRPr="00792118">
        <w:rPr>
          <w:lang w:val="es-ES_tradnl"/>
        </w:rPr>
        <w:t xml:space="preserve"> 21 </w:t>
      </w:r>
      <w:r w:rsidR="00ED462A" w:rsidRPr="00792118">
        <w:rPr>
          <w:lang w:val="es-ES_tradnl"/>
        </w:rPr>
        <w:t>al</w:t>
      </w:r>
      <w:r w:rsidR="00752B39" w:rsidRPr="00792118">
        <w:rPr>
          <w:lang w:val="es-ES_tradnl"/>
        </w:rPr>
        <w:t xml:space="preserve"> </w:t>
      </w:r>
      <w:r w:rsidR="00752B39" w:rsidRPr="00792118">
        <w:rPr>
          <w:lang w:val="es-ES_tradnl"/>
        </w:rPr>
        <w:lastRenderedPageBreak/>
        <w:t>Document</w:t>
      </w:r>
      <w:r w:rsidR="00ED462A" w:rsidRPr="00792118">
        <w:rPr>
          <w:lang w:val="es-ES_tradnl"/>
        </w:rPr>
        <w:t>o</w:t>
      </w:r>
      <w:r w:rsidR="00752B39" w:rsidRPr="00792118">
        <w:rPr>
          <w:lang w:val="es-ES_tradnl"/>
        </w:rPr>
        <w:t xml:space="preserve"> 4-5-6-7/</w:t>
      </w:r>
      <w:hyperlink r:id="rId25" w:history="1">
        <w:r w:rsidR="00752B39" w:rsidRPr="00792118">
          <w:rPr>
            <w:color w:val="0000FF"/>
            <w:u w:val="single"/>
            <w:lang w:val="es-ES_tradnl"/>
          </w:rPr>
          <w:t>715</w:t>
        </w:r>
      </w:hyperlink>
      <w:r w:rsidR="00752B39" w:rsidRPr="00792118">
        <w:rPr>
          <w:lang w:val="es-ES_tradnl"/>
        </w:rPr>
        <w:t>). A</w:t>
      </w:r>
      <w:r w:rsidR="00ED462A" w:rsidRPr="00792118">
        <w:rPr>
          <w:lang w:val="es-ES_tradnl"/>
        </w:rPr>
        <w:t xml:space="preserve">lgunas </w:t>
      </w:r>
      <w:r w:rsidR="00A67549" w:rsidRPr="00792118">
        <w:rPr>
          <w:lang w:val="es-ES_tradnl"/>
        </w:rPr>
        <w:t>administraciones</w:t>
      </w:r>
      <w:r w:rsidR="00ED462A" w:rsidRPr="00792118">
        <w:rPr>
          <w:lang w:val="es-ES_tradnl"/>
        </w:rPr>
        <w:t xml:space="preserve"> consideraron que esta Recomendación estaba </w:t>
      </w:r>
      <w:r w:rsidR="00A67549" w:rsidRPr="00792118">
        <w:rPr>
          <w:lang w:val="es-ES_tradnl"/>
        </w:rPr>
        <w:t>muy avanzada y opinaro</w:t>
      </w:r>
      <w:r w:rsidR="00ED462A" w:rsidRPr="00792118">
        <w:rPr>
          <w:lang w:val="es-ES_tradnl"/>
        </w:rPr>
        <w:t>n</w:t>
      </w:r>
      <w:r w:rsidR="00A67549" w:rsidRPr="00792118">
        <w:rPr>
          <w:lang w:val="es-ES_tradnl"/>
        </w:rPr>
        <w:t xml:space="preserve"> que</w:t>
      </w:r>
      <w:r w:rsidR="00ED462A" w:rsidRPr="00792118">
        <w:rPr>
          <w:lang w:val="es-ES_tradnl"/>
        </w:rPr>
        <w:t xml:space="preserve">, </w:t>
      </w:r>
      <w:r w:rsidR="00A67549" w:rsidRPr="00792118">
        <w:rPr>
          <w:lang w:val="es-ES_tradnl"/>
        </w:rPr>
        <w:t>al ser</w:t>
      </w:r>
      <w:r w:rsidR="00ED462A" w:rsidRPr="00792118">
        <w:rPr>
          <w:lang w:val="es-ES_tradnl"/>
        </w:rPr>
        <w:t xml:space="preserve"> importante para los trabajos de la CMR-15 sobre el punto 1.2 del orden del día, </w:t>
      </w:r>
      <w:r w:rsidR="00A67549" w:rsidRPr="00792118">
        <w:rPr>
          <w:lang w:val="es-ES_tradnl"/>
        </w:rPr>
        <w:t xml:space="preserve">se </w:t>
      </w:r>
      <w:r w:rsidR="00ED462A" w:rsidRPr="00792118">
        <w:rPr>
          <w:lang w:val="es-ES_tradnl"/>
        </w:rPr>
        <w:t>deber</w:t>
      </w:r>
      <w:r w:rsidR="00A67549" w:rsidRPr="00792118">
        <w:rPr>
          <w:lang w:val="es-ES_tradnl"/>
        </w:rPr>
        <w:t>ía haber</w:t>
      </w:r>
      <w:r w:rsidR="00ED462A" w:rsidRPr="00792118">
        <w:rPr>
          <w:lang w:val="es-ES_tradnl"/>
        </w:rPr>
        <w:t xml:space="preserve"> enviado a las Comisiones de Estudio interesadas para su adopción y aprobación y que si no podía </w:t>
      </w:r>
      <w:r w:rsidR="00A67549" w:rsidRPr="00792118">
        <w:rPr>
          <w:lang w:val="es-ES_tradnl"/>
        </w:rPr>
        <w:t>ser aprobada</w:t>
      </w:r>
      <w:r w:rsidR="00ED462A" w:rsidRPr="00792118">
        <w:rPr>
          <w:lang w:val="es-ES_tradnl"/>
        </w:rPr>
        <w:t xml:space="preserve"> por las Comisiones de Estudio debería enviarse a la Asamblea de Radiocomunicaciones. Otras</w:t>
      </w:r>
      <w:r w:rsidR="00A67549" w:rsidRPr="00792118">
        <w:rPr>
          <w:lang w:val="es-ES_tradnl"/>
        </w:rPr>
        <w:t xml:space="preserve"> administraciones opinaro</w:t>
      </w:r>
      <w:r w:rsidR="00ED462A" w:rsidRPr="00792118">
        <w:rPr>
          <w:lang w:val="es-ES_tradnl"/>
        </w:rPr>
        <w:t>n lo c</w:t>
      </w:r>
      <w:r w:rsidR="00AB317F" w:rsidRPr="00792118">
        <w:rPr>
          <w:lang w:val="es-ES_tradnl"/>
        </w:rPr>
        <w:t>ontrario y consideraron que el p</w:t>
      </w:r>
      <w:r w:rsidR="00ED462A" w:rsidRPr="00792118">
        <w:rPr>
          <w:lang w:val="es-ES_tradnl"/>
        </w:rPr>
        <w:t>royecto de Recomendación no estaba suficientemente avanzado para ser acordado.</w:t>
      </w:r>
      <w:r w:rsidR="00752B39" w:rsidRPr="00792118">
        <w:rPr>
          <w:lang w:val="es-ES_tradnl"/>
        </w:rPr>
        <w:t> </w:t>
      </w:r>
      <w:r w:rsidR="00ED462A" w:rsidRPr="00792118">
        <w:rPr>
          <w:lang w:val="es-ES_tradnl"/>
        </w:rPr>
        <w:t>Al no alcanzarse ningún consenso sobre este anteproyecto de nueva Recomendación</w:t>
      </w:r>
      <w:r w:rsidR="00A67549" w:rsidRPr="00792118">
        <w:rPr>
          <w:lang w:val="es-ES_tradnl"/>
        </w:rPr>
        <w:t xml:space="preserve"> no se </w:t>
      </w:r>
      <w:r w:rsidR="00AB317F" w:rsidRPr="00792118">
        <w:rPr>
          <w:lang w:val="es-ES_tradnl"/>
        </w:rPr>
        <w:t>aprobó</w:t>
      </w:r>
      <w:r w:rsidR="00A67549" w:rsidRPr="00792118">
        <w:rPr>
          <w:lang w:val="es-ES_tradnl"/>
        </w:rPr>
        <w:t>, por consiguiente, su envío a las Comisiones de Estudio correspondientes para su adopción y aprobación.</w:t>
      </w:r>
    </w:p>
    <w:p w:rsidR="00752B39" w:rsidRPr="00792118" w:rsidRDefault="00752B39" w:rsidP="00822172">
      <w:pPr>
        <w:pStyle w:val="Reasons"/>
        <w:rPr>
          <w:lang w:val="es-ES_tradnl"/>
        </w:rPr>
      </w:pPr>
    </w:p>
    <w:p w:rsidR="00752B39" w:rsidRPr="00792118" w:rsidRDefault="00752B39" w:rsidP="00822172">
      <w:pPr>
        <w:jc w:val="center"/>
        <w:rPr>
          <w:lang w:val="es-ES_tradnl"/>
        </w:rPr>
      </w:pPr>
      <w:r w:rsidRPr="00792118">
        <w:rPr>
          <w:lang w:val="es-ES_tradnl"/>
        </w:rPr>
        <w:t>______________</w:t>
      </w:r>
    </w:p>
    <w:sectPr w:rsidR="00752B39" w:rsidRPr="00792118">
      <w:headerReference w:type="default" r:id="rId26"/>
      <w:footerReference w:type="even" r:id="rId27"/>
      <w:footerReference w:type="default" r:id="rId28"/>
      <w:footerReference w:type="first" r:id="rId29"/>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240" w:rsidRDefault="000E3240">
      <w:r>
        <w:separator/>
      </w:r>
    </w:p>
  </w:endnote>
  <w:endnote w:type="continuationSeparator" w:id="0">
    <w:p w:rsidR="000E3240" w:rsidRDefault="000E3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240" w:rsidRDefault="000E3240">
    <w:pPr>
      <w:rPr>
        <w:lang w:val="en-US"/>
      </w:rPr>
    </w:pPr>
    <w:r>
      <w:fldChar w:fldCharType="begin"/>
    </w:r>
    <w:r>
      <w:rPr>
        <w:lang w:val="en-US"/>
      </w:rPr>
      <w:instrText xml:space="preserve"> FILENAME \p  \* MERGEFORMAT </w:instrText>
    </w:r>
    <w:r>
      <w:fldChar w:fldCharType="separate"/>
    </w:r>
    <w:r w:rsidR="00081B04">
      <w:rPr>
        <w:noProof/>
        <w:lang w:val="en-US"/>
      </w:rPr>
      <w:t>P:\ESP\ITU-R\SG-R\SG04\1000\1001S.docx</w:t>
    </w:r>
    <w:r>
      <w:fldChar w:fldCharType="end"/>
    </w:r>
    <w:r>
      <w:rPr>
        <w:lang w:val="en-US"/>
      </w:rPr>
      <w:tab/>
    </w:r>
    <w:r>
      <w:fldChar w:fldCharType="begin"/>
    </w:r>
    <w:r>
      <w:instrText xml:space="preserve"> SAVEDATE \@ DD.MM.YY </w:instrText>
    </w:r>
    <w:r>
      <w:fldChar w:fldCharType="separate"/>
    </w:r>
    <w:r w:rsidR="00081B04">
      <w:rPr>
        <w:noProof/>
      </w:rPr>
      <w:t>19.10.15</w:t>
    </w:r>
    <w:r>
      <w:fldChar w:fldCharType="end"/>
    </w:r>
    <w:r>
      <w:rPr>
        <w:lang w:val="en-US"/>
      </w:rPr>
      <w:tab/>
    </w:r>
    <w:r>
      <w:fldChar w:fldCharType="begin"/>
    </w:r>
    <w:r>
      <w:instrText xml:space="preserve"> PRINTDATE \@ DD.MM.YY </w:instrText>
    </w:r>
    <w:r>
      <w:fldChar w:fldCharType="separate"/>
    </w:r>
    <w:r w:rsidR="00081B04">
      <w:rPr>
        <w:noProof/>
      </w:rPr>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240" w:rsidRPr="00574EBC" w:rsidRDefault="000E3240" w:rsidP="00574EBC">
    <w:pPr>
      <w:pStyle w:val="Footer"/>
      <w:rPr>
        <w:lang w:val="en-US"/>
      </w:rPr>
    </w:pPr>
    <w:r>
      <w:fldChar w:fldCharType="begin"/>
    </w:r>
    <w:r w:rsidRPr="001469F4">
      <w:rPr>
        <w:lang w:val="en-US"/>
      </w:rPr>
      <w:instrText xml:space="preserve"> FILENAME \p  \* MERGEFORMAT </w:instrText>
    </w:r>
    <w:r>
      <w:fldChar w:fldCharType="separate"/>
    </w:r>
    <w:r w:rsidR="00081B04">
      <w:rPr>
        <w:lang w:val="en-US"/>
      </w:rPr>
      <w:t>P:\ESP\ITU-R\SG-R\SG04\1000\1001S.docx</w:t>
    </w:r>
    <w:r>
      <w:fldChar w:fldCharType="end"/>
    </w:r>
    <w:r w:rsidRPr="001469F4">
      <w:rPr>
        <w:lang w:val="en-US"/>
      </w:rPr>
      <w:t xml:space="preserve"> (383143)</w:t>
    </w:r>
    <w:r w:rsidRPr="001469F4">
      <w:rPr>
        <w:lang w:val="en-US"/>
      </w:rPr>
      <w:tab/>
    </w:r>
    <w:r>
      <w:fldChar w:fldCharType="begin"/>
    </w:r>
    <w:r>
      <w:instrText xml:space="preserve"> SAVEDATE \@ DD.MM.YY </w:instrText>
    </w:r>
    <w:r>
      <w:fldChar w:fldCharType="separate"/>
    </w:r>
    <w:r w:rsidR="00081B04">
      <w:t>19.10.15</w:t>
    </w:r>
    <w:r>
      <w:fldChar w:fldCharType="end"/>
    </w:r>
    <w:r w:rsidRPr="001469F4">
      <w:rPr>
        <w:lang w:val="en-US"/>
      </w:rPr>
      <w:tab/>
    </w:r>
    <w:r>
      <w:fldChar w:fldCharType="begin"/>
    </w:r>
    <w:r>
      <w:instrText xml:space="preserve"> PRINTDATE \@ DD.MM.YY </w:instrText>
    </w:r>
    <w:r>
      <w:fldChar w:fldCharType="separate"/>
    </w:r>
    <w:r w:rsidR="00081B04">
      <w:t>19.10.15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240" w:rsidRPr="001469F4" w:rsidRDefault="000E3240">
    <w:pPr>
      <w:pStyle w:val="Footer"/>
      <w:rPr>
        <w:lang w:val="en-US"/>
      </w:rPr>
    </w:pPr>
    <w:r>
      <w:fldChar w:fldCharType="begin"/>
    </w:r>
    <w:r w:rsidRPr="001469F4">
      <w:rPr>
        <w:lang w:val="en-US"/>
      </w:rPr>
      <w:instrText xml:space="preserve"> FILENAME \p  \* MERGEFORMAT </w:instrText>
    </w:r>
    <w:r>
      <w:fldChar w:fldCharType="separate"/>
    </w:r>
    <w:r w:rsidR="00081B04">
      <w:rPr>
        <w:lang w:val="en-US"/>
      </w:rPr>
      <w:t>P:\ESP\ITU-R\SG-R\SG04\1000\1001S.docx</w:t>
    </w:r>
    <w:r>
      <w:fldChar w:fldCharType="end"/>
    </w:r>
    <w:r w:rsidRPr="001469F4">
      <w:rPr>
        <w:lang w:val="en-US"/>
      </w:rPr>
      <w:t xml:space="preserve"> (383143)</w:t>
    </w:r>
    <w:r w:rsidRPr="001469F4">
      <w:rPr>
        <w:lang w:val="en-US"/>
      </w:rPr>
      <w:tab/>
    </w:r>
    <w:r>
      <w:fldChar w:fldCharType="begin"/>
    </w:r>
    <w:r>
      <w:instrText xml:space="preserve"> SAVEDATE \@ DD.MM.YY </w:instrText>
    </w:r>
    <w:r>
      <w:fldChar w:fldCharType="separate"/>
    </w:r>
    <w:r w:rsidR="00081B04">
      <w:t>19.10.15</w:t>
    </w:r>
    <w:r>
      <w:fldChar w:fldCharType="end"/>
    </w:r>
    <w:r w:rsidRPr="001469F4">
      <w:rPr>
        <w:lang w:val="en-US"/>
      </w:rPr>
      <w:tab/>
    </w:r>
    <w:r>
      <w:fldChar w:fldCharType="begin"/>
    </w:r>
    <w:r>
      <w:instrText xml:space="preserve"> PRINTDATE \@ DD.MM.YY </w:instrText>
    </w:r>
    <w:r>
      <w:fldChar w:fldCharType="separate"/>
    </w:r>
    <w:r w:rsidR="00081B04">
      <w:t>19.10.15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240" w:rsidRDefault="000E3240">
      <w:r>
        <w:rPr>
          <w:b/>
        </w:rPr>
        <w:t>_______________</w:t>
      </w:r>
    </w:p>
  </w:footnote>
  <w:footnote w:type="continuationSeparator" w:id="0">
    <w:p w:rsidR="000E3240" w:rsidRDefault="000E3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74" w:rsidRDefault="00545674" w:rsidP="00545674">
    <w:pPr>
      <w:pStyle w:val="Header"/>
    </w:pPr>
    <w:r>
      <w:fldChar w:fldCharType="begin"/>
    </w:r>
    <w:r>
      <w:instrText xml:space="preserve"> PAGE  \* MERGEFORMAT </w:instrText>
    </w:r>
    <w:r>
      <w:fldChar w:fldCharType="separate"/>
    </w:r>
    <w:r w:rsidR="00D81635">
      <w:rPr>
        <w:noProof/>
      </w:rPr>
      <w:t>21</w:t>
    </w:r>
    <w:r>
      <w:fldChar w:fldCharType="end"/>
    </w:r>
  </w:p>
  <w:p w:rsidR="000E3240" w:rsidRDefault="000E3240">
    <w:pPr>
      <w:pStyle w:val="Header"/>
    </w:pPr>
    <w:r>
      <w:t>4/1001-S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CF6"/>
    <w:rsid w:val="0000552A"/>
    <w:rsid w:val="00012B52"/>
    <w:rsid w:val="00013B7F"/>
    <w:rsid w:val="00016A7C"/>
    <w:rsid w:val="00020ACE"/>
    <w:rsid w:val="00025F56"/>
    <w:rsid w:val="00026B3A"/>
    <w:rsid w:val="00045147"/>
    <w:rsid w:val="00053B03"/>
    <w:rsid w:val="000604DA"/>
    <w:rsid w:val="0006380A"/>
    <w:rsid w:val="000734AE"/>
    <w:rsid w:val="00080AB5"/>
    <w:rsid w:val="000811CC"/>
    <w:rsid w:val="00081B04"/>
    <w:rsid w:val="000A052D"/>
    <w:rsid w:val="000A1363"/>
    <w:rsid w:val="000A707C"/>
    <w:rsid w:val="000B7FE4"/>
    <w:rsid w:val="000D1FAD"/>
    <w:rsid w:val="000D426E"/>
    <w:rsid w:val="000E3240"/>
    <w:rsid w:val="000E6B33"/>
    <w:rsid w:val="000F2849"/>
    <w:rsid w:val="001009DC"/>
    <w:rsid w:val="00103492"/>
    <w:rsid w:val="00106307"/>
    <w:rsid w:val="00111B8E"/>
    <w:rsid w:val="001123C3"/>
    <w:rsid w:val="00113ED8"/>
    <w:rsid w:val="00123E19"/>
    <w:rsid w:val="0012573D"/>
    <w:rsid w:val="0013419F"/>
    <w:rsid w:val="001469F4"/>
    <w:rsid w:val="00153F43"/>
    <w:rsid w:val="00154ED3"/>
    <w:rsid w:val="00155D66"/>
    <w:rsid w:val="00157BA0"/>
    <w:rsid w:val="00160F26"/>
    <w:rsid w:val="00166615"/>
    <w:rsid w:val="001721DD"/>
    <w:rsid w:val="00172773"/>
    <w:rsid w:val="00183D6A"/>
    <w:rsid w:val="00184F63"/>
    <w:rsid w:val="001856F0"/>
    <w:rsid w:val="00187A2E"/>
    <w:rsid w:val="00187F33"/>
    <w:rsid w:val="00190D82"/>
    <w:rsid w:val="001F0810"/>
    <w:rsid w:val="00200C51"/>
    <w:rsid w:val="00203D92"/>
    <w:rsid w:val="00216D69"/>
    <w:rsid w:val="002334F2"/>
    <w:rsid w:val="002407ED"/>
    <w:rsid w:val="00242E78"/>
    <w:rsid w:val="00253E6C"/>
    <w:rsid w:val="00267A57"/>
    <w:rsid w:val="00271946"/>
    <w:rsid w:val="00272BE9"/>
    <w:rsid w:val="002779DD"/>
    <w:rsid w:val="00281B31"/>
    <w:rsid w:val="00285893"/>
    <w:rsid w:val="002B5852"/>
    <w:rsid w:val="002B6243"/>
    <w:rsid w:val="002B7603"/>
    <w:rsid w:val="002E3A62"/>
    <w:rsid w:val="002E6B28"/>
    <w:rsid w:val="002F3F5D"/>
    <w:rsid w:val="00303FA4"/>
    <w:rsid w:val="003230F6"/>
    <w:rsid w:val="00327139"/>
    <w:rsid w:val="0033072A"/>
    <w:rsid w:val="003350A4"/>
    <w:rsid w:val="003578BD"/>
    <w:rsid w:val="00365BD7"/>
    <w:rsid w:val="0036686B"/>
    <w:rsid w:val="00390603"/>
    <w:rsid w:val="003B0F36"/>
    <w:rsid w:val="003B57DC"/>
    <w:rsid w:val="003B5B95"/>
    <w:rsid w:val="003C2E51"/>
    <w:rsid w:val="003C6DF6"/>
    <w:rsid w:val="003D0818"/>
    <w:rsid w:val="003D4902"/>
    <w:rsid w:val="003E7F2D"/>
    <w:rsid w:val="003F53CD"/>
    <w:rsid w:val="003F5EC0"/>
    <w:rsid w:val="00407DF5"/>
    <w:rsid w:val="00415757"/>
    <w:rsid w:val="00420235"/>
    <w:rsid w:val="00436CA8"/>
    <w:rsid w:val="00454950"/>
    <w:rsid w:val="00461BB9"/>
    <w:rsid w:val="00466E22"/>
    <w:rsid w:val="00466F3C"/>
    <w:rsid w:val="00482044"/>
    <w:rsid w:val="004833BA"/>
    <w:rsid w:val="00497C5E"/>
    <w:rsid w:val="004A62E1"/>
    <w:rsid w:val="004C0C46"/>
    <w:rsid w:val="004C1603"/>
    <w:rsid w:val="004F3B14"/>
    <w:rsid w:val="00507A38"/>
    <w:rsid w:val="00513B4B"/>
    <w:rsid w:val="00515C6F"/>
    <w:rsid w:val="005163EB"/>
    <w:rsid w:val="00521037"/>
    <w:rsid w:val="00521609"/>
    <w:rsid w:val="005335D1"/>
    <w:rsid w:val="00537FBD"/>
    <w:rsid w:val="00544031"/>
    <w:rsid w:val="00545674"/>
    <w:rsid w:val="0055461E"/>
    <w:rsid w:val="0056222D"/>
    <w:rsid w:val="005648DF"/>
    <w:rsid w:val="00572ADB"/>
    <w:rsid w:val="00573E3D"/>
    <w:rsid w:val="00574EBC"/>
    <w:rsid w:val="0058477D"/>
    <w:rsid w:val="00593949"/>
    <w:rsid w:val="0059574C"/>
    <w:rsid w:val="005A60F3"/>
    <w:rsid w:val="005B1B79"/>
    <w:rsid w:val="005B6B21"/>
    <w:rsid w:val="005C2BAB"/>
    <w:rsid w:val="005C2C40"/>
    <w:rsid w:val="005C399F"/>
    <w:rsid w:val="005C4F7E"/>
    <w:rsid w:val="005C78B8"/>
    <w:rsid w:val="005C7EDC"/>
    <w:rsid w:val="005E14DE"/>
    <w:rsid w:val="005F5501"/>
    <w:rsid w:val="005F65CA"/>
    <w:rsid w:val="006050EE"/>
    <w:rsid w:val="006114B9"/>
    <w:rsid w:val="006244E3"/>
    <w:rsid w:val="00635F01"/>
    <w:rsid w:val="00637A65"/>
    <w:rsid w:val="00645052"/>
    <w:rsid w:val="00656CE4"/>
    <w:rsid w:val="00660C72"/>
    <w:rsid w:val="00671985"/>
    <w:rsid w:val="00686DA1"/>
    <w:rsid w:val="00691FC1"/>
    <w:rsid w:val="00693CB4"/>
    <w:rsid w:val="006B4375"/>
    <w:rsid w:val="006B78B3"/>
    <w:rsid w:val="006C1AE5"/>
    <w:rsid w:val="006C4EFB"/>
    <w:rsid w:val="006E25F6"/>
    <w:rsid w:val="006E302B"/>
    <w:rsid w:val="006F04BF"/>
    <w:rsid w:val="006F084F"/>
    <w:rsid w:val="006F487D"/>
    <w:rsid w:val="00713B7E"/>
    <w:rsid w:val="007158C2"/>
    <w:rsid w:val="0072055D"/>
    <w:rsid w:val="00721213"/>
    <w:rsid w:val="00723249"/>
    <w:rsid w:val="007262F0"/>
    <w:rsid w:val="00745B0C"/>
    <w:rsid w:val="00751F43"/>
    <w:rsid w:val="00752B39"/>
    <w:rsid w:val="00766E46"/>
    <w:rsid w:val="0077613C"/>
    <w:rsid w:val="007814F4"/>
    <w:rsid w:val="00783315"/>
    <w:rsid w:val="00783EA1"/>
    <w:rsid w:val="00792118"/>
    <w:rsid w:val="00792241"/>
    <w:rsid w:val="007936A7"/>
    <w:rsid w:val="00795E63"/>
    <w:rsid w:val="007A79D1"/>
    <w:rsid w:val="007B1284"/>
    <w:rsid w:val="007B1842"/>
    <w:rsid w:val="007C3637"/>
    <w:rsid w:val="007D388A"/>
    <w:rsid w:val="007D4A1C"/>
    <w:rsid w:val="007F069E"/>
    <w:rsid w:val="00800BA9"/>
    <w:rsid w:val="00805E9C"/>
    <w:rsid w:val="00822172"/>
    <w:rsid w:val="008246E6"/>
    <w:rsid w:val="00832B2B"/>
    <w:rsid w:val="00837E2C"/>
    <w:rsid w:val="00866595"/>
    <w:rsid w:val="00866B95"/>
    <w:rsid w:val="008845BB"/>
    <w:rsid w:val="00894650"/>
    <w:rsid w:val="008A13F8"/>
    <w:rsid w:val="008A705F"/>
    <w:rsid w:val="008D6769"/>
    <w:rsid w:val="008E02B6"/>
    <w:rsid w:val="008E1581"/>
    <w:rsid w:val="0090317B"/>
    <w:rsid w:val="00904A1D"/>
    <w:rsid w:val="009166DB"/>
    <w:rsid w:val="0091713B"/>
    <w:rsid w:val="00927390"/>
    <w:rsid w:val="00930616"/>
    <w:rsid w:val="00930A75"/>
    <w:rsid w:val="00933D5B"/>
    <w:rsid w:val="00943283"/>
    <w:rsid w:val="00943FB0"/>
    <w:rsid w:val="0094585A"/>
    <w:rsid w:val="0094591F"/>
    <w:rsid w:val="00950AB3"/>
    <w:rsid w:val="009532F2"/>
    <w:rsid w:val="009630C4"/>
    <w:rsid w:val="00965EF2"/>
    <w:rsid w:val="00981D6F"/>
    <w:rsid w:val="00995E2A"/>
    <w:rsid w:val="009A48A1"/>
    <w:rsid w:val="009B6B22"/>
    <w:rsid w:val="009B7631"/>
    <w:rsid w:val="009C16F6"/>
    <w:rsid w:val="009D0ED9"/>
    <w:rsid w:val="009E481B"/>
    <w:rsid w:val="009F4F86"/>
    <w:rsid w:val="009F6F57"/>
    <w:rsid w:val="009F770D"/>
    <w:rsid w:val="00A05AE8"/>
    <w:rsid w:val="00A10635"/>
    <w:rsid w:val="00A1406F"/>
    <w:rsid w:val="00A179B5"/>
    <w:rsid w:val="00A24F7F"/>
    <w:rsid w:val="00A27CF6"/>
    <w:rsid w:val="00A309D1"/>
    <w:rsid w:val="00A40271"/>
    <w:rsid w:val="00A451E2"/>
    <w:rsid w:val="00A47126"/>
    <w:rsid w:val="00A478E5"/>
    <w:rsid w:val="00A569E8"/>
    <w:rsid w:val="00A61063"/>
    <w:rsid w:val="00A61F5D"/>
    <w:rsid w:val="00A67549"/>
    <w:rsid w:val="00A765FB"/>
    <w:rsid w:val="00A76B10"/>
    <w:rsid w:val="00A779AE"/>
    <w:rsid w:val="00A92D73"/>
    <w:rsid w:val="00A97E7B"/>
    <w:rsid w:val="00AA574F"/>
    <w:rsid w:val="00AB317F"/>
    <w:rsid w:val="00AC0CBE"/>
    <w:rsid w:val="00AC3B47"/>
    <w:rsid w:val="00AC503F"/>
    <w:rsid w:val="00AE1714"/>
    <w:rsid w:val="00AE5194"/>
    <w:rsid w:val="00AF7660"/>
    <w:rsid w:val="00B029C2"/>
    <w:rsid w:val="00B126CD"/>
    <w:rsid w:val="00B2081E"/>
    <w:rsid w:val="00B23BD1"/>
    <w:rsid w:val="00B57820"/>
    <w:rsid w:val="00B60926"/>
    <w:rsid w:val="00B611DD"/>
    <w:rsid w:val="00B612F9"/>
    <w:rsid w:val="00B613F9"/>
    <w:rsid w:val="00B743BD"/>
    <w:rsid w:val="00B74F37"/>
    <w:rsid w:val="00B76EBD"/>
    <w:rsid w:val="00B92242"/>
    <w:rsid w:val="00B92FA9"/>
    <w:rsid w:val="00BA43FF"/>
    <w:rsid w:val="00BB0C08"/>
    <w:rsid w:val="00BE60C8"/>
    <w:rsid w:val="00BF1023"/>
    <w:rsid w:val="00BF197D"/>
    <w:rsid w:val="00BF24C0"/>
    <w:rsid w:val="00C170EA"/>
    <w:rsid w:val="00C22432"/>
    <w:rsid w:val="00C278F8"/>
    <w:rsid w:val="00C34620"/>
    <w:rsid w:val="00C43EE3"/>
    <w:rsid w:val="00C50193"/>
    <w:rsid w:val="00C513BA"/>
    <w:rsid w:val="00C57DD8"/>
    <w:rsid w:val="00C72BD9"/>
    <w:rsid w:val="00C856C3"/>
    <w:rsid w:val="00C94D64"/>
    <w:rsid w:val="00CC5151"/>
    <w:rsid w:val="00CC6065"/>
    <w:rsid w:val="00CC6907"/>
    <w:rsid w:val="00CC74F6"/>
    <w:rsid w:val="00CD52AC"/>
    <w:rsid w:val="00CD58D0"/>
    <w:rsid w:val="00CF0777"/>
    <w:rsid w:val="00CF0A47"/>
    <w:rsid w:val="00D04CC5"/>
    <w:rsid w:val="00D11B8F"/>
    <w:rsid w:val="00D21FBC"/>
    <w:rsid w:val="00D4116C"/>
    <w:rsid w:val="00D546A7"/>
    <w:rsid w:val="00D57068"/>
    <w:rsid w:val="00D632C3"/>
    <w:rsid w:val="00D64FEA"/>
    <w:rsid w:val="00D66E66"/>
    <w:rsid w:val="00D676BD"/>
    <w:rsid w:val="00D81635"/>
    <w:rsid w:val="00D861A9"/>
    <w:rsid w:val="00DA7AD0"/>
    <w:rsid w:val="00DB1503"/>
    <w:rsid w:val="00DB5C71"/>
    <w:rsid w:val="00DC4915"/>
    <w:rsid w:val="00DD7DF6"/>
    <w:rsid w:val="00DE35E9"/>
    <w:rsid w:val="00DE5B6B"/>
    <w:rsid w:val="00DF1285"/>
    <w:rsid w:val="00DF157E"/>
    <w:rsid w:val="00DF322E"/>
    <w:rsid w:val="00DF6F21"/>
    <w:rsid w:val="00E01901"/>
    <w:rsid w:val="00E0398A"/>
    <w:rsid w:val="00E42434"/>
    <w:rsid w:val="00E44AE1"/>
    <w:rsid w:val="00E51C84"/>
    <w:rsid w:val="00E573F7"/>
    <w:rsid w:val="00E62E9E"/>
    <w:rsid w:val="00E70C0E"/>
    <w:rsid w:val="00E71814"/>
    <w:rsid w:val="00E81B8E"/>
    <w:rsid w:val="00E847A5"/>
    <w:rsid w:val="00E85C12"/>
    <w:rsid w:val="00E96899"/>
    <w:rsid w:val="00EA4B8E"/>
    <w:rsid w:val="00EA6C5E"/>
    <w:rsid w:val="00EA6F5D"/>
    <w:rsid w:val="00EB5C7B"/>
    <w:rsid w:val="00EC79E9"/>
    <w:rsid w:val="00ED462A"/>
    <w:rsid w:val="00EE4E72"/>
    <w:rsid w:val="00EF0CCC"/>
    <w:rsid w:val="00EF4C6D"/>
    <w:rsid w:val="00F03D67"/>
    <w:rsid w:val="00F15537"/>
    <w:rsid w:val="00F3693F"/>
    <w:rsid w:val="00F41344"/>
    <w:rsid w:val="00F4407F"/>
    <w:rsid w:val="00F50FB6"/>
    <w:rsid w:val="00F61F52"/>
    <w:rsid w:val="00F62F43"/>
    <w:rsid w:val="00F678BE"/>
    <w:rsid w:val="00F82796"/>
    <w:rsid w:val="00F8545B"/>
    <w:rsid w:val="00FA4B94"/>
    <w:rsid w:val="00FA4EDC"/>
    <w:rsid w:val="00FA728B"/>
    <w:rsid w:val="00FB0BAF"/>
    <w:rsid w:val="00FC7F1E"/>
    <w:rsid w:val="00FD4424"/>
    <w:rsid w:val="00FE3D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A063FFF-1CEA-47FD-8437-CDE0EC320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qFormat/>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uiPriority w:val="99"/>
    <w:rsid w:val="009630C4"/>
    <w:pPr>
      <w:tabs>
        <w:tab w:val="clear" w:pos="2268"/>
        <w:tab w:val="left" w:pos="2608"/>
        <w:tab w:val="left" w:pos="3345"/>
      </w:tabs>
      <w:spacing w:before="80"/>
      <w:ind w:left="1134" w:hanging="1134"/>
    </w:pPr>
  </w:style>
  <w:style w:type="paragraph" w:customStyle="1" w:styleId="enumlev2">
    <w:name w:val="enumlev2"/>
    <w:basedOn w:val="enumlev1"/>
    <w:uiPriority w:val="99"/>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link w:val="TabletitleChar"/>
    <w:uiPriority w:val="99"/>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aliases w:val="header odd,header odd1,header odd2,he,header odd3,header odd4,header odd5,header odd6,header1,header2,header3,header odd11,header odd21,header odd7,header4,header odd8,header odd9,header5,header odd12,header11,header21,header odd22,h,ho"/>
    <w:basedOn w:val="Normal"/>
    <w:link w:val="HeaderChar"/>
    <w:uiPriority w:val="99"/>
    <w:rsid w:val="009630C4"/>
    <w:pPr>
      <w:spacing w:before="0"/>
      <w:jc w:val="center"/>
    </w:pPr>
    <w:rPr>
      <w:sz w:val="18"/>
    </w:rPr>
  </w:style>
  <w:style w:type="character" w:customStyle="1" w:styleId="HeaderChar">
    <w:name w:val="Header Char"/>
    <w:aliases w:val="header odd Char,header odd1 Char,header odd2 Char,he Char,header odd3 Char,header odd4 Char,header odd5 Char,header odd6 Char,header1 Char,header2 Char,header3 Char,header odd11 Char,header odd21 Char,header odd7 Char,header4 Char,h Char"/>
    <w:basedOn w:val="DefaultParagraphFont"/>
    <w:link w:val="Header"/>
    <w:uiPriority w:val="99"/>
    <w:rsid w:val="009630C4"/>
    <w:rPr>
      <w:rFonts w:ascii="Times New Roman" w:hAnsi="Times New Roman"/>
      <w:sz w:val="18"/>
      <w:lang w:val="es-ES_tradnl" w:eastAsia="en-US"/>
    </w:rPr>
  </w:style>
  <w:style w:type="paragraph" w:customStyle="1" w:styleId="Headingb">
    <w:name w:val="Heading_b"/>
    <w:basedOn w:val="Normal"/>
    <w:next w:val="Normal"/>
    <w:link w:val="HeadingbChar"/>
    <w:uiPriority w:val="99"/>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link w:val="TableheadChar"/>
    <w:uiPriority w:val="99"/>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link w:val="TableNoChar"/>
    <w:uiPriority w:val="99"/>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link w:val="Title1Char"/>
    <w:uiPriority w:val="99"/>
    <w:rsid w:val="009630C4"/>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9630C4"/>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styleId="Hyperlink">
    <w:name w:val="Hyperlink"/>
    <w:basedOn w:val="DefaultParagraphFont"/>
    <w:rsid w:val="001469F4"/>
    <w:rPr>
      <w:color w:val="0000FF" w:themeColor="hyperlink"/>
      <w:u w:val="single"/>
    </w:rPr>
  </w:style>
  <w:style w:type="character" w:customStyle="1" w:styleId="HeadingbChar">
    <w:name w:val="Heading_b Char"/>
    <w:link w:val="Headingb"/>
    <w:uiPriority w:val="99"/>
    <w:locked/>
    <w:rsid w:val="0055461E"/>
    <w:rPr>
      <w:b/>
      <w:sz w:val="24"/>
      <w:lang w:val="es-ES_tradnl" w:eastAsia="en-US"/>
    </w:rPr>
  </w:style>
  <w:style w:type="character" w:customStyle="1" w:styleId="TabletextChar">
    <w:name w:val="Table_text Char"/>
    <w:link w:val="Tabletext"/>
    <w:rsid w:val="00752B39"/>
    <w:rPr>
      <w:rFonts w:ascii="Times New Roman" w:hAnsi="Times New Roman"/>
      <w:lang w:val="es-ES_tradnl" w:eastAsia="en-US"/>
    </w:rPr>
  </w:style>
  <w:style w:type="character" w:customStyle="1" w:styleId="TabletitleChar">
    <w:name w:val="Table_title Char"/>
    <w:link w:val="Tabletitle"/>
    <w:uiPriority w:val="99"/>
    <w:locked/>
    <w:rsid w:val="00752B39"/>
    <w:rPr>
      <w:rFonts w:ascii="Times New Roman Bold" w:hAnsi="Times New Roman Bold"/>
      <w:b/>
      <w:lang w:val="es-ES_tradnl" w:eastAsia="en-US"/>
    </w:rPr>
  </w:style>
  <w:style w:type="character" w:customStyle="1" w:styleId="TableheadChar">
    <w:name w:val="Table_head Char"/>
    <w:link w:val="Tablehead"/>
    <w:uiPriority w:val="99"/>
    <w:locked/>
    <w:rsid w:val="00752B39"/>
    <w:rPr>
      <w:rFonts w:ascii="Times New Roman" w:hAnsi="Times New Roman"/>
      <w:b/>
      <w:lang w:val="es-ES_tradnl" w:eastAsia="en-US"/>
    </w:rPr>
  </w:style>
  <w:style w:type="character" w:customStyle="1" w:styleId="TableNoChar">
    <w:name w:val="Table_No Char"/>
    <w:link w:val="TableNo"/>
    <w:uiPriority w:val="99"/>
    <w:locked/>
    <w:rsid w:val="00752B39"/>
    <w:rPr>
      <w:rFonts w:ascii="Times New Roman" w:hAnsi="Times New Roman"/>
      <w:caps/>
      <w:lang w:val="es-ES_tradnl" w:eastAsia="en-US"/>
    </w:rPr>
  </w:style>
  <w:style w:type="paragraph" w:customStyle="1" w:styleId="Tablefin">
    <w:name w:val="Table_fin"/>
    <w:basedOn w:val="Normal"/>
    <w:rsid w:val="00752B39"/>
    <w:pPr>
      <w:spacing w:before="0"/>
    </w:pPr>
    <w:rPr>
      <w:sz w:val="20"/>
      <w:lang w:val="en-US"/>
    </w:rPr>
  </w:style>
  <w:style w:type="character" w:customStyle="1" w:styleId="enumlev1Char">
    <w:name w:val="enumlev1 Char"/>
    <w:link w:val="enumlev1"/>
    <w:uiPriority w:val="99"/>
    <w:locked/>
    <w:rsid w:val="00A10635"/>
    <w:rPr>
      <w:rFonts w:ascii="Times New Roman" w:hAnsi="Times New Roman"/>
      <w:sz w:val="24"/>
      <w:lang w:val="es-ES_tradnl" w:eastAsia="en-US"/>
    </w:rPr>
  </w:style>
  <w:style w:type="character" w:customStyle="1" w:styleId="Title1Char">
    <w:name w:val="Title 1 Char"/>
    <w:link w:val="Title1"/>
    <w:uiPriority w:val="99"/>
    <w:locked/>
    <w:rsid w:val="00E44AE1"/>
    <w:rPr>
      <w:rFonts w:ascii="Times New Roman" w:hAnsi="Times New Roman"/>
      <w:caps/>
      <w:sz w:val="28"/>
      <w:lang w:val="es-ES" w:eastAsia="en-US"/>
    </w:rPr>
  </w:style>
  <w:style w:type="character" w:styleId="FollowedHyperlink">
    <w:name w:val="FollowedHyperlink"/>
    <w:basedOn w:val="DefaultParagraphFont"/>
    <w:semiHidden/>
    <w:unhideWhenUsed/>
    <w:rsid w:val="00187A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R00-CACE-CIR-0737/es" TargetMode="External"/><Relationship Id="rId18" Type="http://schemas.openxmlformats.org/officeDocument/2006/relationships/hyperlink" Target="http://www.itu.int/md/R12-JTG4567-C-0584/e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md/R12-JTG4567-C-0715/es" TargetMode="External"/><Relationship Id="rId7" Type="http://schemas.openxmlformats.org/officeDocument/2006/relationships/endnotes" Target="endnotes.xml"/><Relationship Id="rId12" Type="http://schemas.openxmlformats.org/officeDocument/2006/relationships/hyperlink" Target="http://www.itu.int/md/R12-SG04-C-0119/es" TargetMode="External"/><Relationship Id="rId17" Type="http://schemas.openxmlformats.org/officeDocument/2006/relationships/hyperlink" Target="http://www.itu.int/md/R12-JTG4567-C-0393/es" TargetMode="External"/><Relationship Id="rId25" Type="http://schemas.openxmlformats.org/officeDocument/2006/relationships/hyperlink" Target="http://www.itu.int/md/R12-JTG4567-C-0715/es" TargetMode="External"/><Relationship Id="rId2" Type="http://schemas.openxmlformats.org/officeDocument/2006/relationships/numbering" Target="numbering.xml"/><Relationship Id="rId16" Type="http://schemas.openxmlformats.org/officeDocument/2006/relationships/hyperlink" Target="http://www.itu.int/md/R12-JTG4567-C-0242/es" TargetMode="External"/><Relationship Id="rId20" Type="http://schemas.openxmlformats.org/officeDocument/2006/relationships/hyperlink" Target="http://www.itu.int/md/R12-JTG4567-C-0715/e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4-C-0106/es" TargetMode="External"/><Relationship Id="rId24" Type="http://schemas.openxmlformats.org/officeDocument/2006/relationships/hyperlink" Target="http://www.itu.int/md/R12-JTG4567-C-0715/es" TargetMode="External"/><Relationship Id="rId5" Type="http://schemas.openxmlformats.org/officeDocument/2006/relationships/webSettings" Target="webSettings.xml"/><Relationship Id="rId15" Type="http://schemas.openxmlformats.org/officeDocument/2006/relationships/hyperlink" Target="http://www.itu.int/md/R12-JTG4567-C-0113/es" TargetMode="External"/><Relationship Id="rId23" Type="http://schemas.openxmlformats.org/officeDocument/2006/relationships/hyperlink" Target="http://www.itu.int/md/R12-JTG4567-C-0715/es" TargetMode="External"/><Relationship Id="rId28" Type="http://schemas.openxmlformats.org/officeDocument/2006/relationships/footer" Target="footer2.xml"/><Relationship Id="rId10" Type="http://schemas.openxmlformats.org/officeDocument/2006/relationships/hyperlink" Target="http://www.itu.int/md/R12-WP4C-C-0296/es" TargetMode="External"/><Relationship Id="rId19" Type="http://schemas.openxmlformats.org/officeDocument/2006/relationships/hyperlink" Target="http://www.itu.int/md/R12-JTG4567-C-0715/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R12-SG04-RP-1005/es" TargetMode="External"/><Relationship Id="rId14" Type="http://schemas.openxmlformats.org/officeDocument/2006/relationships/hyperlink" Target="http://www.itu.int/md/R12-JTG4567-C-0042/es" TargetMode="External"/><Relationship Id="rId22" Type="http://schemas.openxmlformats.org/officeDocument/2006/relationships/hyperlink" Target="http://www.itu.int/md/R12-JTG4567-C-0715/es" TargetMode="External"/><Relationship Id="rId27" Type="http://schemas.openxmlformats.org/officeDocument/2006/relationships/footer" Target="foot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878AA-01D1-44D2-B244-7C491EEDE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PS_RA15.dotm</Template>
  <TotalTime>208</TotalTime>
  <Pages>23</Pages>
  <Words>10392</Words>
  <Characters>57370</Characters>
  <Application>Microsoft Office Word</Application>
  <DocSecurity>0</DocSecurity>
  <Lines>478</Lines>
  <Paragraphs>135</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67627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Hernandez, Felipe</dc:creator>
  <cp:keywords/>
  <dc:description>PS_RA07.dot  Para: _x000d_Fecha del documento: _x000d_Registrado por MM-43480 a 16:09:38 el 16.10.07</dc:description>
  <cp:lastModifiedBy>Spanish</cp:lastModifiedBy>
  <cp:revision>171</cp:revision>
  <cp:lastPrinted>2015-10-19T06:41:00Z</cp:lastPrinted>
  <dcterms:created xsi:type="dcterms:W3CDTF">2015-10-18T07:33:00Z</dcterms:created>
  <dcterms:modified xsi:type="dcterms:W3CDTF">2015-10-19T08:33:00Z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