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 w:rsidRPr="00DB548D">
        <w:trPr>
          <w:cantSplit/>
        </w:trPr>
        <w:tc>
          <w:tcPr>
            <w:tcW w:w="6345" w:type="dxa"/>
          </w:tcPr>
          <w:p w:rsidR="0075573C" w:rsidRPr="00DB548D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DB548D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DB548D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DB548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B548D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75573C" w:rsidRPr="00DB548D" w:rsidRDefault="0075573C" w:rsidP="005335D1">
            <w:pPr>
              <w:spacing w:line="240" w:lineRule="atLeast"/>
              <w:jc w:val="right"/>
            </w:pPr>
            <w:bookmarkStart w:id="1" w:name="ditulogo"/>
            <w:bookmarkEnd w:id="1"/>
            <w:r w:rsidRPr="00DB548D"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DB548D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DB548D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DB548D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DB548D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DB548D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DB548D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DB548D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DB548D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DB548D" w:rsidRDefault="0075573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75573C" w:rsidRPr="00DB548D" w:rsidRDefault="0075573C" w:rsidP="000E09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DB548D">
              <w:rPr>
                <w:rFonts w:ascii="Verdana" w:hAnsi="Verdana"/>
                <w:b/>
                <w:sz w:val="20"/>
              </w:rPr>
              <w:t xml:space="preserve">Documento </w:t>
            </w:r>
            <w:r w:rsidR="000E096F" w:rsidRPr="00DB548D">
              <w:rPr>
                <w:rFonts w:ascii="Verdana" w:hAnsi="Verdana"/>
                <w:b/>
                <w:sz w:val="20"/>
              </w:rPr>
              <w:t>1</w:t>
            </w:r>
            <w:r w:rsidR="00E55476" w:rsidRPr="00DB548D">
              <w:rPr>
                <w:rFonts w:ascii="Verdana" w:hAnsi="Verdana"/>
                <w:b/>
                <w:sz w:val="20"/>
              </w:rPr>
              <w:t>/</w:t>
            </w:r>
            <w:r w:rsidR="005D1E11" w:rsidRPr="00DB548D">
              <w:rPr>
                <w:rFonts w:ascii="Verdana" w:hAnsi="Verdana"/>
                <w:b/>
                <w:sz w:val="20"/>
              </w:rPr>
              <w:t>100</w:t>
            </w:r>
            <w:r w:rsidR="000E096F" w:rsidRPr="00DB548D">
              <w:rPr>
                <w:rFonts w:ascii="Verdana" w:hAnsi="Verdana"/>
                <w:b/>
                <w:sz w:val="20"/>
              </w:rPr>
              <w:t>3</w:t>
            </w:r>
            <w:r w:rsidRPr="00DB548D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DB548D">
        <w:trPr>
          <w:cantSplit/>
          <w:trHeight w:val="23"/>
        </w:trPr>
        <w:tc>
          <w:tcPr>
            <w:tcW w:w="6345" w:type="dxa"/>
            <w:vMerge/>
          </w:tcPr>
          <w:p w:rsidR="0075573C" w:rsidRPr="00DB548D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75573C" w:rsidRPr="00DB548D" w:rsidRDefault="000E096F" w:rsidP="000E096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DB548D">
              <w:rPr>
                <w:rFonts w:ascii="Verdana" w:hAnsi="Verdana"/>
                <w:b/>
                <w:sz w:val="20"/>
              </w:rPr>
              <w:t>26</w:t>
            </w:r>
            <w:r w:rsidR="0075573C" w:rsidRPr="00DB548D">
              <w:rPr>
                <w:rFonts w:ascii="Verdana" w:hAnsi="Verdana"/>
                <w:b/>
                <w:sz w:val="20"/>
              </w:rPr>
              <w:t xml:space="preserve"> de </w:t>
            </w:r>
            <w:r w:rsidRPr="00DB548D">
              <w:rPr>
                <w:rFonts w:ascii="Verdana" w:hAnsi="Verdana"/>
                <w:b/>
                <w:sz w:val="20"/>
              </w:rPr>
              <w:t>agosto</w:t>
            </w:r>
            <w:r w:rsidR="00D26639" w:rsidRPr="00DB548D">
              <w:rPr>
                <w:rFonts w:ascii="Verdana" w:hAnsi="Verdana"/>
                <w:b/>
                <w:sz w:val="20"/>
              </w:rPr>
              <w:t xml:space="preserve"> </w:t>
            </w:r>
            <w:r w:rsidR="0075573C" w:rsidRPr="00DB548D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75573C" w:rsidRPr="00DB548D">
        <w:trPr>
          <w:cantSplit/>
          <w:trHeight w:val="23"/>
        </w:trPr>
        <w:tc>
          <w:tcPr>
            <w:tcW w:w="6345" w:type="dxa"/>
            <w:vMerge/>
          </w:tcPr>
          <w:p w:rsidR="0075573C" w:rsidRPr="00DB548D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5573C" w:rsidRPr="00DB548D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 w:rsidRPr="00DB548D" w:rsidTr="000E096F">
        <w:trPr>
          <w:cantSplit/>
        </w:trPr>
        <w:tc>
          <w:tcPr>
            <w:tcW w:w="10031" w:type="dxa"/>
          </w:tcPr>
          <w:p w:rsidR="0075573C" w:rsidRPr="00DB548D" w:rsidRDefault="005D1E11" w:rsidP="000E096F">
            <w:pPr>
              <w:pStyle w:val="Source"/>
            </w:pPr>
            <w:bookmarkStart w:id="7" w:name="dsource" w:colFirst="0" w:colLast="0"/>
            <w:bookmarkEnd w:id="0"/>
            <w:bookmarkEnd w:id="6"/>
            <w:r w:rsidRPr="00DB548D">
              <w:t xml:space="preserve">Comisión de Estudio </w:t>
            </w:r>
            <w:r w:rsidR="000E096F" w:rsidRPr="00DB548D">
              <w:t>1</w:t>
            </w:r>
            <w:r w:rsidRPr="00DB548D">
              <w:t xml:space="preserve"> de Radiocomunicaciones</w:t>
            </w:r>
          </w:p>
        </w:tc>
      </w:tr>
      <w:tr w:rsidR="0075573C" w:rsidRPr="00DB548D" w:rsidTr="000E096F">
        <w:trPr>
          <w:cantSplit/>
        </w:trPr>
        <w:tc>
          <w:tcPr>
            <w:tcW w:w="10031" w:type="dxa"/>
          </w:tcPr>
          <w:p w:rsidR="0075573C" w:rsidRPr="00DB548D" w:rsidRDefault="009163E0" w:rsidP="009163E0">
            <w:pPr>
              <w:pStyle w:val="Title1"/>
            </w:pPr>
            <w:bookmarkStart w:id="8" w:name="dtitle1" w:colFirst="0" w:colLast="0"/>
            <w:bookmarkEnd w:id="7"/>
            <w:r w:rsidRPr="009163E0">
              <w:t>Gestión del espectro</w:t>
            </w:r>
          </w:p>
        </w:tc>
      </w:tr>
      <w:tr w:rsidR="0075573C" w:rsidRPr="00DB548D" w:rsidTr="000E096F">
        <w:trPr>
          <w:cantSplit/>
        </w:trPr>
        <w:tc>
          <w:tcPr>
            <w:tcW w:w="10031" w:type="dxa"/>
          </w:tcPr>
          <w:p w:rsidR="0075573C" w:rsidRPr="00DB548D" w:rsidRDefault="009163E0">
            <w:pPr>
              <w:pStyle w:val="Title2"/>
            </w:pPr>
            <w:bookmarkStart w:id="9" w:name="dtitle2" w:colFirst="0" w:colLast="0"/>
            <w:bookmarkEnd w:id="8"/>
            <w:r w:rsidRPr="00DB548D">
              <w:t>cuestiones asignadas a la Comisión de Estudio 1 de radiocomunicaciones</w:t>
            </w:r>
          </w:p>
        </w:tc>
      </w:tr>
    </w:tbl>
    <w:bookmarkEnd w:id="9"/>
    <w:p w:rsidR="000E096F" w:rsidRPr="00DB548D" w:rsidRDefault="000E096F" w:rsidP="000E096F">
      <w:pPr>
        <w:pStyle w:val="Normalaftertitle"/>
      </w:pPr>
      <w:r w:rsidRPr="00DB548D">
        <w:t xml:space="preserve">Adjunto encontrará la lista de las Cuestiones asignadas a la Comisión de Estudio 1 de Radiocomunicaciones. La definición de las categorías de las Cuestiones que figura a continuación se ha extraído de la Resolución </w:t>
      </w:r>
      <w:proofErr w:type="spellStart"/>
      <w:r w:rsidRPr="00DB548D">
        <w:t>UIT</w:t>
      </w:r>
      <w:proofErr w:type="spellEnd"/>
      <w:r w:rsidRPr="00DB548D">
        <w:t>-R 5-6:</w:t>
      </w:r>
    </w:p>
    <w:p w:rsidR="000E096F" w:rsidRPr="00DB548D" w:rsidRDefault="000E096F" w:rsidP="00E6689A">
      <w:pPr>
        <w:pStyle w:val="enumlev1"/>
      </w:pPr>
      <w:r w:rsidRPr="00DB548D">
        <w:t>C:</w:t>
      </w:r>
      <w:r w:rsidRPr="00DB548D">
        <w:tab/>
        <w:t>Cuestiones relativas a conferencias en el marco de los trabajos relacionados con los preparativos específicos para Conferencias Mundiales y Regionales de Radiocomunicaciones y las decisiones de éstas:</w:t>
      </w:r>
    </w:p>
    <w:p w:rsidR="000E096F" w:rsidRPr="00DB548D" w:rsidRDefault="000E096F" w:rsidP="000E096F">
      <w:pPr>
        <w:pStyle w:val="enumlev2"/>
      </w:pPr>
      <w:proofErr w:type="spellStart"/>
      <w:r w:rsidRPr="00DB548D">
        <w:t>C1</w:t>
      </w:r>
      <w:proofErr w:type="spellEnd"/>
      <w:r w:rsidRPr="00DB548D">
        <w:t>:</w:t>
      </w:r>
      <w:r w:rsidRPr="00DB548D">
        <w:tab/>
        <w:t>estudios muy urgentes y prioritarios requeridos para la próxima Conferencia Mundial de Radiocomunicaciones;</w:t>
      </w:r>
    </w:p>
    <w:p w:rsidR="000E096F" w:rsidRPr="00DB548D" w:rsidRDefault="000E096F" w:rsidP="000E096F">
      <w:pPr>
        <w:pStyle w:val="enumlev2"/>
      </w:pPr>
      <w:proofErr w:type="spellStart"/>
      <w:r w:rsidRPr="00DB548D">
        <w:t>C2</w:t>
      </w:r>
      <w:proofErr w:type="spellEnd"/>
      <w:r w:rsidRPr="00DB548D">
        <w:t>:</w:t>
      </w:r>
      <w:r w:rsidRPr="00DB548D">
        <w:tab/>
        <w:t>estudios urgentes, cuya necesidad se prevé para otras Conferencias de Radiocomunicaciones.</w:t>
      </w:r>
    </w:p>
    <w:p w:rsidR="000E096F" w:rsidRPr="00DB548D" w:rsidRDefault="000E096F" w:rsidP="00E6689A">
      <w:pPr>
        <w:pStyle w:val="enumlev1"/>
      </w:pPr>
      <w:r w:rsidRPr="00DB548D">
        <w:t>S:</w:t>
      </w:r>
      <w:r w:rsidRPr="00DB548D">
        <w:tab/>
        <w:t>Cuestiones que tienen por objeto responder a:</w:t>
      </w:r>
    </w:p>
    <w:p w:rsidR="000E096F" w:rsidRPr="00DB548D" w:rsidRDefault="000E096F" w:rsidP="000E096F">
      <w:pPr>
        <w:pStyle w:val="enumlev1"/>
      </w:pPr>
      <w:r w:rsidRPr="00DB548D">
        <w:t>–</w:t>
      </w:r>
      <w:r w:rsidRPr="00DB548D">
        <w:tab/>
        <w:t>los asuntos remitidos a la Asamblea de Radiocomunicaciones por la Conferencia de Plenipotenciarios, cualquier otra conferencia, el Consejo y la Junta del Reglamento de Radiocomunicaciones;</w:t>
      </w:r>
    </w:p>
    <w:p w:rsidR="000E096F" w:rsidRPr="00DB548D" w:rsidRDefault="000E096F" w:rsidP="000E096F">
      <w:pPr>
        <w:pStyle w:val="enumlev1"/>
      </w:pPr>
      <w:r w:rsidRPr="00DB548D">
        <w:t>–</w:t>
      </w:r>
      <w:r w:rsidRPr="00DB548D">
        <w:tab/>
        <w:t>los avances en la tecnología de radiocomunicaciones o en la gestión del espectro;</w:t>
      </w:r>
    </w:p>
    <w:p w:rsidR="000E096F" w:rsidRPr="00DB548D" w:rsidRDefault="000E096F" w:rsidP="000E096F">
      <w:pPr>
        <w:pStyle w:val="enumlev1"/>
      </w:pPr>
      <w:r w:rsidRPr="00DB548D">
        <w:t>–</w:t>
      </w:r>
      <w:r w:rsidRPr="00DB548D">
        <w:tab/>
        <w:t>los cambios en la utilización o en la explotación de las radiocomunicaciones:</w:t>
      </w:r>
    </w:p>
    <w:p w:rsidR="000E096F" w:rsidRPr="00DB548D" w:rsidRDefault="000E096F" w:rsidP="000E096F">
      <w:pPr>
        <w:pStyle w:val="enumlev2"/>
      </w:pPr>
      <w:proofErr w:type="spellStart"/>
      <w:r w:rsidRPr="00DB548D">
        <w:t>S1</w:t>
      </w:r>
      <w:proofErr w:type="spellEnd"/>
      <w:r w:rsidRPr="00DB548D">
        <w:t>:</w:t>
      </w:r>
      <w:r w:rsidRPr="00DB548D">
        <w:tab/>
        <w:t>estudios urgentes que deben completarse en el plazo de dos años;</w:t>
      </w:r>
    </w:p>
    <w:p w:rsidR="000E096F" w:rsidRPr="00DB548D" w:rsidRDefault="000E096F" w:rsidP="000E096F">
      <w:pPr>
        <w:pStyle w:val="enumlev2"/>
      </w:pPr>
      <w:proofErr w:type="spellStart"/>
      <w:r w:rsidRPr="00DB548D">
        <w:t>S2</w:t>
      </w:r>
      <w:proofErr w:type="spellEnd"/>
      <w:r w:rsidRPr="00DB548D">
        <w:t>:</w:t>
      </w:r>
      <w:r w:rsidRPr="00DB548D">
        <w:tab/>
        <w:t>estudios importantes necesarios para el desarrollo de las radiocomunicaciones;</w:t>
      </w:r>
    </w:p>
    <w:p w:rsidR="000E096F" w:rsidRPr="00DB548D" w:rsidRDefault="000E096F" w:rsidP="000E096F">
      <w:pPr>
        <w:pStyle w:val="enumlev2"/>
      </w:pPr>
      <w:proofErr w:type="spellStart"/>
      <w:r w:rsidRPr="00DB548D">
        <w:t>S3</w:t>
      </w:r>
      <w:proofErr w:type="spellEnd"/>
      <w:r w:rsidRPr="00DB548D">
        <w:t>:</w:t>
      </w:r>
      <w:r w:rsidRPr="00DB548D">
        <w:tab/>
        <w:t>estudios necesarios para facilitar el desarrollo de las radiocomunicaciones.</w:t>
      </w:r>
    </w:p>
    <w:p w:rsidR="000E096F" w:rsidRPr="00DB548D" w:rsidRDefault="000E096F" w:rsidP="000E096F"/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836"/>
        <w:gridCol w:w="1843"/>
        <w:gridCol w:w="1842"/>
        <w:gridCol w:w="1961"/>
      </w:tblGrid>
      <w:tr w:rsidR="000E096F" w:rsidRPr="00DB548D" w:rsidTr="00C43950">
        <w:trPr>
          <w:jc w:val="center"/>
        </w:trPr>
        <w:tc>
          <w:tcPr>
            <w:tcW w:w="1757" w:type="dxa"/>
          </w:tcPr>
          <w:p w:rsidR="000E096F" w:rsidRPr="00DB548D" w:rsidRDefault="000E096F" w:rsidP="00C43950">
            <w:pPr>
              <w:jc w:val="center"/>
            </w:pPr>
            <w:proofErr w:type="spellStart"/>
            <w:r w:rsidRPr="00DB548D">
              <w:rPr>
                <w:b/>
              </w:rPr>
              <w:t>NOC</w:t>
            </w:r>
            <w:proofErr w:type="spellEnd"/>
            <w:r w:rsidRPr="00DB548D">
              <w:t xml:space="preserve"> = Mantenid</w:t>
            </w:r>
            <w:bookmarkStart w:id="10" w:name="_GoBack"/>
            <w:bookmarkEnd w:id="10"/>
            <w:r w:rsidRPr="00DB548D">
              <w:t>o</w:t>
            </w:r>
          </w:p>
        </w:tc>
        <w:tc>
          <w:tcPr>
            <w:tcW w:w="1836" w:type="dxa"/>
          </w:tcPr>
          <w:p w:rsidR="000E096F" w:rsidRPr="00DB548D" w:rsidRDefault="000E096F" w:rsidP="00C43950">
            <w:pPr>
              <w:jc w:val="center"/>
            </w:pPr>
            <w:proofErr w:type="spellStart"/>
            <w:r w:rsidRPr="00DB548D">
              <w:rPr>
                <w:b/>
              </w:rPr>
              <w:t>MOD</w:t>
            </w:r>
            <w:proofErr w:type="spellEnd"/>
            <w:r w:rsidRPr="00DB548D">
              <w:t xml:space="preserve"> = Modificado</w:t>
            </w:r>
          </w:p>
        </w:tc>
        <w:tc>
          <w:tcPr>
            <w:tcW w:w="1843" w:type="dxa"/>
          </w:tcPr>
          <w:p w:rsidR="000E096F" w:rsidRPr="00DB548D" w:rsidRDefault="000E096F" w:rsidP="00C43950">
            <w:pPr>
              <w:jc w:val="center"/>
            </w:pPr>
            <w:proofErr w:type="spellStart"/>
            <w:r w:rsidRPr="00DB548D">
              <w:rPr>
                <w:b/>
              </w:rPr>
              <w:t>SUP</w:t>
            </w:r>
            <w:proofErr w:type="spellEnd"/>
            <w:r w:rsidRPr="00DB548D">
              <w:t xml:space="preserve"> = Suprimido</w:t>
            </w:r>
          </w:p>
        </w:tc>
        <w:tc>
          <w:tcPr>
            <w:tcW w:w="1842" w:type="dxa"/>
          </w:tcPr>
          <w:p w:rsidR="000E096F" w:rsidRPr="00DB548D" w:rsidRDefault="000E096F" w:rsidP="00C43950">
            <w:pPr>
              <w:jc w:val="center"/>
              <w:rPr>
                <w:sz w:val="22"/>
              </w:rPr>
            </w:pPr>
            <w:proofErr w:type="spellStart"/>
            <w:r w:rsidRPr="00DB548D">
              <w:rPr>
                <w:b/>
                <w:bCs/>
              </w:rPr>
              <w:t>ADD</w:t>
            </w:r>
            <w:proofErr w:type="spellEnd"/>
            <w:r w:rsidRPr="00DB548D">
              <w:rPr>
                <w:bCs/>
              </w:rPr>
              <w:t xml:space="preserve"> = Nuevo texto</w:t>
            </w:r>
          </w:p>
        </w:tc>
        <w:tc>
          <w:tcPr>
            <w:tcW w:w="1961" w:type="dxa"/>
          </w:tcPr>
          <w:p w:rsidR="000E096F" w:rsidRPr="00DB548D" w:rsidRDefault="000E096F" w:rsidP="00C43950">
            <w:pPr>
              <w:jc w:val="center"/>
            </w:pPr>
            <w:r w:rsidRPr="00DB548D">
              <w:rPr>
                <w:b/>
              </w:rPr>
              <w:t xml:space="preserve">UNA = </w:t>
            </w:r>
            <w:r w:rsidR="00D72617" w:rsidRPr="00DB548D">
              <w:rPr>
                <w:b/>
              </w:rPr>
              <w:br/>
            </w:r>
            <w:r w:rsidRPr="00DB548D">
              <w:rPr>
                <w:bCs/>
              </w:rPr>
              <w:t>Pendiente de aprobación</w:t>
            </w:r>
          </w:p>
        </w:tc>
      </w:tr>
    </w:tbl>
    <w:p w:rsidR="00D72617" w:rsidRPr="00DB548D" w:rsidRDefault="00D72617" w:rsidP="00D72617"/>
    <w:p w:rsidR="00D72617" w:rsidRPr="00DB548D" w:rsidRDefault="00D726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B548D">
        <w:br w:type="page"/>
      </w:r>
    </w:p>
    <w:p w:rsidR="000E096F" w:rsidRPr="00DB548D" w:rsidRDefault="000E096F" w:rsidP="000E096F">
      <w:pPr>
        <w:pStyle w:val="Title2"/>
      </w:pPr>
      <w:r w:rsidRPr="00DB548D">
        <w:lastRenderedPageBreak/>
        <w:t xml:space="preserve">Cuestiones asignadas a la </w:t>
      </w:r>
      <w:r w:rsidRPr="00DB548D">
        <w:br/>
        <w:t>Comisión de Estudio 1 de Radiocomunicaciones</w:t>
      </w:r>
    </w:p>
    <w:p w:rsidR="000E096F" w:rsidRPr="00DB548D" w:rsidRDefault="000E096F" w:rsidP="000E096F">
      <w:pPr>
        <w:pStyle w:val="Title3"/>
        <w:rPr>
          <w:b/>
          <w:bCs/>
        </w:rPr>
      </w:pPr>
      <w:r w:rsidRPr="00DB548D">
        <w:rPr>
          <w:b/>
          <w:bCs/>
        </w:rPr>
        <w:t>Gestión del espectro</w:t>
      </w:r>
    </w:p>
    <w:p w:rsidR="000E096F" w:rsidRPr="00DB548D" w:rsidRDefault="000E096F" w:rsidP="000E096F"/>
    <w:tbl>
      <w:tblPr>
        <w:tblStyle w:val="TableGrid"/>
        <w:tblW w:w="10149" w:type="dxa"/>
        <w:tblInd w:w="-4" w:type="dxa"/>
        <w:tblLook w:val="01E0" w:firstRow="1" w:lastRow="1" w:firstColumn="1" w:lastColumn="1" w:noHBand="0" w:noVBand="0"/>
      </w:tblPr>
      <w:tblGrid>
        <w:gridCol w:w="1176"/>
        <w:gridCol w:w="4074"/>
        <w:gridCol w:w="811"/>
        <w:gridCol w:w="1078"/>
        <w:gridCol w:w="1064"/>
        <w:gridCol w:w="1946"/>
      </w:tblGrid>
      <w:tr w:rsidR="000E096F" w:rsidRPr="00DB548D" w:rsidTr="00C43950">
        <w:trPr>
          <w:cantSplit/>
          <w:tblHeader/>
        </w:trPr>
        <w:tc>
          <w:tcPr>
            <w:tcW w:w="1176" w:type="dxa"/>
            <w:vAlign w:val="center"/>
          </w:tcPr>
          <w:p w:rsidR="000E096F" w:rsidRPr="00DB548D" w:rsidRDefault="000E096F" w:rsidP="00C43950">
            <w:pPr>
              <w:pStyle w:val="Tablehead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 xml:space="preserve">Cuestión </w:t>
            </w:r>
            <w:proofErr w:type="spellStart"/>
            <w:r w:rsidRPr="00DB548D">
              <w:rPr>
                <w:rFonts w:eastAsia="SimSun"/>
                <w:lang w:eastAsia="zh-CN"/>
              </w:rPr>
              <w:t>UIT</w:t>
            </w:r>
            <w:proofErr w:type="spellEnd"/>
            <w:r w:rsidRPr="00DB548D">
              <w:rPr>
                <w:rFonts w:eastAsia="SimSun"/>
                <w:lang w:eastAsia="zh-CN"/>
              </w:rPr>
              <w:t>-R</w:t>
            </w:r>
          </w:p>
        </w:tc>
        <w:tc>
          <w:tcPr>
            <w:tcW w:w="4074" w:type="dxa"/>
            <w:vAlign w:val="center"/>
          </w:tcPr>
          <w:p w:rsidR="000E096F" w:rsidRPr="00DB548D" w:rsidRDefault="000E096F" w:rsidP="00C43950">
            <w:pPr>
              <w:pStyle w:val="Tablehead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Título</w:t>
            </w:r>
          </w:p>
        </w:tc>
        <w:tc>
          <w:tcPr>
            <w:tcW w:w="811" w:type="dxa"/>
            <w:vAlign w:val="center"/>
          </w:tcPr>
          <w:p w:rsidR="000E096F" w:rsidRPr="00DB548D" w:rsidRDefault="000E096F" w:rsidP="00C43950">
            <w:pPr>
              <w:pStyle w:val="Tablehead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Estado</w:t>
            </w:r>
          </w:p>
        </w:tc>
        <w:tc>
          <w:tcPr>
            <w:tcW w:w="1078" w:type="dxa"/>
            <w:vAlign w:val="center"/>
          </w:tcPr>
          <w:p w:rsidR="000E096F" w:rsidRPr="00DB548D" w:rsidRDefault="000E096F" w:rsidP="00C43950">
            <w:pPr>
              <w:pStyle w:val="Tablehead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Categoría</w:t>
            </w:r>
          </w:p>
        </w:tc>
        <w:tc>
          <w:tcPr>
            <w:tcW w:w="1064" w:type="dxa"/>
            <w:vAlign w:val="center"/>
          </w:tcPr>
          <w:p w:rsidR="000E096F" w:rsidRPr="00DB548D" w:rsidRDefault="000E096F" w:rsidP="00C43950">
            <w:pPr>
              <w:pStyle w:val="Tablehead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Fecha prevista</w:t>
            </w:r>
          </w:p>
        </w:tc>
        <w:tc>
          <w:tcPr>
            <w:tcW w:w="1946" w:type="dxa"/>
            <w:vAlign w:val="center"/>
          </w:tcPr>
          <w:p w:rsidR="000E096F" w:rsidRPr="00DB548D" w:rsidRDefault="000E096F" w:rsidP="00C43950">
            <w:pPr>
              <w:pStyle w:val="Tablehead"/>
              <w:keepNext w:val="0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Observaciones</w:t>
            </w: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8" w:history="1">
              <w:r w:rsidR="00875747" w:rsidRPr="00DB548D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 xml:space="preserve">205-2/1 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Estrategias a largo plazo para la utilización del espectro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S2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2019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9" w:history="1">
              <w:r w:rsidR="00484A27" w:rsidRPr="00DB548D">
                <w:rPr>
                  <w:rStyle w:val="Hyperlink"/>
                  <w:rFonts w:eastAsia="SimSun"/>
                  <w:b/>
                  <w:bCs/>
                </w:rPr>
                <w:t xml:space="preserve">208-1/1 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Métodos alternativos de gestión nacional del espectro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S2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2019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0" w:history="1">
              <w:r w:rsidR="0057432F" w:rsidRPr="00DB548D">
                <w:rPr>
                  <w:rStyle w:val="Hyperlink"/>
                  <w:rFonts w:eastAsia="SimSun"/>
                  <w:b/>
                  <w:bCs/>
                </w:rPr>
                <w:t xml:space="preserve">210-3/1 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Transmisión de potencia a través de haces radioeléctricos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S3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2019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1" w:history="1">
              <w:r w:rsidR="0057432F" w:rsidRPr="00DB548D">
                <w:rPr>
                  <w:rStyle w:val="Hyperlink"/>
                  <w:rFonts w:eastAsia="SimSun"/>
                  <w:b/>
                  <w:bCs/>
                </w:rPr>
                <w:t xml:space="preserve">216-1/1 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Reorganización del espectro como método de gestión nacional del espectro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S2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2019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2" w:history="1">
              <w:r w:rsidR="0057432F" w:rsidRPr="00DB548D">
                <w:rPr>
                  <w:rStyle w:val="Hyperlink"/>
                  <w:rFonts w:eastAsia="SimSun"/>
                  <w:b/>
                  <w:bCs/>
                </w:rPr>
                <w:t xml:space="preserve">221-2/1 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Compatibilidad entre los sistemas de radiocomunicaciones y los sistemas de telecomunicaciones con transmisión de datos a alta velocidad que utilizan alimentación eléctrica por cable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S1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2017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3" w:history="1">
              <w:r w:rsidR="0057432F" w:rsidRPr="00DB548D">
                <w:rPr>
                  <w:rStyle w:val="Hyperlink"/>
                  <w:rFonts w:eastAsia="SimSun"/>
                  <w:b/>
                  <w:bCs/>
                </w:rPr>
                <w:t xml:space="preserve">222/1 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Definición de las propiedades espectrales de las emisiones de transmisores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S1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2017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C43950">
            <w:pPr>
              <w:pStyle w:val="Tabletext"/>
              <w:jc w:val="center"/>
              <w:rPr>
                <w:rFonts w:eastAsia="SimSun"/>
                <w:highlight w:val="yellow"/>
                <w:lang w:eastAsia="zh-CN"/>
              </w:rPr>
            </w:pPr>
            <w:hyperlink r:id="rId14" w:history="1">
              <w:r w:rsidR="0057432F" w:rsidRPr="00DB548D">
                <w:rPr>
                  <w:rStyle w:val="Hyperlink"/>
                  <w:rFonts w:eastAsia="SimSun"/>
                  <w:b/>
                  <w:bCs/>
                </w:rPr>
                <w:t xml:space="preserve">232/1 </w:t>
              </w:r>
            </w:hyperlink>
          </w:p>
        </w:tc>
        <w:tc>
          <w:tcPr>
            <w:tcW w:w="4074" w:type="dxa"/>
          </w:tcPr>
          <w:p w:rsidR="000E096F" w:rsidRPr="00DB548D" w:rsidRDefault="008C21B4" w:rsidP="008C21B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Métodos y técnicas utilizados en la comprobación técnica de las</w:t>
            </w:r>
            <w:r w:rsidR="000E096F" w:rsidRPr="00DB548D">
              <w:t xml:space="preserve"> radiocomunicaciones</w:t>
            </w:r>
            <w:r w:rsidRPr="00DB548D">
              <w:t xml:space="preserve"> espaciales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S2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2017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15" w:history="1">
              <w:r w:rsidR="0057432F" w:rsidRPr="00DB548D">
                <w:rPr>
                  <w:rStyle w:val="Hyperlink"/>
                  <w:rFonts w:eastAsia="SimSun"/>
                  <w:b/>
                  <w:bCs/>
                </w:rPr>
                <w:t xml:space="preserve">233-1/1 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Medición de la ocupación del espectro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S3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2017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C43950">
            <w:pPr>
              <w:pStyle w:val="Tabletext"/>
              <w:keepNext/>
              <w:keepLines/>
              <w:tabs>
                <w:tab w:val="clear" w:pos="794"/>
                <w:tab w:val="clear" w:pos="1191"/>
                <w:tab w:val="clear" w:pos="1588"/>
              </w:tabs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6" w:history="1">
              <w:r w:rsidR="0057432F" w:rsidRPr="00DB548D">
                <w:rPr>
                  <w:rStyle w:val="Hyperlink"/>
                  <w:rFonts w:eastAsia="SimSun"/>
                  <w:b/>
                  <w:bCs/>
                </w:rPr>
                <w:t>235/1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Evolución de la comprobación técnica del espectro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S3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2019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C43950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7" w:history="1">
              <w:r w:rsidR="0057432F" w:rsidRPr="00DB548D">
                <w:rPr>
                  <w:rStyle w:val="Hyperlink"/>
                  <w:rFonts w:eastAsia="SimSun"/>
                  <w:b/>
                  <w:bCs/>
                </w:rPr>
                <w:t>236/1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B548D">
              <w:t>Efecto de las tecnologías de transmisión de datos alámbricas e inalámbricas utilizadas en los sistemas de gestión de la red eléctrica sobre los sistemas de radiocomunicaciones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S3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RDefault="000E096F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2017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0E096F" w:rsidRPr="00DB548D" w:rsidTr="00C43950">
        <w:trPr>
          <w:cantSplit/>
        </w:trPr>
        <w:tc>
          <w:tcPr>
            <w:tcW w:w="1176" w:type="dxa"/>
          </w:tcPr>
          <w:p w:rsidR="000E096F" w:rsidRPr="00DB548D" w:rsidRDefault="00CD00A5" w:rsidP="00C43950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18" w:history="1">
              <w:r w:rsidR="0057432F" w:rsidRPr="00DB548D">
                <w:rPr>
                  <w:rStyle w:val="Hyperlink"/>
                  <w:b/>
                  <w:bCs/>
                </w:rPr>
                <w:t>237/1</w:t>
              </w:r>
            </w:hyperlink>
          </w:p>
        </w:tc>
        <w:tc>
          <w:tcPr>
            <w:tcW w:w="4074" w:type="dxa"/>
          </w:tcPr>
          <w:p w:rsidR="000E096F" w:rsidRPr="00DB548D" w:rsidRDefault="000E096F" w:rsidP="00C43950">
            <w:pPr>
              <w:pStyle w:val="Tabletext"/>
            </w:pPr>
            <w:r w:rsidRPr="00DB548D">
              <w:t>Características técnicas y de funcionamiento de los servicios activos que funcionan en la gama 275-1 000 GHz</w:t>
            </w:r>
          </w:p>
        </w:tc>
        <w:tc>
          <w:tcPr>
            <w:tcW w:w="811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DB548D">
              <w:rPr>
                <w:rFonts w:eastAsia="SimSun"/>
                <w:color w:val="000000"/>
                <w:lang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E096F" w:rsidRPr="00DB548D" w:rsidRDefault="000E096F" w:rsidP="00C4395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(</w:t>
            </w:r>
            <w:proofErr w:type="spellStart"/>
            <w:r w:rsidRPr="00DB548D">
              <w:rPr>
                <w:rFonts w:eastAsia="SimSun"/>
                <w:lang w:eastAsia="zh-CN"/>
              </w:rPr>
              <w:t>S2</w:t>
            </w:r>
            <w:proofErr w:type="spellEnd"/>
            <w:r w:rsidRPr="00DB548D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4" w:type="dxa"/>
          </w:tcPr>
          <w:p w:rsidR="000E096F" w:rsidRPr="00DB548D" w:rsidDel="000E096F" w:rsidRDefault="00657FB9" w:rsidP="000E096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B548D">
              <w:rPr>
                <w:rFonts w:eastAsia="SimSun"/>
                <w:lang w:eastAsia="zh-CN"/>
              </w:rPr>
              <w:t>2017</w:t>
            </w:r>
          </w:p>
        </w:tc>
        <w:tc>
          <w:tcPr>
            <w:tcW w:w="1946" w:type="dxa"/>
          </w:tcPr>
          <w:p w:rsidR="000E096F" w:rsidRPr="00DB548D" w:rsidRDefault="000E096F" w:rsidP="00C43950">
            <w:pPr>
              <w:pStyle w:val="Tabletext"/>
              <w:rPr>
                <w:rFonts w:eastAsia="SimSun"/>
                <w:lang w:eastAsia="zh-CN"/>
              </w:rPr>
            </w:pPr>
          </w:p>
        </w:tc>
      </w:tr>
    </w:tbl>
    <w:p w:rsidR="007B6BC4" w:rsidRDefault="007B6BC4" w:rsidP="0032202E">
      <w:pPr>
        <w:pStyle w:val="Reasons"/>
      </w:pPr>
    </w:p>
    <w:p w:rsidR="007B6BC4" w:rsidRDefault="007B6BC4">
      <w:pPr>
        <w:jc w:val="center"/>
      </w:pPr>
      <w:r>
        <w:t>______________</w:t>
      </w:r>
    </w:p>
    <w:sectPr w:rsidR="007B6BC4"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C9" w:rsidRDefault="004C5DC9">
      <w:r>
        <w:separator/>
      </w:r>
    </w:p>
  </w:endnote>
  <w:endnote w:type="continuationSeparator" w:id="0">
    <w:p w:rsidR="004C5DC9" w:rsidRDefault="004C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C9" w:rsidRDefault="004C5DC9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970E4">
      <w:rPr>
        <w:noProof/>
        <w:lang w:val="en-US"/>
      </w:rPr>
      <w:t>P:\TRAD\S\ITU-R\SG-R\SG01\1000\1003 (383137)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63E0">
      <w:rPr>
        <w:noProof/>
      </w:rPr>
      <w:t>14.09.15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70E4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74" w:rsidRDefault="00CD00A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C0374">
      <w:t>P:\ESP\ITU-R\SG-R\SG01\1000\1003S.docx</w:t>
    </w:r>
    <w:r>
      <w:fldChar w:fldCharType="end"/>
    </w:r>
    <w:r w:rsidR="005C0374">
      <w:t xml:space="preserve"> (383137)</w:t>
    </w:r>
    <w:r w:rsidR="005C0374">
      <w:tab/>
    </w:r>
    <w:r w:rsidR="005C0374">
      <w:fldChar w:fldCharType="begin"/>
    </w:r>
    <w:r w:rsidR="005C0374">
      <w:instrText xml:space="preserve"> SAVEDATE \@ DD.MM.YY </w:instrText>
    </w:r>
    <w:r w:rsidR="005C0374">
      <w:fldChar w:fldCharType="separate"/>
    </w:r>
    <w:r w:rsidR="009163E0">
      <w:t>14.09.15</w:t>
    </w:r>
    <w:r w:rsidR="005C0374">
      <w:fldChar w:fldCharType="end"/>
    </w:r>
    <w:r w:rsidR="005C0374">
      <w:tab/>
    </w:r>
    <w:r w:rsidR="005C0374">
      <w:fldChar w:fldCharType="begin"/>
    </w:r>
    <w:r w:rsidR="005C0374">
      <w:instrText xml:space="preserve"> PRINTDATE \@ DD.MM.YY </w:instrText>
    </w:r>
    <w:r w:rsidR="005C0374">
      <w:fldChar w:fldCharType="separate"/>
    </w:r>
    <w:r w:rsidR="005C0374">
      <w:t>11.09.15</w:t>
    </w:r>
    <w:r w:rsidR="005C037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17" w:rsidRDefault="00D72617" w:rsidP="00D72617">
    <w:pPr>
      <w:pStyle w:val="Footer"/>
    </w:pPr>
    <w:fldSimple w:instr=" FILENAME \p  \* MERGEFORMAT ">
      <w:r>
        <w:t>P:\ESP\ITU-R\SG-R\SG01\1000\1003S.docx</w:t>
      </w:r>
    </w:fldSimple>
    <w:r>
      <w:t xml:space="preserve"> (383137)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163E0">
      <w:t>14.09.15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C9" w:rsidRDefault="004C5DC9">
      <w:r>
        <w:rPr>
          <w:b/>
        </w:rPr>
        <w:t>_______________</w:t>
      </w:r>
    </w:p>
  </w:footnote>
  <w:footnote w:type="continuationSeparator" w:id="0">
    <w:p w:rsidR="004C5DC9" w:rsidRDefault="004C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4334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0374" w:rsidRDefault="005C037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0374" w:rsidRPr="005C0374" w:rsidRDefault="005C0374" w:rsidP="005C0374">
    <w:pPr>
      <w:spacing w:before="0"/>
      <w:jc w:val="center"/>
      <w:rPr>
        <w:sz w:val="18"/>
        <w:lang w:val="en-GB"/>
      </w:rPr>
    </w:pPr>
    <w:r w:rsidRPr="005C0374">
      <w:rPr>
        <w:sz w:val="18"/>
        <w:lang w:val="en-GB"/>
      </w:rPr>
      <w:t>1/1003</w:t>
    </w:r>
    <w:r>
      <w:rPr>
        <w:sz w:val="18"/>
        <w:lang w:val="en-GB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8"/>
    <w:rsid w:val="00012B52"/>
    <w:rsid w:val="00016A7C"/>
    <w:rsid w:val="00020ACE"/>
    <w:rsid w:val="000970E4"/>
    <w:rsid w:val="000E096F"/>
    <w:rsid w:val="00153F0A"/>
    <w:rsid w:val="001702B0"/>
    <w:rsid w:val="001721DD"/>
    <w:rsid w:val="001C586C"/>
    <w:rsid w:val="002334F2"/>
    <w:rsid w:val="00251E51"/>
    <w:rsid w:val="002B6243"/>
    <w:rsid w:val="0043283F"/>
    <w:rsid w:val="00466F3C"/>
    <w:rsid w:val="00484A27"/>
    <w:rsid w:val="004C5DC9"/>
    <w:rsid w:val="005335D1"/>
    <w:rsid w:val="005648DF"/>
    <w:rsid w:val="0057432F"/>
    <w:rsid w:val="005C0374"/>
    <w:rsid w:val="005C4F7E"/>
    <w:rsid w:val="005D1E11"/>
    <w:rsid w:val="006050EE"/>
    <w:rsid w:val="0064325D"/>
    <w:rsid w:val="00657FB9"/>
    <w:rsid w:val="00693CB4"/>
    <w:rsid w:val="00716EC9"/>
    <w:rsid w:val="0075573C"/>
    <w:rsid w:val="007B6BC4"/>
    <w:rsid w:val="007D3BE0"/>
    <w:rsid w:val="008246E6"/>
    <w:rsid w:val="00875747"/>
    <w:rsid w:val="008C21B4"/>
    <w:rsid w:val="008C35DE"/>
    <w:rsid w:val="008E02B6"/>
    <w:rsid w:val="009163E0"/>
    <w:rsid w:val="009630C4"/>
    <w:rsid w:val="009B03A6"/>
    <w:rsid w:val="00A72134"/>
    <w:rsid w:val="00AC1C08"/>
    <w:rsid w:val="00AF7660"/>
    <w:rsid w:val="00BF1023"/>
    <w:rsid w:val="00C278F8"/>
    <w:rsid w:val="00CD00A5"/>
    <w:rsid w:val="00D26639"/>
    <w:rsid w:val="00D72617"/>
    <w:rsid w:val="00DB548D"/>
    <w:rsid w:val="00DE0F47"/>
    <w:rsid w:val="00DE35E9"/>
    <w:rsid w:val="00DE6448"/>
    <w:rsid w:val="00E01901"/>
    <w:rsid w:val="00E1414B"/>
    <w:rsid w:val="00E2433B"/>
    <w:rsid w:val="00E55476"/>
    <w:rsid w:val="00E6689A"/>
    <w:rsid w:val="00EB5C7B"/>
    <w:rsid w:val="00F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6601145-A918-42BB-A140-B8B3DEE5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aliases w:val="encabezado"/>
    <w:basedOn w:val="Normal"/>
    <w:link w:val="HeaderChar"/>
    <w:uiPriority w:val="99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semiHidden/>
    <w:unhideWhenUsed/>
    <w:rsid w:val="004C5DC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5DC9"/>
    <w:rPr>
      <w:rFonts w:ascii="Segoe UI" w:hAnsi="Segoe UI" w:cs="Segoe UI"/>
      <w:sz w:val="18"/>
      <w:szCs w:val="18"/>
      <w:lang w:val="es-ES_tradnl" w:eastAsia="en-US"/>
    </w:rPr>
  </w:style>
  <w:style w:type="character" w:styleId="Hyperlink">
    <w:name w:val="Hyperlink"/>
    <w:basedOn w:val="DefaultParagraphFont"/>
    <w:rsid w:val="000E096F"/>
    <w:rPr>
      <w:color w:val="0000FF"/>
      <w:u w:val="single"/>
    </w:rPr>
  </w:style>
  <w:style w:type="table" w:styleId="TableGrid">
    <w:name w:val="Table Grid"/>
    <w:basedOn w:val="TableNormal"/>
    <w:rsid w:val="000E09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5747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484A27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rsid w:val="00E6689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1.205" TargetMode="External"/><Relationship Id="rId13" Type="http://schemas.openxmlformats.org/officeDocument/2006/relationships/hyperlink" Target="http://www.itu.int/pub/R-QUE-SG01.222" TargetMode="External"/><Relationship Id="rId18" Type="http://schemas.openxmlformats.org/officeDocument/2006/relationships/hyperlink" Target="http://www.itu.int/pub/R-QUE-SG01.237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itu.int/pub/R-QUE-SG01.221" TargetMode="External"/><Relationship Id="rId17" Type="http://schemas.openxmlformats.org/officeDocument/2006/relationships/hyperlink" Target="http://www.itu.int/pub/R-QUE-SG01.2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1.23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1.21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1.2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pub/R-QUE-SG01.21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1.208" TargetMode="External"/><Relationship Id="rId14" Type="http://schemas.openxmlformats.org/officeDocument/2006/relationships/hyperlink" Target="http://www.itu.int/pub/R-QUE-SG01.232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51</TotalTime>
  <Pages>2</Pages>
  <Words>440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Li, Yong</dc:creator>
  <cp:keywords/>
  <dc:description>PS_RA07.dot  Para: _x000d_Fecha del documento: _x000d_Registrado por MM-43480 a 16:09:38 el 16.10.07</dc:description>
  <cp:lastModifiedBy>Mendoza Siles, Sidma Jeanneth</cp:lastModifiedBy>
  <cp:revision>11</cp:revision>
  <cp:lastPrinted>2015-09-11T13:46:00Z</cp:lastPrinted>
  <dcterms:created xsi:type="dcterms:W3CDTF">2015-09-14T13:07:00Z</dcterms:created>
  <dcterms:modified xsi:type="dcterms:W3CDTF">2015-09-14T14:19:00Z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