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576"/>
        <w:gridCol w:w="3630"/>
      </w:tblGrid>
      <w:tr w:rsidR="00943EBD" w:rsidRPr="00646502" w:rsidTr="000A2E6F">
        <w:trPr>
          <w:cantSplit/>
        </w:trPr>
        <w:tc>
          <w:tcPr>
            <w:tcW w:w="6576" w:type="dxa"/>
          </w:tcPr>
          <w:p w:rsidR="00703FFC" w:rsidRPr="00646502" w:rsidRDefault="00703FFC" w:rsidP="000A2E6F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64650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64650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64650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64650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646502" w:rsidRDefault="00703FFC" w:rsidP="000A2E6F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6465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6465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646502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6465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6465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6465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6465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6465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6465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6465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6465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630" w:type="dxa"/>
          </w:tcPr>
          <w:p w:rsidR="00943EBD" w:rsidRPr="00646502" w:rsidRDefault="00F80DF5" w:rsidP="000A2E6F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46502">
              <w:rPr>
                <w:lang w:val="ru-RU" w:eastAsia="zh-CN"/>
              </w:rPr>
              <w:drawing>
                <wp:inline distT="0" distB="0" distL="0" distR="0" wp14:anchorId="3CF09C2A" wp14:editId="75A3D33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646502" w:rsidTr="000A2E6F">
        <w:trPr>
          <w:cantSplit/>
        </w:trPr>
        <w:tc>
          <w:tcPr>
            <w:tcW w:w="6576" w:type="dxa"/>
            <w:tcBorders>
              <w:bottom w:val="single" w:sz="12" w:space="0" w:color="auto"/>
            </w:tcBorders>
          </w:tcPr>
          <w:p w:rsidR="00943EBD" w:rsidRPr="00646502" w:rsidRDefault="0007259F" w:rsidP="000A2E6F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646502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630" w:type="dxa"/>
            <w:tcBorders>
              <w:bottom w:val="single" w:sz="12" w:space="0" w:color="auto"/>
            </w:tcBorders>
          </w:tcPr>
          <w:p w:rsidR="00943EBD" w:rsidRPr="00646502" w:rsidRDefault="00943EBD" w:rsidP="000A2E6F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646502" w:rsidTr="000A2E6F">
        <w:trPr>
          <w:cantSplit/>
        </w:trPr>
        <w:tc>
          <w:tcPr>
            <w:tcW w:w="6576" w:type="dxa"/>
            <w:tcBorders>
              <w:top w:val="single" w:sz="12" w:space="0" w:color="auto"/>
            </w:tcBorders>
          </w:tcPr>
          <w:p w:rsidR="00943EBD" w:rsidRPr="00646502" w:rsidRDefault="00943EBD" w:rsidP="000A2E6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630" w:type="dxa"/>
            <w:tcBorders>
              <w:top w:val="single" w:sz="12" w:space="0" w:color="auto"/>
            </w:tcBorders>
          </w:tcPr>
          <w:p w:rsidR="00943EBD" w:rsidRPr="00646502" w:rsidRDefault="00943EBD" w:rsidP="000A2E6F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646502" w:rsidTr="000A2E6F">
        <w:trPr>
          <w:cantSplit/>
          <w:trHeight w:val="23"/>
        </w:trPr>
        <w:tc>
          <w:tcPr>
            <w:tcW w:w="6576" w:type="dxa"/>
            <w:vMerge w:val="restart"/>
          </w:tcPr>
          <w:p w:rsidR="00943EBD" w:rsidRPr="00646502" w:rsidRDefault="00943EBD" w:rsidP="000A2E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630" w:type="dxa"/>
          </w:tcPr>
          <w:p w:rsidR="00943EBD" w:rsidRPr="00646502" w:rsidRDefault="00AD4505" w:rsidP="001B2E8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6465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1B2E81" w:rsidRPr="006465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DA7634" w:rsidRPr="006465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1B2E81" w:rsidRPr="006465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1003</w:t>
            </w:r>
            <w:r w:rsidRPr="006465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646502" w:rsidTr="000A2E6F">
        <w:trPr>
          <w:cantSplit/>
          <w:trHeight w:val="23"/>
        </w:trPr>
        <w:tc>
          <w:tcPr>
            <w:tcW w:w="6576" w:type="dxa"/>
            <w:vMerge/>
          </w:tcPr>
          <w:p w:rsidR="00943EBD" w:rsidRPr="00646502" w:rsidRDefault="00943EBD" w:rsidP="000A2E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30" w:type="dxa"/>
          </w:tcPr>
          <w:p w:rsidR="00943EBD" w:rsidRPr="00646502" w:rsidRDefault="000A2E6F" w:rsidP="000A2E6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6465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26 августа</w:t>
            </w:r>
            <w:r w:rsidR="00AD4505" w:rsidRPr="006465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6465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6465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6465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646502" w:rsidTr="000A2E6F">
        <w:trPr>
          <w:cantSplit/>
          <w:trHeight w:val="23"/>
        </w:trPr>
        <w:tc>
          <w:tcPr>
            <w:tcW w:w="6576" w:type="dxa"/>
            <w:vMerge/>
          </w:tcPr>
          <w:p w:rsidR="00943EBD" w:rsidRPr="00646502" w:rsidRDefault="00943EBD" w:rsidP="000A2E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630" w:type="dxa"/>
          </w:tcPr>
          <w:p w:rsidR="00943EBD" w:rsidRPr="00646502" w:rsidRDefault="00943EBD" w:rsidP="000A2E6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bookmarkEnd w:id="6"/>
      <w:tr w:rsidR="000A2E6F" w:rsidRPr="00646502" w:rsidTr="000A2E6F">
        <w:trPr>
          <w:cantSplit/>
        </w:trPr>
        <w:tc>
          <w:tcPr>
            <w:tcW w:w="10206" w:type="dxa"/>
            <w:gridSpan w:val="2"/>
          </w:tcPr>
          <w:p w:rsidR="000A2E6F" w:rsidRPr="00646502" w:rsidRDefault="000A2E6F" w:rsidP="000A2E6F">
            <w:pPr>
              <w:pStyle w:val="Source"/>
              <w:rPr>
                <w:lang w:val="ru-RU" w:eastAsia="zh-CN"/>
              </w:rPr>
            </w:pPr>
            <w:r w:rsidRPr="00646502">
              <w:rPr>
                <w:lang w:val="ru-RU" w:eastAsia="zh-CN"/>
              </w:rPr>
              <w:t>1-я Исследовательская комиссия по радиосвязи</w:t>
            </w:r>
          </w:p>
        </w:tc>
      </w:tr>
      <w:tr w:rsidR="000A2E6F" w:rsidRPr="00646502" w:rsidTr="000A2E6F">
        <w:trPr>
          <w:cantSplit/>
        </w:trPr>
        <w:tc>
          <w:tcPr>
            <w:tcW w:w="10206" w:type="dxa"/>
            <w:gridSpan w:val="2"/>
          </w:tcPr>
          <w:p w:rsidR="000A2E6F" w:rsidRPr="00646502" w:rsidRDefault="000A2E6F" w:rsidP="000A2E6F">
            <w:pPr>
              <w:pStyle w:val="Title1"/>
              <w:rPr>
                <w:lang w:val="ru-RU" w:eastAsia="zh-CN"/>
              </w:rPr>
            </w:pPr>
            <w:r w:rsidRPr="00646502">
              <w:rPr>
                <w:lang w:val="ru-RU"/>
              </w:rPr>
              <w:t>Управление использованием радиочастотного спектра</w:t>
            </w:r>
          </w:p>
        </w:tc>
      </w:tr>
      <w:tr w:rsidR="000A2E6F" w:rsidRPr="00646502" w:rsidTr="000A2E6F">
        <w:trPr>
          <w:cantSplit/>
        </w:trPr>
        <w:tc>
          <w:tcPr>
            <w:tcW w:w="10206" w:type="dxa"/>
            <w:gridSpan w:val="2"/>
          </w:tcPr>
          <w:p w:rsidR="000A2E6F" w:rsidRPr="00646502" w:rsidRDefault="000A2E6F" w:rsidP="000A2E6F">
            <w:pPr>
              <w:pStyle w:val="Title2"/>
              <w:rPr>
                <w:lang w:val="ru-RU" w:eastAsia="zh-CN"/>
              </w:rPr>
            </w:pPr>
            <w:r w:rsidRPr="00646502">
              <w:rPr>
                <w:lang w:val="ru-RU"/>
              </w:rPr>
              <w:t>ВОПРОСЫ, ПОРУЧЕННЫЕ 1-</w:t>
            </w:r>
            <w:r w:rsidRPr="00646502">
              <w:rPr>
                <w:caps w:val="0"/>
                <w:lang w:val="ru-RU"/>
              </w:rPr>
              <w:t>й</w:t>
            </w:r>
            <w:r w:rsidRPr="00646502">
              <w:rPr>
                <w:lang w:val="ru-RU"/>
              </w:rPr>
              <w:t xml:space="preserve"> ИССЛЕДОВАТЕЛЬСКОЙ</w:t>
            </w:r>
            <w:r w:rsidRPr="00646502">
              <w:rPr>
                <w:lang w:val="ru-RU"/>
              </w:rPr>
              <w:br/>
              <w:t>КОМИССИИ ПО РАДИОСВЯЗИ</w:t>
            </w:r>
          </w:p>
        </w:tc>
      </w:tr>
      <w:tr w:rsidR="000A2E6F" w:rsidRPr="00646502" w:rsidTr="000A2E6F">
        <w:trPr>
          <w:cantSplit/>
        </w:trPr>
        <w:tc>
          <w:tcPr>
            <w:tcW w:w="10206" w:type="dxa"/>
            <w:gridSpan w:val="2"/>
          </w:tcPr>
          <w:p w:rsidR="000A2E6F" w:rsidRPr="00646502" w:rsidRDefault="000A2E6F" w:rsidP="000A2E6F">
            <w:pPr>
              <w:pStyle w:val="Title3"/>
              <w:rPr>
                <w:lang w:val="ru-RU"/>
              </w:rPr>
            </w:pPr>
          </w:p>
        </w:tc>
      </w:tr>
    </w:tbl>
    <w:p w:rsidR="000A2E6F" w:rsidRPr="00646502" w:rsidRDefault="000A2E6F" w:rsidP="000A2E6F">
      <w:pPr>
        <w:rPr>
          <w:lang w:val="ru-RU"/>
        </w:rPr>
      </w:pPr>
      <w:r w:rsidRPr="00646502">
        <w:rPr>
          <w:lang w:val="ru-RU"/>
        </w:rPr>
        <w:t>К настоящему документу прилагается список Вопросов, порученных 1-й Исследовательской комиссии по радиосвязи. В представленной ниже выдержке из Резолюции МСЭ</w:t>
      </w:r>
      <w:r w:rsidRPr="00646502">
        <w:rPr>
          <w:lang w:val="ru-RU"/>
        </w:rPr>
        <w:noBreakHyphen/>
        <w:t>R 5-6 дается определение категориям Вопросов:</w:t>
      </w:r>
      <w:bookmarkStart w:id="7" w:name="_GoBack"/>
      <w:bookmarkEnd w:id="7"/>
    </w:p>
    <w:p w:rsidR="000A2E6F" w:rsidRPr="00646502" w:rsidRDefault="000A2E6F" w:rsidP="000A2E6F">
      <w:pPr>
        <w:rPr>
          <w:lang w:val="ru-RU"/>
        </w:rPr>
      </w:pPr>
      <w:proofErr w:type="gramStart"/>
      <w:r w:rsidRPr="00646502">
        <w:rPr>
          <w:lang w:val="ru-RU"/>
        </w:rPr>
        <w:t>С:</w:t>
      </w:r>
      <w:r w:rsidRPr="00646502">
        <w:rPr>
          <w:lang w:val="ru-RU"/>
        </w:rPr>
        <w:tab/>
      </w:r>
      <w:proofErr w:type="gramEnd"/>
      <w:r w:rsidRPr="00646502">
        <w:rPr>
          <w:lang w:val="ru-RU"/>
        </w:rPr>
        <w:t>Вопросы, ориентированные на конференцию и связанные с конкретной подготовительной работой к всемирным и региональным конференциям радиосвязи и их решениями;</w:t>
      </w:r>
    </w:p>
    <w:p w:rsidR="000A2E6F" w:rsidRPr="00646502" w:rsidRDefault="000A2E6F" w:rsidP="000A2E6F">
      <w:pPr>
        <w:pStyle w:val="enumlev2"/>
        <w:rPr>
          <w:lang w:val="ru-RU"/>
        </w:rPr>
      </w:pPr>
      <w:proofErr w:type="spellStart"/>
      <w:r w:rsidRPr="00646502">
        <w:rPr>
          <w:lang w:val="ru-RU"/>
        </w:rPr>
        <w:t>С</w:t>
      </w:r>
      <w:proofErr w:type="gramStart"/>
      <w:r w:rsidRPr="00646502">
        <w:rPr>
          <w:lang w:val="ru-RU"/>
        </w:rPr>
        <w:t>1</w:t>
      </w:r>
      <w:proofErr w:type="spellEnd"/>
      <w:r w:rsidRPr="00646502">
        <w:rPr>
          <w:lang w:val="ru-RU"/>
        </w:rPr>
        <w:t>:</w:t>
      </w:r>
      <w:r w:rsidRPr="00646502">
        <w:rPr>
          <w:lang w:val="ru-RU"/>
        </w:rPr>
        <w:tab/>
      </w:r>
      <w:proofErr w:type="gramEnd"/>
      <w:r w:rsidRPr="00646502">
        <w:rPr>
          <w:lang w:val="ru-RU"/>
        </w:rPr>
        <w:t>весьма срочные и приоритетные исследования, требующиеся для следующей всемирной конференции радиосвязи;</w:t>
      </w:r>
    </w:p>
    <w:p w:rsidR="000A2E6F" w:rsidRPr="00646502" w:rsidRDefault="000A2E6F" w:rsidP="000A2E6F">
      <w:pPr>
        <w:pStyle w:val="enumlev2"/>
        <w:rPr>
          <w:lang w:val="ru-RU"/>
        </w:rPr>
      </w:pPr>
      <w:proofErr w:type="spellStart"/>
      <w:r w:rsidRPr="00646502">
        <w:rPr>
          <w:lang w:val="ru-RU"/>
        </w:rPr>
        <w:t>С</w:t>
      </w:r>
      <w:proofErr w:type="gramStart"/>
      <w:r w:rsidRPr="00646502">
        <w:rPr>
          <w:lang w:val="ru-RU"/>
        </w:rPr>
        <w:t>2</w:t>
      </w:r>
      <w:proofErr w:type="spellEnd"/>
      <w:r w:rsidRPr="00646502">
        <w:rPr>
          <w:lang w:val="ru-RU"/>
        </w:rPr>
        <w:t>:</w:t>
      </w:r>
      <w:r w:rsidRPr="00646502">
        <w:rPr>
          <w:lang w:val="ru-RU"/>
        </w:rPr>
        <w:tab/>
      </w:r>
      <w:proofErr w:type="gramEnd"/>
      <w:r w:rsidRPr="00646502">
        <w:rPr>
          <w:lang w:val="ru-RU"/>
        </w:rPr>
        <w:t>срочные исследования, которые, как ожидается, потребуются для других конференций радиосвязи.</w:t>
      </w:r>
    </w:p>
    <w:p w:rsidR="000A2E6F" w:rsidRPr="00646502" w:rsidRDefault="000A2E6F" w:rsidP="000A2E6F">
      <w:pPr>
        <w:rPr>
          <w:lang w:val="ru-RU"/>
        </w:rPr>
      </w:pPr>
      <w:proofErr w:type="gramStart"/>
      <w:r w:rsidRPr="00646502">
        <w:rPr>
          <w:lang w:val="ru-RU"/>
        </w:rPr>
        <w:t>S:</w:t>
      </w:r>
      <w:r w:rsidRPr="00646502">
        <w:rPr>
          <w:lang w:val="ru-RU"/>
        </w:rPr>
        <w:tab/>
      </w:r>
      <w:proofErr w:type="gramEnd"/>
      <w:r w:rsidRPr="00646502">
        <w:rPr>
          <w:lang w:val="ru-RU"/>
        </w:rPr>
        <w:t>Вопросы, которые предназначаются для получения ответов на:</w:t>
      </w:r>
    </w:p>
    <w:p w:rsidR="000A2E6F" w:rsidRPr="00646502" w:rsidRDefault="000A2E6F" w:rsidP="000A2E6F">
      <w:pPr>
        <w:pStyle w:val="enumlev1"/>
        <w:rPr>
          <w:lang w:val="ru-RU"/>
        </w:rPr>
      </w:pPr>
      <w:r w:rsidRPr="00646502">
        <w:rPr>
          <w:lang w:val="ru-RU"/>
        </w:rPr>
        <w:t>–</w:t>
      </w:r>
      <w:r w:rsidRPr="00646502">
        <w:rPr>
          <w:lang w:val="ru-RU"/>
        </w:rPr>
        <w:tab/>
        <w:t xml:space="preserve">проблемы, переданные ассамблее радиосвязи Полномочной конференцией, любой другой конференцией, Советом, </w:t>
      </w:r>
      <w:proofErr w:type="spellStart"/>
      <w:r w:rsidRPr="00646502">
        <w:rPr>
          <w:lang w:val="ru-RU"/>
        </w:rPr>
        <w:t>Радиорегламентарным</w:t>
      </w:r>
      <w:proofErr w:type="spellEnd"/>
      <w:r w:rsidRPr="00646502">
        <w:rPr>
          <w:lang w:val="ru-RU"/>
        </w:rPr>
        <w:t xml:space="preserve"> комитетом;</w:t>
      </w:r>
    </w:p>
    <w:p w:rsidR="000A2E6F" w:rsidRPr="00646502" w:rsidRDefault="000A2E6F" w:rsidP="000A2E6F">
      <w:pPr>
        <w:pStyle w:val="enumlev1"/>
        <w:rPr>
          <w:lang w:val="ru-RU"/>
        </w:rPr>
      </w:pPr>
      <w:r w:rsidRPr="00646502">
        <w:rPr>
          <w:lang w:val="ru-RU"/>
        </w:rPr>
        <w:t>–</w:t>
      </w:r>
      <w:r w:rsidRPr="00646502">
        <w:rPr>
          <w:lang w:val="ru-RU"/>
        </w:rPr>
        <w:tab/>
        <w:t>прогресс, достигнутый в технике радиосвязи или управлении использованием спектра;</w:t>
      </w:r>
    </w:p>
    <w:p w:rsidR="000A2E6F" w:rsidRPr="00646502" w:rsidRDefault="000A2E6F" w:rsidP="000A2E6F">
      <w:pPr>
        <w:pStyle w:val="enumlev1"/>
        <w:rPr>
          <w:lang w:val="ru-RU"/>
        </w:rPr>
      </w:pPr>
      <w:r w:rsidRPr="00646502">
        <w:rPr>
          <w:lang w:val="ru-RU"/>
        </w:rPr>
        <w:t>–</w:t>
      </w:r>
      <w:r w:rsidRPr="00646502">
        <w:rPr>
          <w:lang w:val="ru-RU"/>
        </w:rPr>
        <w:tab/>
        <w:t>изменения в использовании радиосредств или в их эксплуатации:</w:t>
      </w:r>
    </w:p>
    <w:p w:rsidR="000A2E6F" w:rsidRPr="00646502" w:rsidRDefault="000A2E6F" w:rsidP="000A2E6F">
      <w:pPr>
        <w:pStyle w:val="enumlev2"/>
        <w:rPr>
          <w:lang w:val="ru-RU"/>
        </w:rPr>
      </w:pPr>
      <w:proofErr w:type="spellStart"/>
      <w:r w:rsidRPr="00646502">
        <w:rPr>
          <w:lang w:val="ru-RU"/>
        </w:rPr>
        <w:t>S</w:t>
      </w:r>
      <w:proofErr w:type="gramStart"/>
      <w:r w:rsidRPr="00646502">
        <w:rPr>
          <w:lang w:val="ru-RU"/>
        </w:rPr>
        <w:t>1</w:t>
      </w:r>
      <w:proofErr w:type="spellEnd"/>
      <w:r w:rsidRPr="00646502">
        <w:rPr>
          <w:lang w:val="ru-RU"/>
        </w:rPr>
        <w:t>:</w:t>
      </w:r>
      <w:r w:rsidRPr="00646502">
        <w:rPr>
          <w:lang w:val="ru-RU"/>
        </w:rPr>
        <w:tab/>
      </w:r>
      <w:proofErr w:type="gramEnd"/>
      <w:r w:rsidRPr="00646502">
        <w:rPr>
          <w:lang w:val="ru-RU"/>
        </w:rPr>
        <w:t>срочные исследования, которые предполагается завершить в течение двух лет;</w:t>
      </w:r>
    </w:p>
    <w:p w:rsidR="000A2E6F" w:rsidRPr="00646502" w:rsidRDefault="000A2E6F" w:rsidP="000A2E6F">
      <w:pPr>
        <w:pStyle w:val="enumlev2"/>
        <w:rPr>
          <w:lang w:val="ru-RU"/>
        </w:rPr>
      </w:pPr>
      <w:proofErr w:type="spellStart"/>
      <w:r w:rsidRPr="00646502">
        <w:rPr>
          <w:lang w:val="ru-RU"/>
        </w:rPr>
        <w:t>S</w:t>
      </w:r>
      <w:proofErr w:type="gramStart"/>
      <w:r w:rsidRPr="00646502">
        <w:rPr>
          <w:lang w:val="ru-RU"/>
        </w:rPr>
        <w:t>2</w:t>
      </w:r>
      <w:proofErr w:type="spellEnd"/>
      <w:r w:rsidRPr="00646502">
        <w:rPr>
          <w:lang w:val="ru-RU"/>
        </w:rPr>
        <w:t>:</w:t>
      </w:r>
      <w:r w:rsidRPr="00646502">
        <w:rPr>
          <w:lang w:val="ru-RU"/>
        </w:rPr>
        <w:tab/>
      </w:r>
      <w:proofErr w:type="gramEnd"/>
      <w:r w:rsidRPr="00646502">
        <w:rPr>
          <w:lang w:val="ru-RU"/>
        </w:rPr>
        <w:t>срочные исследования, необходимые для развития радиосвязи;</w:t>
      </w:r>
    </w:p>
    <w:p w:rsidR="000A2E6F" w:rsidRPr="00646502" w:rsidRDefault="000A2E6F" w:rsidP="000A2E6F">
      <w:pPr>
        <w:pStyle w:val="enumlev2"/>
        <w:rPr>
          <w:lang w:val="ru-RU"/>
        </w:rPr>
      </w:pPr>
      <w:proofErr w:type="spellStart"/>
      <w:r w:rsidRPr="00646502">
        <w:rPr>
          <w:lang w:val="ru-RU"/>
        </w:rPr>
        <w:t>S</w:t>
      </w:r>
      <w:proofErr w:type="gramStart"/>
      <w:r w:rsidRPr="00646502">
        <w:rPr>
          <w:lang w:val="ru-RU"/>
        </w:rPr>
        <w:t>3</w:t>
      </w:r>
      <w:proofErr w:type="spellEnd"/>
      <w:r w:rsidRPr="00646502">
        <w:rPr>
          <w:lang w:val="ru-RU"/>
        </w:rPr>
        <w:t>:</w:t>
      </w:r>
      <w:r w:rsidRPr="00646502">
        <w:rPr>
          <w:lang w:val="ru-RU"/>
        </w:rPr>
        <w:tab/>
      </w:r>
      <w:proofErr w:type="gramEnd"/>
      <w:r w:rsidRPr="00646502">
        <w:rPr>
          <w:lang w:val="ru-RU"/>
        </w:rPr>
        <w:t>требуемые исследования, которые, как ожидается, будут способствовать развитию радиосвязи.</w:t>
      </w:r>
    </w:p>
    <w:p w:rsidR="000A2E6F" w:rsidRPr="00646502" w:rsidRDefault="000A2E6F" w:rsidP="000A2E6F">
      <w:pPr>
        <w:tabs>
          <w:tab w:val="left" w:pos="794"/>
          <w:tab w:val="left" w:pos="1418"/>
        </w:tabs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7"/>
        <w:gridCol w:w="1800"/>
        <w:gridCol w:w="1800"/>
        <w:gridCol w:w="1701"/>
        <w:gridCol w:w="2385"/>
      </w:tblGrid>
      <w:tr w:rsidR="000A2E6F" w:rsidRPr="00646502" w:rsidTr="000A2E6F">
        <w:trPr>
          <w:jc w:val="center"/>
        </w:trPr>
        <w:tc>
          <w:tcPr>
            <w:tcW w:w="1887" w:type="dxa"/>
            <w:vAlign w:val="center"/>
          </w:tcPr>
          <w:p w:rsidR="000A2E6F" w:rsidRPr="00646502" w:rsidRDefault="000A2E6F" w:rsidP="000A2E6F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646502">
              <w:rPr>
                <w:b/>
                <w:bCs/>
                <w:lang w:val="ru-RU"/>
              </w:rPr>
              <w:t>NOC</w:t>
            </w:r>
            <w:proofErr w:type="spellEnd"/>
            <w:r w:rsidRPr="00646502">
              <w:rPr>
                <w:lang w:val="ru-RU"/>
              </w:rPr>
              <w:t xml:space="preserve"> = </w:t>
            </w:r>
            <w:r w:rsidRPr="00646502">
              <w:rPr>
                <w:lang w:val="ru-RU"/>
              </w:rPr>
              <w:br/>
              <w:t>Сохранено</w:t>
            </w:r>
          </w:p>
        </w:tc>
        <w:tc>
          <w:tcPr>
            <w:tcW w:w="1800" w:type="dxa"/>
            <w:vAlign w:val="center"/>
          </w:tcPr>
          <w:p w:rsidR="000A2E6F" w:rsidRPr="00646502" w:rsidRDefault="000A2E6F" w:rsidP="000A2E6F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646502">
              <w:rPr>
                <w:b/>
                <w:bCs/>
                <w:lang w:val="ru-RU"/>
              </w:rPr>
              <w:t>MOD</w:t>
            </w:r>
            <w:proofErr w:type="spellEnd"/>
            <w:r w:rsidRPr="00646502">
              <w:rPr>
                <w:lang w:val="ru-RU"/>
              </w:rPr>
              <w:t xml:space="preserve"> = </w:t>
            </w:r>
            <w:r w:rsidRPr="00646502">
              <w:rPr>
                <w:lang w:val="ru-RU"/>
              </w:rPr>
              <w:br/>
              <w:t>Пересмотрено</w:t>
            </w:r>
          </w:p>
        </w:tc>
        <w:tc>
          <w:tcPr>
            <w:tcW w:w="1800" w:type="dxa"/>
            <w:vAlign w:val="center"/>
          </w:tcPr>
          <w:p w:rsidR="000A2E6F" w:rsidRPr="00646502" w:rsidRDefault="000A2E6F" w:rsidP="000A2E6F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646502">
              <w:rPr>
                <w:b/>
                <w:bCs/>
                <w:lang w:val="ru-RU"/>
              </w:rPr>
              <w:t>SUP</w:t>
            </w:r>
            <w:proofErr w:type="spellEnd"/>
            <w:r w:rsidRPr="00646502">
              <w:rPr>
                <w:lang w:val="ru-RU"/>
              </w:rPr>
              <w:t xml:space="preserve"> = </w:t>
            </w:r>
            <w:r w:rsidRPr="00646502">
              <w:rPr>
                <w:lang w:val="ru-RU"/>
              </w:rPr>
              <w:br/>
              <w:t>Исключено</w:t>
            </w:r>
          </w:p>
        </w:tc>
        <w:tc>
          <w:tcPr>
            <w:tcW w:w="1701" w:type="dxa"/>
            <w:vAlign w:val="center"/>
          </w:tcPr>
          <w:p w:rsidR="000A2E6F" w:rsidRPr="00646502" w:rsidRDefault="000A2E6F" w:rsidP="000A2E6F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646502">
              <w:rPr>
                <w:b/>
                <w:bCs/>
                <w:lang w:val="ru-RU"/>
              </w:rPr>
              <w:t>ADD</w:t>
            </w:r>
            <w:proofErr w:type="spellEnd"/>
            <w:r w:rsidRPr="00646502">
              <w:rPr>
                <w:lang w:val="ru-RU"/>
              </w:rPr>
              <w:t xml:space="preserve"> = </w:t>
            </w:r>
            <w:r w:rsidRPr="00646502">
              <w:rPr>
                <w:lang w:val="ru-RU"/>
              </w:rPr>
              <w:br/>
              <w:t>Новый текст</w:t>
            </w:r>
          </w:p>
        </w:tc>
        <w:tc>
          <w:tcPr>
            <w:tcW w:w="2385" w:type="dxa"/>
            <w:vAlign w:val="center"/>
          </w:tcPr>
          <w:p w:rsidR="000A2E6F" w:rsidRPr="00646502" w:rsidRDefault="000A2E6F" w:rsidP="000A2E6F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646502">
              <w:rPr>
                <w:b/>
                <w:bCs/>
                <w:lang w:val="ru-RU"/>
              </w:rPr>
              <w:t>UNA</w:t>
            </w:r>
            <w:proofErr w:type="spellEnd"/>
            <w:r w:rsidRPr="00646502">
              <w:rPr>
                <w:lang w:val="ru-RU"/>
              </w:rPr>
              <w:t xml:space="preserve"> = </w:t>
            </w:r>
            <w:r w:rsidRPr="00646502">
              <w:rPr>
                <w:lang w:val="ru-RU"/>
              </w:rPr>
              <w:br/>
              <w:t xml:space="preserve">В процессе </w:t>
            </w:r>
            <w:r w:rsidRPr="00646502">
              <w:rPr>
                <w:lang w:val="ru-RU"/>
              </w:rPr>
              <w:br/>
              <w:t>утверждения</w:t>
            </w:r>
          </w:p>
        </w:tc>
      </w:tr>
    </w:tbl>
    <w:p w:rsidR="00646502" w:rsidRPr="00646502" w:rsidRDefault="006465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646502">
        <w:rPr>
          <w:lang w:val="ru-RU"/>
        </w:rPr>
        <w:br w:type="page"/>
      </w:r>
    </w:p>
    <w:p w:rsidR="000A2E6F" w:rsidRPr="00646502" w:rsidRDefault="000A2E6F" w:rsidP="00646502">
      <w:pPr>
        <w:pStyle w:val="Title1"/>
        <w:rPr>
          <w:lang w:val="ru-RU"/>
        </w:rPr>
      </w:pPr>
      <w:r w:rsidRPr="00646502">
        <w:rPr>
          <w:lang w:val="ru-RU"/>
        </w:rPr>
        <w:lastRenderedPageBreak/>
        <w:t>ВОПРОСЫ, ПОРУЧЕННЫЕ 1-</w:t>
      </w:r>
      <w:r w:rsidR="00646502" w:rsidRPr="00646502">
        <w:rPr>
          <w:caps w:val="0"/>
          <w:lang w:val="ru-RU"/>
        </w:rPr>
        <w:t>й</w:t>
      </w:r>
      <w:r w:rsidRPr="00646502">
        <w:rPr>
          <w:lang w:val="ru-RU"/>
        </w:rPr>
        <w:t xml:space="preserve"> ИССЛЕДОВАТЕЛЬСКОЙ </w:t>
      </w:r>
      <w:r w:rsidRPr="00646502">
        <w:rPr>
          <w:lang w:val="ru-RU"/>
        </w:rPr>
        <w:br/>
        <w:t>КОМИССИИ ПО РАДИОСВЯЗИ</w:t>
      </w:r>
    </w:p>
    <w:p w:rsidR="000A2E6F" w:rsidRPr="00646502" w:rsidRDefault="000A2E6F" w:rsidP="00646502">
      <w:pPr>
        <w:pStyle w:val="Tabletitle"/>
        <w:spacing w:before="360"/>
        <w:rPr>
          <w:lang w:val="ru-RU"/>
        </w:rPr>
      </w:pPr>
      <w:r w:rsidRPr="00646502">
        <w:rPr>
          <w:lang w:val="ru-RU"/>
        </w:rPr>
        <w:t>Управление использованием радиочастотного спектра</w:t>
      </w:r>
    </w:p>
    <w:tbl>
      <w:tblPr>
        <w:tblStyle w:val="TableGrid"/>
        <w:tblW w:w="9922" w:type="dxa"/>
        <w:tblInd w:w="-4" w:type="dxa"/>
        <w:tblLook w:val="01E0" w:firstRow="1" w:lastRow="1" w:firstColumn="1" w:lastColumn="1" w:noHBand="0" w:noVBand="0"/>
      </w:tblPr>
      <w:tblGrid>
        <w:gridCol w:w="1140"/>
        <w:gridCol w:w="3828"/>
        <w:gridCol w:w="808"/>
        <w:gridCol w:w="1078"/>
        <w:gridCol w:w="1437"/>
        <w:gridCol w:w="1631"/>
      </w:tblGrid>
      <w:tr w:rsidR="000A2E6F" w:rsidRPr="00646502" w:rsidTr="00646502">
        <w:trPr>
          <w:cantSplit/>
          <w:tblHeader/>
        </w:trPr>
        <w:tc>
          <w:tcPr>
            <w:tcW w:w="1140" w:type="dxa"/>
            <w:vAlign w:val="center"/>
          </w:tcPr>
          <w:p w:rsidR="000A2E6F" w:rsidRPr="00646502" w:rsidRDefault="000A2E6F" w:rsidP="000A2E6F">
            <w:pPr>
              <w:pStyle w:val="Tablehead"/>
              <w:rPr>
                <w:lang w:val="ru-RU"/>
              </w:rPr>
            </w:pPr>
            <w:r w:rsidRPr="00646502">
              <w:rPr>
                <w:lang w:val="ru-RU"/>
              </w:rPr>
              <w:t>Вопрос</w:t>
            </w:r>
            <w:r w:rsidRPr="00646502">
              <w:rPr>
                <w:lang w:val="ru-RU"/>
              </w:rPr>
              <w:br/>
              <w:t>МСЭ</w:t>
            </w:r>
            <w:r w:rsidRPr="00646502">
              <w:rPr>
                <w:lang w:val="ru-RU"/>
              </w:rPr>
              <w:noBreakHyphen/>
              <w:t>R</w:t>
            </w:r>
          </w:p>
        </w:tc>
        <w:tc>
          <w:tcPr>
            <w:tcW w:w="3828" w:type="dxa"/>
            <w:vAlign w:val="center"/>
          </w:tcPr>
          <w:p w:rsidR="000A2E6F" w:rsidRPr="00646502" w:rsidRDefault="000A2E6F" w:rsidP="000A2E6F">
            <w:pPr>
              <w:pStyle w:val="Tablehead"/>
              <w:rPr>
                <w:lang w:val="ru-RU"/>
              </w:rPr>
            </w:pPr>
            <w:r w:rsidRPr="00646502">
              <w:rPr>
                <w:lang w:val="ru-RU"/>
              </w:rPr>
              <w:t>Название</w:t>
            </w:r>
          </w:p>
        </w:tc>
        <w:tc>
          <w:tcPr>
            <w:tcW w:w="808" w:type="dxa"/>
            <w:vAlign w:val="center"/>
          </w:tcPr>
          <w:p w:rsidR="000A2E6F" w:rsidRPr="00646502" w:rsidRDefault="000A2E6F" w:rsidP="000A2E6F">
            <w:pPr>
              <w:pStyle w:val="Tablehead"/>
              <w:rPr>
                <w:lang w:val="ru-RU"/>
              </w:rPr>
            </w:pPr>
            <w:r w:rsidRPr="00646502">
              <w:rPr>
                <w:lang w:val="ru-RU"/>
              </w:rPr>
              <w:t>Статус</w:t>
            </w:r>
          </w:p>
        </w:tc>
        <w:tc>
          <w:tcPr>
            <w:tcW w:w="1078" w:type="dxa"/>
            <w:vAlign w:val="center"/>
          </w:tcPr>
          <w:p w:rsidR="000A2E6F" w:rsidRPr="00646502" w:rsidRDefault="000A2E6F" w:rsidP="000A2E6F">
            <w:pPr>
              <w:pStyle w:val="Tablehead"/>
              <w:rPr>
                <w:lang w:val="ru-RU"/>
              </w:rPr>
            </w:pPr>
            <w:r w:rsidRPr="00646502">
              <w:rPr>
                <w:lang w:val="ru-RU"/>
              </w:rPr>
              <w:t>Категория</w:t>
            </w:r>
          </w:p>
        </w:tc>
        <w:tc>
          <w:tcPr>
            <w:tcW w:w="1437" w:type="dxa"/>
            <w:vAlign w:val="center"/>
          </w:tcPr>
          <w:p w:rsidR="000A2E6F" w:rsidRPr="00646502" w:rsidRDefault="000A2E6F" w:rsidP="000A2E6F">
            <w:pPr>
              <w:pStyle w:val="Tablehead"/>
              <w:rPr>
                <w:lang w:val="ru-RU"/>
              </w:rPr>
            </w:pPr>
            <w:r w:rsidRPr="00646502">
              <w:rPr>
                <w:lang w:val="ru-RU"/>
              </w:rPr>
              <w:t>Предлагаемый плановый срок</w:t>
            </w:r>
          </w:p>
        </w:tc>
        <w:tc>
          <w:tcPr>
            <w:tcW w:w="1631" w:type="dxa"/>
            <w:vAlign w:val="center"/>
          </w:tcPr>
          <w:p w:rsidR="000A2E6F" w:rsidRPr="00646502" w:rsidRDefault="000A2E6F" w:rsidP="000A2E6F">
            <w:pPr>
              <w:pStyle w:val="Tablehead"/>
              <w:rPr>
                <w:lang w:val="ru-RU"/>
              </w:rPr>
            </w:pPr>
            <w:r w:rsidRPr="00646502">
              <w:rPr>
                <w:lang w:val="ru-RU"/>
              </w:rPr>
              <w:t>Замечания</w:t>
            </w:r>
          </w:p>
        </w:tc>
      </w:tr>
      <w:tr w:rsidR="000A2E6F" w:rsidRPr="00646502" w:rsidTr="00646502">
        <w:trPr>
          <w:cantSplit/>
        </w:trPr>
        <w:tc>
          <w:tcPr>
            <w:tcW w:w="1140" w:type="dxa"/>
          </w:tcPr>
          <w:p w:rsidR="000A2E6F" w:rsidRPr="00646502" w:rsidRDefault="005E4C10" w:rsidP="00646502">
            <w:pPr>
              <w:pStyle w:val="Tabletext"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8" w:history="1"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20</w:t>
              </w:r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5</w:t>
              </w:r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-2/1</w:t>
              </w:r>
            </w:hyperlink>
          </w:p>
        </w:tc>
        <w:tc>
          <w:tcPr>
            <w:tcW w:w="3828" w:type="dxa"/>
          </w:tcPr>
          <w:p w:rsidR="000A2E6F" w:rsidRPr="00646502" w:rsidRDefault="000A2E6F" w:rsidP="000A2E6F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Долгосрочные стратегии использования спектра</w:t>
            </w:r>
          </w:p>
        </w:tc>
        <w:tc>
          <w:tcPr>
            <w:tcW w:w="808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</w:t>
            </w:r>
            <w:proofErr w:type="spellStart"/>
            <w:r w:rsidRPr="00646502">
              <w:rPr>
                <w:rFonts w:eastAsia="SimSun"/>
                <w:lang w:val="ru-RU" w:eastAsia="zh-CN"/>
              </w:rPr>
              <w:t>S2</w:t>
            </w:r>
            <w:proofErr w:type="spellEnd"/>
            <w:r w:rsidRPr="00646502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1437" w:type="dxa"/>
          </w:tcPr>
          <w:p w:rsidR="000A2E6F" w:rsidRPr="00646502" w:rsidRDefault="008310FB" w:rsidP="000A2E6F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2019 г.</w:t>
            </w:r>
          </w:p>
        </w:tc>
        <w:tc>
          <w:tcPr>
            <w:tcW w:w="1631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</w:p>
        </w:tc>
      </w:tr>
      <w:tr w:rsidR="000A2E6F" w:rsidRPr="00646502" w:rsidTr="00646502">
        <w:trPr>
          <w:cantSplit/>
        </w:trPr>
        <w:tc>
          <w:tcPr>
            <w:tcW w:w="1140" w:type="dxa"/>
          </w:tcPr>
          <w:p w:rsidR="000A2E6F" w:rsidRPr="00646502" w:rsidRDefault="005E4C10" w:rsidP="00923FA0">
            <w:pPr>
              <w:pStyle w:val="Tabletext"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9" w:history="1"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208-1</w:t>
              </w:r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/</w:t>
              </w:r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1</w:t>
              </w:r>
            </w:hyperlink>
          </w:p>
        </w:tc>
        <w:tc>
          <w:tcPr>
            <w:tcW w:w="3828" w:type="dxa"/>
          </w:tcPr>
          <w:p w:rsidR="000A2E6F" w:rsidRPr="00646502" w:rsidRDefault="000A2E6F" w:rsidP="000A2E6F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Альтернативные методы управления использованием спектра на национальном уровне</w:t>
            </w:r>
          </w:p>
        </w:tc>
        <w:tc>
          <w:tcPr>
            <w:tcW w:w="808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</w:t>
            </w:r>
            <w:proofErr w:type="spellStart"/>
            <w:r w:rsidRPr="00646502">
              <w:rPr>
                <w:rFonts w:eastAsia="SimSun"/>
                <w:lang w:val="ru-RU" w:eastAsia="zh-CN"/>
              </w:rPr>
              <w:t>S2</w:t>
            </w:r>
            <w:proofErr w:type="spellEnd"/>
            <w:r w:rsidRPr="00646502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1437" w:type="dxa"/>
          </w:tcPr>
          <w:p w:rsidR="000A2E6F" w:rsidRPr="00646502" w:rsidRDefault="008310FB" w:rsidP="000A2E6F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2019 г.</w:t>
            </w:r>
          </w:p>
        </w:tc>
        <w:tc>
          <w:tcPr>
            <w:tcW w:w="1631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</w:p>
        </w:tc>
      </w:tr>
      <w:tr w:rsidR="000A2E6F" w:rsidRPr="00646502" w:rsidTr="00646502">
        <w:trPr>
          <w:cantSplit/>
        </w:trPr>
        <w:tc>
          <w:tcPr>
            <w:tcW w:w="1140" w:type="dxa"/>
          </w:tcPr>
          <w:p w:rsidR="000A2E6F" w:rsidRPr="00646502" w:rsidRDefault="005E4C10" w:rsidP="00923FA0">
            <w:pPr>
              <w:pStyle w:val="Tabletext"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10" w:history="1"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210-</w:t>
              </w:r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3</w:t>
              </w:r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/1</w:t>
              </w:r>
            </w:hyperlink>
          </w:p>
        </w:tc>
        <w:tc>
          <w:tcPr>
            <w:tcW w:w="3828" w:type="dxa"/>
          </w:tcPr>
          <w:p w:rsidR="000A2E6F" w:rsidRPr="00646502" w:rsidRDefault="00923FA0" w:rsidP="00923FA0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Беспроводная передача энергии</w:t>
            </w:r>
          </w:p>
        </w:tc>
        <w:tc>
          <w:tcPr>
            <w:tcW w:w="808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46502">
              <w:rPr>
                <w:lang w:val="ru-RU"/>
              </w:rPr>
              <w:t>NOC</w:t>
            </w:r>
            <w:proofErr w:type="spellEnd"/>
          </w:p>
        </w:tc>
        <w:tc>
          <w:tcPr>
            <w:tcW w:w="1078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</w:t>
            </w:r>
            <w:proofErr w:type="spellStart"/>
            <w:r w:rsidRPr="00646502">
              <w:rPr>
                <w:rFonts w:eastAsia="SimSun"/>
                <w:lang w:val="ru-RU" w:eastAsia="zh-CN"/>
              </w:rPr>
              <w:t>S3</w:t>
            </w:r>
            <w:proofErr w:type="spellEnd"/>
            <w:r w:rsidRPr="00646502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1437" w:type="dxa"/>
          </w:tcPr>
          <w:p w:rsidR="000A2E6F" w:rsidRPr="00646502" w:rsidRDefault="008310FB" w:rsidP="000A2E6F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2019 г.</w:t>
            </w:r>
          </w:p>
        </w:tc>
        <w:tc>
          <w:tcPr>
            <w:tcW w:w="1631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</w:p>
        </w:tc>
      </w:tr>
      <w:tr w:rsidR="000A2E6F" w:rsidRPr="00646502" w:rsidTr="00646502">
        <w:trPr>
          <w:cantSplit/>
        </w:trPr>
        <w:tc>
          <w:tcPr>
            <w:tcW w:w="1140" w:type="dxa"/>
          </w:tcPr>
          <w:p w:rsidR="000A2E6F" w:rsidRPr="00646502" w:rsidRDefault="005E4C10" w:rsidP="00923FA0">
            <w:pPr>
              <w:pStyle w:val="Tabletext"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11" w:history="1"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216</w:t>
              </w:r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-</w:t>
              </w:r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1/1</w:t>
              </w:r>
            </w:hyperlink>
          </w:p>
        </w:tc>
        <w:tc>
          <w:tcPr>
            <w:tcW w:w="3828" w:type="dxa"/>
          </w:tcPr>
          <w:p w:rsidR="000A2E6F" w:rsidRPr="00646502" w:rsidRDefault="000A2E6F" w:rsidP="000A2E6F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Перераспределение спектра как метод управления использованием спектра на национальном уровне</w:t>
            </w:r>
          </w:p>
        </w:tc>
        <w:tc>
          <w:tcPr>
            <w:tcW w:w="808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</w:t>
            </w:r>
            <w:proofErr w:type="spellStart"/>
            <w:r w:rsidRPr="00646502">
              <w:rPr>
                <w:rFonts w:eastAsia="SimSun"/>
                <w:lang w:val="ru-RU" w:eastAsia="zh-CN"/>
              </w:rPr>
              <w:t>S2</w:t>
            </w:r>
            <w:proofErr w:type="spellEnd"/>
            <w:r w:rsidRPr="00646502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1437" w:type="dxa"/>
          </w:tcPr>
          <w:p w:rsidR="000A2E6F" w:rsidRPr="00646502" w:rsidRDefault="008310FB" w:rsidP="000A2E6F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2019 г.</w:t>
            </w:r>
          </w:p>
        </w:tc>
        <w:tc>
          <w:tcPr>
            <w:tcW w:w="1631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</w:p>
        </w:tc>
      </w:tr>
      <w:tr w:rsidR="000A2E6F" w:rsidRPr="00646502" w:rsidTr="00646502">
        <w:trPr>
          <w:cantSplit/>
        </w:trPr>
        <w:tc>
          <w:tcPr>
            <w:tcW w:w="1140" w:type="dxa"/>
          </w:tcPr>
          <w:p w:rsidR="000A2E6F" w:rsidRPr="00646502" w:rsidRDefault="005E4C10" w:rsidP="00923FA0">
            <w:pPr>
              <w:pStyle w:val="Tabletext"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12" w:history="1"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22</w:t>
              </w:r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1</w:t>
              </w:r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-</w:t>
              </w:r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2</w:t>
              </w:r>
              <w:r w:rsidR="000A2E6F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/1</w:t>
              </w:r>
            </w:hyperlink>
          </w:p>
        </w:tc>
        <w:tc>
          <w:tcPr>
            <w:tcW w:w="3828" w:type="dxa"/>
          </w:tcPr>
          <w:p w:rsidR="00923FA0" w:rsidRPr="00646502" w:rsidRDefault="00923FA0" w:rsidP="00923FA0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Совместимость между системами радиосвязи и системами электросвязи с высокой скоростью передачи данных, использующих подачу электропитания по проводам</w:t>
            </w:r>
          </w:p>
        </w:tc>
        <w:tc>
          <w:tcPr>
            <w:tcW w:w="808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</w:t>
            </w:r>
            <w:proofErr w:type="spellStart"/>
            <w:r w:rsidRPr="00646502">
              <w:rPr>
                <w:rFonts w:eastAsia="SimSun"/>
                <w:lang w:val="ru-RU" w:eastAsia="zh-CN"/>
              </w:rPr>
              <w:t>S1</w:t>
            </w:r>
            <w:proofErr w:type="spellEnd"/>
            <w:r w:rsidRPr="00646502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1437" w:type="dxa"/>
          </w:tcPr>
          <w:p w:rsidR="000A2E6F" w:rsidRPr="00646502" w:rsidRDefault="008310FB" w:rsidP="000A2E6F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2017 г.</w:t>
            </w:r>
          </w:p>
        </w:tc>
        <w:tc>
          <w:tcPr>
            <w:tcW w:w="1631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</w:p>
        </w:tc>
      </w:tr>
      <w:tr w:rsidR="008310FB" w:rsidRPr="00646502" w:rsidTr="00646502">
        <w:trPr>
          <w:cantSplit/>
        </w:trPr>
        <w:tc>
          <w:tcPr>
            <w:tcW w:w="1140" w:type="dxa"/>
          </w:tcPr>
          <w:p w:rsidR="008310FB" w:rsidRPr="00646502" w:rsidRDefault="005E4C10" w:rsidP="00923FA0">
            <w:pPr>
              <w:pStyle w:val="Tabletext"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13" w:history="1">
              <w:r w:rsidR="008310FB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222/1</w:t>
              </w:r>
            </w:hyperlink>
          </w:p>
        </w:tc>
        <w:tc>
          <w:tcPr>
            <w:tcW w:w="3828" w:type="dxa"/>
          </w:tcPr>
          <w:p w:rsidR="008310FB" w:rsidRPr="00646502" w:rsidRDefault="008310FB" w:rsidP="008310FB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Определение спектральных свойств излучений передатчиков</w:t>
            </w:r>
          </w:p>
        </w:tc>
        <w:tc>
          <w:tcPr>
            <w:tcW w:w="808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</w:t>
            </w:r>
            <w:proofErr w:type="spellStart"/>
            <w:r w:rsidRPr="00646502">
              <w:rPr>
                <w:rFonts w:eastAsia="SimSun"/>
                <w:lang w:val="ru-RU" w:eastAsia="zh-CN"/>
              </w:rPr>
              <w:t>S1</w:t>
            </w:r>
            <w:proofErr w:type="spellEnd"/>
            <w:r w:rsidRPr="00646502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1437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2017 г.</w:t>
            </w:r>
          </w:p>
        </w:tc>
        <w:tc>
          <w:tcPr>
            <w:tcW w:w="1631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</w:p>
        </w:tc>
      </w:tr>
      <w:tr w:rsidR="008310FB" w:rsidRPr="00646502" w:rsidTr="00646502">
        <w:trPr>
          <w:cantSplit/>
        </w:trPr>
        <w:tc>
          <w:tcPr>
            <w:tcW w:w="1140" w:type="dxa"/>
          </w:tcPr>
          <w:p w:rsidR="008310FB" w:rsidRPr="00646502" w:rsidRDefault="005E4C10" w:rsidP="00923FA0">
            <w:pPr>
              <w:pStyle w:val="Tabletext"/>
              <w:keepNext/>
              <w:keepLines/>
              <w:jc w:val="center"/>
              <w:rPr>
                <w:rFonts w:eastAsia="SimSun"/>
                <w:b/>
                <w:bCs/>
                <w:color w:val="3333FF"/>
                <w:lang w:val="ru-RU" w:eastAsia="zh-CN"/>
              </w:rPr>
            </w:pPr>
            <w:hyperlink r:id="rId14" w:history="1">
              <w:r w:rsidR="008310FB" w:rsidRPr="00646502">
                <w:rPr>
                  <w:rStyle w:val="Hyperlink"/>
                  <w:rFonts w:eastAsia="SimSun"/>
                  <w:color w:val="3333FF"/>
                  <w:lang w:val="ru-RU"/>
                </w:rPr>
                <w:t>232</w:t>
              </w:r>
              <w:r w:rsidR="008310FB" w:rsidRPr="00646502">
                <w:rPr>
                  <w:rFonts w:eastAsia="SimSun"/>
                  <w:color w:val="3333FF"/>
                  <w:u w:val="single"/>
                  <w:lang w:val="ru-RU" w:eastAsia="zh-CN"/>
                </w:rPr>
                <w:t>/</w:t>
              </w:r>
              <w:r w:rsidR="008310FB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1</w:t>
              </w:r>
            </w:hyperlink>
          </w:p>
        </w:tc>
        <w:tc>
          <w:tcPr>
            <w:tcW w:w="3828" w:type="dxa"/>
          </w:tcPr>
          <w:p w:rsidR="008310FB" w:rsidRPr="00646502" w:rsidRDefault="008310FB" w:rsidP="008310FB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Методы и способы, используемые в процессе контроля космической радиосвязи</w:t>
            </w:r>
          </w:p>
        </w:tc>
        <w:tc>
          <w:tcPr>
            <w:tcW w:w="808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</w:t>
            </w:r>
            <w:proofErr w:type="spellStart"/>
            <w:r w:rsidRPr="00646502">
              <w:rPr>
                <w:rFonts w:eastAsia="SimSun"/>
                <w:lang w:val="ru-RU" w:eastAsia="zh-CN"/>
              </w:rPr>
              <w:t>S2</w:t>
            </w:r>
            <w:proofErr w:type="spellEnd"/>
            <w:r w:rsidRPr="00646502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1437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2017 г.</w:t>
            </w:r>
          </w:p>
        </w:tc>
        <w:tc>
          <w:tcPr>
            <w:tcW w:w="1631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</w:p>
        </w:tc>
      </w:tr>
      <w:tr w:rsidR="008310FB" w:rsidRPr="00646502" w:rsidTr="00646502">
        <w:trPr>
          <w:cantSplit/>
        </w:trPr>
        <w:tc>
          <w:tcPr>
            <w:tcW w:w="1140" w:type="dxa"/>
          </w:tcPr>
          <w:p w:rsidR="008310FB" w:rsidRPr="00646502" w:rsidRDefault="005E4C10" w:rsidP="00923FA0">
            <w:pPr>
              <w:pStyle w:val="Tabletext"/>
              <w:jc w:val="center"/>
              <w:rPr>
                <w:rFonts w:eastAsia="SimSun"/>
                <w:color w:val="3333FF"/>
                <w:lang w:val="ru-RU" w:eastAsia="zh-CN"/>
              </w:rPr>
            </w:pPr>
            <w:hyperlink r:id="rId15" w:history="1">
              <w:r w:rsidR="008310FB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2</w:t>
              </w:r>
              <w:r w:rsidR="008310FB" w:rsidRPr="00646502">
                <w:rPr>
                  <w:rStyle w:val="Hyperlink"/>
                  <w:rFonts w:eastAsia="SimSun"/>
                  <w:color w:val="3333FF"/>
                  <w:lang w:val="ru-RU"/>
                </w:rPr>
                <w:t>33</w:t>
              </w:r>
              <w:r w:rsidR="008310FB" w:rsidRPr="00646502">
                <w:rPr>
                  <w:rStyle w:val="Hyperlink"/>
                  <w:rFonts w:eastAsia="SimSun"/>
                  <w:color w:val="3333FF"/>
                  <w:lang w:val="ru-RU"/>
                </w:rPr>
                <w:t>-</w:t>
              </w:r>
              <w:r w:rsidR="008310FB" w:rsidRPr="00646502">
                <w:rPr>
                  <w:rStyle w:val="Hyperlink"/>
                  <w:rFonts w:eastAsia="SimSun"/>
                  <w:color w:val="3333FF"/>
                  <w:lang w:val="ru-RU"/>
                </w:rPr>
                <w:t>1/1</w:t>
              </w:r>
            </w:hyperlink>
          </w:p>
        </w:tc>
        <w:tc>
          <w:tcPr>
            <w:tcW w:w="3828" w:type="dxa"/>
          </w:tcPr>
          <w:p w:rsidR="008310FB" w:rsidRPr="00646502" w:rsidRDefault="008310FB" w:rsidP="008310FB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Измерение занятости спектра</w:t>
            </w:r>
          </w:p>
        </w:tc>
        <w:tc>
          <w:tcPr>
            <w:tcW w:w="808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</w:t>
            </w:r>
            <w:proofErr w:type="spellStart"/>
            <w:r w:rsidRPr="00646502">
              <w:rPr>
                <w:rFonts w:eastAsia="SimSun"/>
                <w:lang w:val="ru-RU" w:eastAsia="zh-CN"/>
              </w:rPr>
              <w:t>S3</w:t>
            </w:r>
            <w:proofErr w:type="spellEnd"/>
            <w:r w:rsidRPr="00646502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1437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2017 г.</w:t>
            </w:r>
          </w:p>
        </w:tc>
        <w:tc>
          <w:tcPr>
            <w:tcW w:w="1631" w:type="dxa"/>
          </w:tcPr>
          <w:p w:rsidR="008310FB" w:rsidRPr="00646502" w:rsidRDefault="008310FB" w:rsidP="008310FB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8310FB" w:rsidRPr="00646502" w:rsidTr="00646502">
        <w:trPr>
          <w:cantSplit/>
        </w:trPr>
        <w:tc>
          <w:tcPr>
            <w:tcW w:w="1140" w:type="dxa"/>
          </w:tcPr>
          <w:p w:rsidR="008310FB" w:rsidRPr="00646502" w:rsidRDefault="005E4C10" w:rsidP="001B2E81">
            <w:pPr>
              <w:pStyle w:val="Tabletext"/>
              <w:jc w:val="center"/>
              <w:rPr>
                <w:rFonts w:eastAsia="SimSun"/>
                <w:color w:val="3333FF"/>
                <w:lang w:val="ru-RU" w:eastAsia="zh-CN"/>
              </w:rPr>
            </w:pPr>
            <w:hyperlink r:id="rId16" w:history="1">
              <w:r w:rsidR="008310FB" w:rsidRPr="00646502">
                <w:rPr>
                  <w:rStyle w:val="Hyperlink"/>
                  <w:rFonts w:eastAsia="SimSun"/>
                  <w:color w:val="3333FF"/>
                  <w:lang w:val="ru-RU"/>
                </w:rPr>
                <w:t>2</w:t>
              </w:r>
              <w:r w:rsidR="008310FB" w:rsidRPr="00646502">
                <w:rPr>
                  <w:rStyle w:val="Hyperlink"/>
                  <w:rFonts w:eastAsia="SimSun"/>
                  <w:color w:val="3333FF"/>
                  <w:lang w:val="ru-RU"/>
                </w:rPr>
                <w:t>3</w:t>
              </w:r>
              <w:r w:rsidR="008310FB" w:rsidRPr="00646502">
                <w:rPr>
                  <w:rFonts w:eastAsia="SimSun"/>
                  <w:b/>
                  <w:bCs/>
                  <w:color w:val="3333FF"/>
                  <w:u w:val="single"/>
                  <w:lang w:val="ru-RU" w:eastAsia="zh-CN"/>
                </w:rPr>
                <w:t>5/1</w:t>
              </w:r>
            </w:hyperlink>
          </w:p>
        </w:tc>
        <w:tc>
          <w:tcPr>
            <w:tcW w:w="3828" w:type="dxa"/>
          </w:tcPr>
          <w:p w:rsidR="008310FB" w:rsidRPr="00646502" w:rsidRDefault="008310FB" w:rsidP="008310FB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Развитие методов контроля за использованием спектра</w:t>
            </w:r>
          </w:p>
        </w:tc>
        <w:tc>
          <w:tcPr>
            <w:tcW w:w="808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</w:t>
            </w:r>
            <w:proofErr w:type="spellStart"/>
            <w:r w:rsidRPr="00646502">
              <w:rPr>
                <w:rFonts w:eastAsia="SimSun"/>
                <w:lang w:val="ru-RU" w:eastAsia="zh-CN"/>
              </w:rPr>
              <w:t>S3</w:t>
            </w:r>
            <w:proofErr w:type="spellEnd"/>
            <w:r w:rsidRPr="00646502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1437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lang w:val="ru-RU"/>
              </w:rPr>
              <w:t>2019 г.</w:t>
            </w:r>
          </w:p>
        </w:tc>
        <w:tc>
          <w:tcPr>
            <w:tcW w:w="1631" w:type="dxa"/>
          </w:tcPr>
          <w:p w:rsidR="008310FB" w:rsidRPr="00646502" w:rsidRDefault="008310FB" w:rsidP="008310FB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8310FB" w:rsidRPr="00646502" w:rsidTr="00646502">
        <w:trPr>
          <w:cantSplit/>
        </w:trPr>
        <w:tc>
          <w:tcPr>
            <w:tcW w:w="1140" w:type="dxa"/>
          </w:tcPr>
          <w:p w:rsidR="008310FB" w:rsidRPr="00646502" w:rsidRDefault="005E4C10" w:rsidP="008310FB">
            <w:pPr>
              <w:pStyle w:val="Tabletext"/>
              <w:jc w:val="center"/>
              <w:rPr>
                <w:rFonts w:eastAsia="SimSun"/>
                <w:color w:val="3333FF"/>
                <w:lang w:val="ru-RU" w:eastAsia="zh-CN"/>
              </w:rPr>
            </w:pPr>
            <w:hyperlink r:id="rId17" w:history="1">
              <w:r w:rsidR="008310FB" w:rsidRPr="00646502">
                <w:rPr>
                  <w:rStyle w:val="Hyperlink"/>
                  <w:rFonts w:eastAsia="SimSun"/>
                  <w:color w:val="3333FF"/>
                  <w:lang w:val="ru-RU" w:eastAsia="zh-CN"/>
                </w:rPr>
                <w:t>236</w:t>
              </w:r>
              <w:r w:rsidR="008310FB" w:rsidRPr="00646502">
                <w:rPr>
                  <w:rStyle w:val="Hyperlink"/>
                  <w:rFonts w:eastAsia="SimSun"/>
                  <w:color w:val="3333FF"/>
                  <w:lang w:val="ru-RU" w:eastAsia="zh-CN"/>
                </w:rPr>
                <w:t>/</w:t>
              </w:r>
              <w:r w:rsidR="008310FB" w:rsidRPr="00646502">
                <w:rPr>
                  <w:rStyle w:val="Hyperlink"/>
                  <w:rFonts w:eastAsia="SimSun"/>
                  <w:color w:val="3333FF"/>
                  <w:lang w:val="ru-RU" w:eastAsia="zh-CN"/>
                </w:rPr>
                <w:t>1</w:t>
              </w:r>
            </w:hyperlink>
          </w:p>
        </w:tc>
        <w:tc>
          <w:tcPr>
            <w:tcW w:w="3828" w:type="dxa"/>
          </w:tcPr>
          <w:p w:rsidR="008310FB" w:rsidRPr="00646502" w:rsidRDefault="008310FB" w:rsidP="008310FB">
            <w:pPr>
              <w:pStyle w:val="Tabletext"/>
              <w:rPr>
                <w:lang w:val="ru-RU"/>
              </w:rPr>
            </w:pPr>
            <w:r w:rsidRPr="00646502">
              <w:rPr>
                <w:lang w:val="ru-RU"/>
              </w:rPr>
              <w:t>Воздействие на системы радиосвязи технологий беспроводной и проводной передачи данных, используемых для поддержки систем управления электросетями</w:t>
            </w:r>
          </w:p>
        </w:tc>
        <w:tc>
          <w:tcPr>
            <w:tcW w:w="808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</w:t>
            </w:r>
            <w:proofErr w:type="spellStart"/>
            <w:r w:rsidRPr="00646502">
              <w:rPr>
                <w:rFonts w:eastAsia="SimSun"/>
                <w:lang w:val="ru-RU" w:eastAsia="zh-CN"/>
              </w:rPr>
              <w:t>S3</w:t>
            </w:r>
            <w:proofErr w:type="spellEnd"/>
            <w:r w:rsidRPr="00646502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1437" w:type="dxa"/>
          </w:tcPr>
          <w:p w:rsidR="008310FB" w:rsidRPr="00646502" w:rsidRDefault="008310FB" w:rsidP="008310FB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2017 г.</w:t>
            </w:r>
          </w:p>
        </w:tc>
        <w:tc>
          <w:tcPr>
            <w:tcW w:w="1631" w:type="dxa"/>
          </w:tcPr>
          <w:p w:rsidR="008310FB" w:rsidRPr="00646502" w:rsidRDefault="008310FB" w:rsidP="008310FB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0A2E6F" w:rsidRPr="00646502" w:rsidTr="00646502">
        <w:trPr>
          <w:cantSplit/>
        </w:trPr>
        <w:tc>
          <w:tcPr>
            <w:tcW w:w="1140" w:type="dxa"/>
          </w:tcPr>
          <w:p w:rsidR="000A2E6F" w:rsidRPr="00646502" w:rsidRDefault="005E4C10" w:rsidP="000A2E6F">
            <w:pPr>
              <w:pStyle w:val="Tabletext"/>
              <w:jc w:val="center"/>
              <w:rPr>
                <w:color w:val="3333FF"/>
                <w:lang w:val="ru-RU"/>
              </w:rPr>
            </w:pPr>
            <w:hyperlink r:id="rId18" w:history="1">
              <w:r w:rsidR="000A2E6F" w:rsidRPr="00646502">
                <w:rPr>
                  <w:rStyle w:val="Hyperlink"/>
                  <w:color w:val="3333FF"/>
                  <w:lang w:val="ru-RU"/>
                </w:rPr>
                <w:t>237</w:t>
              </w:r>
              <w:r w:rsidR="000A2E6F" w:rsidRPr="00646502">
                <w:rPr>
                  <w:rStyle w:val="Hyperlink"/>
                  <w:color w:val="3333FF"/>
                  <w:lang w:val="ru-RU"/>
                </w:rPr>
                <w:t>/</w:t>
              </w:r>
              <w:r w:rsidR="000A2E6F" w:rsidRPr="00646502">
                <w:rPr>
                  <w:rStyle w:val="Hyperlink"/>
                  <w:color w:val="3333FF"/>
                  <w:lang w:val="ru-RU"/>
                </w:rPr>
                <w:t>1</w:t>
              </w:r>
            </w:hyperlink>
          </w:p>
        </w:tc>
        <w:tc>
          <w:tcPr>
            <w:tcW w:w="3828" w:type="dxa"/>
          </w:tcPr>
          <w:p w:rsidR="000A2E6F" w:rsidRPr="00646502" w:rsidRDefault="008310FB" w:rsidP="00923FA0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46502">
              <w:rPr>
                <w:lang w:val="ru-RU"/>
              </w:rPr>
              <w:t>Технические и эксплуатационные характеристики активных служб,</w:t>
            </w:r>
            <w:r w:rsidR="00923FA0" w:rsidRPr="00646502">
              <w:rPr>
                <w:lang w:val="ru-RU"/>
              </w:rPr>
              <w:t xml:space="preserve"> </w:t>
            </w:r>
            <w:r w:rsidRPr="00646502">
              <w:rPr>
                <w:lang w:val="ru-RU"/>
              </w:rPr>
              <w:t>работающих в полосе 275–1000 ГГц</w:t>
            </w:r>
          </w:p>
        </w:tc>
        <w:tc>
          <w:tcPr>
            <w:tcW w:w="808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proofErr w:type="spellStart"/>
            <w:r w:rsidRPr="00646502">
              <w:rPr>
                <w:rFonts w:eastAsia="SimSun"/>
                <w:color w:val="000000"/>
                <w:lang w:val="ru-RU" w:eastAsia="zh-CN"/>
              </w:rPr>
              <w:t>NOC</w:t>
            </w:r>
            <w:proofErr w:type="spellEnd"/>
          </w:p>
        </w:tc>
        <w:tc>
          <w:tcPr>
            <w:tcW w:w="1078" w:type="dxa"/>
          </w:tcPr>
          <w:p w:rsidR="000A2E6F" w:rsidRPr="00646502" w:rsidRDefault="000A2E6F" w:rsidP="000A2E6F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(</w:t>
            </w:r>
            <w:proofErr w:type="spellStart"/>
            <w:r w:rsidRPr="00646502">
              <w:rPr>
                <w:rFonts w:eastAsia="SimSun"/>
                <w:lang w:val="ru-RU" w:eastAsia="zh-CN"/>
              </w:rPr>
              <w:t>S2</w:t>
            </w:r>
            <w:proofErr w:type="spellEnd"/>
            <w:r w:rsidRPr="00646502">
              <w:rPr>
                <w:rFonts w:eastAsia="SimSun"/>
                <w:lang w:val="ru-RU" w:eastAsia="zh-CN"/>
              </w:rPr>
              <w:t>)</w:t>
            </w:r>
          </w:p>
        </w:tc>
        <w:tc>
          <w:tcPr>
            <w:tcW w:w="1437" w:type="dxa"/>
          </w:tcPr>
          <w:p w:rsidR="000A2E6F" w:rsidRPr="00646502" w:rsidRDefault="008310FB" w:rsidP="000A2E6F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46502">
              <w:rPr>
                <w:rFonts w:eastAsia="SimSun"/>
                <w:lang w:val="ru-RU" w:eastAsia="zh-CN"/>
              </w:rPr>
              <w:t>2017 г.</w:t>
            </w:r>
          </w:p>
        </w:tc>
        <w:tc>
          <w:tcPr>
            <w:tcW w:w="1631" w:type="dxa"/>
          </w:tcPr>
          <w:p w:rsidR="000A2E6F" w:rsidRPr="00646502" w:rsidRDefault="000A2E6F" w:rsidP="000A2E6F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</w:tbl>
    <w:p w:rsidR="00DA7634" w:rsidRPr="00646502" w:rsidRDefault="000A2E6F" w:rsidP="00646502">
      <w:pPr>
        <w:spacing w:before="720"/>
        <w:jc w:val="center"/>
        <w:rPr>
          <w:lang w:val="ru-RU" w:eastAsia="zh-CN"/>
        </w:rPr>
      </w:pPr>
      <w:r w:rsidRPr="00646502">
        <w:rPr>
          <w:lang w:val="ru-RU" w:eastAsia="zh-CN"/>
        </w:rPr>
        <w:t>________________</w:t>
      </w:r>
    </w:p>
    <w:sectPr w:rsidR="00DA7634" w:rsidRPr="00646502" w:rsidSect="000A2E6F">
      <w:headerReference w:type="default" r:id="rId19"/>
      <w:footerReference w:type="default" r:id="rId20"/>
      <w:footerReference w:type="first" r:id="rId21"/>
      <w:pgSz w:w="11907" w:h="16839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6F" w:rsidRDefault="000A2E6F">
      <w:r>
        <w:separator/>
      </w:r>
    </w:p>
  </w:endnote>
  <w:endnote w:type="continuationSeparator" w:id="0">
    <w:p w:rsidR="000A2E6F" w:rsidRDefault="000A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502" w:rsidRPr="00646502" w:rsidRDefault="00646502" w:rsidP="00646502">
    <w:pPr>
      <w:pStyle w:val="Footer"/>
      <w:tabs>
        <w:tab w:val="clear" w:pos="5954"/>
        <w:tab w:val="center" w:pos="6804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5E4C10">
      <w:rPr>
        <w:szCs w:val="16"/>
      </w:rPr>
      <w:t>P:\RUS\ITU-R\SG-R\SG01\1000\1003R.docx</w:t>
    </w:r>
    <w:r w:rsidRPr="00275522">
      <w:rPr>
        <w:szCs w:val="16"/>
      </w:rPr>
      <w:fldChar w:fldCharType="end"/>
    </w:r>
    <w:r>
      <w:rPr>
        <w:szCs w:val="16"/>
      </w:rPr>
      <w:t xml:space="preserve"> (</w:t>
    </w:r>
    <w:r>
      <w:rPr>
        <w:szCs w:val="16"/>
        <w:lang w:val="ru-RU"/>
      </w:rPr>
      <w:t>383137</w:t>
    </w:r>
    <w:r>
      <w:rPr>
        <w:szCs w:val="16"/>
      </w:rPr>
      <w:t>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5E4C10">
      <w:rPr>
        <w:szCs w:val="16"/>
      </w:rPr>
      <w:t>11.09.2015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5E4C10">
      <w:rPr>
        <w:szCs w:val="16"/>
      </w:rPr>
      <w:t>15.09.2015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502" w:rsidRPr="00646502" w:rsidRDefault="00646502" w:rsidP="00646502">
    <w:pPr>
      <w:pStyle w:val="Footer"/>
      <w:tabs>
        <w:tab w:val="clear" w:pos="5954"/>
        <w:tab w:val="center" w:pos="6804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5E4C10">
      <w:rPr>
        <w:szCs w:val="16"/>
      </w:rPr>
      <w:t>P:\RUS\ITU-R\SG-R\SG01\1000\1003R.docx</w:t>
    </w:r>
    <w:r w:rsidRPr="00275522">
      <w:rPr>
        <w:szCs w:val="16"/>
      </w:rPr>
      <w:fldChar w:fldCharType="end"/>
    </w:r>
    <w:r>
      <w:rPr>
        <w:szCs w:val="16"/>
      </w:rPr>
      <w:t xml:space="preserve"> (</w:t>
    </w:r>
    <w:r>
      <w:rPr>
        <w:szCs w:val="16"/>
        <w:lang w:val="ru-RU"/>
      </w:rPr>
      <w:t>383137</w:t>
    </w:r>
    <w:r>
      <w:rPr>
        <w:szCs w:val="16"/>
      </w:rPr>
      <w:t>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5E4C10">
      <w:rPr>
        <w:szCs w:val="16"/>
      </w:rPr>
      <w:t>11.09.2015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5E4C10">
      <w:rPr>
        <w:szCs w:val="16"/>
      </w:rPr>
      <w:t>15.09.2015</w:t>
    </w:r>
    <w:r w:rsidRPr="00275522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6F" w:rsidRDefault="000A2E6F">
      <w:r>
        <w:rPr>
          <w:b/>
        </w:rPr>
        <w:t>_______________</w:t>
      </w:r>
    </w:p>
  </w:footnote>
  <w:footnote w:type="continuationSeparator" w:id="0">
    <w:p w:rsidR="000A2E6F" w:rsidRDefault="000A2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502" w:rsidRDefault="00646502" w:rsidP="00646502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E4C10">
      <w:rPr>
        <w:noProof/>
        <w:lang w:val="en-US"/>
      </w:rPr>
      <w:t>2</w:t>
    </w:r>
    <w:r>
      <w:rPr>
        <w:lang w:val="en-US"/>
      </w:rPr>
      <w:fldChar w:fldCharType="end"/>
    </w:r>
  </w:p>
  <w:p w:rsidR="00646502" w:rsidRDefault="00646502" w:rsidP="00646502">
    <w:pPr>
      <w:pStyle w:val="Header"/>
    </w:pPr>
    <w:r>
      <w:rPr>
        <w:lang w:val="ru-RU"/>
      </w:rPr>
      <w:t>1</w:t>
    </w:r>
    <w:r>
      <w:rPr>
        <w:lang w:val="en-US"/>
      </w:rPr>
      <w:t>/1003-R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27603"/>
    <w:rsid w:val="0007259F"/>
    <w:rsid w:val="000A2E6F"/>
    <w:rsid w:val="001355A1"/>
    <w:rsid w:val="00150CF5"/>
    <w:rsid w:val="001B225D"/>
    <w:rsid w:val="001B2E81"/>
    <w:rsid w:val="00213F8F"/>
    <w:rsid w:val="004844C1"/>
    <w:rsid w:val="00541AC7"/>
    <w:rsid w:val="005E4C10"/>
    <w:rsid w:val="00645B0F"/>
    <w:rsid w:val="00646502"/>
    <w:rsid w:val="00700190"/>
    <w:rsid w:val="00703FFC"/>
    <w:rsid w:val="0071246B"/>
    <w:rsid w:val="00713989"/>
    <w:rsid w:val="00756B1C"/>
    <w:rsid w:val="008310FB"/>
    <w:rsid w:val="00845350"/>
    <w:rsid w:val="008B1239"/>
    <w:rsid w:val="00923FA0"/>
    <w:rsid w:val="00943EBD"/>
    <w:rsid w:val="009447A3"/>
    <w:rsid w:val="00A05CE9"/>
    <w:rsid w:val="00A5587C"/>
    <w:rsid w:val="00AD4505"/>
    <w:rsid w:val="00BE5003"/>
    <w:rsid w:val="00C52226"/>
    <w:rsid w:val="00C67B87"/>
    <w:rsid w:val="00D35AF0"/>
    <w:rsid w:val="00D471A9"/>
    <w:rsid w:val="00DA7634"/>
    <w:rsid w:val="00DE0478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uiPriority w:val="99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0A2E6F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rsid w:val="000A2E6F"/>
    <w:rPr>
      <w:b/>
      <w:bCs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8310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1.205" TargetMode="External"/><Relationship Id="rId13" Type="http://schemas.openxmlformats.org/officeDocument/2006/relationships/hyperlink" Target="http://www.itu.int/pub/R-QUE-SG01.222" TargetMode="External"/><Relationship Id="rId18" Type="http://schemas.openxmlformats.org/officeDocument/2006/relationships/hyperlink" Target="http://www.itu.int/pub/R-QUE-SG01.237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itu.int/pub/R-QUE-SG01.221" TargetMode="External"/><Relationship Id="rId17" Type="http://schemas.openxmlformats.org/officeDocument/2006/relationships/hyperlink" Target="http://www.itu.int/pub/R-QUE-SG01.23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pub/R-QUE-SG01.23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QUE-SG01.2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pub/R-QUE-SG01.23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pub/R-QUE-SG01.21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1.208" TargetMode="External"/><Relationship Id="rId14" Type="http://schemas.openxmlformats.org/officeDocument/2006/relationships/hyperlink" Target="http://www.itu.int/pub/R-QUE-SG01.232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35</TotalTime>
  <Pages>1</Pages>
  <Words>352</Words>
  <Characters>2507</Characters>
  <Application>Microsoft Office Word</Application>
  <DocSecurity>0</DocSecurity>
  <Lines>144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7</cp:revision>
  <cp:lastPrinted>2015-09-15T13:10:00Z</cp:lastPrinted>
  <dcterms:created xsi:type="dcterms:W3CDTF">2015-09-11T14:08:00Z</dcterms:created>
  <dcterms:modified xsi:type="dcterms:W3CDTF">2015-09-15T13:10:00Z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