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7055"/>
        <w:gridCol w:w="2976"/>
      </w:tblGrid>
      <w:tr w:rsidR="00AB0281" w:rsidTr="00B31AE5">
        <w:trPr>
          <w:cantSplit/>
        </w:trPr>
        <w:tc>
          <w:tcPr>
            <w:tcW w:w="7055" w:type="dxa"/>
          </w:tcPr>
          <w:p w:rsidR="00973141" w:rsidRPr="007B1652" w:rsidRDefault="007B1652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val="fr-CH"/>
              </w:rPr>
            </w:pPr>
            <w:bookmarkStart w:id="0" w:name="lt_pId000"/>
            <w:r w:rsidRPr="000B002B">
              <w:rPr>
                <w:rFonts w:ascii="Verdana" w:hAnsi="Verdana"/>
                <w:b/>
                <w:sz w:val="26"/>
                <w:szCs w:val="26"/>
                <w:lang w:val="fr-CH"/>
              </w:rPr>
              <w:t>Assemblée des Radiocommunications (AR-15</w:t>
            </w:r>
            <w:bookmarkEnd w:id="0"/>
            <w:r w:rsidR="00790DFF" w:rsidRPr="000B002B">
              <w:rPr>
                <w:rFonts w:ascii="Verdana" w:hAnsi="Verdana"/>
                <w:b/>
                <w:sz w:val="26"/>
                <w:szCs w:val="26"/>
                <w:lang w:val="fr-CH"/>
              </w:rPr>
              <w:t xml:space="preserve">) </w:t>
            </w:r>
            <w:r w:rsidR="00A945AB" w:rsidRPr="007B1652">
              <w:rPr>
                <w:rFonts w:ascii="Verdana" w:hAnsi="Verdana"/>
                <w:b/>
                <w:sz w:val="22"/>
                <w:szCs w:val="22"/>
                <w:lang w:val="fr-CH"/>
              </w:rPr>
              <w:br/>
            </w:r>
            <w:bookmarkStart w:id="1" w:name="lt_pId001"/>
            <w:r w:rsidR="00E454AE" w:rsidRPr="000B002B">
              <w:rPr>
                <w:rFonts w:ascii="Verdana" w:hAnsi="Verdana"/>
                <w:b/>
                <w:bCs/>
                <w:sz w:val="20"/>
                <w:lang w:val="fr-CH"/>
              </w:rPr>
              <w:t>Genève, 26-30 octobre 2015</w:t>
            </w:r>
            <w:bookmarkEnd w:id="1"/>
          </w:p>
        </w:tc>
        <w:tc>
          <w:tcPr>
            <w:tcW w:w="2976" w:type="dxa"/>
          </w:tcPr>
          <w:p w:rsidR="00973141" w:rsidRDefault="00A945AB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6E256EDD" wp14:editId="2D1B121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281" w:rsidTr="00B31AE5">
        <w:trPr>
          <w:cantSplit/>
        </w:trPr>
        <w:tc>
          <w:tcPr>
            <w:tcW w:w="7055" w:type="dxa"/>
            <w:tcBorders>
              <w:bottom w:val="single" w:sz="12" w:space="0" w:color="auto"/>
            </w:tcBorders>
          </w:tcPr>
          <w:p w:rsidR="00973141" w:rsidRPr="00617BE4" w:rsidRDefault="003F5E3E" w:rsidP="00973141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lt_pId002"/>
            <w:bookmarkStart w:id="3" w:name="dhead"/>
            <w:r w:rsidRPr="000B002B">
              <w:rPr>
                <w:rFonts w:ascii="Verdana" w:hAnsi="Verdana"/>
                <w:b/>
                <w:bCs/>
                <w:position w:val="6"/>
                <w:sz w:val="20"/>
              </w:rPr>
              <w:t>UNION INTERNATIONALE DES TÉLÉCOMMUNICATIONS</w:t>
            </w:r>
            <w:bookmarkEnd w:id="2"/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973141" w:rsidRPr="00617BE4" w:rsidRDefault="006E235C" w:rsidP="0097314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B0281" w:rsidTr="00B31AE5">
        <w:trPr>
          <w:cantSplit/>
        </w:trPr>
        <w:tc>
          <w:tcPr>
            <w:tcW w:w="7055" w:type="dxa"/>
            <w:tcBorders>
              <w:top w:val="single" w:sz="12" w:space="0" w:color="auto"/>
            </w:tcBorders>
          </w:tcPr>
          <w:p w:rsidR="00973141" w:rsidRPr="00C324A8" w:rsidRDefault="006E235C" w:rsidP="0097314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973141" w:rsidRPr="00C324A8" w:rsidRDefault="006E235C" w:rsidP="0097314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B0281" w:rsidTr="00B31AE5">
        <w:trPr>
          <w:cantSplit/>
          <w:trHeight w:val="23"/>
        </w:trPr>
        <w:tc>
          <w:tcPr>
            <w:tcW w:w="7055" w:type="dxa"/>
            <w:vMerge w:val="restart"/>
          </w:tcPr>
          <w:p w:rsidR="00973141" w:rsidRPr="00973141" w:rsidRDefault="006E235C" w:rsidP="0097314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2976" w:type="dxa"/>
          </w:tcPr>
          <w:p w:rsidR="00973141" w:rsidRPr="00973141" w:rsidRDefault="00DA54BA" w:rsidP="0097314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lt_pId003"/>
            <w:r w:rsidRPr="000B002B">
              <w:rPr>
                <w:rFonts w:ascii="Verdana" w:hAnsi="Verdana"/>
                <w:b/>
                <w:sz w:val="20"/>
              </w:rPr>
              <w:t>Document 1/1002-F</w:t>
            </w:r>
            <w:bookmarkEnd w:id="6"/>
          </w:p>
        </w:tc>
      </w:tr>
      <w:tr w:rsidR="00AB0281" w:rsidTr="00B31AE5">
        <w:trPr>
          <w:cantSplit/>
          <w:trHeight w:val="23"/>
        </w:trPr>
        <w:tc>
          <w:tcPr>
            <w:tcW w:w="7055" w:type="dxa"/>
            <w:vMerge/>
          </w:tcPr>
          <w:p w:rsidR="00973141" w:rsidRPr="00C324A8" w:rsidRDefault="006E235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7" w:name="ddate" w:colFirst="1" w:colLast="1"/>
            <w:bookmarkEnd w:id="4"/>
            <w:bookmarkEnd w:id="5"/>
          </w:p>
        </w:tc>
        <w:tc>
          <w:tcPr>
            <w:tcW w:w="2976" w:type="dxa"/>
          </w:tcPr>
          <w:p w:rsidR="00973141" w:rsidRPr="00973141" w:rsidRDefault="00DA2113" w:rsidP="0097314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bookmarkStart w:id="8" w:name="lt_pId004"/>
            <w:r w:rsidRPr="000B002B">
              <w:rPr>
                <w:rFonts w:ascii="Verdana" w:hAnsi="Verdana"/>
                <w:b/>
                <w:sz w:val="20"/>
              </w:rPr>
              <w:t>26</w:t>
            </w:r>
            <w:r w:rsidRPr="00790DFF">
              <w:rPr>
                <w:rFonts w:ascii="Verdana" w:hAnsi="Verdana"/>
                <w:b/>
                <w:sz w:val="20"/>
                <w:lang w:val="fr-CH"/>
              </w:rPr>
              <w:t xml:space="preserve"> août</w:t>
            </w:r>
            <w:r w:rsidRPr="000B002B">
              <w:rPr>
                <w:rFonts w:ascii="Verdana" w:hAnsi="Verdana"/>
                <w:b/>
                <w:sz w:val="20"/>
              </w:rPr>
              <w:t xml:space="preserve"> 2015</w:t>
            </w:r>
            <w:bookmarkEnd w:id="8"/>
          </w:p>
        </w:tc>
      </w:tr>
      <w:tr w:rsidR="00AB0281" w:rsidTr="00B31AE5">
        <w:trPr>
          <w:cantSplit/>
          <w:trHeight w:val="23"/>
        </w:trPr>
        <w:tc>
          <w:tcPr>
            <w:tcW w:w="7055" w:type="dxa"/>
            <w:vMerge/>
          </w:tcPr>
          <w:p w:rsidR="00973141" w:rsidRPr="00C324A8" w:rsidRDefault="006E235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9" w:name="dorlang" w:colFirst="1" w:colLast="1"/>
            <w:bookmarkEnd w:id="7"/>
          </w:p>
        </w:tc>
        <w:tc>
          <w:tcPr>
            <w:tcW w:w="2976" w:type="dxa"/>
          </w:tcPr>
          <w:p w:rsidR="00973141" w:rsidRPr="00973141" w:rsidRDefault="006E235C" w:rsidP="0097314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AB0281">
        <w:trPr>
          <w:cantSplit/>
        </w:trPr>
        <w:tc>
          <w:tcPr>
            <w:tcW w:w="10031" w:type="dxa"/>
            <w:gridSpan w:val="2"/>
          </w:tcPr>
          <w:p w:rsidR="00973141" w:rsidRDefault="00C57DF6">
            <w:pPr>
              <w:pStyle w:val="Source"/>
            </w:pPr>
            <w:bookmarkStart w:id="10" w:name="lt_pId005"/>
            <w:bookmarkStart w:id="11" w:name="dsource" w:colFirst="0" w:colLast="0"/>
            <w:bookmarkEnd w:id="9"/>
            <w:r w:rsidRPr="000B002B">
              <w:t>Commission</w:t>
            </w:r>
            <w:r w:rsidRPr="00790DFF">
              <w:rPr>
                <w:lang w:val="fr-CH"/>
              </w:rPr>
              <w:t xml:space="preserve"> d’études</w:t>
            </w:r>
            <w:r w:rsidRPr="000B002B">
              <w:t xml:space="preserve"> 1 des</w:t>
            </w:r>
            <w:r w:rsidRPr="00790DFF">
              <w:rPr>
                <w:lang w:val="fr-CH"/>
              </w:rPr>
              <w:t xml:space="preserve"> radiocommunications</w:t>
            </w:r>
            <w:bookmarkEnd w:id="10"/>
          </w:p>
        </w:tc>
      </w:tr>
      <w:tr w:rsidR="00AB0281">
        <w:trPr>
          <w:cantSplit/>
        </w:trPr>
        <w:tc>
          <w:tcPr>
            <w:tcW w:w="10031" w:type="dxa"/>
            <w:gridSpan w:val="2"/>
          </w:tcPr>
          <w:p w:rsidR="00973141" w:rsidRDefault="00E625C6" w:rsidP="00B31AE5">
            <w:pPr>
              <w:pStyle w:val="Title1"/>
            </w:pPr>
            <w:bookmarkStart w:id="12" w:name="lt_pId006"/>
            <w:bookmarkStart w:id="13" w:name="dtitle1" w:colFirst="0" w:colLast="0"/>
            <w:bookmarkEnd w:id="11"/>
            <w:r w:rsidRPr="000B002B">
              <w:t>Gestion du spectre</w:t>
            </w:r>
            <w:bookmarkEnd w:id="12"/>
          </w:p>
        </w:tc>
      </w:tr>
      <w:tr w:rsidR="00AB0281">
        <w:trPr>
          <w:cantSplit/>
        </w:trPr>
        <w:tc>
          <w:tcPr>
            <w:tcW w:w="10031" w:type="dxa"/>
            <w:gridSpan w:val="2"/>
          </w:tcPr>
          <w:p w:rsidR="00973141" w:rsidRDefault="00E621AE" w:rsidP="00B31AE5">
            <w:pPr>
              <w:pStyle w:val="Title2"/>
            </w:pPr>
            <w:bookmarkStart w:id="14" w:name="lt_pId007"/>
            <w:bookmarkStart w:id="15" w:name="dtitle2" w:colFirst="0" w:colLast="0"/>
            <w:bookmarkEnd w:id="13"/>
            <w:r w:rsidRPr="000B002B">
              <w:rPr>
                <w:lang w:val="en-US"/>
              </w:rPr>
              <w:t>LISTE DES RECOMMANDATIONS</w:t>
            </w:r>
            <w:bookmarkEnd w:id="14"/>
          </w:p>
        </w:tc>
      </w:tr>
      <w:tr w:rsidR="00AB0281">
        <w:trPr>
          <w:cantSplit/>
        </w:trPr>
        <w:tc>
          <w:tcPr>
            <w:tcW w:w="10031" w:type="dxa"/>
            <w:gridSpan w:val="2"/>
          </w:tcPr>
          <w:p w:rsidR="00973141" w:rsidRDefault="006E235C">
            <w:pPr>
              <w:pStyle w:val="Title3"/>
            </w:pPr>
            <w:bookmarkStart w:id="16" w:name="dtitle3" w:colFirst="0" w:colLast="0"/>
            <w:bookmarkEnd w:id="15"/>
          </w:p>
        </w:tc>
      </w:tr>
    </w:tbl>
    <w:p w:rsidR="00973141" w:rsidRPr="00BC4EAE" w:rsidRDefault="00AF3D5E" w:rsidP="00B31AE5">
      <w:pPr>
        <w:pStyle w:val="Headingb"/>
        <w:rPr>
          <w:lang w:val="fr-CH"/>
        </w:rPr>
      </w:pPr>
      <w:bookmarkStart w:id="17" w:name="dbreak"/>
      <w:bookmarkStart w:id="18" w:name="lt_pId008"/>
      <w:bookmarkEnd w:id="16"/>
      <w:bookmarkEnd w:id="17"/>
      <w:r w:rsidRPr="000B002B">
        <w:rPr>
          <w:lang w:val="fr-CH"/>
        </w:rPr>
        <w:t>Recommandations UIT-R de la série SM</w:t>
      </w:r>
      <w:bookmarkEnd w:id="18"/>
    </w:p>
    <w:p w:rsidR="00973141" w:rsidRPr="00BC4EAE" w:rsidRDefault="006E235C" w:rsidP="00973141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904"/>
        <w:gridCol w:w="1929"/>
        <w:gridCol w:w="1881"/>
        <w:gridCol w:w="1970"/>
      </w:tblGrid>
      <w:tr w:rsidR="00AB0281" w:rsidTr="00F40F9D">
        <w:trPr>
          <w:jc w:val="center"/>
        </w:trPr>
        <w:tc>
          <w:tcPr>
            <w:tcW w:w="1990" w:type="dxa"/>
          </w:tcPr>
          <w:p w:rsidR="00973141" w:rsidRDefault="00BC4EAE" w:rsidP="00F40F9D">
            <w:pPr>
              <w:jc w:val="center"/>
            </w:pPr>
            <w:bookmarkStart w:id="19" w:name="lt_pId009"/>
            <w:r w:rsidRPr="000B002B">
              <w:rPr>
                <w:b/>
                <w:bCs/>
              </w:rPr>
              <w:t>NOC</w:t>
            </w:r>
            <w:bookmarkEnd w:id="19"/>
            <w:r w:rsidR="009822B9">
              <w:rPr>
                <w:b/>
                <w:bCs/>
              </w:rPr>
              <w:t xml:space="preserve"> </w:t>
            </w:r>
            <w:r w:rsidR="001254F8">
              <w:rPr>
                <w:b/>
                <w:bCs/>
              </w:rPr>
              <w:t>=</w:t>
            </w:r>
            <w:r w:rsidR="00A945AB">
              <w:t xml:space="preserve"> </w:t>
            </w:r>
            <w:r w:rsidR="00A945AB" w:rsidRPr="00790DFF">
              <w:rPr>
                <w:lang w:val="fr-CH"/>
              </w:rPr>
              <w:br/>
            </w:r>
            <w:bookmarkStart w:id="20" w:name="lt_pId010"/>
            <w:r w:rsidR="00E01D0A" w:rsidRPr="00790DFF">
              <w:rPr>
                <w:lang w:val="fr-CH"/>
              </w:rPr>
              <w:t>Maintenu</w:t>
            </w:r>
            <w:bookmarkEnd w:id="20"/>
            <w:r w:rsidR="00B31AE5">
              <w:rPr>
                <w:lang w:val="fr-CH"/>
              </w:rPr>
              <w:t>e</w:t>
            </w:r>
          </w:p>
        </w:tc>
        <w:tc>
          <w:tcPr>
            <w:tcW w:w="1963" w:type="dxa"/>
          </w:tcPr>
          <w:p w:rsidR="00973141" w:rsidRDefault="000F34F8" w:rsidP="00F40F9D">
            <w:pPr>
              <w:jc w:val="center"/>
            </w:pPr>
            <w:bookmarkStart w:id="21" w:name="lt_pId011"/>
            <w:r w:rsidRPr="000B002B">
              <w:rPr>
                <w:b/>
                <w:bCs/>
              </w:rPr>
              <w:t>MOD =</w:t>
            </w:r>
            <w:bookmarkEnd w:id="21"/>
            <w:r w:rsidR="00A945AB">
              <w:t xml:space="preserve"> </w:t>
            </w:r>
            <w:r w:rsidR="00A945AB" w:rsidRPr="00790DFF">
              <w:rPr>
                <w:lang w:val="fr-CH"/>
              </w:rPr>
              <w:br/>
            </w:r>
            <w:bookmarkStart w:id="22" w:name="lt_pId012"/>
            <w:r w:rsidR="002B0900" w:rsidRPr="00790DFF">
              <w:rPr>
                <w:lang w:val="fr-CH"/>
              </w:rPr>
              <w:t>Révisée</w:t>
            </w:r>
            <w:bookmarkEnd w:id="22"/>
            <w:r w:rsidR="00A945AB">
              <w:t xml:space="preserve"> </w:t>
            </w:r>
          </w:p>
        </w:tc>
        <w:tc>
          <w:tcPr>
            <w:tcW w:w="1972" w:type="dxa"/>
          </w:tcPr>
          <w:p w:rsidR="00973141" w:rsidRDefault="00182B78" w:rsidP="00F40F9D">
            <w:pPr>
              <w:jc w:val="center"/>
            </w:pPr>
            <w:bookmarkStart w:id="23" w:name="lt_pId013"/>
            <w:r w:rsidRPr="000B002B">
              <w:rPr>
                <w:b/>
                <w:bCs/>
              </w:rPr>
              <w:t>SUP =</w:t>
            </w:r>
            <w:bookmarkEnd w:id="23"/>
            <w:r w:rsidR="00A945AB" w:rsidRPr="00790DFF">
              <w:rPr>
                <w:lang w:val="fr-CH"/>
              </w:rPr>
              <w:br/>
            </w:r>
            <w:bookmarkStart w:id="24" w:name="lt_pId014"/>
            <w:r w:rsidR="00E3100A" w:rsidRPr="00790DFF">
              <w:rPr>
                <w:lang w:val="fr-CH"/>
              </w:rPr>
              <w:t>Supprimé</w:t>
            </w:r>
            <w:bookmarkEnd w:id="24"/>
            <w:r w:rsidR="00790DFF" w:rsidRPr="00790DFF">
              <w:rPr>
                <w:lang w:val="fr-CH"/>
              </w:rPr>
              <w:t>e</w:t>
            </w:r>
          </w:p>
        </w:tc>
        <w:tc>
          <w:tcPr>
            <w:tcW w:w="1932" w:type="dxa"/>
          </w:tcPr>
          <w:p w:rsidR="00973141" w:rsidRDefault="00982F01" w:rsidP="00F40F9D">
            <w:pPr>
              <w:jc w:val="center"/>
            </w:pPr>
            <w:bookmarkStart w:id="25" w:name="lt_pId015"/>
            <w:r w:rsidRPr="000B002B">
              <w:rPr>
                <w:b/>
                <w:bCs/>
              </w:rPr>
              <w:t>ADD =</w:t>
            </w:r>
            <w:bookmarkEnd w:id="25"/>
            <w:r w:rsidR="00A945AB">
              <w:br/>
            </w:r>
            <w:bookmarkStart w:id="26" w:name="lt_pId016"/>
            <w:r w:rsidR="002712DA" w:rsidRPr="000B002B">
              <w:t>Nouveau</w:t>
            </w:r>
            <w:r w:rsidR="002712DA" w:rsidRPr="00790DFF">
              <w:rPr>
                <w:lang w:val="fr-CH"/>
              </w:rPr>
              <w:t xml:space="preserve"> texte</w:t>
            </w:r>
            <w:bookmarkEnd w:id="26"/>
          </w:p>
        </w:tc>
        <w:tc>
          <w:tcPr>
            <w:tcW w:w="1998" w:type="dxa"/>
          </w:tcPr>
          <w:p w:rsidR="00973141" w:rsidRDefault="007E6F40" w:rsidP="00F40F9D">
            <w:pPr>
              <w:jc w:val="center"/>
            </w:pPr>
            <w:bookmarkStart w:id="27" w:name="lt_pId017"/>
            <w:r w:rsidRPr="000B002B">
              <w:rPr>
                <w:b/>
                <w:bCs/>
              </w:rPr>
              <w:t>UNA =</w:t>
            </w:r>
            <w:bookmarkEnd w:id="27"/>
            <w:r w:rsidR="00A945AB">
              <w:t xml:space="preserve"> </w:t>
            </w:r>
            <w:r w:rsidR="00A945AB" w:rsidRPr="00790DFF">
              <w:rPr>
                <w:lang w:val="fr-CH"/>
              </w:rPr>
              <w:br/>
            </w:r>
            <w:bookmarkStart w:id="28" w:name="lt_pId018"/>
            <w:r w:rsidR="003153A8" w:rsidRPr="00790DFF">
              <w:rPr>
                <w:lang w:val="fr-CH"/>
              </w:rPr>
              <w:t>En cours d'approbation</w:t>
            </w:r>
            <w:bookmarkEnd w:id="28"/>
          </w:p>
        </w:tc>
      </w:tr>
    </w:tbl>
    <w:p w:rsidR="00973141" w:rsidRDefault="00A945AB" w:rsidP="009731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5164"/>
        <w:gridCol w:w="1362"/>
        <w:gridCol w:w="1472"/>
      </w:tblGrid>
      <w:tr w:rsidR="00AB0281" w:rsidTr="005E0CE2">
        <w:trPr>
          <w:cantSplit/>
          <w:tblHeader/>
        </w:trPr>
        <w:tc>
          <w:tcPr>
            <w:tcW w:w="1631" w:type="dxa"/>
          </w:tcPr>
          <w:p w:rsidR="00973141" w:rsidRPr="00790DFF" w:rsidRDefault="00A945AB" w:rsidP="00F40F9D">
            <w:pPr>
              <w:pStyle w:val="Tablehead"/>
              <w:spacing w:before="40" w:after="40"/>
              <w:rPr>
                <w:rFonts w:asciiTheme="majorBidi" w:hAnsiTheme="majorBidi" w:cstheme="majorBidi"/>
                <w:lang w:val="fr-CH"/>
              </w:rPr>
            </w:pPr>
            <w:r w:rsidRPr="00945E93">
              <w:rPr>
                <w:rFonts w:asciiTheme="majorBidi" w:hAnsiTheme="majorBidi" w:cstheme="majorBidi"/>
                <w:lang w:val="en-US"/>
              </w:rPr>
              <w:lastRenderedPageBreak/>
              <w:br w:type="page"/>
            </w:r>
            <w:bookmarkStart w:id="29" w:name="lt_pId019"/>
            <w:r w:rsidRPr="000B002B">
              <w:rPr>
                <w:rFonts w:asciiTheme="majorBidi" w:hAnsiTheme="majorBidi" w:cstheme="majorBidi"/>
                <w:lang w:val="en-US"/>
              </w:rPr>
              <w:t>Rec.</w:t>
            </w:r>
            <w:bookmarkEnd w:id="29"/>
            <w:r w:rsidRPr="00945E93">
              <w:rPr>
                <w:rFonts w:asciiTheme="majorBidi" w:hAnsiTheme="majorBidi" w:cstheme="majorBidi"/>
                <w:lang w:val="en-US"/>
              </w:rPr>
              <w:t xml:space="preserve"> </w:t>
            </w:r>
            <w:bookmarkStart w:id="30" w:name="lt_pId020"/>
            <w:r w:rsidR="00682DCA" w:rsidRPr="000B002B">
              <w:rPr>
                <w:rFonts w:asciiTheme="majorBidi" w:hAnsiTheme="majorBidi" w:cstheme="majorBidi"/>
                <w:lang w:val="en-US"/>
              </w:rPr>
              <w:t>UIT-R</w:t>
            </w:r>
            <w:bookmarkEnd w:id="30"/>
          </w:p>
        </w:tc>
        <w:tc>
          <w:tcPr>
            <w:tcW w:w="5164" w:type="dxa"/>
          </w:tcPr>
          <w:p w:rsidR="00973141" w:rsidRPr="00C01667" w:rsidRDefault="00CC043A" w:rsidP="00F40F9D">
            <w:pPr>
              <w:pStyle w:val="Tablehead"/>
              <w:spacing w:before="40" w:after="40"/>
              <w:rPr>
                <w:rFonts w:asciiTheme="majorBidi" w:hAnsiTheme="majorBidi" w:cstheme="majorBidi"/>
                <w:lang w:val="en-US"/>
              </w:rPr>
            </w:pPr>
            <w:bookmarkStart w:id="31" w:name="lt_pId021"/>
            <w:r w:rsidRPr="00790DFF">
              <w:rPr>
                <w:rFonts w:asciiTheme="majorBidi" w:hAnsiTheme="majorBidi" w:cstheme="majorBidi"/>
                <w:lang w:val="fr-CH"/>
              </w:rPr>
              <w:t>Titre</w:t>
            </w:r>
            <w:r w:rsidRPr="000B002B">
              <w:rPr>
                <w:rFonts w:asciiTheme="majorBidi" w:hAnsiTheme="majorBidi" w:cstheme="majorBidi"/>
                <w:lang w:val="en-US"/>
              </w:rPr>
              <w:t xml:space="preserve"> de la</w:t>
            </w:r>
            <w:r w:rsidRPr="00790DFF">
              <w:rPr>
                <w:rFonts w:asciiTheme="majorBidi" w:hAnsiTheme="majorBidi" w:cstheme="majorBidi"/>
                <w:lang w:val="fr-CH"/>
              </w:rPr>
              <w:t xml:space="preserve"> Recommandation</w:t>
            </w:r>
            <w:bookmarkEnd w:id="31"/>
          </w:p>
        </w:tc>
        <w:tc>
          <w:tcPr>
            <w:tcW w:w="1362" w:type="dxa"/>
          </w:tcPr>
          <w:p w:rsidR="00973141" w:rsidRPr="00790DFF" w:rsidRDefault="0091172F" w:rsidP="00F40F9D">
            <w:pPr>
              <w:pStyle w:val="Tablehead"/>
              <w:spacing w:before="40" w:after="40"/>
              <w:rPr>
                <w:rFonts w:asciiTheme="majorBidi" w:hAnsiTheme="majorBidi" w:cstheme="majorBidi"/>
                <w:lang w:val="fr-CH"/>
              </w:rPr>
            </w:pPr>
            <w:bookmarkStart w:id="32" w:name="lt_pId022"/>
            <w:r w:rsidRPr="000B002B">
              <w:rPr>
                <w:rFonts w:asciiTheme="majorBidi" w:hAnsiTheme="majorBidi" w:cstheme="majorBidi"/>
                <w:lang w:val="en-US"/>
              </w:rPr>
              <w:t>Suite</w:t>
            </w:r>
            <w:r w:rsidRPr="00790DFF">
              <w:rPr>
                <w:rFonts w:asciiTheme="majorBidi" w:hAnsiTheme="majorBidi" w:cstheme="majorBidi"/>
                <w:lang w:val="fr-CH"/>
              </w:rPr>
              <w:t xml:space="preserve"> donnée</w:t>
            </w:r>
            <w:r w:rsidRPr="000B002B">
              <w:rPr>
                <w:rFonts w:asciiTheme="majorBidi" w:hAnsiTheme="majorBidi" w:cstheme="majorBidi"/>
                <w:lang w:val="en-US"/>
              </w:rPr>
              <w:t xml:space="preserve"> par l’AR-15</w:t>
            </w:r>
            <w:bookmarkEnd w:id="32"/>
          </w:p>
        </w:tc>
        <w:tc>
          <w:tcPr>
            <w:tcW w:w="1472" w:type="dxa"/>
          </w:tcPr>
          <w:p w:rsidR="00973141" w:rsidRPr="00C01667" w:rsidRDefault="0075413C" w:rsidP="00F40F9D">
            <w:pPr>
              <w:pStyle w:val="Tablehead"/>
              <w:spacing w:before="40" w:after="40"/>
              <w:rPr>
                <w:rFonts w:asciiTheme="majorBidi" w:hAnsiTheme="majorBidi" w:cstheme="majorBidi"/>
                <w:lang w:val="en-US"/>
              </w:rPr>
            </w:pPr>
            <w:bookmarkStart w:id="33" w:name="lt_pId023"/>
            <w:r w:rsidRPr="00790DFF">
              <w:rPr>
                <w:rFonts w:asciiTheme="majorBidi" w:hAnsiTheme="majorBidi" w:cstheme="majorBidi"/>
                <w:lang w:val="fr-CH"/>
              </w:rPr>
              <w:t>Commentaires</w:t>
            </w:r>
            <w:bookmarkEnd w:id="33"/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9D2F39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34" w:name="lt_pId024"/>
            <w:r w:rsidRPr="000B002B">
              <w:rPr>
                <w:b/>
                <w:lang w:val="en-US"/>
              </w:rPr>
              <w:t>SM.326-7</w:t>
            </w:r>
            <w:bookmarkEnd w:id="34"/>
          </w:p>
        </w:tc>
        <w:tc>
          <w:tcPr>
            <w:tcW w:w="5164" w:type="dxa"/>
          </w:tcPr>
          <w:p w:rsidR="00973141" w:rsidRPr="00841E9E" w:rsidRDefault="00883AAF" w:rsidP="00F40F9D">
            <w:pPr>
              <w:pStyle w:val="Tabletext"/>
              <w:rPr>
                <w:lang w:val="fr-CH"/>
              </w:rPr>
            </w:pPr>
            <w:bookmarkStart w:id="35" w:name="lt_pId025"/>
            <w:r w:rsidRPr="000B002B">
              <w:rPr>
                <w:lang w:val="fr-CH"/>
              </w:rPr>
              <w:t>Détermination et mesure de la puissance des émetteurs radioélectriques à modulation d'amplitude</w:t>
            </w:r>
            <w:bookmarkEnd w:id="35"/>
          </w:p>
        </w:tc>
        <w:tc>
          <w:tcPr>
            <w:tcW w:w="1362" w:type="dxa"/>
          </w:tcPr>
          <w:p w:rsidR="00973141" w:rsidRPr="00C01667" w:rsidRDefault="00841E9E" w:rsidP="00F40F9D">
            <w:pPr>
              <w:pStyle w:val="Tabletext"/>
              <w:jc w:val="center"/>
              <w:rPr>
                <w:lang w:val="en-US"/>
              </w:rPr>
            </w:pPr>
            <w:bookmarkStart w:id="36" w:name="lt_pId026"/>
            <w:r w:rsidRPr="000B002B">
              <w:rPr>
                <w:lang w:val="en-US"/>
              </w:rPr>
              <w:t>NOC</w:t>
            </w:r>
            <w:bookmarkEnd w:id="36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BF0EF2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37" w:name="lt_pId027"/>
            <w:r w:rsidRPr="000B002B">
              <w:rPr>
                <w:b/>
                <w:lang w:val="en-US"/>
              </w:rPr>
              <w:t>SM.328-11</w:t>
            </w:r>
            <w:bookmarkEnd w:id="37"/>
          </w:p>
        </w:tc>
        <w:tc>
          <w:tcPr>
            <w:tcW w:w="5164" w:type="dxa"/>
          </w:tcPr>
          <w:p w:rsidR="00973141" w:rsidRPr="00042C2E" w:rsidRDefault="00226E0F" w:rsidP="00F40F9D">
            <w:pPr>
              <w:pStyle w:val="Tabletext"/>
              <w:rPr>
                <w:lang w:val="fr-CH"/>
              </w:rPr>
            </w:pPr>
            <w:bookmarkStart w:id="38" w:name="lt_pId028"/>
            <w:r w:rsidRPr="000B002B">
              <w:rPr>
                <w:lang w:val="fr-CH"/>
              </w:rPr>
              <w:t>Spectres et largeurs de bande des émissions</w:t>
            </w:r>
            <w:bookmarkEnd w:id="38"/>
          </w:p>
        </w:tc>
        <w:tc>
          <w:tcPr>
            <w:tcW w:w="1362" w:type="dxa"/>
          </w:tcPr>
          <w:p w:rsidR="00973141" w:rsidRPr="00C01667" w:rsidRDefault="00042C2E" w:rsidP="00F40F9D">
            <w:pPr>
              <w:pStyle w:val="Tabletext"/>
              <w:jc w:val="center"/>
              <w:rPr>
                <w:lang w:val="en-US"/>
              </w:rPr>
            </w:pPr>
            <w:bookmarkStart w:id="39" w:name="lt_pId029"/>
            <w:r w:rsidRPr="000B002B">
              <w:rPr>
                <w:lang w:val="en-US"/>
              </w:rPr>
              <w:t>NOC</w:t>
            </w:r>
            <w:bookmarkEnd w:id="39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F221B2">
            <w:pPr>
              <w:pStyle w:val="Tabletext"/>
              <w:jc w:val="center"/>
              <w:rPr>
                <w:b/>
                <w:lang w:val="en-US"/>
              </w:rPr>
            </w:pPr>
            <w:bookmarkStart w:id="40" w:name="lt_pId030"/>
            <w:r w:rsidRPr="000B002B">
              <w:rPr>
                <w:b/>
                <w:lang w:val="en-US"/>
              </w:rPr>
              <w:t>SM.329-12</w:t>
            </w:r>
            <w:bookmarkEnd w:id="40"/>
          </w:p>
        </w:tc>
        <w:tc>
          <w:tcPr>
            <w:tcW w:w="5164" w:type="dxa"/>
          </w:tcPr>
          <w:p w:rsidR="00973141" w:rsidRPr="0087170A" w:rsidRDefault="0087170A" w:rsidP="00F40F9D">
            <w:pPr>
              <w:pStyle w:val="Tabletext"/>
              <w:rPr>
                <w:lang w:val="fr-CH"/>
              </w:rPr>
            </w:pPr>
            <w:bookmarkStart w:id="41" w:name="lt_pId031"/>
            <w:r w:rsidRPr="000B002B">
              <w:rPr>
                <w:lang w:val="fr-CH"/>
              </w:rPr>
              <w:t>Rayonnements non désirés dans le domaine des rayonnements non essentiels</w:t>
            </w:r>
            <w:bookmarkEnd w:id="41"/>
          </w:p>
        </w:tc>
        <w:tc>
          <w:tcPr>
            <w:tcW w:w="1362" w:type="dxa"/>
          </w:tcPr>
          <w:p w:rsidR="00973141" w:rsidRPr="00C01667" w:rsidRDefault="00223801" w:rsidP="00F40F9D">
            <w:pPr>
              <w:pStyle w:val="Tabletext"/>
              <w:jc w:val="center"/>
              <w:rPr>
                <w:lang w:val="en-US"/>
              </w:rPr>
            </w:pPr>
            <w:bookmarkStart w:id="42" w:name="lt_pId032"/>
            <w:r w:rsidRPr="000B002B">
              <w:rPr>
                <w:lang w:val="en-US"/>
              </w:rPr>
              <w:t>NOC</w:t>
            </w:r>
            <w:bookmarkEnd w:id="42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822BEE" w:rsidP="00F40F9D">
            <w:pPr>
              <w:pStyle w:val="Tabletext"/>
              <w:jc w:val="center"/>
              <w:rPr>
                <w:b/>
              </w:rPr>
            </w:pPr>
            <w:bookmarkStart w:id="43" w:name="lt_pId033"/>
            <w:r w:rsidRPr="000B002B">
              <w:rPr>
                <w:b/>
              </w:rPr>
              <w:t>SM.331-4</w:t>
            </w:r>
            <w:bookmarkEnd w:id="43"/>
          </w:p>
        </w:tc>
        <w:tc>
          <w:tcPr>
            <w:tcW w:w="5164" w:type="dxa"/>
          </w:tcPr>
          <w:p w:rsidR="00973141" w:rsidRPr="000C2C22" w:rsidRDefault="003131DC" w:rsidP="00F40F9D">
            <w:pPr>
              <w:pStyle w:val="Tabletext"/>
              <w:rPr>
                <w:lang w:val="fr-CH"/>
              </w:rPr>
            </w:pPr>
            <w:bookmarkStart w:id="44" w:name="lt_pId034"/>
            <w:r w:rsidRPr="000B002B">
              <w:rPr>
                <w:lang w:val="fr-CH"/>
              </w:rPr>
              <w:t>Bruit de fond et sensibilité des récepteurs</w:t>
            </w:r>
            <w:bookmarkEnd w:id="44"/>
          </w:p>
        </w:tc>
        <w:tc>
          <w:tcPr>
            <w:tcW w:w="1362" w:type="dxa"/>
          </w:tcPr>
          <w:p w:rsidR="00973141" w:rsidRPr="00C01667" w:rsidRDefault="000C2C22" w:rsidP="00F40F9D">
            <w:pPr>
              <w:pStyle w:val="Tabletext"/>
              <w:jc w:val="center"/>
            </w:pPr>
            <w:bookmarkStart w:id="45" w:name="lt_pId035"/>
            <w:r w:rsidRPr="000B002B">
              <w:t>NOC</w:t>
            </w:r>
            <w:bookmarkEnd w:id="45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790DFF" w:rsidRDefault="004E2FDF" w:rsidP="00F40F9D">
            <w:pPr>
              <w:pStyle w:val="Tabletext"/>
              <w:jc w:val="center"/>
              <w:rPr>
                <w:b/>
                <w:lang w:val="fr-CH"/>
              </w:rPr>
            </w:pPr>
            <w:bookmarkStart w:id="46" w:name="lt_pId036"/>
            <w:r w:rsidRPr="000B002B">
              <w:rPr>
                <w:b/>
                <w:lang w:val="en-US"/>
              </w:rPr>
              <w:t>SM.332-4</w:t>
            </w:r>
            <w:bookmarkEnd w:id="46"/>
          </w:p>
        </w:tc>
        <w:tc>
          <w:tcPr>
            <w:tcW w:w="5164" w:type="dxa"/>
          </w:tcPr>
          <w:p w:rsidR="00973141" w:rsidRPr="00C01667" w:rsidRDefault="00F31A82" w:rsidP="00F40F9D">
            <w:pPr>
              <w:pStyle w:val="Tabletext"/>
              <w:rPr>
                <w:lang w:val="en-US"/>
              </w:rPr>
            </w:pPr>
            <w:bookmarkStart w:id="47" w:name="lt_pId037"/>
            <w:r w:rsidRPr="00790DFF">
              <w:rPr>
                <w:lang w:val="fr-CH"/>
              </w:rPr>
              <w:t>Sélectivité</w:t>
            </w:r>
            <w:r w:rsidRPr="000B002B">
              <w:rPr>
                <w:lang w:val="en-US"/>
              </w:rPr>
              <w:t xml:space="preserve"> des</w:t>
            </w:r>
            <w:r w:rsidRPr="00790DFF">
              <w:rPr>
                <w:lang w:val="fr-CH"/>
              </w:rPr>
              <w:t xml:space="preserve"> récepteurs</w:t>
            </w:r>
            <w:bookmarkEnd w:id="47"/>
          </w:p>
        </w:tc>
        <w:tc>
          <w:tcPr>
            <w:tcW w:w="1362" w:type="dxa"/>
          </w:tcPr>
          <w:p w:rsidR="00973141" w:rsidRPr="00C01667" w:rsidRDefault="0081257E" w:rsidP="00F40F9D">
            <w:pPr>
              <w:pStyle w:val="Tabletext"/>
              <w:jc w:val="center"/>
              <w:rPr>
                <w:lang w:val="en-US"/>
              </w:rPr>
            </w:pPr>
            <w:bookmarkStart w:id="48" w:name="lt_pId038"/>
            <w:r w:rsidRPr="000B002B">
              <w:rPr>
                <w:lang w:val="en-US"/>
              </w:rPr>
              <w:t>NOC</w:t>
            </w:r>
            <w:bookmarkEnd w:id="48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9800BB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49" w:name="lt_pId039"/>
            <w:r w:rsidRPr="000B002B">
              <w:rPr>
                <w:b/>
                <w:lang w:val="en-US"/>
              </w:rPr>
              <w:t>SM.337-6</w:t>
            </w:r>
            <w:bookmarkEnd w:id="49"/>
          </w:p>
        </w:tc>
        <w:tc>
          <w:tcPr>
            <w:tcW w:w="5164" w:type="dxa"/>
          </w:tcPr>
          <w:p w:rsidR="00973141" w:rsidRPr="00E9197E" w:rsidRDefault="00386CD0" w:rsidP="00F40F9D">
            <w:pPr>
              <w:pStyle w:val="Tabletext"/>
              <w:rPr>
                <w:lang w:val="fr-CH"/>
              </w:rPr>
            </w:pPr>
            <w:bookmarkStart w:id="50" w:name="lt_pId040"/>
            <w:r w:rsidRPr="000B002B">
              <w:rPr>
                <w:lang w:val="fr-CH"/>
              </w:rPr>
              <w:t>Séparations en fréquence et en distance</w:t>
            </w:r>
            <w:bookmarkEnd w:id="50"/>
          </w:p>
        </w:tc>
        <w:tc>
          <w:tcPr>
            <w:tcW w:w="1362" w:type="dxa"/>
          </w:tcPr>
          <w:p w:rsidR="00973141" w:rsidRPr="00C01667" w:rsidRDefault="00E9197E" w:rsidP="00F40F9D">
            <w:pPr>
              <w:pStyle w:val="Tabletext"/>
              <w:jc w:val="center"/>
              <w:rPr>
                <w:lang w:val="en-US"/>
              </w:rPr>
            </w:pPr>
            <w:bookmarkStart w:id="51" w:name="lt_pId041"/>
            <w:r w:rsidRPr="000B002B">
              <w:rPr>
                <w:lang w:val="en-US"/>
              </w:rPr>
              <w:t>NOC</w:t>
            </w:r>
            <w:bookmarkEnd w:id="51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3F325A" w:rsidP="00F40F9D">
            <w:pPr>
              <w:pStyle w:val="Tabletext"/>
              <w:jc w:val="center"/>
              <w:rPr>
                <w:b/>
              </w:rPr>
            </w:pPr>
            <w:bookmarkStart w:id="52" w:name="lt_pId042"/>
            <w:r w:rsidRPr="000B002B">
              <w:rPr>
                <w:b/>
              </w:rPr>
              <w:t>SM.377-4</w:t>
            </w:r>
            <w:bookmarkEnd w:id="52"/>
          </w:p>
        </w:tc>
        <w:tc>
          <w:tcPr>
            <w:tcW w:w="5164" w:type="dxa"/>
          </w:tcPr>
          <w:p w:rsidR="00973141" w:rsidRPr="006D68BD" w:rsidRDefault="006D68BD" w:rsidP="00F40F9D">
            <w:pPr>
              <w:pStyle w:val="Tabletext"/>
              <w:rPr>
                <w:lang w:val="fr-CH"/>
              </w:rPr>
            </w:pPr>
            <w:bookmarkStart w:id="53" w:name="lt_pId043"/>
            <w:r w:rsidRPr="000B002B">
              <w:rPr>
                <w:lang w:val="fr-CH"/>
              </w:rPr>
              <w:t>Précision des mesures de fréquence dans les stations pour le contrôle international des émissions</w:t>
            </w:r>
            <w:bookmarkEnd w:id="53"/>
          </w:p>
        </w:tc>
        <w:tc>
          <w:tcPr>
            <w:tcW w:w="1362" w:type="dxa"/>
          </w:tcPr>
          <w:p w:rsidR="00973141" w:rsidRPr="00C01667" w:rsidRDefault="0046720D" w:rsidP="00F40F9D">
            <w:pPr>
              <w:pStyle w:val="Tabletext"/>
              <w:jc w:val="center"/>
            </w:pPr>
            <w:bookmarkStart w:id="54" w:name="lt_pId044"/>
            <w:r w:rsidRPr="000B002B">
              <w:rPr>
                <w:lang w:val="en-US"/>
              </w:rPr>
              <w:t>NOC</w:t>
            </w:r>
            <w:bookmarkEnd w:id="54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5C43BE" w:rsidP="00F40F9D">
            <w:pPr>
              <w:pStyle w:val="Tabletext"/>
              <w:jc w:val="center"/>
              <w:rPr>
                <w:b/>
              </w:rPr>
            </w:pPr>
            <w:bookmarkStart w:id="55" w:name="lt_pId045"/>
            <w:r w:rsidRPr="000B002B">
              <w:rPr>
                <w:b/>
              </w:rPr>
              <w:t>SM.378-7</w:t>
            </w:r>
            <w:bookmarkEnd w:id="55"/>
          </w:p>
        </w:tc>
        <w:tc>
          <w:tcPr>
            <w:tcW w:w="5164" w:type="dxa"/>
          </w:tcPr>
          <w:p w:rsidR="00973141" w:rsidRPr="00D62F62" w:rsidRDefault="00E60665" w:rsidP="00F40F9D">
            <w:pPr>
              <w:pStyle w:val="Tabletext"/>
              <w:rPr>
                <w:lang w:val="fr-CH"/>
              </w:rPr>
            </w:pPr>
            <w:bookmarkStart w:id="56" w:name="lt_pId046"/>
            <w:r w:rsidRPr="000B002B">
              <w:rPr>
                <w:lang w:val="fr-CH"/>
              </w:rPr>
              <w:t>Mesures de champ dans les stations de contrôle des émissions</w:t>
            </w:r>
            <w:bookmarkEnd w:id="56"/>
          </w:p>
        </w:tc>
        <w:tc>
          <w:tcPr>
            <w:tcW w:w="1362" w:type="dxa"/>
          </w:tcPr>
          <w:p w:rsidR="00973141" w:rsidRPr="00C01667" w:rsidRDefault="00D62F62" w:rsidP="00F40F9D">
            <w:pPr>
              <w:pStyle w:val="Tabletext"/>
              <w:jc w:val="center"/>
            </w:pPr>
            <w:bookmarkStart w:id="57" w:name="lt_pId047"/>
            <w:r w:rsidRPr="000B002B">
              <w:rPr>
                <w:lang w:val="en-US"/>
              </w:rPr>
              <w:t>NOC</w:t>
            </w:r>
            <w:bookmarkEnd w:id="57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C306A2" w:rsidP="00F40F9D">
            <w:pPr>
              <w:pStyle w:val="Tabletext"/>
              <w:jc w:val="center"/>
              <w:rPr>
                <w:b/>
              </w:rPr>
            </w:pPr>
            <w:bookmarkStart w:id="58" w:name="lt_pId048"/>
            <w:r w:rsidRPr="000B002B">
              <w:rPr>
                <w:b/>
              </w:rPr>
              <w:t>SM.443-4</w:t>
            </w:r>
            <w:bookmarkEnd w:id="58"/>
          </w:p>
        </w:tc>
        <w:tc>
          <w:tcPr>
            <w:tcW w:w="5164" w:type="dxa"/>
          </w:tcPr>
          <w:p w:rsidR="00973141" w:rsidRPr="00CE50FC" w:rsidRDefault="00CE50FC" w:rsidP="00F40F9D">
            <w:pPr>
              <w:pStyle w:val="Tabletext"/>
              <w:rPr>
                <w:lang w:val="fr-CH"/>
              </w:rPr>
            </w:pPr>
            <w:bookmarkStart w:id="59" w:name="lt_pId049"/>
            <w:r w:rsidRPr="000B002B">
              <w:rPr>
                <w:lang w:val="fr-CH"/>
              </w:rPr>
              <w:t>Mesure de la largeur de bande dans les stations de contrôle des émissions</w:t>
            </w:r>
            <w:bookmarkEnd w:id="59"/>
          </w:p>
        </w:tc>
        <w:tc>
          <w:tcPr>
            <w:tcW w:w="1362" w:type="dxa"/>
          </w:tcPr>
          <w:p w:rsidR="00973141" w:rsidRPr="00C01667" w:rsidRDefault="00B24810" w:rsidP="00F40F9D">
            <w:pPr>
              <w:pStyle w:val="Tabletext"/>
              <w:jc w:val="center"/>
            </w:pPr>
            <w:bookmarkStart w:id="60" w:name="lt_pId050"/>
            <w:r w:rsidRPr="000B002B">
              <w:rPr>
                <w:lang w:val="en-US"/>
              </w:rPr>
              <w:t>NOC</w:t>
            </w:r>
            <w:bookmarkEnd w:id="60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8F0B8A">
            <w:pPr>
              <w:pStyle w:val="Tabletext"/>
              <w:jc w:val="center"/>
              <w:rPr>
                <w:b/>
              </w:rPr>
            </w:pPr>
            <w:bookmarkStart w:id="61" w:name="lt_pId051"/>
            <w:r w:rsidRPr="000B002B">
              <w:rPr>
                <w:b/>
              </w:rPr>
              <w:t>SM.575-2</w:t>
            </w:r>
            <w:bookmarkEnd w:id="61"/>
          </w:p>
        </w:tc>
        <w:tc>
          <w:tcPr>
            <w:tcW w:w="5164" w:type="dxa"/>
          </w:tcPr>
          <w:p w:rsidR="00973141" w:rsidRPr="00B80786" w:rsidRDefault="00B80786">
            <w:pPr>
              <w:pStyle w:val="Tabletext"/>
              <w:rPr>
                <w:lang w:val="fr-CH"/>
              </w:rPr>
            </w:pPr>
            <w:bookmarkStart w:id="62" w:name="lt_pId052"/>
            <w:r w:rsidRPr="000B002B">
              <w:rPr>
                <w:lang w:val="fr-CH"/>
              </w:rPr>
              <w:t>Protection des stations fixes de contrôle des émissions contre les brouillages causés par des émetteurs voisins ou des émetteurs de forte puissance</w:t>
            </w:r>
            <w:bookmarkEnd w:id="62"/>
          </w:p>
        </w:tc>
        <w:tc>
          <w:tcPr>
            <w:tcW w:w="1362" w:type="dxa"/>
          </w:tcPr>
          <w:p w:rsidR="00973141" w:rsidRPr="00C01667" w:rsidRDefault="00341B0B" w:rsidP="00F40F9D">
            <w:pPr>
              <w:pStyle w:val="Tabletext"/>
              <w:jc w:val="center"/>
            </w:pPr>
            <w:bookmarkStart w:id="63" w:name="lt_pId053"/>
            <w:r w:rsidRPr="000B002B">
              <w:rPr>
                <w:lang w:val="en-US"/>
              </w:rPr>
              <w:t>NOC</w:t>
            </w:r>
            <w:bookmarkEnd w:id="63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E63DE4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64" w:name="lt_pId054"/>
            <w:r w:rsidRPr="000B002B">
              <w:rPr>
                <w:b/>
                <w:lang w:val="en-US"/>
              </w:rPr>
              <w:t>SM.668-1</w:t>
            </w:r>
            <w:bookmarkEnd w:id="64"/>
          </w:p>
        </w:tc>
        <w:tc>
          <w:tcPr>
            <w:tcW w:w="5164" w:type="dxa"/>
          </w:tcPr>
          <w:p w:rsidR="00973141" w:rsidRPr="004A1FDD" w:rsidRDefault="00CC3666" w:rsidP="00F40F9D">
            <w:pPr>
              <w:pStyle w:val="Tabletext"/>
              <w:rPr>
                <w:lang w:val="fr-CH"/>
              </w:rPr>
            </w:pPr>
            <w:bookmarkStart w:id="65" w:name="lt_pId055"/>
            <w:r w:rsidRPr="000B002B">
              <w:rPr>
                <w:lang w:val="fr-CH"/>
              </w:rPr>
              <w:t>Échange électronique d'informations pour la gestion du spectre</w:t>
            </w:r>
            <w:bookmarkEnd w:id="65"/>
          </w:p>
        </w:tc>
        <w:tc>
          <w:tcPr>
            <w:tcW w:w="1362" w:type="dxa"/>
          </w:tcPr>
          <w:p w:rsidR="00973141" w:rsidRPr="00C01667" w:rsidRDefault="004A1FDD" w:rsidP="00F40F9D">
            <w:pPr>
              <w:pStyle w:val="Tabletext"/>
              <w:jc w:val="center"/>
              <w:rPr>
                <w:lang w:val="en-US"/>
              </w:rPr>
            </w:pPr>
            <w:bookmarkStart w:id="66" w:name="lt_pId056"/>
            <w:r w:rsidRPr="000B002B">
              <w:t>NOC</w:t>
            </w:r>
            <w:bookmarkEnd w:id="66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261A2A" w:rsidP="00F40F9D">
            <w:pPr>
              <w:pStyle w:val="Tabletext"/>
              <w:jc w:val="center"/>
              <w:rPr>
                <w:b/>
              </w:rPr>
            </w:pPr>
            <w:bookmarkStart w:id="67" w:name="lt_pId057"/>
            <w:r w:rsidRPr="000B002B">
              <w:rPr>
                <w:b/>
              </w:rPr>
              <w:t>SM.851-1</w:t>
            </w:r>
            <w:bookmarkEnd w:id="67"/>
          </w:p>
        </w:tc>
        <w:tc>
          <w:tcPr>
            <w:tcW w:w="5164" w:type="dxa"/>
          </w:tcPr>
          <w:p w:rsidR="00973141" w:rsidRPr="008104FE" w:rsidRDefault="008104FE" w:rsidP="00F40F9D">
            <w:pPr>
              <w:pStyle w:val="Tabletext"/>
              <w:rPr>
                <w:lang w:val="fr-CH"/>
              </w:rPr>
            </w:pPr>
            <w:bookmarkStart w:id="68" w:name="lt_pId058"/>
            <w:r w:rsidRPr="000B002B">
              <w:rPr>
                <w:lang w:val="fr-CH"/>
              </w:rPr>
              <w:t>Partage entre le service de radiodiffusion et les services fixe et/ou mobile dans les bandes d'ondes métriques et décimétriques</w:t>
            </w:r>
            <w:bookmarkEnd w:id="68"/>
          </w:p>
        </w:tc>
        <w:tc>
          <w:tcPr>
            <w:tcW w:w="1362" w:type="dxa"/>
          </w:tcPr>
          <w:p w:rsidR="00973141" w:rsidRPr="00C01667" w:rsidRDefault="008D7162" w:rsidP="00F40F9D">
            <w:pPr>
              <w:pStyle w:val="Tabletext"/>
              <w:jc w:val="center"/>
            </w:pPr>
            <w:bookmarkStart w:id="69" w:name="lt_pId059"/>
            <w:r w:rsidRPr="000B002B">
              <w:rPr>
                <w:lang w:val="en-US"/>
              </w:rPr>
              <w:t>NOC</w:t>
            </w:r>
            <w:bookmarkEnd w:id="69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922CB2" w:rsidP="00F40F9D">
            <w:pPr>
              <w:pStyle w:val="Tabletext"/>
              <w:jc w:val="center"/>
              <w:rPr>
                <w:b/>
              </w:rPr>
            </w:pPr>
            <w:bookmarkStart w:id="70" w:name="lt_pId060"/>
            <w:r>
              <w:rPr>
                <w:b/>
              </w:rPr>
              <w:t>SM.852-0</w:t>
            </w:r>
            <w:bookmarkEnd w:id="70"/>
          </w:p>
        </w:tc>
        <w:tc>
          <w:tcPr>
            <w:tcW w:w="5164" w:type="dxa"/>
          </w:tcPr>
          <w:p w:rsidR="00973141" w:rsidRPr="00FA30A7" w:rsidRDefault="00E44B21" w:rsidP="00F40F9D">
            <w:pPr>
              <w:pStyle w:val="Tabletext"/>
              <w:rPr>
                <w:lang w:val="fr-CH"/>
              </w:rPr>
            </w:pPr>
            <w:bookmarkStart w:id="71" w:name="lt_pId061"/>
            <w:r w:rsidRPr="000B002B">
              <w:rPr>
                <w:lang w:val="fr-CH"/>
              </w:rPr>
              <w:t>Sensibilité des récepteurs pour les émissions de la classe F3E</w:t>
            </w:r>
            <w:bookmarkEnd w:id="71"/>
          </w:p>
        </w:tc>
        <w:tc>
          <w:tcPr>
            <w:tcW w:w="1362" w:type="dxa"/>
          </w:tcPr>
          <w:p w:rsidR="00973141" w:rsidRPr="00C01667" w:rsidRDefault="00FA30A7" w:rsidP="00F40F9D">
            <w:pPr>
              <w:pStyle w:val="Tabletext"/>
              <w:jc w:val="center"/>
            </w:pPr>
            <w:bookmarkStart w:id="72" w:name="lt_pId062"/>
            <w:r w:rsidRPr="000B002B">
              <w:t>NOC</w:t>
            </w:r>
            <w:bookmarkEnd w:id="72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790DFF" w:rsidRDefault="009F1330" w:rsidP="00F40F9D">
            <w:pPr>
              <w:pStyle w:val="Tabletext"/>
              <w:jc w:val="center"/>
              <w:rPr>
                <w:b/>
                <w:lang w:val="fr-CH"/>
              </w:rPr>
            </w:pPr>
            <w:bookmarkStart w:id="73" w:name="lt_pId063"/>
            <w:r w:rsidRPr="000B002B">
              <w:rPr>
                <w:b/>
                <w:lang w:val="en-US"/>
              </w:rPr>
              <w:t>SM.853-1</w:t>
            </w:r>
            <w:bookmarkEnd w:id="73"/>
          </w:p>
        </w:tc>
        <w:tc>
          <w:tcPr>
            <w:tcW w:w="5164" w:type="dxa"/>
          </w:tcPr>
          <w:p w:rsidR="00973141" w:rsidRPr="00C01667" w:rsidRDefault="00400A2D" w:rsidP="00F40F9D">
            <w:pPr>
              <w:pStyle w:val="Tabletext"/>
              <w:rPr>
                <w:lang w:val="en-US"/>
              </w:rPr>
            </w:pPr>
            <w:bookmarkStart w:id="74" w:name="lt_pId064"/>
            <w:r w:rsidRPr="00790DFF">
              <w:rPr>
                <w:lang w:val="fr-CH"/>
              </w:rPr>
              <w:t>Largeur</w:t>
            </w:r>
            <w:r w:rsidRPr="000B002B">
              <w:rPr>
                <w:lang w:val="en-US"/>
              </w:rPr>
              <w:t xml:space="preserve"> de</w:t>
            </w:r>
            <w:r w:rsidRPr="00790DFF">
              <w:rPr>
                <w:lang w:val="fr-CH"/>
              </w:rPr>
              <w:t xml:space="preserve"> bande nécessaire</w:t>
            </w:r>
            <w:bookmarkEnd w:id="74"/>
          </w:p>
        </w:tc>
        <w:tc>
          <w:tcPr>
            <w:tcW w:w="1362" w:type="dxa"/>
          </w:tcPr>
          <w:p w:rsidR="00973141" w:rsidRPr="00C01667" w:rsidRDefault="007443CB" w:rsidP="00F40F9D">
            <w:pPr>
              <w:pStyle w:val="Tabletext"/>
              <w:jc w:val="center"/>
              <w:rPr>
                <w:lang w:val="en-US"/>
              </w:rPr>
            </w:pPr>
            <w:bookmarkStart w:id="75" w:name="lt_pId065"/>
            <w:r w:rsidRPr="000B002B">
              <w:t>NOC</w:t>
            </w:r>
            <w:bookmarkEnd w:id="75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1209B1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76" w:name="lt_pId066"/>
            <w:r w:rsidRPr="000B002B">
              <w:rPr>
                <w:b/>
                <w:lang w:val="en-US"/>
              </w:rPr>
              <w:t>SM.854-3</w:t>
            </w:r>
            <w:bookmarkEnd w:id="76"/>
          </w:p>
        </w:tc>
        <w:tc>
          <w:tcPr>
            <w:tcW w:w="5164" w:type="dxa"/>
          </w:tcPr>
          <w:p w:rsidR="00973141" w:rsidRPr="0015206E" w:rsidRDefault="0015206E" w:rsidP="00F40F9D">
            <w:pPr>
              <w:pStyle w:val="Tabletext"/>
              <w:rPr>
                <w:lang w:val="fr-CH"/>
              </w:rPr>
            </w:pPr>
            <w:bookmarkStart w:id="77" w:name="lt_pId067"/>
            <w:r w:rsidRPr="000B002B">
              <w:rPr>
                <w:lang w:val="fr-CH"/>
              </w:rPr>
              <w:t>Radiogoniométrie et détermination de la localisation dans les stations de contrôle</w:t>
            </w:r>
            <w:bookmarkEnd w:id="77"/>
          </w:p>
        </w:tc>
        <w:tc>
          <w:tcPr>
            <w:tcW w:w="1362" w:type="dxa"/>
          </w:tcPr>
          <w:p w:rsidR="00973141" w:rsidRPr="00C01667" w:rsidRDefault="00F477FF" w:rsidP="00F40F9D">
            <w:pPr>
              <w:pStyle w:val="Tabletext"/>
              <w:jc w:val="center"/>
              <w:rPr>
                <w:lang w:val="en-US"/>
              </w:rPr>
            </w:pPr>
            <w:bookmarkStart w:id="78" w:name="lt_pId068"/>
            <w:r w:rsidRPr="000B002B">
              <w:rPr>
                <w:lang w:val="en-US"/>
              </w:rPr>
              <w:t>NOC</w:t>
            </w:r>
            <w:bookmarkEnd w:id="78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9861E2" w:rsidP="00F40F9D">
            <w:pPr>
              <w:pStyle w:val="Tabletext"/>
              <w:jc w:val="center"/>
              <w:rPr>
                <w:b/>
              </w:rPr>
            </w:pPr>
            <w:bookmarkStart w:id="79" w:name="lt_pId069"/>
            <w:r w:rsidRPr="000B002B">
              <w:rPr>
                <w:b/>
              </w:rPr>
              <w:t>SM.855-1</w:t>
            </w:r>
            <w:bookmarkEnd w:id="79"/>
          </w:p>
        </w:tc>
        <w:tc>
          <w:tcPr>
            <w:tcW w:w="5164" w:type="dxa"/>
          </w:tcPr>
          <w:p w:rsidR="00973141" w:rsidRPr="0043670D" w:rsidRDefault="00BC252E" w:rsidP="00F40F9D">
            <w:pPr>
              <w:pStyle w:val="Tabletext"/>
              <w:rPr>
                <w:lang w:val="fr-CH"/>
              </w:rPr>
            </w:pPr>
            <w:bookmarkStart w:id="80" w:name="lt_pId070"/>
            <w:r w:rsidRPr="000B002B">
              <w:rPr>
                <w:lang w:val="fr-CH"/>
              </w:rPr>
              <w:t>Systèmes de télécommunication à services multiples</w:t>
            </w:r>
            <w:bookmarkEnd w:id="80"/>
          </w:p>
        </w:tc>
        <w:tc>
          <w:tcPr>
            <w:tcW w:w="1362" w:type="dxa"/>
          </w:tcPr>
          <w:p w:rsidR="00973141" w:rsidRPr="00C01667" w:rsidRDefault="0043670D" w:rsidP="00F40F9D">
            <w:pPr>
              <w:pStyle w:val="Tabletext"/>
              <w:jc w:val="center"/>
            </w:pPr>
            <w:bookmarkStart w:id="81" w:name="lt_pId071"/>
            <w:r w:rsidRPr="000B002B">
              <w:rPr>
                <w:lang w:val="en-US"/>
              </w:rPr>
              <w:t>NOC</w:t>
            </w:r>
            <w:bookmarkEnd w:id="81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8A0D91" w:rsidP="00F40F9D">
            <w:pPr>
              <w:pStyle w:val="Tabletext"/>
              <w:jc w:val="center"/>
              <w:rPr>
                <w:b/>
              </w:rPr>
            </w:pPr>
            <w:bookmarkStart w:id="82" w:name="lt_pId072"/>
            <w:r w:rsidRPr="000B002B">
              <w:rPr>
                <w:b/>
              </w:rPr>
              <w:t>SM.856-1</w:t>
            </w:r>
            <w:bookmarkEnd w:id="82"/>
          </w:p>
        </w:tc>
        <w:tc>
          <w:tcPr>
            <w:tcW w:w="5164" w:type="dxa"/>
          </w:tcPr>
          <w:p w:rsidR="00973141" w:rsidRPr="008326E6" w:rsidRDefault="00BD558D" w:rsidP="00F40F9D">
            <w:pPr>
              <w:pStyle w:val="Tabletext"/>
              <w:rPr>
                <w:lang w:val="fr-CH"/>
              </w:rPr>
            </w:pPr>
            <w:bookmarkStart w:id="83" w:name="lt_pId073"/>
            <w:r w:rsidRPr="000B002B">
              <w:rPr>
                <w:lang w:val="fr-CH"/>
              </w:rPr>
              <w:t>Nouvelles techniques et nouveaux systèmes économes de spectre</w:t>
            </w:r>
            <w:bookmarkEnd w:id="83"/>
          </w:p>
        </w:tc>
        <w:tc>
          <w:tcPr>
            <w:tcW w:w="1362" w:type="dxa"/>
          </w:tcPr>
          <w:p w:rsidR="00973141" w:rsidRPr="00C01667" w:rsidRDefault="008326E6" w:rsidP="00F40F9D">
            <w:pPr>
              <w:pStyle w:val="Tabletext"/>
              <w:jc w:val="center"/>
            </w:pPr>
            <w:bookmarkStart w:id="84" w:name="lt_pId074"/>
            <w:r w:rsidRPr="000B002B">
              <w:rPr>
                <w:lang w:val="en-US"/>
              </w:rPr>
              <w:t>NOC</w:t>
            </w:r>
            <w:bookmarkEnd w:id="84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F554D8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85" w:name="lt_pId075"/>
            <w:r w:rsidRPr="000B002B">
              <w:rPr>
                <w:b/>
                <w:lang w:val="en-US"/>
              </w:rPr>
              <w:t>SM.1009-1</w:t>
            </w:r>
            <w:bookmarkEnd w:id="85"/>
          </w:p>
        </w:tc>
        <w:tc>
          <w:tcPr>
            <w:tcW w:w="5164" w:type="dxa"/>
          </w:tcPr>
          <w:p w:rsidR="00973141" w:rsidRPr="00FE0694" w:rsidRDefault="00FE0694" w:rsidP="00F40F9D">
            <w:pPr>
              <w:pStyle w:val="Tabletext"/>
              <w:rPr>
                <w:lang w:val="fr-CH"/>
              </w:rPr>
            </w:pPr>
            <w:bookmarkStart w:id="86" w:name="lt_pId076"/>
            <w:r w:rsidRPr="000B002B">
              <w:rPr>
                <w:lang w:val="fr-CH"/>
              </w:rPr>
              <w:t>Compatibilité entre le service de radiodiffusion sonore dans la bande d'environ 87-108 MHz et les services aéronautiques dans la bande 108-137 MHz</w:t>
            </w:r>
            <w:bookmarkEnd w:id="86"/>
          </w:p>
        </w:tc>
        <w:tc>
          <w:tcPr>
            <w:tcW w:w="1362" w:type="dxa"/>
          </w:tcPr>
          <w:p w:rsidR="00973141" w:rsidRPr="00C01667" w:rsidRDefault="008E7EED" w:rsidP="00F40F9D">
            <w:pPr>
              <w:pStyle w:val="Tabletext"/>
              <w:jc w:val="center"/>
              <w:rPr>
                <w:lang w:val="en-US"/>
              </w:rPr>
            </w:pPr>
            <w:bookmarkStart w:id="87" w:name="lt_pId077"/>
            <w:r w:rsidRPr="000B002B">
              <w:rPr>
                <w:lang w:val="en-US"/>
              </w:rPr>
              <w:t>NOC</w:t>
            </w:r>
            <w:bookmarkEnd w:id="87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EE6E60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88" w:name="lt_pId078"/>
            <w:r w:rsidRPr="000B002B">
              <w:rPr>
                <w:b/>
                <w:lang w:val="en-US"/>
              </w:rPr>
              <w:t>SM.1045-1</w:t>
            </w:r>
            <w:bookmarkEnd w:id="88"/>
          </w:p>
        </w:tc>
        <w:tc>
          <w:tcPr>
            <w:tcW w:w="5164" w:type="dxa"/>
          </w:tcPr>
          <w:p w:rsidR="00973141" w:rsidRPr="00C804F9" w:rsidRDefault="0077665E" w:rsidP="00F40F9D">
            <w:pPr>
              <w:pStyle w:val="Tabletext"/>
              <w:rPr>
                <w:lang w:val="fr-CH"/>
              </w:rPr>
            </w:pPr>
            <w:bookmarkStart w:id="89" w:name="lt_pId079"/>
            <w:r w:rsidRPr="000B002B">
              <w:rPr>
                <w:lang w:val="fr-CH"/>
              </w:rPr>
              <w:t>Tolérance en fréquence des émetteurs</w:t>
            </w:r>
            <w:bookmarkEnd w:id="89"/>
          </w:p>
        </w:tc>
        <w:tc>
          <w:tcPr>
            <w:tcW w:w="1362" w:type="dxa"/>
          </w:tcPr>
          <w:p w:rsidR="00973141" w:rsidRPr="00C01667" w:rsidRDefault="00C804F9" w:rsidP="00F40F9D">
            <w:pPr>
              <w:pStyle w:val="Tabletext"/>
              <w:jc w:val="center"/>
              <w:rPr>
                <w:lang w:val="en-US"/>
              </w:rPr>
            </w:pPr>
            <w:bookmarkStart w:id="90" w:name="lt_pId080"/>
            <w:r w:rsidRPr="000B002B">
              <w:rPr>
                <w:lang w:val="en-US"/>
              </w:rPr>
              <w:t>NOC</w:t>
            </w:r>
            <w:bookmarkEnd w:id="90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D242CC" w:rsidP="00F40F9D">
            <w:pPr>
              <w:pStyle w:val="Tabletext"/>
              <w:jc w:val="center"/>
              <w:rPr>
                <w:b/>
              </w:rPr>
            </w:pPr>
            <w:bookmarkStart w:id="91" w:name="lt_pId081"/>
            <w:r w:rsidRPr="000B002B">
              <w:rPr>
                <w:b/>
              </w:rPr>
              <w:t>SM.1046-2</w:t>
            </w:r>
            <w:bookmarkEnd w:id="91"/>
          </w:p>
        </w:tc>
        <w:tc>
          <w:tcPr>
            <w:tcW w:w="5164" w:type="dxa"/>
          </w:tcPr>
          <w:p w:rsidR="00973141" w:rsidRPr="00094FF5" w:rsidRDefault="00094FF5" w:rsidP="00F40F9D">
            <w:pPr>
              <w:pStyle w:val="Tabletext"/>
              <w:rPr>
                <w:lang w:val="fr-CH"/>
              </w:rPr>
            </w:pPr>
            <w:bookmarkStart w:id="92" w:name="lt_pId082"/>
            <w:r w:rsidRPr="000B002B">
              <w:rPr>
                <w:lang w:val="fr-CH"/>
              </w:rPr>
              <w:t>Définitions du facteur d'utilisation du spectre et de l'efficacité d'utilisation du spectre d'un système radioélectrique</w:t>
            </w:r>
            <w:bookmarkEnd w:id="92"/>
          </w:p>
        </w:tc>
        <w:tc>
          <w:tcPr>
            <w:tcW w:w="1362" w:type="dxa"/>
          </w:tcPr>
          <w:p w:rsidR="00973141" w:rsidRPr="00C01667" w:rsidRDefault="00355854" w:rsidP="00F40F9D">
            <w:pPr>
              <w:pStyle w:val="Tabletext"/>
              <w:jc w:val="center"/>
            </w:pPr>
            <w:bookmarkStart w:id="93" w:name="lt_pId083"/>
            <w:r w:rsidRPr="000B002B">
              <w:rPr>
                <w:lang w:val="en-US"/>
              </w:rPr>
              <w:t>NOC</w:t>
            </w:r>
            <w:bookmarkEnd w:id="93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790DFF" w:rsidRDefault="00491031">
            <w:pPr>
              <w:pStyle w:val="Tabletext"/>
              <w:jc w:val="center"/>
              <w:rPr>
                <w:b/>
                <w:lang w:val="fr-CH"/>
              </w:rPr>
            </w:pPr>
            <w:bookmarkStart w:id="94" w:name="lt_pId084"/>
            <w:r w:rsidRPr="000B002B">
              <w:rPr>
                <w:b/>
                <w:lang w:val="en-US"/>
              </w:rPr>
              <w:t>SM.1047-2</w:t>
            </w:r>
            <w:bookmarkEnd w:id="94"/>
          </w:p>
        </w:tc>
        <w:tc>
          <w:tcPr>
            <w:tcW w:w="5164" w:type="dxa"/>
          </w:tcPr>
          <w:p w:rsidR="00973141" w:rsidRPr="00C01667" w:rsidRDefault="00A44E44" w:rsidP="00F40F9D">
            <w:pPr>
              <w:pStyle w:val="Tabletext"/>
              <w:rPr>
                <w:lang w:val="en-US"/>
              </w:rPr>
            </w:pPr>
            <w:bookmarkStart w:id="95" w:name="lt_pId085"/>
            <w:r w:rsidRPr="00790DFF">
              <w:rPr>
                <w:lang w:val="fr-CH"/>
              </w:rPr>
              <w:t>Gestion nationale</w:t>
            </w:r>
            <w:r w:rsidRPr="000B002B">
              <w:rPr>
                <w:lang w:val="en-US"/>
              </w:rPr>
              <w:t xml:space="preserve"> du</w:t>
            </w:r>
            <w:r w:rsidRPr="00790DFF">
              <w:rPr>
                <w:lang w:val="fr-CH"/>
              </w:rPr>
              <w:t xml:space="preserve"> spectre</w:t>
            </w:r>
            <w:bookmarkEnd w:id="95"/>
          </w:p>
        </w:tc>
        <w:tc>
          <w:tcPr>
            <w:tcW w:w="1362" w:type="dxa"/>
          </w:tcPr>
          <w:p w:rsidR="00973141" w:rsidRPr="00C01667" w:rsidRDefault="00D37BCB" w:rsidP="00F40F9D">
            <w:pPr>
              <w:pStyle w:val="Tabletext"/>
              <w:jc w:val="center"/>
              <w:rPr>
                <w:lang w:val="en-US"/>
              </w:rPr>
            </w:pPr>
            <w:bookmarkStart w:id="96" w:name="lt_pId086"/>
            <w:r w:rsidRPr="000B002B">
              <w:t>NOC</w:t>
            </w:r>
            <w:bookmarkEnd w:id="96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  <w:trHeight w:val="527"/>
        </w:trPr>
        <w:tc>
          <w:tcPr>
            <w:tcW w:w="1631" w:type="dxa"/>
          </w:tcPr>
          <w:p w:rsidR="00973141" w:rsidRPr="00945E93" w:rsidRDefault="00073BEF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97" w:name="lt_pId087"/>
            <w:r w:rsidRPr="000B002B">
              <w:rPr>
                <w:b/>
                <w:lang w:val="en-US"/>
              </w:rPr>
              <w:t>SM.1049-1</w:t>
            </w:r>
            <w:bookmarkEnd w:id="97"/>
          </w:p>
        </w:tc>
        <w:tc>
          <w:tcPr>
            <w:tcW w:w="5164" w:type="dxa"/>
          </w:tcPr>
          <w:p w:rsidR="00973141" w:rsidRPr="003F2C19" w:rsidRDefault="00C25FD1" w:rsidP="00F40F9D">
            <w:pPr>
              <w:pStyle w:val="Tabletext"/>
              <w:rPr>
                <w:lang w:val="fr-CH"/>
              </w:rPr>
            </w:pPr>
            <w:bookmarkStart w:id="98" w:name="lt_pId088"/>
            <w:r w:rsidRPr="000B002B">
              <w:rPr>
                <w:lang w:val="fr-CH"/>
              </w:rPr>
              <w:t>Méthode de gestion du spectre à utiliser pour faciliter le processus d'assignation de fréquence aux services de Terre dans les zones frontalières</w:t>
            </w:r>
            <w:bookmarkEnd w:id="98"/>
          </w:p>
        </w:tc>
        <w:tc>
          <w:tcPr>
            <w:tcW w:w="1362" w:type="dxa"/>
          </w:tcPr>
          <w:p w:rsidR="00973141" w:rsidRPr="00C01667" w:rsidRDefault="003F2C19" w:rsidP="00F40F9D">
            <w:pPr>
              <w:pStyle w:val="Tabletext"/>
              <w:jc w:val="center"/>
              <w:rPr>
                <w:lang w:val="en-US"/>
              </w:rPr>
            </w:pPr>
            <w:bookmarkStart w:id="99" w:name="lt_pId089"/>
            <w:r w:rsidRPr="000B002B">
              <w:rPr>
                <w:lang w:val="en-US"/>
              </w:rPr>
              <w:t>NOC</w:t>
            </w:r>
            <w:bookmarkEnd w:id="99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3F0513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00" w:name="lt_pId090"/>
            <w:r w:rsidRPr="000B002B">
              <w:rPr>
                <w:b/>
                <w:lang w:val="en-US"/>
              </w:rPr>
              <w:t>SM.1050-2</w:t>
            </w:r>
            <w:bookmarkEnd w:id="100"/>
          </w:p>
        </w:tc>
        <w:tc>
          <w:tcPr>
            <w:tcW w:w="5164" w:type="dxa"/>
          </w:tcPr>
          <w:p w:rsidR="00973141" w:rsidRPr="00E96F15" w:rsidRDefault="00B36A2C" w:rsidP="00F40F9D">
            <w:pPr>
              <w:pStyle w:val="Tabletext"/>
              <w:rPr>
                <w:lang w:val="fr-CH"/>
              </w:rPr>
            </w:pPr>
            <w:bookmarkStart w:id="101" w:name="lt_pId091"/>
            <w:r w:rsidRPr="000B002B">
              <w:rPr>
                <w:lang w:val="fr-CH"/>
              </w:rPr>
              <w:t>Missions confiées à un service de contrôle des émissions</w:t>
            </w:r>
            <w:bookmarkEnd w:id="101"/>
          </w:p>
        </w:tc>
        <w:tc>
          <w:tcPr>
            <w:tcW w:w="1362" w:type="dxa"/>
          </w:tcPr>
          <w:p w:rsidR="00973141" w:rsidRPr="00C01667" w:rsidRDefault="00E96F15" w:rsidP="00F40F9D">
            <w:pPr>
              <w:pStyle w:val="Tabletext"/>
              <w:jc w:val="center"/>
              <w:rPr>
                <w:lang w:val="en-US"/>
              </w:rPr>
            </w:pPr>
            <w:bookmarkStart w:id="102" w:name="lt_pId092"/>
            <w:r w:rsidRPr="000B002B">
              <w:rPr>
                <w:lang w:val="en-US"/>
              </w:rPr>
              <w:t>NOC</w:t>
            </w:r>
            <w:bookmarkEnd w:id="102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5027D6">
            <w:pPr>
              <w:pStyle w:val="Tabletext"/>
              <w:jc w:val="center"/>
              <w:rPr>
                <w:b/>
                <w:lang w:val="en-US"/>
              </w:rPr>
            </w:pPr>
            <w:bookmarkStart w:id="103" w:name="lt_pId093"/>
            <w:r w:rsidRPr="000B002B">
              <w:rPr>
                <w:b/>
                <w:lang w:val="en-US"/>
              </w:rPr>
              <w:t>SM.1051-3</w:t>
            </w:r>
            <w:bookmarkEnd w:id="103"/>
          </w:p>
        </w:tc>
        <w:tc>
          <w:tcPr>
            <w:tcW w:w="5164" w:type="dxa"/>
          </w:tcPr>
          <w:p w:rsidR="00973141" w:rsidRPr="003F0C9D" w:rsidRDefault="003F0C9D" w:rsidP="00F40F9D">
            <w:pPr>
              <w:pStyle w:val="Tabletext"/>
              <w:rPr>
                <w:lang w:val="fr-CH"/>
              </w:rPr>
            </w:pPr>
            <w:bookmarkStart w:id="104" w:name="lt_pId094"/>
            <w:r w:rsidRPr="000B002B">
              <w:rPr>
                <w:lang w:val="fr-CH"/>
              </w:rPr>
              <w:t>Priorité accordée à l'identification et à la suppression des brouillages préjudiciables dans la bande 406-406,1 MHz</w:t>
            </w:r>
            <w:bookmarkEnd w:id="104"/>
          </w:p>
        </w:tc>
        <w:tc>
          <w:tcPr>
            <w:tcW w:w="1362" w:type="dxa"/>
          </w:tcPr>
          <w:p w:rsidR="00973141" w:rsidRPr="00C01667" w:rsidRDefault="0031055E" w:rsidP="00F40F9D">
            <w:pPr>
              <w:pStyle w:val="Tabletext"/>
              <w:jc w:val="center"/>
              <w:rPr>
                <w:lang w:val="en-US"/>
              </w:rPr>
            </w:pPr>
            <w:bookmarkStart w:id="105" w:name="lt_pId095"/>
            <w:r w:rsidRPr="000B002B">
              <w:rPr>
                <w:lang w:val="en-US"/>
              </w:rPr>
              <w:t>NOC</w:t>
            </w:r>
            <w:bookmarkEnd w:id="105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8B31F7" w:rsidP="00F40F9D">
            <w:pPr>
              <w:pStyle w:val="Tabletext"/>
              <w:jc w:val="center"/>
              <w:rPr>
                <w:b/>
              </w:rPr>
            </w:pPr>
            <w:bookmarkStart w:id="106" w:name="lt_pId096"/>
            <w:r>
              <w:rPr>
                <w:b/>
              </w:rPr>
              <w:t>SM.1054-0</w:t>
            </w:r>
            <w:bookmarkEnd w:id="106"/>
          </w:p>
        </w:tc>
        <w:tc>
          <w:tcPr>
            <w:tcW w:w="5164" w:type="dxa"/>
          </w:tcPr>
          <w:p w:rsidR="00973141" w:rsidRPr="00905885" w:rsidRDefault="00905885" w:rsidP="00F40F9D">
            <w:pPr>
              <w:pStyle w:val="Tabletext"/>
              <w:rPr>
                <w:lang w:val="fr-CH"/>
              </w:rPr>
            </w:pPr>
            <w:bookmarkStart w:id="107" w:name="lt_pId097"/>
            <w:r w:rsidRPr="000B002B">
              <w:rPr>
                <w:lang w:val="fr-CH"/>
              </w:rPr>
              <w:t>Contrôle des émissions radioélectriques en provenance d'engins spatiaux par des stations de contrôle des émissions</w:t>
            </w:r>
            <w:bookmarkEnd w:id="107"/>
          </w:p>
        </w:tc>
        <w:tc>
          <w:tcPr>
            <w:tcW w:w="1362" w:type="dxa"/>
          </w:tcPr>
          <w:p w:rsidR="00973141" w:rsidRPr="00C01667" w:rsidRDefault="00E778E4" w:rsidP="00F40F9D">
            <w:pPr>
              <w:pStyle w:val="Tabletext"/>
              <w:jc w:val="center"/>
            </w:pPr>
            <w:bookmarkStart w:id="108" w:name="lt_pId098"/>
            <w:r w:rsidRPr="000B002B">
              <w:rPr>
                <w:lang w:val="en-US"/>
              </w:rPr>
              <w:t>NOC</w:t>
            </w:r>
            <w:bookmarkEnd w:id="108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0B6891" w:rsidP="00F40F9D">
            <w:pPr>
              <w:pStyle w:val="Tabletext"/>
              <w:jc w:val="center"/>
              <w:rPr>
                <w:b/>
              </w:rPr>
            </w:pPr>
            <w:bookmarkStart w:id="109" w:name="lt_pId099"/>
            <w:r>
              <w:rPr>
                <w:b/>
              </w:rPr>
              <w:t>SM.1055-0</w:t>
            </w:r>
            <w:bookmarkEnd w:id="109"/>
          </w:p>
        </w:tc>
        <w:tc>
          <w:tcPr>
            <w:tcW w:w="5164" w:type="dxa"/>
          </w:tcPr>
          <w:p w:rsidR="00973141" w:rsidRPr="002F5D96" w:rsidRDefault="0038365B" w:rsidP="00F40F9D">
            <w:pPr>
              <w:pStyle w:val="Tabletext"/>
              <w:rPr>
                <w:lang w:val="fr-CH"/>
              </w:rPr>
            </w:pPr>
            <w:bookmarkStart w:id="110" w:name="lt_pId100"/>
            <w:r w:rsidRPr="000B002B">
              <w:rPr>
                <w:lang w:val="fr-CH"/>
              </w:rPr>
              <w:t>L'utilisation des techniques d'étalement du spectre</w:t>
            </w:r>
            <w:bookmarkEnd w:id="110"/>
          </w:p>
        </w:tc>
        <w:tc>
          <w:tcPr>
            <w:tcW w:w="1362" w:type="dxa"/>
          </w:tcPr>
          <w:p w:rsidR="00973141" w:rsidRPr="00C01667" w:rsidRDefault="002F5D96" w:rsidP="00F40F9D">
            <w:pPr>
              <w:pStyle w:val="Tabletext"/>
              <w:jc w:val="center"/>
            </w:pPr>
            <w:bookmarkStart w:id="111" w:name="lt_pId101"/>
            <w:r w:rsidRPr="000B002B">
              <w:rPr>
                <w:lang w:val="en-US"/>
              </w:rPr>
              <w:t>NOC</w:t>
            </w:r>
            <w:bookmarkEnd w:id="111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CA42E4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12" w:name="lt_pId102"/>
            <w:r w:rsidRPr="000B002B">
              <w:rPr>
                <w:b/>
                <w:lang w:val="en-US"/>
              </w:rPr>
              <w:t>SM.1056-1</w:t>
            </w:r>
            <w:bookmarkEnd w:id="112"/>
          </w:p>
        </w:tc>
        <w:tc>
          <w:tcPr>
            <w:tcW w:w="5164" w:type="dxa"/>
          </w:tcPr>
          <w:p w:rsidR="00973141" w:rsidRPr="006134D1" w:rsidRDefault="006134D1" w:rsidP="00F40F9D">
            <w:pPr>
              <w:pStyle w:val="Tabletext"/>
              <w:rPr>
                <w:lang w:val="fr-CH"/>
              </w:rPr>
            </w:pPr>
            <w:bookmarkStart w:id="113" w:name="lt_pId103"/>
            <w:r w:rsidRPr="000B002B">
              <w:rPr>
                <w:lang w:val="fr-CH"/>
              </w:rPr>
              <w:t>Limitation des rayonnements provenant des appareils industriels, scientifiques et médicaux (ISM)</w:t>
            </w:r>
            <w:bookmarkEnd w:id="113"/>
          </w:p>
        </w:tc>
        <w:tc>
          <w:tcPr>
            <w:tcW w:w="1362" w:type="dxa"/>
          </w:tcPr>
          <w:p w:rsidR="00973141" w:rsidRPr="00C01667" w:rsidRDefault="00564C62" w:rsidP="00F40F9D">
            <w:pPr>
              <w:pStyle w:val="Tabletext"/>
              <w:jc w:val="center"/>
              <w:rPr>
                <w:lang w:val="en-US"/>
              </w:rPr>
            </w:pPr>
            <w:bookmarkStart w:id="114" w:name="lt_pId104"/>
            <w:r w:rsidRPr="000B002B">
              <w:t>NOC</w:t>
            </w:r>
            <w:bookmarkEnd w:id="114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17589C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15" w:name="lt_pId105"/>
            <w:r>
              <w:rPr>
                <w:b/>
                <w:lang w:val="en-US"/>
              </w:rPr>
              <w:lastRenderedPageBreak/>
              <w:t>SM.1131-0</w:t>
            </w:r>
            <w:bookmarkEnd w:id="115"/>
          </w:p>
        </w:tc>
        <w:tc>
          <w:tcPr>
            <w:tcW w:w="5164" w:type="dxa"/>
          </w:tcPr>
          <w:p w:rsidR="00973141" w:rsidRPr="005C32A0" w:rsidRDefault="00FD4489" w:rsidP="00F40F9D">
            <w:pPr>
              <w:pStyle w:val="Tabletext"/>
              <w:rPr>
                <w:lang w:val="fr-CH"/>
              </w:rPr>
            </w:pPr>
            <w:bookmarkStart w:id="116" w:name="lt_pId106"/>
            <w:r w:rsidRPr="000B002B">
              <w:rPr>
                <w:lang w:val="fr-CH"/>
              </w:rPr>
              <w:t>Facteurs à prendre en compte lors de l'attribution du spectre des fréquences radioélectriques à l'échelle mondiale</w:t>
            </w:r>
            <w:bookmarkEnd w:id="116"/>
          </w:p>
        </w:tc>
        <w:tc>
          <w:tcPr>
            <w:tcW w:w="1362" w:type="dxa"/>
          </w:tcPr>
          <w:p w:rsidR="00973141" w:rsidRPr="00C01667" w:rsidRDefault="005C32A0" w:rsidP="00F40F9D">
            <w:pPr>
              <w:pStyle w:val="Tabletext"/>
              <w:jc w:val="center"/>
              <w:rPr>
                <w:lang w:val="en-US"/>
              </w:rPr>
            </w:pPr>
            <w:bookmarkStart w:id="117" w:name="lt_pId107"/>
            <w:r w:rsidRPr="000B002B">
              <w:t>NOC</w:t>
            </w:r>
            <w:bookmarkEnd w:id="117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08799C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18" w:name="lt_pId108"/>
            <w:r w:rsidRPr="000B002B">
              <w:rPr>
                <w:b/>
                <w:lang w:val="en-US"/>
              </w:rPr>
              <w:t>SM.1132-2</w:t>
            </w:r>
            <w:bookmarkEnd w:id="118"/>
          </w:p>
        </w:tc>
        <w:tc>
          <w:tcPr>
            <w:tcW w:w="5164" w:type="dxa"/>
          </w:tcPr>
          <w:p w:rsidR="00973141" w:rsidRPr="00BE267E" w:rsidRDefault="005804B6" w:rsidP="00F40F9D">
            <w:pPr>
              <w:pStyle w:val="Tabletext"/>
              <w:rPr>
                <w:lang w:val="fr-CH"/>
              </w:rPr>
            </w:pPr>
            <w:bookmarkStart w:id="119" w:name="lt_pId109"/>
            <w:r w:rsidRPr="000B002B">
              <w:rPr>
                <w:lang w:val="fr-CH"/>
              </w:rPr>
              <w:t>Principes généraux et méthodes de partage des fréquences entre services de radiocommunication ou entre stations radioélectriques</w:t>
            </w:r>
            <w:bookmarkEnd w:id="119"/>
          </w:p>
        </w:tc>
        <w:tc>
          <w:tcPr>
            <w:tcW w:w="1362" w:type="dxa"/>
          </w:tcPr>
          <w:p w:rsidR="00973141" w:rsidRPr="00C01667" w:rsidRDefault="00BE267E" w:rsidP="00F40F9D">
            <w:pPr>
              <w:pStyle w:val="Tabletext"/>
              <w:jc w:val="center"/>
              <w:rPr>
                <w:lang w:val="en-US"/>
              </w:rPr>
            </w:pPr>
            <w:bookmarkStart w:id="120" w:name="lt_pId110"/>
            <w:r w:rsidRPr="000B002B">
              <w:rPr>
                <w:lang w:val="en-US"/>
              </w:rPr>
              <w:t>NOC</w:t>
            </w:r>
            <w:bookmarkEnd w:id="120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7727EA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21" w:name="lt_pId111"/>
            <w:r>
              <w:rPr>
                <w:b/>
                <w:lang w:val="en-US"/>
              </w:rPr>
              <w:t>SM.1133-0</w:t>
            </w:r>
            <w:bookmarkEnd w:id="121"/>
          </w:p>
        </w:tc>
        <w:tc>
          <w:tcPr>
            <w:tcW w:w="5164" w:type="dxa"/>
          </w:tcPr>
          <w:p w:rsidR="00973141" w:rsidRPr="003B37A0" w:rsidRDefault="00816716" w:rsidP="00F40F9D">
            <w:pPr>
              <w:pStyle w:val="Tabletext"/>
              <w:rPr>
                <w:lang w:val="fr-CH"/>
              </w:rPr>
            </w:pPr>
            <w:bookmarkStart w:id="122" w:name="lt_pId112"/>
            <w:r w:rsidRPr="000B002B">
              <w:rPr>
                <w:lang w:val="fr-CH"/>
              </w:rPr>
              <w:t>Utilisation du spectre par des services génériques</w:t>
            </w:r>
            <w:bookmarkEnd w:id="122"/>
          </w:p>
        </w:tc>
        <w:tc>
          <w:tcPr>
            <w:tcW w:w="1362" w:type="dxa"/>
          </w:tcPr>
          <w:p w:rsidR="00973141" w:rsidRPr="00C01667" w:rsidRDefault="003B37A0" w:rsidP="00F40F9D">
            <w:pPr>
              <w:pStyle w:val="Tabletext"/>
              <w:jc w:val="center"/>
              <w:rPr>
                <w:lang w:val="en-US"/>
              </w:rPr>
            </w:pPr>
            <w:bookmarkStart w:id="123" w:name="lt_pId113"/>
            <w:r w:rsidRPr="000B002B">
              <w:rPr>
                <w:lang w:val="en-US"/>
              </w:rPr>
              <w:t>NOC</w:t>
            </w:r>
            <w:bookmarkEnd w:id="123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6E41CA" w:rsidP="00F40F9D">
            <w:pPr>
              <w:pStyle w:val="Tabletext"/>
              <w:jc w:val="center"/>
              <w:rPr>
                <w:b/>
              </w:rPr>
            </w:pPr>
            <w:bookmarkStart w:id="124" w:name="lt_pId114"/>
            <w:r w:rsidRPr="000B002B">
              <w:rPr>
                <w:b/>
              </w:rPr>
              <w:t>SM.1134-1</w:t>
            </w:r>
            <w:bookmarkEnd w:id="124"/>
          </w:p>
        </w:tc>
        <w:tc>
          <w:tcPr>
            <w:tcW w:w="5164" w:type="dxa"/>
          </w:tcPr>
          <w:p w:rsidR="00973141" w:rsidRPr="008A3D6C" w:rsidRDefault="008A3D6C" w:rsidP="00F40F9D">
            <w:pPr>
              <w:pStyle w:val="Tabletext"/>
              <w:rPr>
                <w:lang w:val="fr-CH"/>
              </w:rPr>
            </w:pPr>
            <w:bookmarkStart w:id="125" w:name="lt_pId115"/>
            <w:r w:rsidRPr="000B002B">
              <w:rPr>
                <w:lang w:val="fr-CH"/>
              </w:rPr>
              <w:t>Calculs du brouillage par intermodulation dans le service mobile terrestre</w:t>
            </w:r>
            <w:bookmarkEnd w:id="125"/>
          </w:p>
        </w:tc>
        <w:tc>
          <w:tcPr>
            <w:tcW w:w="1362" w:type="dxa"/>
          </w:tcPr>
          <w:p w:rsidR="00973141" w:rsidRPr="00C01667" w:rsidRDefault="003A41A0" w:rsidP="00F40F9D">
            <w:pPr>
              <w:pStyle w:val="Tabletext"/>
              <w:jc w:val="center"/>
            </w:pPr>
            <w:bookmarkStart w:id="126" w:name="lt_pId116"/>
            <w:r w:rsidRPr="000B002B">
              <w:rPr>
                <w:lang w:val="en-US"/>
              </w:rPr>
              <w:t>NOC</w:t>
            </w:r>
            <w:bookmarkEnd w:id="126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243D70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27" w:name="lt_pId117"/>
            <w:r>
              <w:rPr>
                <w:b/>
                <w:lang w:val="en-US"/>
              </w:rPr>
              <w:t>SM.1135-0</w:t>
            </w:r>
            <w:bookmarkEnd w:id="127"/>
          </w:p>
        </w:tc>
        <w:tc>
          <w:tcPr>
            <w:tcW w:w="5164" w:type="dxa"/>
          </w:tcPr>
          <w:p w:rsidR="00973141" w:rsidRPr="00C01667" w:rsidRDefault="006B0776" w:rsidP="00F40F9D">
            <w:pPr>
              <w:pStyle w:val="Tabletext"/>
              <w:rPr>
                <w:lang w:val="en-US"/>
              </w:rPr>
            </w:pPr>
            <w:bookmarkStart w:id="128" w:name="lt_pId118"/>
            <w:r w:rsidRPr="000B002B">
              <w:rPr>
                <w:lang w:val="en-US"/>
              </w:rPr>
              <w:t>Codes SINPO et SINPFEMO</w:t>
            </w:r>
            <w:bookmarkEnd w:id="128"/>
          </w:p>
        </w:tc>
        <w:tc>
          <w:tcPr>
            <w:tcW w:w="1362" w:type="dxa"/>
          </w:tcPr>
          <w:p w:rsidR="00973141" w:rsidRPr="00C01667" w:rsidRDefault="001040DA" w:rsidP="00F40F9D">
            <w:pPr>
              <w:pStyle w:val="Tabletext"/>
              <w:jc w:val="center"/>
              <w:rPr>
                <w:lang w:val="en-US"/>
              </w:rPr>
            </w:pPr>
            <w:bookmarkStart w:id="129" w:name="lt_pId119"/>
            <w:r w:rsidRPr="000B002B">
              <w:rPr>
                <w:lang w:val="en-US"/>
              </w:rPr>
              <w:t>NOC</w:t>
            </w:r>
            <w:bookmarkEnd w:id="129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8046EF" w:rsidP="00F40F9D">
            <w:pPr>
              <w:pStyle w:val="Tabletext"/>
              <w:jc w:val="center"/>
              <w:rPr>
                <w:b/>
              </w:rPr>
            </w:pPr>
            <w:bookmarkStart w:id="130" w:name="lt_pId120"/>
            <w:r w:rsidRPr="000B002B">
              <w:rPr>
                <w:b/>
              </w:rPr>
              <w:t>SM.1138-2</w:t>
            </w:r>
            <w:bookmarkEnd w:id="130"/>
          </w:p>
        </w:tc>
        <w:tc>
          <w:tcPr>
            <w:tcW w:w="5164" w:type="dxa"/>
          </w:tcPr>
          <w:p w:rsidR="00973141" w:rsidRPr="003363CD" w:rsidRDefault="003363CD" w:rsidP="00F40F9D">
            <w:pPr>
              <w:pStyle w:val="Tabletext"/>
              <w:rPr>
                <w:lang w:val="fr-CH"/>
              </w:rPr>
            </w:pPr>
            <w:bookmarkStart w:id="131" w:name="lt_pId121"/>
            <w:r w:rsidRPr="000B002B">
              <w:rPr>
                <w:lang w:val="fr-CH"/>
              </w:rPr>
              <w:t>Détermination des largeurs de bande nécessaires, exemples de calcul de la largeur de bande nécessaire et exemples connexes de désignation des émissions</w:t>
            </w:r>
            <w:bookmarkEnd w:id="131"/>
          </w:p>
        </w:tc>
        <w:tc>
          <w:tcPr>
            <w:tcW w:w="1362" w:type="dxa"/>
          </w:tcPr>
          <w:p w:rsidR="00973141" w:rsidRPr="00C01667" w:rsidRDefault="0092536E" w:rsidP="00F40F9D">
            <w:pPr>
              <w:pStyle w:val="Tabletext"/>
              <w:jc w:val="center"/>
            </w:pPr>
            <w:bookmarkStart w:id="132" w:name="lt_pId122"/>
            <w:r w:rsidRPr="000B002B">
              <w:rPr>
                <w:lang w:val="en-US"/>
              </w:rPr>
              <w:t>NOC</w:t>
            </w:r>
            <w:bookmarkEnd w:id="132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733C75" w:rsidP="00F40F9D">
            <w:pPr>
              <w:pStyle w:val="Tabletext"/>
              <w:jc w:val="center"/>
              <w:rPr>
                <w:b/>
              </w:rPr>
            </w:pPr>
            <w:bookmarkStart w:id="133" w:name="lt_pId123"/>
            <w:r>
              <w:rPr>
                <w:b/>
              </w:rPr>
              <w:t>SM.1139-0</w:t>
            </w:r>
            <w:bookmarkEnd w:id="133"/>
          </w:p>
        </w:tc>
        <w:tc>
          <w:tcPr>
            <w:tcW w:w="5164" w:type="dxa"/>
          </w:tcPr>
          <w:p w:rsidR="00973141" w:rsidRPr="00EB2542" w:rsidRDefault="00664F77" w:rsidP="00F40F9D">
            <w:pPr>
              <w:pStyle w:val="Tabletext"/>
              <w:rPr>
                <w:lang w:val="fr-CH"/>
              </w:rPr>
            </w:pPr>
            <w:bookmarkStart w:id="134" w:name="lt_pId124"/>
            <w:r w:rsidRPr="000B002B">
              <w:rPr>
                <w:lang w:val="fr-CH"/>
              </w:rPr>
              <w:t>Système de contrôle international des émissions</w:t>
            </w:r>
            <w:bookmarkEnd w:id="134"/>
          </w:p>
        </w:tc>
        <w:tc>
          <w:tcPr>
            <w:tcW w:w="1362" w:type="dxa"/>
          </w:tcPr>
          <w:p w:rsidR="00973141" w:rsidRPr="00C01667" w:rsidRDefault="00EB2542" w:rsidP="00F40F9D">
            <w:pPr>
              <w:pStyle w:val="Tabletext"/>
              <w:jc w:val="center"/>
            </w:pPr>
            <w:bookmarkStart w:id="135" w:name="lt_pId125"/>
            <w:r w:rsidRPr="000B002B">
              <w:rPr>
                <w:lang w:val="en-US"/>
              </w:rPr>
              <w:t>NOC</w:t>
            </w:r>
            <w:bookmarkEnd w:id="135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0B19C1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36" w:name="lt_pId126"/>
            <w:r>
              <w:rPr>
                <w:b/>
                <w:lang w:val="en-US"/>
              </w:rPr>
              <w:t>SM.1140-0</w:t>
            </w:r>
            <w:bookmarkEnd w:id="136"/>
          </w:p>
        </w:tc>
        <w:tc>
          <w:tcPr>
            <w:tcW w:w="5164" w:type="dxa"/>
          </w:tcPr>
          <w:p w:rsidR="00973141" w:rsidRPr="00263427" w:rsidRDefault="00DD2898" w:rsidP="00F40F9D">
            <w:pPr>
              <w:pStyle w:val="Tabletext"/>
              <w:rPr>
                <w:lang w:val="fr-CH"/>
              </w:rPr>
            </w:pPr>
            <w:bookmarkStart w:id="137" w:name="lt_pId127"/>
            <w:r w:rsidRPr="000B002B">
              <w:rPr>
                <w:lang w:val="fr-CH"/>
              </w:rPr>
              <w:t>Procédures d'essai pour la mesure des caractéristiques des récepteurs du service de radionavigation aéronautique servant à déterminer la compatibilité entre le service de radiodiffusion sonore dans la bande des 87-108 MHz et les services aéronautiques dans la bande 108-118 MHz</w:t>
            </w:r>
            <w:bookmarkEnd w:id="137"/>
          </w:p>
        </w:tc>
        <w:tc>
          <w:tcPr>
            <w:tcW w:w="1362" w:type="dxa"/>
          </w:tcPr>
          <w:p w:rsidR="00973141" w:rsidRPr="00C01667" w:rsidRDefault="00263427" w:rsidP="00F40F9D">
            <w:pPr>
              <w:pStyle w:val="Tabletext"/>
              <w:jc w:val="center"/>
              <w:rPr>
                <w:lang w:val="en-US"/>
              </w:rPr>
            </w:pPr>
            <w:bookmarkStart w:id="138" w:name="lt_pId128"/>
            <w:r w:rsidRPr="000B002B">
              <w:rPr>
                <w:lang w:val="en-US"/>
              </w:rPr>
              <w:t>NOC</w:t>
            </w:r>
            <w:bookmarkEnd w:id="138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4C4FF5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39" w:name="lt_pId129"/>
            <w:r>
              <w:rPr>
                <w:b/>
                <w:lang w:val="en-US"/>
              </w:rPr>
              <w:t>SM.1235-0</w:t>
            </w:r>
            <w:bookmarkEnd w:id="139"/>
          </w:p>
        </w:tc>
        <w:tc>
          <w:tcPr>
            <w:tcW w:w="5164" w:type="dxa"/>
          </w:tcPr>
          <w:p w:rsidR="00973141" w:rsidRPr="00FA66C1" w:rsidRDefault="00E1451A" w:rsidP="00F40F9D">
            <w:pPr>
              <w:pStyle w:val="Tabletext"/>
              <w:rPr>
                <w:lang w:val="fr-CH"/>
              </w:rPr>
            </w:pPr>
            <w:bookmarkStart w:id="140" w:name="lt_pId130"/>
            <w:r w:rsidRPr="000B002B">
              <w:rPr>
                <w:lang w:val="fr-CH"/>
              </w:rPr>
              <w:t>Qualité de fonctionnement des systèmes à modulation numérique en présence de brouillage</w:t>
            </w:r>
            <w:bookmarkEnd w:id="140"/>
          </w:p>
        </w:tc>
        <w:tc>
          <w:tcPr>
            <w:tcW w:w="1362" w:type="dxa"/>
          </w:tcPr>
          <w:p w:rsidR="00973141" w:rsidRPr="00C01667" w:rsidRDefault="00FA66C1" w:rsidP="00F40F9D">
            <w:pPr>
              <w:pStyle w:val="Tabletext"/>
              <w:jc w:val="center"/>
              <w:rPr>
                <w:lang w:val="en-US"/>
              </w:rPr>
            </w:pPr>
            <w:bookmarkStart w:id="141" w:name="lt_pId131"/>
            <w:r w:rsidRPr="000B002B">
              <w:rPr>
                <w:lang w:val="en-US"/>
              </w:rPr>
              <w:t>NOC</w:t>
            </w:r>
            <w:bookmarkEnd w:id="141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0C3AF3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42" w:name="lt_pId132"/>
            <w:r w:rsidRPr="000B002B">
              <w:rPr>
                <w:b/>
                <w:lang w:val="en-US"/>
              </w:rPr>
              <w:t>SM.1265-1</w:t>
            </w:r>
            <w:bookmarkEnd w:id="142"/>
          </w:p>
        </w:tc>
        <w:tc>
          <w:tcPr>
            <w:tcW w:w="5164" w:type="dxa"/>
          </w:tcPr>
          <w:p w:rsidR="00973141" w:rsidRPr="007F7C13" w:rsidRDefault="007F7C13" w:rsidP="00F40F9D">
            <w:pPr>
              <w:pStyle w:val="Tabletext"/>
              <w:rPr>
                <w:lang w:val="fr-CH"/>
              </w:rPr>
            </w:pPr>
            <w:bookmarkStart w:id="143" w:name="lt_pId133"/>
            <w:r w:rsidRPr="000B002B">
              <w:rPr>
                <w:lang w:val="fr-CH"/>
              </w:rPr>
              <w:t>Nouvelles méthodes d'attribution des fréquences au niveau national</w:t>
            </w:r>
            <w:bookmarkEnd w:id="143"/>
          </w:p>
        </w:tc>
        <w:tc>
          <w:tcPr>
            <w:tcW w:w="1362" w:type="dxa"/>
          </w:tcPr>
          <w:p w:rsidR="00973141" w:rsidRPr="00C01667" w:rsidRDefault="00591C12" w:rsidP="00F40F9D">
            <w:pPr>
              <w:pStyle w:val="Tabletext"/>
              <w:jc w:val="center"/>
              <w:rPr>
                <w:lang w:val="en-US"/>
              </w:rPr>
            </w:pPr>
            <w:bookmarkStart w:id="144" w:name="lt_pId134"/>
            <w:r w:rsidRPr="000B002B">
              <w:t>NOC</w:t>
            </w:r>
            <w:bookmarkEnd w:id="144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3C745B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45" w:name="lt_pId135"/>
            <w:r>
              <w:rPr>
                <w:b/>
                <w:lang w:val="en-US"/>
              </w:rPr>
              <w:t>SM.1266-0</w:t>
            </w:r>
            <w:bookmarkEnd w:id="145"/>
          </w:p>
        </w:tc>
        <w:tc>
          <w:tcPr>
            <w:tcW w:w="5164" w:type="dxa"/>
          </w:tcPr>
          <w:p w:rsidR="00973141" w:rsidRPr="001C6EEA" w:rsidRDefault="00326476" w:rsidP="00F40F9D">
            <w:pPr>
              <w:pStyle w:val="Tabletext"/>
              <w:rPr>
                <w:lang w:val="fr-CH"/>
              </w:rPr>
            </w:pPr>
            <w:bookmarkStart w:id="146" w:name="lt_pId136"/>
            <w:r w:rsidRPr="000B002B">
              <w:rPr>
                <w:lang w:val="fr-CH"/>
              </w:rPr>
              <w:t>Systèmes adaptatifs en ondes hectométriques et décamétriques</w:t>
            </w:r>
            <w:bookmarkEnd w:id="146"/>
          </w:p>
        </w:tc>
        <w:tc>
          <w:tcPr>
            <w:tcW w:w="1362" w:type="dxa"/>
          </w:tcPr>
          <w:p w:rsidR="00973141" w:rsidRPr="00C01667" w:rsidRDefault="001C6EEA" w:rsidP="00F40F9D">
            <w:pPr>
              <w:pStyle w:val="Tabletext"/>
              <w:jc w:val="center"/>
              <w:rPr>
                <w:lang w:val="en-US"/>
              </w:rPr>
            </w:pPr>
            <w:bookmarkStart w:id="147" w:name="lt_pId137"/>
            <w:r w:rsidRPr="000B002B">
              <w:rPr>
                <w:lang w:val="en-US"/>
              </w:rPr>
              <w:t>NOC</w:t>
            </w:r>
            <w:bookmarkEnd w:id="147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D357D7">
            <w:pPr>
              <w:pStyle w:val="Tabletext"/>
              <w:jc w:val="center"/>
              <w:rPr>
                <w:b/>
              </w:rPr>
            </w:pPr>
            <w:bookmarkStart w:id="148" w:name="lt_pId138"/>
            <w:r w:rsidRPr="000B002B">
              <w:rPr>
                <w:b/>
              </w:rPr>
              <w:t>SM.1268-3</w:t>
            </w:r>
            <w:bookmarkEnd w:id="148"/>
          </w:p>
        </w:tc>
        <w:tc>
          <w:tcPr>
            <w:tcW w:w="5164" w:type="dxa"/>
          </w:tcPr>
          <w:p w:rsidR="00973141" w:rsidRPr="00391D39" w:rsidRDefault="00391D39" w:rsidP="00F40F9D">
            <w:pPr>
              <w:pStyle w:val="Tabletext"/>
              <w:rPr>
                <w:lang w:val="fr-CH"/>
              </w:rPr>
            </w:pPr>
            <w:bookmarkStart w:id="149" w:name="lt_pId139"/>
            <w:r w:rsidRPr="000B002B">
              <w:rPr>
                <w:lang w:val="fr-CH"/>
              </w:rPr>
              <w:t>Méthode à utiliser par les stations de contrôle des émissions pour mesurer l'excursion maximale de fréquence des émissions de radiodiffusion MF</w:t>
            </w:r>
            <w:bookmarkEnd w:id="149"/>
          </w:p>
        </w:tc>
        <w:tc>
          <w:tcPr>
            <w:tcW w:w="1362" w:type="dxa"/>
          </w:tcPr>
          <w:p w:rsidR="00973141" w:rsidRPr="00C01667" w:rsidRDefault="00A945AB" w:rsidP="00F40F9D">
            <w:pPr>
              <w:pStyle w:val="Tabletext"/>
              <w:jc w:val="center"/>
            </w:pPr>
            <w:bookmarkStart w:id="150" w:name="lt_pId140"/>
            <w:r w:rsidRPr="000B002B">
              <w:rPr>
                <w:lang w:val="en-US"/>
              </w:rPr>
              <w:t>NOC</w:t>
            </w:r>
            <w:bookmarkEnd w:id="150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51" w:name="lt_pId141"/>
            <w:r>
              <w:rPr>
                <w:b/>
                <w:lang w:val="en-US"/>
              </w:rPr>
              <w:t>SM.1270-0</w:t>
            </w:r>
            <w:bookmarkEnd w:id="151"/>
          </w:p>
        </w:tc>
        <w:tc>
          <w:tcPr>
            <w:tcW w:w="5164" w:type="dxa"/>
          </w:tcPr>
          <w:p w:rsidR="00973141" w:rsidRPr="007A476C" w:rsidRDefault="007A476C" w:rsidP="00F40F9D">
            <w:pPr>
              <w:pStyle w:val="Tabletext"/>
              <w:rPr>
                <w:lang w:val="fr-CH"/>
              </w:rPr>
            </w:pPr>
            <w:bookmarkStart w:id="152" w:name="lt_pId142"/>
            <w:r w:rsidRPr="000B002B">
              <w:rPr>
                <w:lang w:val="fr-CH"/>
              </w:rPr>
              <w:t>Renseignements complémentaires relatifs au contrôle des émissions pour la classification et la désignation des émissions</w:t>
            </w:r>
            <w:bookmarkEnd w:id="152"/>
          </w:p>
        </w:tc>
        <w:tc>
          <w:tcPr>
            <w:tcW w:w="1362" w:type="dxa"/>
          </w:tcPr>
          <w:p w:rsidR="00973141" w:rsidRPr="00C01667" w:rsidRDefault="002607DD" w:rsidP="00F40F9D">
            <w:pPr>
              <w:pStyle w:val="Tabletext"/>
              <w:jc w:val="center"/>
              <w:rPr>
                <w:lang w:val="en-US"/>
              </w:rPr>
            </w:pPr>
            <w:bookmarkStart w:id="153" w:name="lt_pId143"/>
            <w:r w:rsidRPr="000B002B">
              <w:rPr>
                <w:lang w:val="en-US"/>
              </w:rPr>
              <w:t>NOC</w:t>
            </w:r>
            <w:bookmarkEnd w:id="153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BC7332" w:rsidP="00F40F9D">
            <w:pPr>
              <w:pStyle w:val="Tabletext"/>
              <w:jc w:val="center"/>
              <w:rPr>
                <w:b/>
              </w:rPr>
            </w:pPr>
            <w:bookmarkStart w:id="154" w:name="lt_pId144"/>
            <w:r>
              <w:rPr>
                <w:b/>
              </w:rPr>
              <w:t>SM.1271-0</w:t>
            </w:r>
            <w:bookmarkEnd w:id="154"/>
          </w:p>
        </w:tc>
        <w:tc>
          <w:tcPr>
            <w:tcW w:w="5164" w:type="dxa"/>
          </w:tcPr>
          <w:p w:rsidR="00973141" w:rsidRPr="00930F7B" w:rsidRDefault="00602655" w:rsidP="00F40F9D">
            <w:pPr>
              <w:pStyle w:val="Tabletext"/>
              <w:rPr>
                <w:lang w:val="fr-CH"/>
              </w:rPr>
            </w:pPr>
            <w:bookmarkStart w:id="155" w:name="lt_pId145"/>
            <w:r w:rsidRPr="000B002B">
              <w:rPr>
                <w:lang w:val="fr-CH"/>
              </w:rPr>
              <w:t>Utilisation efficace du spectre et méthodes probabilistes</w:t>
            </w:r>
            <w:bookmarkEnd w:id="155"/>
          </w:p>
        </w:tc>
        <w:tc>
          <w:tcPr>
            <w:tcW w:w="1362" w:type="dxa"/>
          </w:tcPr>
          <w:p w:rsidR="00973141" w:rsidRPr="00C01667" w:rsidRDefault="00930F7B" w:rsidP="00F40F9D">
            <w:pPr>
              <w:pStyle w:val="Tabletext"/>
              <w:jc w:val="center"/>
            </w:pPr>
            <w:bookmarkStart w:id="156" w:name="lt_pId146"/>
            <w:r w:rsidRPr="000B002B">
              <w:rPr>
                <w:lang w:val="en-US"/>
              </w:rPr>
              <w:t>NOC</w:t>
            </w:r>
            <w:bookmarkEnd w:id="156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C052D9">
            <w:pPr>
              <w:pStyle w:val="Tabletext"/>
              <w:jc w:val="center"/>
              <w:rPr>
                <w:b/>
                <w:lang w:val="en-US"/>
              </w:rPr>
            </w:pPr>
            <w:bookmarkStart w:id="157" w:name="lt_pId147"/>
            <w:r w:rsidRPr="000B002B">
              <w:rPr>
                <w:b/>
                <w:lang w:val="en-US"/>
              </w:rPr>
              <w:t>SM.1370-2</w:t>
            </w:r>
            <w:bookmarkEnd w:id="157"/>
          </w:p>
        </w:tc>
        <w:tc>
          <w:tcPr>
            <w:tcW w:w="5164" w:type="dxa"/>
          </w:tcPr>
          <w:p w:rsidR="00973141" w:rsidRPr="003A53D9" w:rsidRDefault="003A53D9">
            <w:pPr>
              <w:pStyle w:val="Tabletext"/>
              <w:rPr>
                <w:lang w:val="fr-CH"/>
              </w:rPr>
            </w:pPr>
            <w:bookmarkStart w:id="158" w:name="lt_pId148"/>
            <w:r w:rsidRPr="000B002B">
              <w:rPr>
                <w:lang w:val="fr-CH"/>
              </w:rPr>
              <w:t>Directives de conception pour la réalisation des systèmes de gestion automatisée du spectre</w:t>
            </w:r>
            <w:bookmarkEnd w:id="158"/>
          </w:p>
        </w:tc>
        <w:tc>
          <w:tcPr>
            <w:tcW w:w="1362" w:type="dxa"/>
          </w:tcPr>
          <w:p w:rsidR="00973141" w:rsidRPr="00C01667" w:rsidRDefault="00A945AB" w:rsidP="00F40F9D">
            <w:pPr>
              <w:pStyle w:val="Tabletext"/>
              <w:jc w:val="center"/>
              <w:rPr>
                <w:lang w:val="en-US"/>
              </w:rPr>
            </w:pPr>
            <w:bookmarkStart w:id="159" w:name="lt_pId149"/>
            <w:r w:rsidRPr="000B002B">
              <w:t>NOC</w:t>
            </w:r>
            <w:bookmarkEnd w:id="159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  <w:trHeight w:val="567"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</w:rPr>
            </w:pPr>
            <w:bookmarkStart w:id="160" w:name="lt_pId150"/>
            <w:r w:rsidRPr="000B002B">
              <w:rPr>
                <w:b/>
              </w:rPr>
              <w:t>SM.1392-2</w:t>
            </w:r>
            <w:bookmarkEnd w:id="160"/>
          </w:p>
        </w:tc>
        <w:tc>
          <w:tcPr>
            <w:tcW w:w="5164" w:type="dxa"/>
          </w:tcPr>
          <w:p w:rsidR="00973141" w:rsidRPr="00020E89" w:rsidRDefault="00020E89" w:rsidP="00F40F9D">
            <w:pPr>
              <w:pStyle w:val="Tabletext"/>
              <w:rPr>
                <w:lang w:val="fr-CH"/>
              </w:rPr>
            </w:pPr>
            <w:bookmarkStart w:id="161" w:name="lt_pId151"/>
            <w:r w:rsidRPr="000B002B">
              <w:rPr>
                <w:lang w:val="fr-CH"/>
              </w:rPr>
              <w:t>Cahier des charges principal d'un système de contrôle du spectre pour les pays en développement</w:t>
            </w:r>
            <w:bookmarkEnd w:id="161"/>
          </w:p>
        </w:tc>
        <w:tc>
          <w:tcPr>
            <w:tcW w:w="1362" w:type="dxa"/>
          </w:tcPr>
          <w:p w:rsidR="00973141" w:rsidRPr="00C01667" w:rsidRDefault="000E617D" w:rsidP="00F40F9D">
            <w:pPr>
              <w:pStyle w:val="Tabletext"/>
              <w:jc w:val="center"/>
            </w:pPr>
            <w:bookmarkStart w:id="162" w:name="lt_pId152"/>
            <w:r w:rsidRPr="000B002B">
              <w:rPr>
                <w:lang w:val="en-US"/>
              </w:rPr>
              <w:t>NOC</w:t>
            </w:r>
            <w:bookmarkEnd w:id="162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  <w:trHeight w:val="567"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</w:rPr>
            </w:pPr>
            <w:bookmarkStart w:id="163" w:name="lt_pId153"/>
            <w:r>
              <w:rPr>
                <w:b/>
              </w:rPr>
              <w:t>SM.1393-0</w:t>
            </w:r>
            <w:bookmarkEnd w:id="163"/>
          </w:p>
        </w:tc>
        <w:tc>
          <w:tcPr>
            <w:tcW w:w="5164" w:type="dxa"/>
          </w:tcPr>
          <w:p w:rsidR="00973141" w:rsidRPr="004E0663" w:rsidRDefault="004E0663" w:rsidP="00F40F9D">
            <w:pPr>
              <w:pStyle w:val="Tabletext"/>
              <w:rPr>
                <w:lang w:val="fr-CH"/>
              </w:rPr>
            </w:pPr>
            <w:bookmarkStart w:id="164" w:name="lt_pId154"/>
            <w:r w:rsidRPr="000B002B">
              <w:rPr>
                <w:lang w:val="fr-CH"/>
              </w:rPr>
              <w:t>Formats communs destinés à l'échange d'informations entre stations de contrôle des émissions</w:t>
            </w:r>
            <w:bookmarkEnd w:id="164"/>
          </w:p>
        </w:tc>
        <w:tc>
          <w:tcPr>
            <w:tcW w:w="1362" w:type="dxa"/>
          </w:tcPr>
          <w:p w:rsidR="00973141" w:rsidRPr="00C01667" w:rsidRDefault="00411449" w:rsidP="00F40F9D">
            <w:pPr>
              <w:pStyle w:val="Tabletext"/>
              <w:jc w:val="center"/>
            </w:pPr>
            <w:bookmarkStart w:id="165" w:name="lt_pId155"/>
            <w:r w:rsidRPr="000B002B">
              <w:rPr>
                <w:lang w:val="en-US"/>
              </w:rPr>
              <w:t>NOC</w:t>
            </w:r>
            <w:bookmarkEnd w:id="165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</w:rPr>
            </w:pPr>
            <w:bookmarkStart w:id="166" w:name="lt_pId156"/>
            <w:r>
              <w:rPr>
                <w:b/>
              </w:rPr>
              <w:t>SM.1394-0</w:t>
            </w:r>
            <w:bookmarkEnd w:id="166"/>
          </w:p>
        </w:tc>
        <w:tc>
          <w:tcPr>
            <w:tcW w:w="5164" w:type="dxa"/>
          </w:tcPr>
          <w:p w:rsidR="00973141" w:rsidRPr="00025867" w:rsidRDefault="00280B3C" w:rsidP="00F40F9D">
            <w:pPr>
              <w:pStyle w:val="Tabletext"/>
              <w:rPr>
                <w:lang w:val="fr-CH"/>
              </w:rPr>
            </w:pPr>
            <w:bookmarkStart w:id="167" w:name="lt_pId157"/>
            <w:r w:rsidRPr="000B002B">
              <w:rPr>
                <w:lang w:val="fr-CH"/>
              </w:rPr>
              <w:t>Format commun de mémorandum d’accord entre pays consentants concernant leur coopération en matière de contrôle des émissions</w:t>
            </w:r>
            <w:bookmarkEnd w:id="167"/>
          </w:p>
        </w:tc>
        <w:tc>
          <w:tcPr>
            <w:tcW w:w="1362" w:type="dxa"/>
          </w:tcPr>
          <w:p w:rsidR="00973141" w:rsidRPr="00C01667" w:rsidRDefault="00025867" w:rsidP="00F40F9D">
            <w:pPr>
              <w:pStyle w:val="Tabletext"/>
              <w:jc w:val="center"/>
            </w:pPr>
            <w:bookmarkStart w:id="168" w:name="lt_pId158"/>
            <w:r w:rsidRPr="000B002B">
              <w:rPr>
                <w:lang w:val="en-US"/>
              </w:rPr>
              <w:t>NOC</w:t>
            </w:r>
            <w:bookmarkEnd w:id="168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>
            <w:pPr>
              <w:pStyle w:val="Tabletext"/>
              <w:jc w:val="center"/>
              <w:rPr>
                <w:b/>
                <w:lang w:val="en-US"/>
              </w:rPr>
            </w:pPr>
            <w:bookmarkStart w:id="169" w:name="lt_pId159"/>
            <w:r w:rsidRPr="000B002B">
              <w:rPr>
                <w:b/>
                <w:lang w:val="en-US"/>
              </w:rPr>
              <w:t>SM.1413-3</w:t>
            </w:r>
            <w:bookmarkEnd w:id="169"/>
          </w:p>
        </w:tc>
        <w:tc>
          <w:tcPr>
            <w:tcW w:w="5164" w:type="dxa"/>
          </w:tcPr>
          <w:p w:rsidR="00973141" w:rsidRPr="001E5570" w:rsidRDefault="001E5570" w:rsidP="0028048D">
            <w:pPr>
              <w:pStyle w:val="Tabletext"/>
              <w:rPr>
                <w:lang w:val="fr-CH"/>
              </w:rPr>
            </w:pPr>
            <w:bookmarkStart w:id="170" w:name="lt_pId160"/>
            <w:r w:rsidRPr="000B002B">
              <w:rPr>
                <w:lang w:val="fr-CH"/>
              </w:rPr>
              <w:t>Dictionnaire de données des radiocommunications aux fins de la notification et de la coordination</w:t>
            </w:r>
            <w:bookmarkEnd w:id="170"/>
          </w:p>
        </w:tc>
        <w:tc>
          <w:tcPr>
            <w:tcW w:w="1362" w:type="dxa"/>
          </w:tcPr>
          <w:p w:rsidR="00973141" w:rsidRPr="00C01667" w:rsidRDefault="00466404" w:rsidP="00F40F9D">
            <w:pPr>
              <w:pStyle w:val="Tabletext"/>
              <w:jc w:val="center"/>
              <w:rPr>
                <w:lang w:val="en-US"/>
              </w:rPr>
            </w:pPr>
            <w:bookmarkStart w:id="171" w:name="lt_pId161"/>
            <w:r w:rsidRPr="000B002B">
              <w:t>NOC</w:t>
            </w:r>
            <w:bookmarkEnd w:id="171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72" w:name="lt_pId162"/>
            <w:r>
              <w:rPr>
                <w:b/>
                <w:lang w:val="en-US"/>
              </w:rPr>
              <w:t>SM.1446-0</w:t>
            </w:r>
            <w:bookmarkEnd w:id="172"/>
          </w:p>
        </w:tc>
        <w:tc>
          <w:tcPr>
            <w:tcW w:w="5164" w:type="dxa"/>
          </w:tcPr>
          <w:p w:rsidR="00973141" w:rsidRPr="00D76FC7" w:rsidRDefault="00D76FC7" w:rsidP="00F40F9D">
            <w:pPr>
              <w:pStyle w:val="Tabletext"/>
              <w:rPr>
                <w:position w:val="6"/>
                <w:lang w:val="fr-CH"/>
              </w:rPr>
            </w:pPr>
            <w:bookmarkStart w:id="173" w:name="lt_pId163"/>
            <w:r w:rsidRPr="000B002B">
              <w:rPr>
                <w:lang w:val="fr-CH"/>
              </w:rPr>
              <w:t>Définition et mesure des produits d'intermodulation dans un émetteur utilisant des techniques de modulation de fréquence, de phase ou d'autres techniques de modulation complexes</w:t>
            </w:r>
            <w:bookmarkEnd w:id="173"/>
          </w:p>
        </w:tc>
        <w:tc>
          <w:tcPr>
            <w:tcW w:w="1362" w:type="dxa"/>
          </w:tcPr>
          <w:p w:rsidR="00973141" w:rsidRPr="00C01667" w:rsidRDefault="00704965" w:rsidP="00F40F9D">
            <w:pPr>
              <w:pStyle w:val="Tabletext"/>
              <w:jc w:val="center"/>
              <w:rPr>
                <w:position w:val="6"/>
                <w:lang w:val="en-US"/>
              </w:rPr>
            </w:pPr>
            <w:bookmarkStart w:id="174" w:name="lt_pId164"/>
            <w:r w:rsidRPr="000B002B">
              <w:rPr>
                <w:lang w:val="en-US"/>
              </w:rPr>
              <w:t>NOC</w:t>
            </w:r>
            <w:bookmarkEnd w:id="174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</w:rPr>
            </w:pPr>
            <w:bookmarkStart w:id="175" w:name="lt_pId165"/>
            <w:r>
              <w:rPr>
                <w:b/>
              </w:rPr>
              <w:t>SM.1447-0</w:t>
            </w:r>
            <w:bookmarkEnd w:id="175"/>
          </w:p>
        </w:tc>
        <w:tc>
          <w:tcPr>
            <w:tcW w:w="5164" w:type="dxa"/>
          </w:tcPr>
          <w:p w:rsidR="00973141" w:rsidRPr="00CB3C3B" w:rsidRDefault="00CB3C3B" w:rsidP="00F40F9D">
            <w:pPr>
              <w:pStyle w:val="Tabletext"/>
              <w:rPr>
                <w:lang w:val="fr-CH"/>
              </w:rPr>
            </w:pPr>
            <w:bookmarkStart w:id="176" w:name="lt_pId166"/>
            <w:r w:rsidRPr="000B002B">
              <w:rPr>
                <w:lang w:val="fr-CH"/>
              </w:rPr>
              <w:t>Contrôle de la couverture radioélectrique des réseaux mobiles terrestres pour vérifier la conformité avec une licence</w:t>
            </w:r>
            <w:bookmarkEnd w:id="176"/>
          </w:p>
        </w:tc>
        <w:tc>
          <w:tcPr>
            <w:tcW w:w="1362" w:type="dxa"/>
          </w:tcPr>
          <w:p w:rsidR="00973141" w:rsidRPr="00C01667" w:rsidRDefault="00F56254" w:rsidP="00F40F9D">
            <w:pPr>
              <w:pStyle w:val="Tabletext"/>
              <w:jc w:val="center"/>
            </w:pPr>
            <w:bookmarkStart w:id="177" w:name="lt_pId167"/>
            <w:r w:rsidRPr="000B002B">
              <w:rPr>
                <w:lang w:val="en-US"/>
              </w:rPr>
              <w:t>NOC</w:t>
            </w:r>
            <w:bookmarkEnd w:id="177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78" w:name="lt_pId168"/>
            <w:r w:rsidRPr="00945E93">
              <w:rPr>
                <w:b/>
                <w:lang w:val="en-US"/>
              </w:rPr>
              <w:lastRenderedPageBreak/>
              <w:t>SM.1448-0</w:t>
            </w:r>
            <w:bookmarkEnd w:id="178"/>
            <w:r w:rsidRPr="00945E93">
              <w:rPr>
                <w:b/>
                <w:lang w:val="en-US"/>
              </w:rPr>
              <w:br/>
            </w:r>
            <w:bookmarkStart w:id="179" w:name="lt_pId169"/>
            <w:r w:rsidRPr="000B002B">
              <w:rPr>
                <w:b/>
                <w:lang w:val="en-US"/>
              </w:rPr>
              <w:t>+ Corr.1</w:t>
            </w:r>
            <w:bookmarkEnd w:id="179"/>
          </w:p>
        </w:tc>
        <w:tc>
          <w:tcPr>
            <w:tcW w:w="5164" w:type="dxa"/>
          </w:tcPr>
          <w:p w:rsidR="00973141" w:rsidRPr="00181FC5" w:rsidRDefault="00181FC5" w:rsidP="00F40F9D">
            <w:pPr>
              <w:pStyle w:val="Tabletext"/>
              <w:rPr>
                <w:lang w:val="fr-CH"/>
              </w:rPr>
            </w:pPr>
            <w:bookmarkStart w:id="180" w:name="lt_pId170"/>
            <w:r w:rsidRPr="000B002B">
              <w:rPr>
                <w:lang w:val="fr-CH"/>
              </w:rPr>
              <w:t>Détermination de la zone de coordination autour d'une station terrienne fonctionnant dans des bandes de fréquences comprises entre 100 MHz et 105 GHz</w:t>
            </w:r>
            <w:bookmarkEnd w:id="180"/>
          </w:p>
        </w:tc>
        <w:tc>
          <w:tcPr>
            <w:tcW w:w="1362" w:type="dxa"/>
          </w:tcPr>
          <w:p w:rsidR="00973141" w:rsidRPr="00C01667" w:rsidRDefault="00925EC3" w:rsidP="00F40F9D">
            <w:pPr>
              <w:pStyle w:val="Tabletext"/>
              <w:jc w:val="center"/>
              <w:rPr>
                <w:lang w:val="en-US"/>
              </w:rPr>
            </w:pPr>
            <w:bookmarkStart w:id="181" w:name="lt_pId171"/>
            <w:r w:rsidRPr="000B002B">
              <w:rPr>
                <w:lang w:val="en-US"/>
              </w:rPr>
              <w:t>NOC</w:t>
            </w:r>
            <w:bookmarkEnd w:id="181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82" w:name="lt_pId172"/>
            <w:r>
              <w:rPr>
                <w:b/>
                <w:lang w:val="en-US"/>
              </w:rPr>
              <w:t>SM.1535-0</w:t>
            </w:r>
            <w:bookmarkEnd w:id="182"/>
          </w:p>
        </w:tc>
        <w:tc>
          <w:tcPr>
            <w:tcW w:w="5164" w:type="dxa"/>
          </w:tcPr>
          <w:p w:rsidR="00973141" w:rsidRPr="0049193D" w:rsidRDefault="0049193D" w:rsidP="00F40F9D">
            <w:pPr>
              <w:pStyle w:val="Tabletext"/>
              <w:rPr>
                <w:lang w:val="fr-CH"/>
              </w:rPr>
            </w:pPr>
            <w:bookmarkStart w:id="183" w:name="lt_pId173"/>
            <w:r w:rsidRPr="000B002B">
              <w:rPr>
                <w:lang w:val="fr-CH"/>
              </w:rPr>
              <w:t>Protection des services de sécurité vis-à-vis des rayonnements non désirés</w:t>
            </w:r>
            <w:bookmarkEnd w:id="183"/>
          </w:p>
        </w:tc>
        <w:tc>
          <w:tcPr>
            <w:tcW w:w="1362" w:type="dxa"/>
          </w:tcPr>
          <w:p w:rsidR="00973141" w:rsidRPr="00C01667" w:rsidRDefault="00422013" w:rsidP="00F40F9D">
            <w:pPr>
              <w:pStyle w:val="Tabletext"/>
              <w:jc w:val="center"/>
              <w:rPr>
                <w:lang w:val="en-US"/>
              </w:rPr>
            </w:pPr>
            <w:bookmarkStart w:id="184" w:name="lt_pId174"/>
            <w:r w:rsidRPr="000B002B">
              <w:rPr>
                <w:lang w:val="en-US"/>
              </w:rPr>
              <w:t>NOC</w:t>
            </w:r>
            <w:bookmarkEnd w:id="184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85" w:name="lt_pId175"/>
            <w:r w:rsidRPr="000B002B">
              <w:rPr>
                <w:b/>
                <w:lang w:val="en-US"/>
              </w:rPr>
              <w:t>SM.1537-1</w:t>
            </w:r>
            <w:bookmarkEnd w:id="185"/>
          </w:p>
        </w:tc>
        <w:tc>
          <w:tcPr>
            <w:tcW w:w="5164" w:type="dxa"/>
          </w:tcPr>
          <w:p w:rsidR="00973141" w:rsidRPr="00FA1AED" w:rsidRDefault="00FA1AED" w:rsidP="00F40F9D">
            <w:pPr>
              <w:pStyle w:val="Tabletext"/>
              <w:rPr>
                <w:lang w:val="fr-CH"/>
              </w:rPr>
            </w:pPr>
            <w:bookmarkStart w:id="186" w:name="lt_pId176"/>
            <w:r w:rsidRPr="000B002B">
              <w:rPr>
                <w:lang w:val="fr-CH"/>
              </w:rPr>
              <w:t>Automatisation et intégration de systèmes de contrôle du spectre avec gestion automatisée du spectre</w:t>
            </w:r>
            <w:bookmarkEnd w:id="186"/>
          </w:p>
        </w:tc>
        <w:tc>
          <w:tcPr>
            <w:tcW w:w="1362" w:type="dxa"/>
          </w:tcPr>
          <w:p w:rsidR="00973141" w:rsidRPr="00C01667" w:rsidRDefault="00201314" w:rsidP="00F40F9D">
            <w:pPr>
              <w:pStyle w:val="Tabletext"/>
              <w:jc w:val="center"/>
              <w:rPr>
                <w:lang w:val="en-US"/>
              </w:rPr>
            </w:pPr>
            <w:bookmarkStart w:id="187" w:name="lt_pId177"/>
            <w:r w:rsidRPr="000B002B">
              <w:rPr>
                <w:lang w:val="en-US"/>
              </w:rPr>
              <w:t>NOC</w:t>
            </w:r>
            <w:bookmarkEnd w:id="187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3E36D0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88" w:name="lt_pId178"/>
            <w:r w:rsidRPr="000B002B">
              <w:rPr>
                <w:b/>
                <w:lang w:val="en-US"/>
              </w:rPr>
              <w:t>SM.1539-1</w:t>
            </w:r>
            <w:bookmarkEnd w:id="188"/>
          </w:p>
        </w:tc>
        <w:tc>
          <w:tcPr>
            <w:tcW w:w="5164" w:type="dxa"/>
          </w:tcPr>
          <w:p w:rsidR="00973141" w:rsidRPr="00361798" w:rsidRDefault="001F1617" w:rsidP="00F40F9D">
            <w:pPr>
              <w:pStyle w:val="Tabletext"/>
              <w:rPr>
                <w:lang w:val="fr-CH"/>
              </w:rPr>
            </w:pPr>
            <w:bookmarkStart w:id="189" w:name="lt_pId179"/>
            <w:r w:rsidRPr="000B002B">
              <w:rPr>
                <w:lang w:val="fr-CH"/>
              </w:rPr>
              <w:t>Variation de la frontière entre le domaine des émissions hors bande et le domaine des rayonnements non essentiels dont il faut tenir compte dans l'application des Recommandations UIT-R SM.1541 et UIT-R SM.329</w:t>
            </w:r>
            <w:bookmarkEnd w:id="189"/>
          </w:p>
        </w:tc>
        <w:tc>
          <w:tcPr>
            <w:tcW w:w="1362" w:type="dxa"/>
          </w:tcPr>
          <w:p w:rsidR="00973141" w:rsidRPr="00C01667" w:rsidRDefault="00361798" w:rsidP="00F40F9D">
            <w:pPr>
              <w:pStyle w:val="Tabletext"/>
              <w:jc w:val="center"/>
              <w:rPr>
                <w:lang w:val="en-US"/>
              </w:rPr>
            </w:pPr>
            <w:bookmarkStart w:id="190" w:name="lt_pId180"/>
            <w:r w:rsidRPr="000B002B">
              <w:rPr>
                <w:lang w:val="en-US"/>
              </w:rPr>
              <w:t>NOC</w:t>
            </w:r>
            <w:bookmarkEnd w:id="190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91" w:name="lt_pId181"/>
            <w:r w:rsidRPr="00945E93">
              <w:rPr>
                <w:b/>
                <w:lang w:val="en-US"/>
              </w:rPr>
              <w:t>SM.</w:t>
            </w:r>
            <w:r>
              <w:rPr>
                <w:b/>
              </w:rPr>
              <w:t>1540-0</w:t>
            </w:r>
            <w:bookmarkEnd w:id="191"/>
          </w:p>
        </w:tc>
        <w:tc>
          <w:tcPr>
            <w:tcW w:w="5164" w:type="dxa"/>
          </w:tcPr>
          <w:p w:rsidR="00973141" w:rsidRPr="003043C0" w:rsidRDefault="0032335F" w:rsidP="00F40F9D">
            <w:pPr>
              <w:pStyle w:val="Tabletext"/>
              <w:rPr>
                <w:lang w:val="fr-CH"/>
              </w:rPr>
            </w:pPr>
            <w:bookmarkStart w:id="192" w:name="lt_pId182"/>
            <w:r w:rsidRPr="000B002B">
              <w:rPr>
                <w:lang w:val="fr-CH"/>
              </w:rPr>
              <w:t>Rayonnements non désirés du domaine des émissions hors bande tombant dans les bandes adjacentes attribuées</w:t>
            </w:r>
            <w:bookmarkEnd w:id="192"/>
          </w:p>
        </w:tc>
        <w:tc>
          <w:tcPr>
            <w:tcW w:w="1362" w:type="dxa"/>
          </w:tcPr>
          <w:p w:rsidR="00973141" w:rsidRPr="00C01667" w:rsidRDefault="003043C0" w:rsidP="00F40F9D">
            <w:pPr>
              <w:pStyle w:val="Tabletext"/>
              <w:jc w:val="center"/>
              <w:rPr>
                <w:lang w:val="en-US"/>
              </w:rPr>
            </w:pPr>
            <w:bookmarkStart w:id="193" w:name="lt_pId183"/>
            <w:r w:rsidRPr="000B002B">
              <w:rPr>
                <w:lang w:val="en-US"/>
              </w:rPr>
              <w:t>NOC</w:t>
            </w:r>
            <w:bookmarkEnd w:id="193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>
            <w:pPr>
              <w:pStyle w:val="Tabletext"/>
              <w:jc w:val="center"/>
              <w:rPr>
                <w:b/>
                <w:lang w:val="en-US"/>
              </w:rPr>
            </w:pPr>
            <w:bookmarkStart w:id="194" w:name="lt_pId184"/>
            <w:r w:rsidRPr="000B002B">
              <w:rPr>
                <w:b/>
                <w:lang w:val="en-US"/>
              </w:rPr>
              <w:t>SM.1541-6</w:t>
            </w:r>
            <w:bookmarkEnd w:id="194"/>
          </w:p>
        </w:tc>
        <w:tc>
          <w:tcPr>
            <w:tcW w:w="5164" w:type="dxa"/>
          </w:tcPr>
          <w:p w:rsidR="00973141" w:rsidRPr="00E70ED8" w:rsidRDefault="00E70ED8" w:rsidP="00F40F9D">
            <w:pPr>
              <w:pStyle w:val="Tabletext"/>
              <w:rPr>
                <w:lang w:val="fr-CH"/>
              </w:rPr>
            </w:pPr>
            <w:bookmarkStart w:id="195" w:name="lt_pId185"/>
            <w:r w:rsidRPr="000B002B">
              <w:rPr>
                <w:lang w:val="fr-CH"/>
              </w:rPr>
              <w:t>Rayonnements non désirés dans le domaine des émissions hors bande</w:t>
            </w:r>
            <w:bookmarkEnd w:id="195"/>
          </w:p>
        </w:tc>
        <w:tc>
          <w:tcPr>
            <w:tcW w:w="1362" w:type="dxa"/>
          </w:tcPr>
          <w:p w:rsidR="00973141" w:rsidRPr="00C01667" w:rsidRDefault="00360019" w:rsidP="00F40F9D">
            <w:pPr>
              <w:pStyle w:val="Tabletext"/>
              <w:jc w:val="center"/>
              <w:rPr>
                <w:lang w:val="en-US"/>
              </w:rPr>
            </w:pPr>
            <w:bookmarkStart w:id="196" w:name="lt_pId186"/>
            <w:r w:rsidRPr="000B002B">
              <w:rPr>
                <w:lang w:val="en-US"/>
              </w:rPr>
              <w:t>NOC</w:t>
            </w:r>
            <w:bookmarkEnd w:id="196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197" w:name="lt_pId187"/>
            <w:r>
              <w:rPr>
                <w:b/>
                <w:lang w:val="en-US"/>
              </w:rPr>
              <w:t>SM.1542-0</w:t>
            </w:r>
            <w:bookmarkEnd w:id="197"/>
          </w:p>
        </w:tc>
        <w:tc>
          <w:tcPr>
            <w:tcW w:w="5164" w:type="dxa"/>
          </w:tcPr>
          <w:p w:rsidR="00973141" w:rsidRPr="00A765DA" w:rsidRDefault="00A765DA" w:rsidP="00F40F9D">
            <w:pPr>
              <w:pStyle w:val="Tabletext"/>
              <w:rPr>
                <w:lang w:val="fr-CH"/>
              </w:rPr>
            </w:pPr>
            <w:bookmarkStart w:id="198" w:name="lt_pId188"/>
            <w:r w:rsidRPr="000B002B">
              <w:rPr>
                <w:lang w:val="fr-CH"/>
              </w:rPr>
              <w:t>Protection des services passifs contre les rayonnements non désirés</w:t>
            </w:r>
            <w:bookmarkEnd w:id="198"/>
          </w:p>
        </w:tc>
        <w:tc>
          <w:tcPr>
            <w:tcW w:w="1362" w:type="dxa"/>
          </w:tcPr>
          <w:p w:rsidR="00973141" w:rsidRPr="00C01667" w:rsidRDefault="004F1381" w:rsidP="00F40F9D">
            <w:pPr>
              <w:pStyle w:val="Tabletext"/>
              <w:jc w:val="center"/>
              <w:rPr>
                <w:lang w:val="en-US"/>
              </w:rPr>
            </w:pPr>
            <w:bookmarkStart w:id="199" w:name="lt_pId189"/>
            <w:r w:rsidRPr="000B002B">
              <w:rPr>
                <w:lang w:val="en-US"/>
              </w:rPr>
              <w:t>NOC</w:t>
            </w:r>
            <w:bookmarkEnd w:id="199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200" w:name="lt_pId190"/>
            <w:r>
              <w:rPr>
                <w:b/>
              </w:rPr>
              <w:t>SM.1598-0</w:t>
            </w:r>
            <w:bookmarkEnd w:id="200"/>
          </w:p>
        </w:tc>
        <w:tc>
          <w:tcPr>
            <w:tcW w:w="5164" w:type="dxa"/>
          </w:tcPr>
          <w:p w:rsidR="00973141" w:rsidRPr="002D5272" w:rsidRDefault="00BB4556" w:rsidP="00F40F9D">
            <w:pPr>
              <w:pStyle w:val="Tabletext"/>
              <w:rPr>
                <w:lang w:val="fr-CH"/>
              </w:rPr>
            </w:pPr>
            <w:bookmarkStart w:id="201" w:name="lt_pId191"/>
            <w:r w:rsidRPr="000B002B">
              <w:rPr>
                <w:lang w:val="fr-CH"/>
              </w:rPr>
              <w:t>Méthodes de radiogoniométrie et de localisation de signaux à accès multiple par répartition dans le temps et à accès multiple par répartition en code</w:t>
            </w:r>
            <w:bookmarkEnd w:id="201"/>
          </w:p>
        </w:tc>
        <w:tc>
          <w:tcPr>
            <w:tcW w:w="1362" w:type="dxa"/>
          </w:tcPr>
          <w:p w:rsidR="00973141" w:rsidRPr="00C01667" w:rsidRDefault="002D5272" w:rsidP="00F40F9D">
            <w:pPr>
              <w:pStyle w:val="Tabletext"/>
              <w:jc w:val="center"/>
              <w:rPr>
                <w:lang w:val="en-US"/>
              </w:rPr>
            </w:pPr>
            <w:bookmarkStart w:id="202" w:name="lt_pId192"/>
            <w:r w:rsidRPr="000B002B">
              <w:t>NOC</w:t>
            </w:r>
            <w:bookmarkEnd w:id="202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686F62" w:rsidP="00F40F9D">
            <w:pPr>
              <w:pStyle w:val="Tabletext"/>
              <w:jc w:val="center"/>
              <w:rPr>
                <w:b/>
                <w:lang w:val="en-US"/>
              </w:rPr>
            </w:pPr>
            <w:bookmarkStart w:id="203" w:name="lt_pId193"/>
            <w:r w:rsidRPr="000B002B">
              <w:rPr>
                <w:b/>
              </w:rPr>
              <w:t>SM.1599-1</w:t>
            </w:r>
            <w:bookmarkEnd w:id="203"/>
          </w:p>
        </w:tc>
        <w:tc>
          <w:tcPr>
            <w:tcW w:w="5164" w:type="dxa"/>
          </w:tcPr>
          <w:p w:rsidR="00973141" w:rsidRPr="00E5277A" w:rsidRDefault="0080438C" w:rsidP="00F40F9D">
            <w:pPr>
              <w:pStyle w:val="Tabletext"/>
              <w:rPr>
                <w:lang w:val="fr-CH"/>
              </w:rPr>
            </w:pPr>
            <w:bookmarkStart w:id="204" w:name="lt_pId194"/>
            <w:r w:rsidRPr="000B002B">
              <w:rPr>
                <w:lang w:val="fr-CH"/>
              </w:rPr>
              <w:t>Détermination de la répartition géographique et en fréquence du facteur d'utilisation du spectre aux fins de la planification des fréquences</w:t>
            </w:r>
            <w:bookmarkEnd w:id="204"/>
          </w:p>
        </w:tc>
        <w:tc>
          <w:tcPr>
            <w:tcW w:w="1362" w:type="dxa"/>
          </w:tcPr>
          <w:p w:rsidR="00973141" w:rsidRPr="00C01667" w:rsidRDefault="00E5277A" w:rsidP="00F40F9D">
            <w:pPr>
              <w:pStyle w:val="Tabletext"/>
              <w:jc w:val="center"/>
              <w:rPr>
                <w:lang w:val="en-US"/>
              </w:rPr>
            </w:pPr>
            <w:bookmarkStart w:id="205" w:name="lt_pId195"/>
            <w:r w:rsidRPr="000B002B">
              <w:t>NOC</w:t>
            </w:r>
            <w:bookmarkEnd w:id="205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>
            <w:pPr>
              <w:pStyle w:val="Tabletext"/>
              <w:jc w:val="center"/>
              <w:rPr>
                <w:b/>
              </w:rPr>
            </w:pPr>
            <w:bookmarkStart w:id="206" w:name="lt_pId196"/>
            <w:r w:rsidRPr="000B002B">
              <w:rPr>
                <w:b/>
              </w:rPr>
              <w:t>SM.1600-2</w:t>
            </w:r>
            <w:bookmarkEnd w:id="206"/>
          </w:p>
        </w:tc>
        <w:tc>
          <w:tcPr>
            <w:tcW w:w="5164" w:type="dxa"/>
          </w:tcPr>
          <w:p w:rsidR="00973141" w:rsidRPr="000A429A" w:rsidRDefault="00473CF2" w:rsidP="00F40F9D">
            <w:pPr>
              <w:pStyle w:val="Tabletext"/>
              <w:rPr>
                <w:lang w:val="fr-CH"/>
              </w:rPr>
            </w:pPr>
            <w:bookmarkStart w:id="207" w:name="lt_pId197"/>
            <w:r w:rsidRPr="000B002B">
              <w:rPr>
                <w:lang w:val="fr-CH"/>
              </w:rPr>
              <w:t>Identification technique des signaux numériques</w:t>
            </w:r>
            <w:bookmarkEnd w:id="207"/>
          </w:p>
        </w:tc>
        <w:tc>
          <w:tcPr>
            <w:tcW w:w="1362" w:type="dxa"/>
          </w:tcPr>
          <w:p w:rsidR="00973141" w:rsidRPr="00C01667" w:rsidRDefault="000A429A" w:rsidP="00F40F9D">
            <w:pPr>
              <w:pStyle w:val="Tabletext"/>
              <w:jc w:val="center"/>
            </w:pPr>
            <w:bookmarkStart w:id="208" w:name="lt_pId198"/>
            <w:r w:rsidRPr="000B002B">
              <w:t>NOC</w:t>
            </w:r>
            <w:bookmarkEnd w:id="208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>
            <w:pPr>
              <w:pStyle w:val="Tabletext"/>
              <w:jc w:val="center"/>
              <w:rPr>
                <w:b/>
              </w:rPr>
            </w:pPr>
            <w:bookmarkStart w:id="209" w:name="lt_pId199"/>
            <w:r w:rsidRPr="000B002B">
              <w:rPr>
                <w:b/>
              </w:rPr>
              <w:t>SM.1603-2</w:t>
            </w:r>
            <w:bookmarkEnd w:id="209"/>
          </w:p>
        </w:tc>
        <w:tc>
          <w:tcPr>
            <w:tcW w:w="5164" w:type="dxa"/>
          </w:tcPr>
          <w:p w:rsidR="00973141" w:rsidRPr="00A379E7" w:rsidRDefault="00A379E7" w:rsidP="00F40F9D">
            <w:pPr>
              <w:pStyle w:val="Tabletext"/>
              <w:rPr>
                <w:lang w:val="fr-CH"/>
              </w:rPr>
            </w:pPr>
            <w:bookmarkStart w:id="210" w:name="lt_pId200"/>
            <w:r w:rsidRPr="000B002B">
              <w:rPr>
                <w:lang w:val="fr-CH"/>
              </w:rPr>
              <w:t>Redéploiement du spectre en tant que méthode de gestion nationale du spectre</w:t>
            </w:r>
            <w:bookmarkEnd w:id="210"/>
          </w:p>
        </w:tc>
        <w:tc>
          <w:tcPr>
            <w:tcW w:w="1362" w:type="dxa"/>
          </w:tcPr>
          <w:p w:rsidR="00973141" w:rsidRPr="00C01667" w:rsidRDefault="00BC1D7C" w:rsidP="00F40F9D">
            <w:pPr>
              <w:pStyle w:val="Tabletext"/>
              <w:jc w:val="center"/>
            </w:pPr>
            <w:bookmarkStart w:id="211" w:name="lt_pId201"/>
            <w:r w:rsidRPr="000B002B">
              <w:t>NOC</w:t>
            </w:r>
            <w:bookmarkEnd w:id="211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</w:rPr>
            </w:pPr>
            <w:bookmarkStart w:id="212" w:name="lt_pId202"/>
            <w:r>
              <w:rPr>
                <w:b/>
              </w:rPr>
              <w:t>SM.1604-0</w:t>
            </w:r>
            <w:bookmarkEnd w:id="212"/>
          </w:p>
        </w:tc>
        <w:tc>
          <w:tcPr>
            <w:tcW w:w="5164" w:type="dxa"/>
          </w:tcPr>
          <w:p w:rsidR="00973141" w:rsidRPr="00202EA5" w:rsidRDefault="00DD0933" w:rsidP="00F40F9D">
            <w:pPr>
              <w:pStyle w:val="Tabletext"/>
              <w:rPr>
                <w:lang w:val="fr-CH"/>
              </w:rPr>
            </w:pPr>
            <w:bookmarkStart w:id="213" w:name="lt_pId203"/>
            <w:r w:rsidRPr="000B002B">
              <w:rPr>
                <w:lang w:val="fr-CH"/>
              </w:rPr>
              <w:t>Directives de conception d'un système actualisé de gestion du spectre destiné aux pays en développement</w:t>
            </w:r>
            <w:bookmarkEnd w:id="213"/>
          </w:p>
        </w:tc>
        <w:tc>
          <w:tcPr>
            <w:tcW w:w="1362" w:type="dxa"/>
          </w:tcPr>
          <w:p w:rsidR="00973141" w:rsidRPr="00C01667" w:rsidRDefault="00202EA5" w:rsidP="00F40F9D">
            <w:pPr>
              <w:pStyle w:val="Tabletext"/>
              <w:jc w:val="center"/>
            </w:pPr>
            <w:bookmarkStart w:id="214" w:name="lt_pId204"/>
            <w:r w:rsidRPr="000B002B">
              <w:t>NOC</w:t>
            </w:r>
            <w:bookmarkEnd w:id="214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b/>
              </w:rPr>
            </w:pPr>
            <w:bookmarkStart w:id="215" w:name="lt_pId205"/>
            <w:r>
              <w:rPr>
                <w:rFonts w:eastAsia="MS Mincho"/>
                <w:b/>
              </w:rPr>
              <w:t>SM.1633-0</w:t>
            </w:r>
            <w:bookmarkEnd w:id="215"/>
          </w:p>
        </w:tc>
        <w:tc>
          <w:tcPr>
            <w:tcW w:w="5164" w:type="dxa"/>
          </w:tcPr>
          <w:p w:rsidR="00973141" w:rsidRPr="00CD31E0" w:rsidRDefault="00B34397" w:rsidP="00F40F9D">
            <w:pPr>
              <w:pStyle w:val="Tabletext"/>
              <w:rPr>
                <w:lang w:val="fr-CH"/>
              </w:rPr>
            </w:pPr>
            <w:bookmarkStart w:id="216" w:name="lt_pId206"/>
            <w:r w:rsidRPr="000B002B">
              <w:rPr>
                <w:lang w:val="fr-CH"/>
              </w:rPr>
              <w:t>Analyse de compatibilité entre un service passif et un service actif ayant des attributions dans des bandes adjacentes et voisines</w:t>
            </w:r>
            <w:bookmarkEnd w:id="216"/>
          </w:p>
        </w:tc>
        <w:tc>
          <w:tcPr>
            <w:tcW w:w="1362" w:type="dxa"/>
          </w:tcPr>
          <w:p w:rsidR="00973141" w:rsidRPr="00C01667" w:rsidRDefault="00CD31E0" w:rsidP="00F40F9D">
            <w:pPr>
              <w:pStyle w:val="Tabletext"/>
              <w:jc w:val="center"/>
            </w:pPr>
            <w:bookmarkStart w:id="217" w:name="lt_pId207"/>
            <w:r w:rsidRPr="000B002B">
              <w:t>NOC</w:t>
            </w:r>
            <w:bookmarkEnd w:id="217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18" w:name="lt_pId208"/>
            <w:r>
              <w:rPr>
                <w:rFonts w:eastAsia="MS Mincho"/>
                <w:b/>
              </w:rPr>
              <w:t>SM.1681-0</w:t>
            </w:r>
            <w:bookmarkEnd w:id="218"/>
          </w:p>
        </w:tc>
        <w:tc>
          <w:tcPr>
            <w:tcW w:w="5164" w:type="dxa"/>
          </w:tcPr>
          <w:p w:rsidR="00973141" w:rsidRPr="00FB6336" w:rsidRDefault="00680E53" w:rsidP="00F40F9D">
            <w:pPr>
              <w:pStyle w:val="Tabletext"/>
              <w:rPr>
                <w:lang w:val="fr-CH"/>
              </w:rPr>
            </w:pPr>
            <w:bookmarkStart w:id="219" w:name="lt_pId209"/>
            <w:r w:rsidRPr="000B002B">
              <w:rPr>
                <w:lang w:val="fr-CH" w:eastAsia="fr-FR"/>
              </w:rPr>
              <w:t>Mesure des émissions de faible niveau en provenance de stations spatiales par des stations terriennes de contrôle utilisant des techniques de réduction du bruit</w:t>
            </w:r>
            <w:bookmarkEnd w:id="219"/>
          </w:p>
        </w:tc>
        <w:tc>
          <w:tcPr>
            <w:tcW w:w="1362" w:type="dxa"/>
          </w:tcPr>
          <w:p w:rsidR="00973141" w:rsidRPr="00C01667" w:rsidRDefault="00FB6336" w:rsidP="00F40F9D">
            <w:pPr>
              <w:pStyle w:val="Tabletext"/>
              <w:jc w:val="center"/>
            </w:pPr>
            <w:bookmarkStart w:id="220" w:name="lt_pId210"/>
            <w:r w:rsidRPr="000B002B">
              <w:t>NOC</w:t>
            </w:r>
            <w:bookmarkEnd w:id="220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814D9F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21" w:name="lt_pId211"/>
            <w:r w:rsidRPr="000B002B">
              <w:rPr>
                <w:rFonts w:eastAsia="MS Mincho"/>
                <w:b/>
              </w:rPr>
              <w:t>SM.1682-1</w:t>
            </w:r>
            <w:bookmarkEnd w:id="221"/>
          </w:p>
        </w:tc>
        <w:tc>
          <w:tcPr>
            <w:tcW w:w="5164" w:type="dxa"/>
          </w:tcPr>
          <w:p w:rsidR="00973141" w:rsidRPr="00374D8B" w:rsidRDefault="00F52C89" w:rsidP="00F40F9D">
            <w:pPr>
              <w:pStyle w:val="Tabletext"/>
              <w:rPr>
                <w:lang w:val="fr-CH" w:eastAsia="fr-FR"/>
              </w:rPr>
            </w:pPr>
            <w:bookmarkStart w:id="222" w:name="lt_pId212"/>
            <w:r w:rsidRPr="000B002B">
              <w:rPr>
                <w:lang w:val="fr-CH" w:eastAsia="fr-FR"/>
              </w:rPr>
              <w:t>Méthodes de mesure des signaux de radiodiffusion numérique</w:t>
            </w:r>
            <w:bookmarkEnd w:id="222"/>
          </w:p>
        </w:tc>
        <w:tc>
          <w:tcPr>
            <w:tcW w:w="1362" w:type="dxa"/>
          </w:tcPr>
          <w:p w:rsidR="00973141" w:rsidRPr="00C01667" w:rsidRDefault="00374D8B" w:rsidP="00F40F9D">
            <w:pPr>
              <w:pStyle w:val="Tabletext"/>
              <w:jc w:val="center"/>
            </w:pPr>
            <w:bookmarkStart w:id="223" w:name="lt_pId213"/>
            <w:r w:rsidRPr="000B002B">
              <w:t>NOC</w:t>
            </w:r>
            <w:bookmarkEnd w:id="223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E24778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24" w:name="lt_pId214"/>
            <w:r w:rsidRPr="000B002B">
              <w:rPr>
                <w:rFonts w:eastAsia="MS Mincho"/>
                <w:b/>
              </w:rPr>
              <w:t>SM.1708-1</w:t>
            </w:r>
            <w:bookmarkEnd w:id="224"/>
          </w:p>
        </w:tc>
        <w:tc>
          <w:tcPr>
            <w:tcW w:w="5164" w:type="dxa"/>
          </w:tcPr>
          <w:p w:rsidR="00973141" w:rsidRPr="00ED11BD" w:rsidRDefault="00ED11BD" w:rsidP="00F40F9D">
            <w:pPr>
              <w:pStyle w:val="Tabletext"/>
              <w:rPr>
                <w:lang w:val="fr-CH" w:eastAsia="fr-FR"/>
              </w:rPr>
            </w:pPr>
            <w:bookmarkStart w:id="225" w:name="lt_pId215"/>
            <w:r w:rsidRPr="000B002B">
              <w:rPr>
                <w:rFonts w:eastAsia="SimSun"/>
                <w:lang w:val="fr-CH" w:eastAsia="zh-CN"/>
              </w:rPr>
              <w:t>Mesures du champ le long d'un trajet, avec enregistrements des coordonnées géographiques</w:t>
            </w:r>
            <w:bookmarkEnd w:id="225"/>
          </w:p>
        </w:tc>
        <w:tc>
          <w:tcPr>
            <w:tcW w:w="1362" w:type="dxa"/>
          </w:tcPr>
          <w:p w:rsidR="00973141" w:rsidRPr="00C01667" w:rsidRDefault="00890A65" w:rsidP="00F40F9D">
            <w:pPr>
              <w:pStyle w:val="Tabletext"/>
              <w:jc w:val="center"/>
            </w:pPr>
            <w:bookmarkStart w:id="226" w:name="lt_pId216"/>
            <w:r w:rsidRPr="000B002B">
              <w:t>NOC</w:t>
            </w:r>
            <w:bookmarkEnd w:id="226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98207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27" w:name="lt_pId217"/>
            <w:r w:rsidRPr="000B002B">
              <w:rPr>
                <w:rFonts w:eastAsia="MS Mincho"/>
                <w:b/>
              </w:rPr>
              <w:t>SM.1723-2</w:t>
            </w:r>
            <w:bookmarkEnd w:id="227"/>
          </w:p>
        </w:tc>
        <w:tc>
          <w:tcPr>
            <w:tcW w:w="5164" w:type="dxa"/>
          </w:tcPr>
          <w:p w:rsidR="00973141" w:rsidRPr="006E5631" w:rsidRDefault="00D03117" w:rsidP="00F40F9D">
            <w:pPr>
              <w:pStyle w:val="Tabletext"/>
              <w:rPr>
                <w:rFonts w:eastAsia="SimSun"/>
                <w:lang w:val="fr-CH" w:eastAsia="zh-CN"/>
              </w:rPr>
            </w:pPr>
            <w:bookmarkStart w:id="228" w:name="lt_pId218"/>
            <w:r w:rsidRPr="000B002B">
              <w:rPr>
                <w:lang w:val="fr-CH"/>
              </w:rPr>
              <w:t>Unité mobile de contrôle du spectre</w:t>
            </w:r>
            <w:bookmarkEnd w:id="228"/>
          </w:p>
        </w:tc>
        <w:tc>
          <w:tcPr>
            <w:tcW w:w="1362" w:type="dxa"/>
          </w:tcPr>
          <w:p w:rsidR="00973141" w:rsidRPr="00C01667" w:rsidRDefault="006E5631" w:rsidP="00F40F9D">
            <w:pPr>
              <w:pStyle w:val="Tabletext"/>
              <w:jc w:val="center"/>
            </w:pPr>
            <w:bookmarkStart w:id="229" w:name="lt_pId219"/>
            <w:r w:rsidRPr="000B002B">
              <w:t>NOC</w:t>
            </w:r>
            <w:bookmarkEnd w:id="229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30" w:name="lt_pId220"/>
            <w:r>
              <w:rPr>
                <w:rFonts w:eastAsia="MS Mincho"/>
                <w:b/>
              </w:rPr>
              <w:t>SM.1751-0</w:t>
            </w:r>
            <w:bookmarkEnd w:id="230"/>
          </w:p>
        </w:tc>
        <w:tc>
          <w:tcPr>
            <w:tcW w:w="5164" w:type="dxa"/>
          </w:tcPr>
          <w:p w:rsidR="00973141" w:rsidRPr="003B595A" w:rsidRDefault="003B595A" w:rsidP="00F40F9D">
            <w:pPr>
              <w:pStyle w:val="Tabletext"/>
              <w:rPr>
                <w:b/>
                <w:lang w:val="fr-CH"/>
              </w:rPr>
            </w:pPr>
            <w:bookmarkStart w:id="231" w:name="lt_pId221"/>
            <w:r w:rsidRPr="000B002B">
              <w:rPr>
                <w:lang w:val="fr-CH"/>
              </w:rPr>
              <w:t>Méthode d'évaluation additionnelle des effets des brouillages entre des réseaux de radiocommunication qui utilisent en partage la même bande de fréquences</w:t>
            </w:r>
            <w:bookmarkEnd w:id="231"/>
          </w:p>
        </w:tc>
        <w:tc>
          <w:tcPr>
            <w:tcW w:w="1362" w:type="dxa"/>
          </w:tcPr>
          <w:p w:rsidR="00973141" w:rsidRPr="00B54EFE" w:rsidRDefault="008E4EBE" w:rsidP="00F40F9D">
            <w:pPr>
              <w:pStyle w:val="Tabletext"/>
              <w:jc w:val="center"/>
            </w:pPr>
            <w:bookmarkStart w:id="232" w:name="lt_pId222"/>
            <w:r w:rsidRPr="000B002B">
              <w:t>NOC</w:t>
            </w:r>
            <w:bookmarkEnd w:id="232"/>
          </w:p>
        </w:tc>
        <w:tc>
          <w:tcPr>
            <w:tcW w:w="1472" w:type="dxa"/>
          </w:tcPr>
          <w:p w:rsidR="00973141" w:rsidRPr="00B54EFE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33" w:name="lt_pId223"/>
            <w:r w:rsidRPr="000B002B">
              <w:rPr>
                <w:rFonts w:eastAsia="MS Mincho"/>
                <w:b/>
              </w:rPr>
              <w:t>SM.1753-2</w:t>
            </w:r>
            <w:bookmarkEnd w:id="233"/>
          </w:p>
        </w:tc>
        <w:tc>
          <w:tcPr>
            <w:tcW w:w="5164" w:type="dxa"/>
          </w:tcPr>
          <w:p w:rsidR="00973141" w:rsidRPr="00C54B3F" w:rsidRDefault="005566FA" w:rsidP="00F40F9D">
            <w:pPr>
              <w:pStyle w:val="Tabletext"/>
              <w:rPr>
                <w:b/>
                <w:lang w:val="fr-CH"/>
              </w:rPr>
            </w:pPr>
            <w:bookmarkStart w:id="234" w:name="lt_pId224"/>
            <w:r w:rsidRPr="000B002B">
              <w:rPr>
                <w:lang w:val="fr-CH"/>
              </w:rPr>
              <w:t>Méthodes pour mesurer le bruit radioélectrique</w:t>
            </w:r>
            <w:bookmarkEnd w:id="234"/>
          </w:p>
        </w:tc>
        <w:tc>
          <w:tcPr>
            <w:tcW w:w="1362" w:type="dxa"/>
          </w:tcPr>
          <w:p w:rsidR="00973141" w:rsidRPr="006A67EB" w:rsidRDefault="00C54B3F" w:rsidP="00F40F9D">
            <w:pPr>
              <w:pStyle w:val="Tabletext"/>
              <w:jc w:val="center"/>
            </w:pPr>
            <w:bookmarkStart w:id="235" w:name="lt_pId225"/>
            <w:r w:rsidRPr="000B002B">
              <w:t>NOC</w:t>
            </w:r>
            <w:bookmarkEnd w:id="235"/>
          </w:p>
        </w:tc>
        <w:tc>
          <w:tcPr>
            <w:tcW w:w="1472" w:type="dxa"/>
          </w:tcPr>
          <w:p w:rsidR="00973141" w:rsidRPr="00A35BFB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36" w:name="lt_pId226"/>
            <w:r>
              <w:rPr>
                <w:rFonts w:eastAsia="MS Mincho"/>
                <w:b/>
              </w:rPr>
              <w:t>SM.1754-0</w:t>
            </w:r>
            <w:bookmarkEnd w:id="236"/>
          </w:p>
        </w:tc>
        <w:tc>
          <w:tcPr>
            <w:tcW w:w="5164" w:type="dxa"/>
          </w:tcPr>
          <w:p w:rsidR="00973141" w:rsidRPr="00005874" w:rsidRDefault="00ED48FE" w:rsidP="00F40F9D">
            <w:pPr>
              <w:pStyle w:val="Tabletext"/>
              <w:rPr>
                <w:b/>
                <w:lang w:val="fr-CH"/>
              </w:rPr>
            </w:pPr>
            <w:bookmarkStart w:id="237" w:name="lt_pId227"/>
            <w:r w:rsidRPr="000B002B">
              <w:rPr>
                <w:lang w:val="fr-CH"/>
              </w:rPr>
              <w:t>Techniques de mesure des émissions à bande ultralarge</w:t>
            </w:r>
            <w:bookmarkEnd w:id="237"/>
          </w:p>
        </w:tc>
        <w:tc>
          <w:tcPr>
            <w:tcW w:w="1362" w:type="dxa"/>
          </w:tcPr>
          <w:p w:rsidR="00973141" w:rsidRPr="006A67EB" w:rsidRDefault="00005874" w:rsidP="00F40F9D">
            <w:pPr>
              <w:pStyle w:val="Tabletext"/>
              <w:jc w:val="center"/>
            </w:pPr>
            <w:bookmarkStart w:id="238" w:name="lt_pId228"/>
            <w:r w:rsidRPr="000B002B">
              <w:t>NOC</w:t>
            </w:r>
            <w:bookmarkEnd w:id="238"/>
          </w:p>
        </w:tc>
        <w:tc>
          <w:tcPr>
            <w:tcW w:w="1472" w:type="dxa"/>
          </w:tcPr>
          <w:p w:rsidR="00973141" w:rsidRPr="00A35BFB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39" w:name="lt_pId229"/>
            <w:r>
              <w:rPr>
                <w:rFonts w:eastAsia="MS Mincho"/>
                <w:b/>
              </w:rPr>
              <w:t>SM.1755-0</w:t>
            </w:r>
            <w:bookmarkEnd w:id="239"/>
          </w:p>
        </w:tc>
        <w:tc>
          <w:tcPr>
            <w:tcW w:w="5164" w:type="dxa"/>
          </w:tcPr>
          <w:p w:rsidR="00973141" w:rsidRPr="007D74DE" w:rsidRDefault="00B9158A" w:rsidP="00F40F9D">
            <w:pPr>
              <w:pStyle w:val="Tabletext"/>
              <w:rPr>
                <w:b/>
                <w:lang w:val="fr-CH"/>
              </w:rPr>
            </w:pPr>
            <w:bookmarkStart w:id="240" w:name="lt_pId230"/>
            <w:r w:rsidRPr="000B002B">
              <w:rPr>
                <w:lang w:val="fr-CH"/>
              </w:rPr>
              <w:t>Caractéristiques de la technologie à bande ultralarge</w:t>
            </w:r>
            <w:bookmarkEnd w:id="240"/>
          </w:p>
        </w:tc>
        <w:tc>
          <w:tcPr>
            <w:tcW w:w="1362" w:type="dxa"/>
          </w:tcPr>
          <w:p w:rsidR="00973141" w:rsidRPr="006A67EB" w:rsidRDefault="007D74DE" w:rsidP="00F40F9D">
            <w:pPr>
              <w:pStyle w:val="Tabletext"/>
              <w:jc w:val="center"/>
            </w:pPr>
            <w:bookmarkStart w:id="241" w:name="lt_pId231"/>
            <w:r w:rsidRPr="000B002B">
              <w:t>NOC</w:t>
            </w:r>
            <w:bookmarkEnd w:id="241"/>
          </w:p>
        </w:tc>
        <w:tc>
          <w:tcPr>
            <w:tcW w:w="1472" w:type="dxa"/>
          </w:tcPr>
          <w:p w:rsidR="00973141" w:rsidRPr="00A35BFB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42" w:name="lt_pId232"/>
            <w:r>
              <w:rPr>
                <w:rFonts w:eastAsia="MS Mincho"/>
                <w:b/>
              </w:rPr>
              <w:t>SM.1756-0</w:t>
            </w:r>
            <w:bookmarkEnd w:id="242"/>
          </w:p>
        </w:tc>
        <w:tc>
          <w:tcPr>
            <w:tcW w:w="5164" w:type="dxa"/>
          </w:tcPr>
          <w:p w:rsidR="00973141" w:rsidRPr="00B25F9A" w:rsidRDefault="00482C3A" w:rsidP="00F40F9D">
            <w:pPr>
              <w:pStyle w:val="Tabletext"/>
              <w:rPr>
                <w:b/>
                <w:lang w:val="fr-CH"/>
              </w:rPr>
            </w:pPr>
            <w:bookmarkStart w:id="243" w:name="lt_pId233"/>
            <w:r w:rsidRPr="000B002B">
              <w:rPr>
                <w:lang w:val="fr-CH"/>
              </w:rPr>
              <w:t>Cadre pour la mise en place de dispositifs recourant à la technologie à bande ultralarge</w:t>
            </w:r>
            <w:bookmarkEnd w:id="243"/>
          </w:p>
        </w:tc>
        <w:tc>
          <w:tcPr>
            <w:tcW w:w="1362" w:type="dxa"/>
          </w:tcPr>
          <w:p w:rsidR="00973141" w:rsidRPr="006A67EB" w:rsidRDefault="00B25F9A" w:rsidP="00F40F9D">
            <w:pPr>
              <w:pStyle w:val="Tabletext"/>
              <w:jc w:val="center"/>
            </w:pPr>
            <w:bookmarkStart w:id="244" w:name="lt_pId234"/>
            <w:r w:rsidRPr="000B002B">
              <w:t>NOC</w:t>
            </w:r>
            <w:bookmarkEnd w:id="244"/>
          </w:p>
        </w:tc>
        <w:tc>
          <w:tcPr>
            <w:tcW w:w="1472" w:type="dxa"/>
          </w:tcPr>
          <w:p w:rsidR="00973141" w:rsidRPr="00A35BFB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45" w:name="lt_pId235"/>
            <w:r>
              <w:rPr>
                <w:rFonts w:eastAsia="MS Mincho"/>
                <w:b/>
              </w:rPr>
              <w:lastRenderedPageBreak/>
              <w:t>SM.1757-0</w:t>
            </w:r>
            <w:bookmarkEnd w:id="245"/>
          </w:p>
        </w:tc>
        <w:tc>
          <w:tcPr>
            <w:tcW w:w="5164" w:type="dxa"/>
          </w:tcPr>
          <w:p w:rsidR="00973141" w:rsidRPr="00313E98" w:rsidRDefault="00313E98" w:rsidP="00F40F9D">
            <w:pPr>
              <w:pStyle w:val="Tabletext"/>
              <w:rPr>
                <w:b/>
                <w:lang w:val="fr-CH"/>
              </w:rPr>
            </w:pPr>
            <w:bookmarkStart w:id="246" w:name="lt_pId236"/>
            <w:r w:rsidRPr="000B002B">
              <w:rPr>
                <w:lang w:val="fr-CH"/>
              </w:rPr>
              <w:t>Incidence des dispositifs recourant à la technologie à bande ultralarge sur les systèmes fonctionnant dans le cadre des services de radiocommunication</w:t>
            </w:r>
            <w:bookmarkEnd w:id="246"/>
          </w:p>
        </w:tc>
        <w:tc>
          <w:tcPr>
            <w:tcW w:w="1362" w:type="dxa"/>
          </w:tcPr>
          <w:p w:rsidR="00973141" w:rsidRPr="006A67EB" w:rsidRDefault="00AD2E84" w:rsidP="00F40F9D">
            <w:pPr>
              <w:pStyle w:val="Tabletext"/>
              <w:jc w:val="center"/>
            </w:pPr>
            <w:bookmarkStart w:id="247" w:name="lt_pId237"/>
            <w:r w:rsidRPr="000B002B">
              <w:t>NOC</w:t>
            </w:r>
            <w:bookmarkEnd w:id="247"/>
          </w:p>
        </w:tc>
        <w:tc>
          <w:tcPr>
            <w:tcW w:w="1472" w:type="dxa"/>
          </w:tcPr>
          <w:p w:rsidR="00973141" w:rsidRPr="00A35BFB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48" w:name="lt_pId238"/>
            <w:r>
              <w:rPr>
                <w:rFonts w:eastAsia="MS Mincho"/>
                <w:b/>
              </w:rPr>
              <w:t>SM.1792-0</w:t>
            </w:r>
            <w:bookmarkEnd w:id="248"/>
          </w:p>
        </w:tc>
        <w:tc>
          <w:tcPr>
            <w:tcW w:w="5164" w:type="dxa"/>
          </w:tcPr>
          <w:p w:rsidR="00973141" w:rsidRPr="00BD235D" w:rsidRDefault="00BD235D" w:rsidP="00F40F9D">
            <w:pPr>
              <w:pStyle w:val="Tabletext"/>
              <w:rPr>
                <w:b/>
                <w:lang w:val="fr-CH"/>
              </w:rPr>
            </w:pPr>
            <w:bookmarkStart w:id="249" w:name="lt_pId239"/>
            <w:r w:rsidRPr="000B002B">
              <w:rPr>
                <w:lang w:val="fr-CH"/>
              </w:rPr>
              <w:t>Mesure des rayonnements des émetteurs T- DAB et DVB-T dans les bandes latérales en vue du contrôle des émissions</w:t>
            </w:r>
            <w:bookmarkEnd w:id="249"/>
          </w:p>
        </w:tc>
        <w:tc>
          <w:tcPr>
            <w:tcW w:w="1362" w:type="dxa"/>
          </w:tcPr>
          <w:p w:rsidR="00973141" w:rsidRPr="006A67EB" w:rsidRDefault="008C0E9F" w:rsidP="00F40F9D">
            <w:pPr>
              <w:pStyle w:val="Tabletext"/>
              <w:jc w:val="center"/>
            </w:pPr>
            <w:bookmarkStart w:id="250" w:name="lt_pId240"/>
            <w:r w:rsidRPr="000B002B">
              <w:t>NOC</w:t>
            </w:r>
            <w:bookmarkEnd w:id="250"/>
          </w:p>
        </w:tc>
        <w:tc>
          <w:tcPr>
            <w:tcW w:w="1472" w:type="dxa"/>
          </w:tcPr>
          <w:p w:rsidR="00973141" w:rsidRPr="00A35BFB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51" w:name="lt_pId241"/>
            <w:r>
              <w:rPr>
                <w:rFonts w:eastAsia="MS Mincho"/>
                <w:b/>
              </w:rPr>
              <w:t>SM.1794-0</w:t>
            </w:r>
            <w:bookmarkEnd w:id="251"/>
          </w:p>
        </w:tc>
        <w:tc>
          <w:tcPr>
            <w:tcW w:w="5164" w:type="dxa"/>
          </w:tcPr>
          <w:p w:rsidR="00973141" w:rsidRPr="00AD0B65" w:rsidRDefault="00AD0B65" w:rsidP="00F40F9D">
            <w:pPr>
              <w:pStyle w:val="Tabletext"/>
              <w:rPr>
                <w:lang w:val="fr-CH"/>
              </w:rPr>
            </w:pPr>
            <w:bookmarkStart w:id="252" w:name="lt_pId242"/>
            <w:r w:rsidRPr="000B002B">
              <w:rPr>
                <w:lang w:val="fr-CH"/>
              </w:rPr>
              <w:t>Systèmes de contrôle du spectre à grande largeur de bande instantanée</w:t>
            </w:r>
            <w:bookmarkEnd w:id="252"/>
          </w:p>
        </w:tc>
        <w:tc>
          <w:tcPr>
            <w:tcW w:w="1362" w:type="dxa"/>
          </w:tcPr>
          <w:p w:rsidR="00973141" w:rsidRPr="00C01667" w:rsidRDefault="00A945AB" w:rsidP="00F40F9D">
            <w:pPr>
              <w:pStyle w:val="Tabletext"/>
              <w:jc w:val="center"/>
            </w:pPr>
            <w:bookmarkStart w:id="253" w:name="lt_pId243"/>
            <w:r w:rsidRPr="000B002B">
              <w:t>NOC</w:t>
            </w:r>
            <w:bookmarkEnd w:id="253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54" w:name="lt_pId244"/>
            <w:r>
              <w:rPr>
                <w:rFonts w:eastAsia="MS Mincho"/>
                <w:b/>
              </w:rPr>
              <w:t>SM.1809-0</w:t>
            </w:r>
            <w:bookmarkEnd w:id="254"/>
          </w:p>
        </w:tc>
        <w:tc>
          <w:tcPr>
            <w:tcW w:w="5164" w:type="dxa"/>
          </w:tcPr>
          <w:p w:rsidR="00973141" w:rsidRPr="00C1095C" w:rsidRDefault="006A4C47" w:rsidP="00F40F9D">
            <w:pPr>
              <w:pStyle w:val="Tabletext"/>
              <w:rPr>
                <w:lang w:val="fr-CH"/>
              </w:rPr>
            </w:pPr>
            <w:bookmarkStart w:id="255" w:name="lt_pId245"/>
            <w:r w:rsidRPr="000B002B">
              <w:rPr>
                <w:lang w:val="fr-CH"/>
              </w:rPr>
              <w:t>Format normalisé d'échange de données pour l'enregistrement des bandes de fréquences et les mesures aux stations de contrôle</w:t>
            </w:r>
            <w:bookmarkEnd w:id="255"/>
          </w:p>
        </w:tc>
        <w:tc>
          <w:tcPr>
            <w:tcW w:w="1362" w:type="dxa"/>
          </w:tcPr>
          <w:p w:rsidR="00973141" w:rsidRPr="00C01667" w:rsidRDefault="00C1095C" w:rsidP="00F40F9D">
            <w:pPr>
              <w:pStyle w:val="Tabletext"/>
              <w:jc w:val="center"/>
            </w:pPr>
            <w:bookmarkStart w:id="256" w:name="lt_pId246"/>
            <w:r w:rsidRPr="000B002B">
              <w:t>NOC</w:t>
            </w:r>
            <w:bookmarkEnd w:id="256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57" w:name="lt_pId247"/>
            <w:r>
              <w:rPr>
                <w:rFonts w:eastAsia="MS Mincho"/>
                <w:b/>
              </w:rPr>
              <w:t>SM.1836-0</w:t>
            </w:r>
            <w:bookmarkEnd w:id="257"/>
          </w:p>
        </w:tc>
        <w:tc>
          <w:tcPr>
            <w:tcW w:w="5164" w:type="dxa"/>
          </w:tcPr>
          <w:p w:rsidR="00973141" w:rsidRPr="00817470" w:rsidRDefault="0027120A" w:rsidP="00F40F9D">
            <w:pPr>
              <w:pStyle w:val="Tabletext"/>
              <w:rPr>
                <w:lang w:val="fr-CH"/>
              </w:rPr>
            </w:pPr>
            <w:bookmarkStart w:id="258" w:name="lt_pId248"/>
            <w:r w:rsidRPr="000B002B">
              <w:rPr>
                <w:lang w:val="fr-CH"/>
              </w:rPr>
              <w:t>Procédure d'essai pour mesurer les propriétés du filtre FI des récepteurs de contrôle des émissions</w:t>
            </w:r>
            <w:bookmarkEnd w:id="258"/>
          </w:p>
        </w:tc>
        <w:tc>
          <w:tcPr>
            <w:tcW w:w="1362" w:type="dxa"/>
          </w:tcPr>
          <w:p w:rsidR="00973141" w:rsidRPr="00C01667" w:rsidRDefault="00817470" w:rsidP="00F40F9D">
            <w:pPr>
              <w:pStyle w:val="Tabletext"/>
              <w:jc w:val="center"/>
            </w:pPr>
            <w:bookmarkStart w:id="259" w:name="lt_pId249"/>
            <w:r w:rsidRPr="000B002B">
              <w:t>NOC</w:t>
            </w:r>
            <w:bookmarkEnd w:id="259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60" w:name="lt_pId250"/>
            <w:r w:rsidRPr="000B002B">
              <w:rPr>
                <w:rFonts w:eastAsia="MS Mincho"/>
                <w:b/>
              </w:rPr>
              <w:t>SM.1837-1</w:t>
            </w:r>
            <w:bookmarkEnd w:id="260"/>
          </w:p>
        </w:tc>
        <w:tc>
          <w:tcPr>
            <w:tcW w:w="5164" w:type="dxa"/>
          </w:tcPr>
          <w:p w:rsidR="00973141" w:rsidRPr="005B439A" w:rsidRDefault="00D93100" w:rsidP="00F40F9D">
            <w:pPr>
              <w:pStyle w:val="Tabletext"/>
              <w:rPr>
                <w:lang w:val="fr-CH"/>
              </w:rPr>
            </w:pPr>
            <w:bookmarkStart w:id="261" w:name="lt_pId251"/>
            <w:r w:rsidRPr="000B002B">
              <w:rPr>
                <w:lang w:val="fr-CH"/>
              </w:rPr>
              <w:t>Procédure d'essai pour mesurer le niveau du point d'interception de troisième ordre (IP3) des récepteurs de contrôle des émissions</w:t>
            </w:r>
            <w:bookmarkEnd w:id="261"/>
          </w:p>
        </w:tc>
        <w:tc>
          <w:tcPr>
            <w:tcW w:w="1362" w:type="dxa"/>
          </w:tcPr>
          <w:p w:rsidR="00973141" w:rsidRPr="00C01667" w:rsidRDefault="005B439A" w:rsidP="00F40F9D">
            <w:pPr>
              <w:pStyle w:val="Tabletext"/>
              <w:jc w:val="center"/>
            </w:pPr>
            <w:bookmarkStart w:id="262" w:name="lt_pId252"/>
            <w:r w:rsidRPr="000B002B">
              <w:t>NOC</w:t>
            </w:r>
            <w:bookmarkEnd w:id="262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63" w:name="lt_pId253"/>
            <w:r>
              <w:rPr>
                <w:rFonts w:eastAsia="MS Mincho"/>
                <w:b/>
              </w:rPr>
              <w:t>SM.1838-0</w:t>
            </w:r>
            <w:bookmarkEnd w:id="263"/>
          </w:p>
        </w:tc>
        <w:tc>
          <w:tcPr>
            <w:tcW w:w="5164" w:type="dxa"/>
          </w:tcPr>
          <w:p w:rsidR="00973141" w:rsidRPr="00F2368D" w:rsidRDefault="007E18D8" w:rsidP="00F40F9D">
            <w:pPr>
              <w:pStyle w:val="Tabletext"/>
              <w:rPr>
                <w:lang w:val="fr-CH"/>
              </w:rPr>
            </w:pPr>
            <w:bookmarkStart w:id="264" w:name="lt_pId254"/>
            <w:r w:rsidRPr="000B002B">
              <w:rPr>
                <w:lang w:val="fr-CH"/>
              </w:rPr>
              <w:t>Procédure d'essai pour mesurer le facteur de bruit des récepteurs de contrôle des émissions</w:t>
            </w:r>
            <w:bookmarkEnd w:id="264"/>
          </w:p>
        </w:tc>
        <w:tc>
          <w:tcPr>
            <w:tcW w:w="1362" w:type="dxa"/>
          </w:tcPr>
          <w:p w:rsidR="00973141" w:rsidRPr="00C01667" w:rsidRDefault="00F2368D" w:rsidP="00F40F9D">
            <w:pPr>
              <w:pStyle w:val="Tabletext"/>
              <w:jc w:val="center"/>
            </w:pPr>
            <w:bookmarkStart w:id="265" w:name="lt_pId255"/>
            <w:r w:rsidRPr="000B002B">
              <w:t>NOC</w:t>
            </w:r>
            <w:bookmarkEnd w:id="265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9720D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66" w:name="lt_pId256"/>
            <w:r w:rsidRPr="000B002B">
              <w:rPr>
                <w:rFonts w:eastAsia="MS Mincho"/>
                <w:b/>
              </w:rPr>
              <w:t>SM.1839-1</w:t>
            </w:r>
            <w:bookmarkEnd w:id="266"/>
          </w:p>
        </w:tc>
        <w:tc>
          <w:tcPr>
            <w:tcW w:w="5164" w:type="dxa"/>
          </w:tcPr>
          <w:p w:rsidR="00973141" w:rsidRPr="00ED7E51" w:rsidRDefault="00FC11F2" w:rsidP="00F40F9D">
            <w:pPr>
              <w:pStyle w:val="Tabletext"/>
              <w:rPr>
                <w:lang w:val="fr-CH"/>
              </w:rPr>
            </w:pPr>
            <w:bookmarkStart w:id="267" w:name="lt_pId257"/>
            <w:r w:rsidRPr="000B002B">
              <w:rPr>
                <w:lang w:val="fr-CH"/>
              </w:rPr>
              <w:t>Procédure d'essai pour mesurer la vitesse d'exploration des récepteurs de contrôle des émissions</w:t>
            </w:r>
            <w:bookmarkEnd w:id="267"/>
          </w:p>
        </w:tc>
        <w:tc>
          <w:tcPr>
            <w:tcW w:w="1362" w:type="dxa"/>
          </w:tcPr>
          <w:p w:rsidR="00973141" w:rsidRPr="00C01667" w:rsidRDefault="00ED7E51" w:rsidP="00F40F9D">
            <w:pPr>
              <w:pStyle w:val="Tabletext"/>
              <w:jc w:val="center"/>
            </w:pPr>
            <w:bookmarkStart w:id="268" w:name="lt_pId258"/>
            <w:r w:rsidRPr="000B002B">
              <w:t>NOC</w:t>
            </w:r>
            <w:bookmarkEnd w:id="268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69" w:name="lt_pId259"/>
            <w:r>
              <w:rPr>
                <w:rFonts w:eastAsia="MS Mincho"/>
                <w:b/>
              </w:rPr>
              <w:t>SM.1840-0</w:t>
            </w:r>
            <w:bookmarkEnd w:id="269"/>
          </w:p>
        </w:tc>
        <w:tc>
          <w:tcPr>
            <w:tcW w:w="5164" w:type="dxa"/>
          </w:tcPr>
          <w:p w:rsidR="00973141" w:rsidRPr="005365C0" w:rsidRDefault="008A0974" w:rsidP="00F40F9D">
            <w:pPr>
              <w:pStyle w:val="Tabletext"/>
              <w:rPr>
                <w:lang w:val="fr-CH"/>
              </w:rPr>
            </w:pPr>
            <w:bookmarkStart w:id="270" w:name="lt_pId260"/>
            <w:r w:rsidRPr="000B002B">
              <w:rPr>
                <w:lang w:val="fr-CH"/>
              </w:rPr>
              <w:t>Procédure d'essai pour mesurer la sensibilité de récepteurs de contrôle des émissions à l'aide de signaux analogiques modulés</w:t>
            </w:r>
            <w:bookmarkEnd w:id="270"/>
          </w:p>
        </w:tc>
        <w:tc>
          <w:tcPr>
            <w:tcW w:w="1362" w:type="dxa"/>
          </w:tcPr>
          <w:p w:rsidR="00973141" w:rsidRPr="00C01667" w:rsidRDefault="005365C0" w:rsidP="00F40F9D">
            <w:pPr>
              <w:pStyle w:val="Tabletext"/>
              <w:jc w:val="center"/>
            </w:pPr>
            <w:bookmarkStart w:id="271" w:name="lt_pId261"/>
            <w:r w:rsidRPr="000B002B">
              <w:t>NOC</w:t>
            </w:r>
            <w:bookmarkEnd w:id="271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72" w:name="lt_pId262"/>
            <w:r w:rsidRPr="000B002B">
              <w:rPr>
                <w:rFonts w:eastAsia="MS Mincho"/>
                <w:b/>
              </w:rPr>
              <w:t>SM.1875-2</w:t>
            </w:r>
            <w:bookmarkEnd w:id="272"/>
          </w:p>
        </w:tc>
        <w:tc>
          <w:tcPr>
            <w:tcW w:w="5164" w:type="dxa"/>
          </w:tcPr>
          <w:p w:rsidR="00973141" w:rsidRPr="00E91C09" w:rsidRDefault="00E91C09" w:rsidP="00F40F9D">
            <w:pPr>
              <w:pStyle w:val="Tabletext"/>
              <w:rPr>
                <w:lang w:val="fr-CH"/>
              </w:rPr>
            </w:pPr>
            <w:bookmarkStart w:id="273" w:name="lt_pId263"/>
            <w:r w:rsidRPr="000B002B">
              <w:rPr>
                <w:lang w:val="fr-CH"/>
              </w:rPr>
              <w:t>Mesures de la couverture DVB-T et vérification des critères de planification</w:t>
            </w:r>
            <w:bookmarkEnd w:id="273"/>
          </w:p>
        </w:tc>
        <w:tc>
          <w:tcPr>
            <w:tcW w:w="1362" w:type="dxa"/>
          </w:tcPr>
          <w:p w:rsidR="00973141" w:rsidRPr="00C01667" w:rsidRDefault="001801A3" w:rsidP="00F40F9D">
            <w:pPr>
              <w:pStyle w:val="Tabletext"/>
              <w:jc w:val="center"/>
            </w:pPr>
            <w:bookmarkStart w:id="274" w:name="lt_pId264"/>
            <w:r w:rsidRPr="000B002B">
              <w:t>NOC</w:t>
            </w:r>
            <w:bookmarkEnd w:id="274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75" w:name="lt_pId265"/>
            <w:r w:rsidRPr="000B002B">
              <w:rPr>
                <w:rFonts w:eastAsia="MS Mincho"/>
                <w:b/>
              </w:rPr>
              <w:t>SM.1879-2</w:t>
            </w:r>
            <w:bookmarkEnd w:id="275"/>
          </w:p>
        </w:tc>
        <w:tc>
          <w:tcPr>
            <w:tcW w:w="5164" w:type="dxa"/>
          </w:tcPr>
          <w:p w:rsidR="00973141" w:rsidRPr="004A5B4A" w:rsidRDefault="004A5B4A">
            <w:pPr>
              <w:pStyle w:val="Tabletext"/>
              <w:rPr>
                <w:lang w:val="fr-CH"/>
              </w:rPr>
            </w:pPr>
            <w:bookmarkStart w:id="276" w:name="lt_pId266"/>
            <w:r w:rsidRPr="000B002B">
              <w:rPr>
                <w:lang w:val="fr-CH"/>
              </w:rPr>
              <w:t>Incidence des systèmes de télécommunication à courants porteurs en ligne à haut débit sur les systèmes de radiocommunication fonctionnant au-dessous de 470 MHz</w:t>
            </w:r>
            <w:bookmarkEnd w:id="276"/>
          </w:p>
        </w:tc>
        <w:tc>
          <w:tcPr>
            <w:tcW w:w="1362" w:type="dxa"/>
          </w:tcPr>
          <w:p w:rsidR="00973141" w:rsidRPr="00C01667" w:rsidRDefault="00B4072A" w:rsidP="00F40F9D">
            <w:pPr>
              <w:pStyle w:val="Tabletext"/>
              <w:jc w:val="center"/>
            </w:pPr>
            <w:bookmarkStart w:id="277" w:name="lt_pId267"/>
            <w:r w:rsidRPr="000B002B">
              <w:t>NOC</w:t>
            </w:r>
            <w:bookmarkEnd w:id="277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78" w:name="lt_pId268"/>
            <w:r w:rsidRPr="000B002B">
              <w:rPr>
                <w:rFonts w:eastAsia="MS Mincho"/>
                <w:b/>
              </w:rPr>
              <w:t>SM.1880-1</w:t>
            </w:r>
            <w:bookmarkEnd w:id="278"/>
          </w:p>
        </w:tc>
        <w:tc>
          <w:tcPr>
            <w:tcW w:w="5164" w:type="dxa"/>
          </w:tcPr>
          <w:p w:rsidR="00973141" w:rsidRPr="00236C0F" w:rsidRDefault="00733832" w:rsidP="00F40F9D">
            <w:pPr>
              <w:pStyle w:val="Tabletext"/>
              <w:rPr>
                <w:lang w:val="fr-CH"/>
              </w:rPr>
            </w:pPr>
            <w:bookmarkStart w:id="279" w:name="lt_pId269"/>
            <w:r w:rsidRPr="000B002B">
              <w:rPr>
                <w:lang w:val="fr-CH"/>
              </w:rPr>
              <w:t>Mesure et évaluation de l'occupation du spectre</w:t>
            </w:r>
            <w:bookmarkEnd w:id="279"/>
          </w:p>
        </w:tc>
        <w:tc>
          <w:tcPr>
            <w:tcW w:w="1362" w:type="dxa"/>
          </w:tcPr>
          <w:p w:rsidR="00973141" w:rsidRPr="00C01667" w:rsidRDefault="00236C0F" w:rsidP="00F40F9D">
            <w:pPr>
              <w:pStyle w:val="Tabletext"/>
              <w:jc w:val="center"/>
            </w:pPr>
            <w:bookmarkStart w:id="280" w:name="lt_pId270"/>
            <w:r w:rsidRPr="000B002B">
              <w:t>NOC</w:t>
            </w:r>
            <w:bookmarkEnd w:id="280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81" w:name="lt_pId271"/>
            <w:r>
              <w:rPr>
                <w:rFonts w:eastAsia="MS Mincho"/>
                <w:b/>
              </w:rPr>
              <w:t>SM.1896-0</w:t>
            </w:r>
            <w:bookmarkEnd w:id="281"/>
          </w:p>
        </w:tc>
        <w:tc>
          <w:tcPr>
            <w:tcW w:w="5164" w:type="dxa"/>
          </w:tcPr>
          <w:p w:rsidR="00973141" w:rsidRPr="00A15526" w:rsidRDefault="00885CE9" w:rsidP="00F40F9D">
            <w:pPr>
              <w:pStyle w:val="Tabletext"/>
              <w:rPr>
                <w:lang w:val="fr-CH"/>
              </w:rPr>
            </w:pPr>
            <w:bookmarkStart w:id="282" w:name="lt_pId272"/>
            <w:r w:rsidRPr="000B002B">
              <w:rPr>
                <w:lang w:val="fr-CH"/>
              </w:rPr>
              <w:t>Gammes de fréquences pour une harmonisation mondiale ou régionale des dispositifs de radiocommunication à c</w:t>
            </w:r>
            <w:bookmarkStart w:id="283" w:name="_GoBack"/>
            <w:bookmarkEnd w:id="283"/>
            <w:r w:rsidRPr="000B002B">
              <w:rPr>
                <w:lang w:val="fr-CH"/>
              </w:rPr>
              <w:t>ourte portée (SRD)</w:t>
            </w:r>
            <w:bookmarkEnd w:id="282"/>
          </w:p>
        </w:tc>
        <w:tc>
          <w:tcPr>
            <w:tcW w:w="1362" w:type="dxa"/>
          </w:tcPr>
          <w:p w:rsidR="00973141" w:rsidRPr="00C01667" w:rsidRDefault="00A15526" w:rsidP="00F40F9D">
            <w:pPr>
              <w:pStyle w:val="Tabletext"/>
              <w:jc w:val="center"/>
            </w:pPr>
            <w:bookmarkStart w:id="284" w:name="lt_pId273"/>
            <w:r w:rsidRPr="000B002B">
              <w:t>NOC</w:t>
            </w:r>
            <w:bookmarkEnd w:id="284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Pr="00945E93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85" w:name="lt_pId274"/>
            <w:r>
              <w:rPr>
                <w:rFonts w:eastAsia="MS Mincho"/>
                <w:b/>
              </w:rPr>
              <w:t>SM.2028-0</w:t>
            </w:r>
            <w:bookmarkEnd w:id="285"/>
          </w:p>
        </w:tc>
        <w:tc>
          <w:tcPr>
            <w:tcW w:w="5164" w:type="dxa"/>
          </w:tcPr>
          <w:p w:rsidR="00D93916" w:rsidRPr="009A59C1" w:rsidRDefault="009A59C1" w:rsidP="00D93916">
            <w:pPr>
              <w:pStyle w:val="Tabletext"/>
              <w:rPr>
                <w:lang w:val="fr-CH"/>
              </w:rPr>
            </w:pPr>
            <w:bookmarkStart w:id="286" w:name="lt_pId275"/>
            <w:r w:rsidRPr="000B002B">
              <w:rPr>
                <w:lang w:val="fr-CH"/>
              </w:rPr>
              <w:t>Calcul des distances de protection entre systèmes inductifs et services de radiocommunication utilisant les fréquences au-dessous de 30 MHz</w:t>
            </w:r>
            <w:bookmarkEnd w:id="286"/>
          </w:p>
        </w:tc>
        <w:tc>
          <w:tcPr>
            <w:tcW w:w="1362" w:type="dxa"/>
          </w:tcPr>
          <w:p w:rsidR="00973141" w:rsidRDefault="00C9337A" w:rsidP="00F40F9D">
            <w:pPr>
              <w:pStyle w:val="Tabletext"/>
              <w:jc w:val="center"/>
            </w:pPr>
            <w:bookmarkStart w:id="287" w:name="lt_pId276"/>
            <w:r w:rsidRPr="000B002B">
              <w:t>NOC</w:t>
            </w:r>
            <w:bookmarkEnd w:id="287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88" w:name="lt_pId277"/>
            <w:r>
              <w:rPr>
                <w:rFonts w:eastAsia="MS Mincho"/>
                <w:b/>
              </w:rPr>
              <w:t>SM.2039-0</w:t>
            </w:r>
            <w:bookmarkEnd w:id="288"/>
          </w:p>
        </w:tc>
        <w:tc>
          <w:tcPr>
            <w:tcW w:w="5164" w:type="dxa"/>
          </w:tcPr>
          <w:p w:rsidR="00973141" w:rsidRPr="00F267B7" w:rsidRDefault="003C6DDE" w:rsidP="00F40F9D">
            <w:pPr>
              <w:pStyle w:val="Tabletext"/>
              <w:rPr>
                <w:lang w:val="fr-CH"/>
              </w:rPr>
            </w:pPr>
            <w:bookmarkStart w:id="289" w:name="lt_pId278"/>
            <w:r w:rsidRPr="000B002B">
              <w:rPr>
                <w:lang w:val="fr-CH"/>
              </w:rPr>
              <w:t>Évolution du contrôle des émissions radioélectriques</w:t>
            </w:r>
            <w:bookmarkEnd w:id="289"/>
          </w:p>
        </w:tc>
        <w:tc>
          <w:tcPr>
            <w:tcW w:w="1362" w:type="dxa"/>
          </w:tcPr>
          <w:p w:rsidR="00973141" w:rsidRDefault="00F267B7" w:rsidP="00F40F9D">
            <w:pPr>
              <w:pStyle w:val="Tabletext"/>
              <w:jc w:val="center"/>
            </w:pPr>
            <w:bookmarkStart w:id="290" w:name="lt_pId279"/>
            <w:r w:rsidRPr="000B002B">
              <w:t>NOC</w:t>
            </w:r>
            <w:bookmarkEnd w:id="290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91" w:name="lt_pId280"/>
            <w:r w:rsidRPr="000B002B">
              <w:rPr>
                <w:rFonts w:eastAsia="MS Mincho"/>
                <w:b/>
              </w:rPr>
              <w:t>SM.2060-0</w:t>
            </w:r>
            <w:bookmarkEnd w:id="291"/>
          </w:p>
        </w:tc>
        <w:tc>
          <w:tcPr>
            <w:tcW w:w="5164" w:type="dxa"/>
          </w:tcPr>
          <w:p w:rsidR="00973141" w:rsidRPr="00E55802" w:rsidRDefault="00997CB6" w:rsidP="00F40F9D">
            <w:pPr>
              <w:pStyle w:val="Tabletext"/>
              <w:rPr>
                <w:lang w:val="fr-CH"/>
              </w:rPr>
            </w:pPr>
            <w:bookmarkStart w:id="292" w:name="lt_pId281"/>
            <w:r w:rsidRPr="000B002B">
              <w:rPr>
                <w:lang w:val="fr-CH"/>
              </w:rPr>
              <w:t>Procédure de test pour mesurer la précision des radiogoniomètres</w:t>
            </w:r>
            <w:bookmarkEnd w:id="292"/>
          </w:p>
        </w:tc>
        <w:tc>
          <w:tcPr>
            <w:tcW w:w="1362" w:type="dxa"/>
          </w:tcPr>
          <w:p w:rsidR="00973141" w:rsidRDefault="00E55802" w:rsidP="00F40F9D">
            <w:pPr>
              <w:pStyle w:val="Tabletext"/>
              <w:jc w:val="center"/>
            </w:pPr>
            <w:bookmarkStart w:id="293" w:name="lt_pId282"/>
            <w:r w:rsidRPr="000B002B">
              <w:t>NOC</w:t>
            </w:r>
            <w:bookmarkEnd w:id="293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Default="00A945AB" w:rsidP="00F40F9D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94" w:name="lt_pId283"/>
            <w:r w:rsidRPr="000B002B">
              <w:rPr>
                <w:rFonts w:eastAsia="MS Mincho"/>
                <w:b/>
              </w:rPr>
              <w:t>SM.2061-0</w:t>
            </w:r>
            <w:bookmarkEnd w:id="294"/>
          </w:p>
        </w:tc>
        <w:tc>
          <w:tcPr>
            <w:tcW w:w="5164" w:type="dxa"/>
          </w:tcPr>
          <w:p w:rsidR="00973141" w:rsidRPr="00E1689B" w:rsidRDefault="00E1689B" w:rsidP="00F40F9D">
            <w:pPr>
              <w:pStyle w:val="Tabletext"/>
              <w:rPr>
                <w:lang w:val="fr-CH"/>
              </w:rPr>
            </w:pPr>
            <w:bookmarkStart w:id="295" w:name="lt_pId284"/>
            <w:r w:rsidRPr="000B002B">
              <w:rPr>
                <w:lang w:val="fr-CH"/>
              </w:rPr>
              <w:t>Procédure de test pour mesurer l'immunité des radiogoniomètres à la propagation par trajets multiples</w:t>
            </w:r>
            <w:bookmarkEnd w:id="295"/>
          </w:p>
        </w:tc>
        <w:tc>
          <w:tcPr>
            <w:tcW w:w="1362" w:type="dxa"/>
          </w:tcPr>
          <w:p w:rsidR="00973141" w:rsidRDefault="001D374D" w:rsidP="00F40F9D">
            <w:pPr>
              <w:pStyle w:val="Tabletext"/>
              <w:jc w:val="center"/>
            </w:pPr>
            <w:bookmarkStart w:id="296" w:name="lt_pId285"/>
            <w:r w:rsidRPr="000B002B">
              <w:t>NOC</w:t>
            </w:r>
            <w:bookmarkEnd w:id="296"/>
          </w:p>
        </w:tc>
        <w:tc>
          <w:tcPr>
            <w:tcW w:w="1472" w:type="dxa"/>
          </w:tcPr>
          <w:p w:rsidR="00973141" w:rsidRPr="00C01667" w:rsidRDefault="006E235C" w:rsidP="00F40F9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B0281" w:rsidTr="005E0CE2">
        <w:trPr>
          <w:cantSplit/>
        </w:trPr>
        <w:tc>
          <w:tcPr>
            <w:tcW w:w="1631" w:type="dxa"/>
          </w:tcPr>
          <w:p w:rsidR="00973141" w:rsidRDefault="00A945AB">
            <w:pPr>
              <w:pStyle w:val="Tabletext"/>
              <w:jc w:val="center"/>
              <w:rPr>
                <w:rFonts w:eastAsia="MS Mincho"/>
                <w:b/>
              </w:rPr>
            </w:pPr>
            <w:bookmarkStart w:id="297" w:name="lt_pId286"/>
            <w:r w:rsidRPr="000B002B">
              <w:rPr>
                <w:rFonts w:eastAsia="MS Mincho"/>
                <w:b/>
              </w:rPr>
              <w:t>SM.2080-0</w:t>
            </w:r>
            <w:bookmarkEnd w:id="297"/>
          </w:p>
        </w:tc>
        <w:tc>
          <w:tcPr>
            <w:tcW w:w="5164" w:type="dxa"/>
          </w:tcPr>
          <w:p w:rsidR="00973141" w:rsidRPr="00C331D9" w:rsidRDefault="00C331D9" w:rsidP="00F40F9D">
            <w:pPr>
              <w:pStyle w:val="Tabletext"/>
              <w:rPr>
                <w:lang w:val="fr-CH"/>
              </w:rPr>
            </w:pPr>
            <w:bookmarkStart w:id="298" w:name="lt_pId287"/>
            <w:r w:rsidRPr="000B002B">
              <w:rPr>
                <w:lang w:val="fr-CH"/>
              </w:rPr>
              <w:t>Précision des informations temporelles dans les données de sortie des récepteurs de contrôle</w:t>
            </w:r>
            <w:bookmarkEnd w:id="298"/>
          </w:p>
        </w:tc>
        <w:tc>
          <w:tcPr>
            <w:tcW w:w="1362" w:type="dxa"/>
          </w:tcPr>
          <w:p w:rsidR="00973141" w:rsidRDefault="00A945AB" w:rsidP="00F40F9D">
            <w:pPr>
              <w:pStyle w:val="Tabletext"/>
              <w:jc w:val="center"/>
            </w:pPr>
            <w:bookmarkStart w:id="299" w:name="lt_pId288"/>
            <w:r w:rsidRPr="000B002B">
              <w:t>NOC</w:t>
            </w:r>
            <w:bookmarkEnd w:id="299"/>
          </w:p>
        </w:tc>
        <w:tc>
          <w:tcPr>
            <w:tcW w:w="1472" w:type="dxa"/>
          </w:tcPr>
          <w:p w:rsidR="00973141" w:rsidRPr="00C01667" w:rsidRDefault="006E235C" w:rsidP="00973141">
            <w:pPr>
              <w:pStyle w:val="Tabletext"/>
              <w:jc w:val="center"/>
              <w:rPr>
                <w:lang w:val="en-US"/>
              </w:rPr>
            </w:pPr>
          </w:p>
        </w:tc>
      </w:tr>
    </w:tbl>
    <w:p w:rsidR="00973141" w:rsidRDefault="006E235C" w:rsidP="00973141">
      <w:pPr>
        <w:jc w:val="center"/>
      </w:pPr>
    </w:p>
    <w:p w:rsidR="00973141" w:rsidRDefault="00A945AB" w:rsidP="00973141">
      <w:pPr>
        <w:jc w:val="center"/>
        <w:rPr>
          <w:rFonts w:ascii="Times" w:hAnsi="Times"/>
          <w:sz w:val="20"/>
          <w:u w:val="single"/>
        </w:rPr>
      </w:pPr>
      <w:r>
        <w:t>______________</w:t>
      </w:r>
    </w:p>
    <w:sectPr w:rsidR="00973141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37" w:rsidRDefault="00A945AB">
      <w:pPr>
        <w:spacing w:before="0"/>
      </w:pPr>
      <w:r>
        <w:separator/>
      </w:r>
    </w:p>
  </w:endnote>
  <w:endnote w:type="continuationSeparator" w:id="0">
    <w:p w:rsidR="00A92037" w:rsidRDefault="00A945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822B9" w:rsidRDefault="00A945AB">
    <w:pPr>
      <w:rPr>
        <w:lang w:val="en-US"/>
      </w:rPr>
    </w:pPr>
    <w:r>
      <w:fldChar w:fldCharType="begin"/>
    </w:r>
    <w:r w:rsidRPr="009822B9">
      <w:rPr>
        <w:lang w:val="en-US"/>
      </w:rPr>
      <w:instrText xml:space="preserve"> FILENAME \p  \* MERGEFORMAT </w:instrText>
    </w:r>
    <w:r>
      <w:fldChar w:fldCharType="separate"/>
    </w:r>
    <w:bookmarkStart w:id="300" w:name="lt_pId294"/>
    <w:r w:rsidR="006E235C">
      <w:rPr>
        <w:noProof/>
        <w:lang w:val="en-US"/>
      </w:rPr>
      <w:t>P:\FRA\ITU-R\SG-R\SG01\1000\1002F.docx</w:t>
    </w:r>
    <w:bookmarkEnd w:id="300"/>
    <w:r>
      <w:fldChar w:fldCharType="end"/>
    </w:r>
    <w:r w:rsidRPr="009822B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235C">
      <w:rPr>
        <w:noProof/>
      </w:rPr>
      <w:t>21.09.15</w:t>
    </w:r>
    <w:r>
      <w:fldChar w:fldCharType="end"/>
    </w:r>
    <w:r w:rsidRPr="009822B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235C">
      <w:rPr>
        <w:noProof/>
      </w:rPr>
      <w:t>21.09.15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C462DC" w:rsidRDefault="00C462DC" w:rsidP="00C462DC">
    <w:pPr>
      <w:pStyle w:val="Footer"/>
    </w:pPr>
    <w:fldSimple w:instr=" FILENAME \p  \* MERGEFORMAT ">
      <w:r w:rsidR="006E235C">
        <w:t>P:\FRA\ITU-R\SG-R\SG01\1000\1002F.docx</w:t>
      </w:r>
    </w:fldSimple>
    <w:r>
      <w:t xml:space="preserve"> (383136)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E235C">
      <w:t>21.09.15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E235C">
      <w:t>21.09.15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5E0CE2" w:rsidRDefault="005E0CE2" w:rsidP="005E0CE2">
    <w:pPr>
      <w:pStyle w:val="Footer"/>
    </w:pPr>
    <w:fldSimple w:instr=" FILENAME \p  \* MERGEFORMAT ">
      <w:r w:rsidR="006E235C">
        <w:t>P:\FRA\ITU-R\SG-R\SG01\1000\1002F.docx</w:t>
      </w:r>
    </w:fldSimple>
    <w:r>
      <w:t xml:space="preserve"> (383136)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E235C">
      <w:t>21.09.15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E235C">
      <w:t>21.09.15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37" w:rsidRDefault="00A945AB">
      <w:pPr>
        <w:spacing w:before="0"/>
      </w:pPr>
      <w:r>
        <w:separator/>
      </w:r>
    </w:p>
  </w:footnote>
  <w:footnote w:type="continuationSeparator" w:id="0">
    <w:p w:rsidR="00A92037" w:rsidRDefault="00A945A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41" w:rsidRDefault="00A945A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E235C">
      <w:rPr>
        <w:noProof/>
      </w:rPr>
      <w:t>5</w:t>
    </w:r>
    <w:r>
      <w:fldChar w:fldCharType="end"/>
    </w:r>
  </w:p>
  <w:p w:rsidR="00973141" w:rsidRDefault="00A945AB" w:rsidP="005E0CE2">
    <w:pPr>
      <w:pStyle w:val="Header"/>
    </w:pPr>
    <w:r>
      <w:t>1/1002-</w:t>
    </w:r>
    <w:r w:rsidR="005E0CE2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81"/>
    <w:rsid w:val="00005874"/>
    <w:rsid w:val="00016940"/>
    <w:rsid w:val="00020E89"/>
    <w:rsid w:val="00025867"/>
    <w:rsid w:val="00042C2E"/>
    <w:rsid w:val="00073BEF"/>
    <w:rsid w:val="0008799C"/>
    <w:rsid w:val="00094FF5"/>
    <w:rsid w:val="000A429A"/>
    <w:rsid w:val="000B002B"/>
    <w:rsid w:val="000B19C1"/>
    <w:rsid w:val="000B6891"/>
    <w:rsid w:val="000C2C22"/>
    <w:rsid w:val="000C3AF3"/>
    <w:rsid w:val="000E617D"/>
    <w:rsid w:val="000F34F8"/>
    <w:rsid w:val="001040DA"/>
    <w:rsid w:val="001209B1"/>
    <w:rsid w:val="001254F8"/>
    <w:rsid w:val="0015206E"/>
    <w:rsid w:val="0017589C"/>
    <w:rsid w:val="001801A3"/>
    <w:rsid w:val="00181FC5"/>
    <w:rsid w:val="00182B78"/>
    <w:rsid w:val="001C5614"/>
    <w:rsid w:val="001C6EEA"/>
    <w:rsid w:val="001D374D"/>
    <w:rsid w:val="001E5570"/>
    <w:rsid w:val="001F1617"/>
    <w:rsid w:val="00201314"/>
    <w:rsid w:val="00202EA5"/>
    <w:rsid w:val="002056F5"/>
    <w:rsid w:val="00223801"/>
    <w:rsid w:val="00226E0F"/>
    <w:rsid w:val="00236C0F"/>
    <w:rsid w:val="00243D70"/>
    <w:rsid w:val="002607DD"/>
    <w:rsid w:val="00261A2A"/>
    <w:rsid w:val="00263427"/>
    <w:rsid w:val="0027120A"/>
    <w:rsid w:val="002712DA"/>
    <w:rsid w:val="00280B3C"/>
    <w:rsid w:val="002B0900"/>
    <w:rsid w:val="002D5272"/>
    <w:rsid w:val="002F5D96"/>
    <w:rsid w:val="003043C0"/>
    <w:rsid w:val="0031055E"/>
    <w:rsid w:val="003131DC"/>
    <w:rsid w:val="00313E98"/>
    <w:rsid w:val="003153A8"/>
    <w:rsid w:val="0032335F"/>
    <w:rsid w:val="00326476"/>
    <w:rsid w:val="003363CD"/>
    <w:rsid w:val="00341B0B"/>
    <w:rsid w:val="00355854"/>
    <w:rsid w:val="00360019"/>
    <w:rsid w:val="00361798"/>
    <w:rsid w:val="00374D8B"/>
    <w:rsid w:val="0038365B"/>
    <w:rsid w:val="00386CD0"/>
    <w:rsid w:val="00391D39"/>
    <w:rsid w:val="003A41A0"/>
    <w:rsid w:val="003A53D9"/>
    <w:rsid w:val="003B37A0"/>
    <w:rsid w:val="003B595A"/>
    <w:rsid w:val="003C6DDE"/>
    <w:rsid w:val="003C745B"/>
    <w:rsid w:val="003E36D0"/>
    <w:rsid w:val="003F0513"/>
    <w:rsid w:val="003F0C9D"/>
    <w:rsid w:val="003F2C19"/>
    <w:rsid w:val="003F325A"/>
    <w:rsid w:val="003F5E3E"/>
    <w:rsid w:val="00400A2D"/>
    <w:rsid w:val="00411449"/>
    <w:rsid w:val="00422013"/>
    <w:rsid w:val="0043670D"/>
    <w:rsid w:val="00466404"/>
    <w:rsid w:val="0046720D"/>
    <w:rsid w:val="00473CF2"/>
    <w:rsid w:val="00482C3A"/>
    <w:rsid w:val="00491031"/>
    <w:rsid w:val="0049193D"/>
    <w:rsid w:val="004A1FDD"/>
    <w:rsid w:val="004A5B4A"/>
    <w:rsid w:val="004C4FF5"/>
    <w:rsid w:val="004E0663"/>
    <w:rsid w:val="004E2FDF"/>
    <w:rsid w:val="004F1381"/>
    <w:rsid w:val="005027D6"/>
    <w:rsid w:val="005365C0"/>
    <w:rsid w:val="005566FA"/>
    <w:rsid w:val="00564C62"/>
    <w:rsid w:val="005804B6"/>
    <w:rsid w:val="00591C12"/>
    <w:rsid w:val="005B439A"/>
    <w:rsid w:val="005C32A0"/>
    <w:rsid w:val="005C43BE"/>
    <w:rsid w:val="005E0CE2"/>
    <w:rsid w:val="00602655"/>
    <w:rsid w:val="006134D1"/>
    <w:rsid w:val="00664F77"/>
    <w:rsid w:val="00680E53"/>
    <w:rsid w:val="00682DCA"/>
    <w:rsid w:val="00686F62"/>
    <w:rsid w:val="006A4C47"/>
    <w:rsid w:val="006B0776"/>
    <w:rsid w:val="006D68BD"/>
    <w:rsid w:val="006E235C"/>
    <w:rsid w:val="006E41CA"/>
    <w:rsid w:val="006E5631"/>
    <w:rsid w:val="00704965"/>
    <w:rsid w:val="00733832"/>
    <w:rsid w:val="00733C75"/>
    <w:rsid w:val="007443CB"/>
    <w:rsid w:val="0075413C"/>
    <w:rsid w:val="007727EA"/>
    <w:rsid w:val="0077665E"/>
    <w:rsid w:val="00790DFF"/>
    <w:rsid w:val="007A476C"/>
    <w:rsid w:val="007B1652"/>
    <w:rsid w:val="007D74DE"/>
    <w:rsid w:val="007E18D8"/>
    <w:rsid w:val="007E6F40"/>
    <w:rsid w:val="007F7C13"/>
    <w:rsid w:val="0080438C"/>
    <w:rsid w:val="008046EF"/>
    <w:rsid w:val="008104FE"/>
    <w:rsid w:val="0081257E"/>
    <w:rsid w:val="00814D9F"/>
    <w:rsid w:val="00816716"/>
    <w:rsid w:val="00817470"/>
    <w:rsid w:val="00822BEE"/>
    <w:rsid w:val="008326E6"/>
    <w:rsid w:val="00841E9E"/>
    <w:rsid w:val="0087170A"/>
    <w:rsid w:val="00883AAF"/>
    <w:rsid w:val="00885CE9"/>
    <w:rsid w:val="00890A65"/>
    <w:rsid w:val="008A0974"/>
    <w:rsid w:val="008A0D91"/>
    <w:rsid w:val="008A3D6C"/>
    <w:rsid w:val="008B31F7"/>
    <w:rsid w:val="008C0E9F"/>
    <w:rsid w:val="008D7162"/>
    <w:rsid w:val="008E4EBE"/>
    <w:rsid w:val="008E7EED"/>
    <w:rsid w:val="008F0B8A"/>
    <w:rsid w:val="00905885"/>
    <w:rsid w:val="0091172F"/>
    <w:rsid w:val="00922CB2"/>
    <w:rsid w:val="0092536E"/>
    <w:rsid w:val="00925EC3"/>
    <w:rsid w:val="00930F7B"/>
    <w:rsid w:val="009720DB"/>
    <w:rsid w:val="009800BB"/>
    <w:rsid w:val="0098207B"/>
    <w:rsid w:val="009822B9"/>
    <w:rsid w:val="00982F01"/>
    <w:rsid w:val="009861E2"/>
    <w:rsid w:val="00997CB6"/>
    <w:rsid w:val="009A59C1"/>
    <w:rsid w:val="009D2F39"/>
    <w:rsid w:val="009E3C3B"/>
    <w:rsid w:val="009F1330"/>
    <w:rsid w:val="00A15526"/>
    <w:rsid w:val="00A379E7"/>
    <w:rsid w:val="00A44E44"/>
    <w:rsid w:val="00A765DA"/>
    <w:rsid w:val="00A92037"/>
    <w:rsid w:val="00A945AB"/>
    <w:rsid w:val="00AB0281"/>
    <w:rsid w:val="00AD0B65"/>
    <w:rsid w:val="00AD2E84"/>
    <w:rsid w:val="00AF3D5E"/>
    <w:rsid w:val="00B24810"/>
    <w:rsid w:val="00B25F9A"/>
    <w:rsid w:val="00B31AE5"/>
    <w:rsid w:val="00B34397"/>
    <w:rsid w:val="00B36A2C"/>
    <w:rsid w:val="00B4072A"/>
    <w:rsid w:val="00B51689"/>
    <w:rsid w:val="00B769E9"/>
    <w:rsid w:val="00B80786"/>
    <w:rsid w:val="00B9158A"/>
    <w:rsid w:val="00BB4556"/>
    <w:rsid w:val="00BC1D7C"/>
    <w:rsid w:val="00BC252E"/>
    <w:rsid w:val="00BC4EAE"/>
    <w:rsid w:val="00BC7332"/>
    <w:rsid w:val="00BD235D"/>
    <w:rsid w:val="00BD558D"/>
    <w:rsid w:val="00BE267E"/>
    <w:rsid w:val="00BF0EF2"/>
    <w:rsid w:val="00C052D9"/>
    <w:rsid w:val="00C1095C"/>
    <w:rsid w:val="00C25FD1"/>
    <w:rsid w:val="00C306A2"/>
    <w:rsid w:val="00C331D9"/>
    <w:rsid w:val="00C462DC"/>
    <w:rsid w:val="00C54B3F"/>
    <w:rsid w:val="00C57DF6"/>
    <w:rsid w:val="00C804F9"/>
    <w:rsid w:val="00C9337A"/>
    <w:rsid w:val="00CA42E4"/>
    <w:rsid w:val="00CB3C3B"/>
    <w:rsid w:val="00CC043A"/>
    <w:rsid w:val="00CC3666"/>
    <w:rsid w:val="00CD31E0"/>
    <w:rsid w:val="00CE50FC"/>
    <w:rsid w:val="00D03117"/>
    <w:rsid w:val="00D242CC"/>
    <w:rsid w:val="00D357D7"/>
    <w:rsid w:val="00D37BCB"/>
    <w:rsid w:val="00D62F62"/>
    <w:rsid w:val="00D76FC7"/>
    <w:rsid w:val="00D93100"/>
    <w:rsid w:val="00DA2113"/>
    <w:rsid w:val="00DA54BA"/>
    <w:rsid w:val="00DD0933"/>
    <w:rsid w:val="00DD2898"/>
    <w:rsid w:val="00E01D0A"/>
    <w:rsid w:val="00E1451A"/>
    <w:rsid w:val="00E1689B"/>
    <w:rsid w:val="00E24778"/>
    <w:rsid w:val="00E3100A"/>
    <w:rsid w:val="00E44B21"/>
    <w:rsid w:val="00E454AE"/>
    <w:rsid w:val="00E5277A"/>
    <w:rsid w:val="00E55802"/>
    <w:rsid w:val="00E60665"/>
    <w:rsid w:val="00E621AE"/>
    <w:rsid w:val="00E625C6"/>
    <w:rsid w:val="00E63DE4"/>
    <w:rsid w:val="00E70ED8"/>
    <w:rsid w:val="00E778E4"/>
    <w:rsid w:val="00E9197E"/>
    <w:rsid w:val="00E91C09"/>
    <w:rsid w:val="00E96F15"/>
    <w:rsid w:val="00EB2542"/>
    <w:rsid w:val="00ED11BD"/>
    <w:rsid w:val="00ED48FE"/>
    <w:rsid w:val="00ED7E51"/>
    <w:rsid w:val="00EE6E60"/>
    <w:rsid w:val="00F221B2"/>
    <w:rsid w:val="00F2368D"/>
    <w:rsid w:val="00F267B7"/>
    <w:rsid w:val="00F31A82"/>
    <w:rsid w:val="00F477FF"/>
    <w:rsid w:val="00F52C89"/>
    <w:rsid w:val="00F554D8"/>
    <w:rsid w:val="00F56254"/>
    <w:rsid w:val="00FA1AED"/>
    <w:rsid w:val="00FA30A7"/>
    <w:rsid w:val="00FA66C1"/>
    <w:rsid w:val="00FB6336"/>
    <w:rsid w:val="00FC11F2"/>
    <w:rsid w:val="00FD4489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55DC2B-7527-4940-A22C-6B9CF6F0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styleId="BalloonText">
    <w:name w:val="Balloon Text"/>
    <w:basedOn w:val="Normal"/>
    <w:link w:val="BalloonTextChar"/>
    <w:semiHidden/>
    <w:unhideWhenUsed/>
    <w:rsid w:val="009822B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22B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40D6-303D-4A59-AE71-834746DE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5</TotalTime>
  <Pages>5</Pages>
  <Words>1422</Words>
  <Characters>8613</Characters>
  <Application>Microsoft Office Word</Application>
  <DocSecurity>0</DocSecurity>
  <Lines>486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ITU</dc:creator>
  <dc:description>PE_RA12.dotm  For: _x000d_Document date: _x000d_Saved by MM-106465 at 11:44:53 on 04/04/11</dc:description>
  <cp:lastModifiedBy>Jones, Jacqueline</cp:lastModifiedBy>
  <cp:revision>5</cp:revision>
  <cp:lastPrinted>2015-09-21T15:43:00Z</cp:lastPrinted>
  <dcterms:created xsi:type="dcterms:W3CDTF">2015-09-21T15:27:00Z</dcterms:created>
  <dcterms:modified xsi:type="dcterms:W3CDTF">2015-09-21T15:43:00Z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PE_RA12.dotm</vt:lpwstr>
  </property>
  <property fmtid="{D5CDD505-2E9C-101B-9397-08002B2CF9AE}" pid="7" name="Docorlang">
    <vt:lpwstr/>
  </property>
  <property fmtid="{D5CDD505-2E9C-101B-9397-08002B2CF9AE}" pid="8" name="Header">
    <vt:lpwstr>RR</vt:lpwstr>
  </property>
</Properties>
</file>