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713791">
        <w:trPr>
          <w:cantSplit/>
        </w:trPr>
        <w:tc>
          <w:tcPr>
            <w:tcW w:w="6771" w:type="dxa"/>
          </w:tcPr>
          <w:p w:rsidR="0051782D" w:rsidRPr="00D872CB" w:rsidRDefault="006A7022" w:rsidP="00787DBE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213AE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0A4F3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0A4F3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D872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0A4F3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787DBE">
            <w:pPr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2F99EFAD" wp14:editId="3F8C89CD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713791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787DB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787DBE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713791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787DB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787DBE">
            <w:pPr>
              <w:shd w:val="solid" w:color="FFFFFF" w:fill="FFFFFF"/>
              <w:spacing w:before="0" w:after="48"/>
            </w:pPr>
          </w:p>
        </w:tc>
      </w:tr>
      <w:tr w:rsidR="0051782D" w:rsidRPr="00D872CB" w:rsidTr="00713791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787DB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72734C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0A4F34" w:rsidRPr="000A4F3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-1/</w:t>
            </w:r>
            <w:r w:rsidR="0072734C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713791">
        <w:trPr>
          <w:cantSplit/>
        </w:trPr>
        <w:tc>
          <w:tcPr>
            <w:tcW w:w="6771" w:type="dxa"/>
            <w:vMerge/>
          </w:tcPr>
          <w:p w:rsidR="0051782D" w:rsidRPr="00D872CB" w:rsidRDefault="0051782D" w:rsidP="00787DB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287DC2" w:rsidRDefault="00BD7223" w:rsidP="0092777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en-US"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0A4F34" w:rsidRPr="000A4F3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927773"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287DC2">
              <w:rPr>
                <w:rFonts w:ascii="Verdana" w:hAnsi="SimSun"/>
                <w:b/>
                <w:sz w:val="20"/>
                <w:lang w:val="en-US" w:eastAsia="zh-CN"/>
              </w:rPr>
              <w:t>12</w:t>
            </w:r>
          </w:p>
        </w:tc>
      </w:tr>
      <w:tr w:rsidR="0051782D" w:rsidRPr="00D872CB" w:rsidTr="00713791">
        <w:trPr>
          <w:cantSplit/>
        </w:trPr>
        <w:tc>
          <w:tcPr>
            <w:tcW w:w="6771" w:type="dxa"/>
            <w:vMerge/>
          </w:tcPr>
          <w:p w:rsidR="0051782D" w:rsidRPr="00D872CB" w:rsidRDefault="0051782D" w:rsidP="00787DB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927773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927773">
              <w:rPr>
                <w:rFonts w:ascii="Verdana" w:hAnsi="SimSun" w:hint="eastAsia"/>
                <w:b/>
                <w:sz w:val="20"/>
                <w:lang w:eastAsia="zh-CN"/>
              </w:rPr>
              <w:t>俄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文</w:t>
            </w:r>
          </w:p>
        </w:tc>
      </w:tr>
      <w:tr w:rsidR="00426448" w:rsidRPr="00D872CB" w:rsidTr="00713791">
        <w:trPr>
          <w:cantSplit/>
        </w:trPr>
        <w:tc>
          <w:tcPr>
            <w:tcW w:w="9889" w:type="dxa"/>
            <w:gridSpan w:val="2"/>
          </w:tcPr>
          <w:p w:rsidR="00426448" w:rsidRPr="00D872CB" w:rsidRDefault="00C82B32" w:rsidP="00787DBE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proofErr w:type="spellStart"/>
            <w:r>
              <w:t>俄罗斯联邦</w:t>
            </w:r>
            <w:proofErr w:type="spellEnd"/>
          </w:p>
        </w:tc>
      </w:tr>
      <w:tr w:rsidR="00BC195C" w:rsidRPr="00D872CB" w:rsidTr="00713791">
        <w:trPr>
          <w:cantSplit/>
        </w:trPr>
        <w:tc>
          <w:tcPr>
            <w:tcW w:w="9889" w:type="dxa"/>
            <w:gridSpan w:val="2"/>
          </w:tcPr>
          <w:p w:rsidR="00E130B3" w:rsidRPr="007D0AA3" w:rsidRDefault="00713791" w:rsidP="00C82B32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 w:rsidRPr="007D0AA3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ITU-R</w:t>
            </w:r>
            <w:r w:rsidR="00C82B32" w:rsidRPr="007D0AA3">
              <w:rPr>
                <w:rFonts w:asciiTheme="majorBidi" w:hAnsiTheme="majorBidi" w:cstheme="majorBidi" w:hint="eastAsia"/>
                <w:sz w:val="28"/>
                <w:szCs w:val="28"/>
                <w:lang w:eastAsia="zh-CN"/>
              </w:rPr>
              <w:t>向电子文件处理方式的进一步过渡</w:t>
            </w:r>
          </w:p>
        </w:tc>
      </w:tr>
    </w:tbl>
    <w:bookmarkEnd w:id="4"/>
    <w:p w:rsidR="0072734C" w:rsidRDefault="0072734C" w:rsidP="0072734C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ab/>
      </w:r>
      <w:r w:rsidR="00787DBE" w:rsidRPr="0072734C">
        <w:rPr>
          <w:rFonts w:hint="eastAsia"/>
          <w:lang w:eastAsia="zh-CN"/>
        </w:rPr>
        <w:t>引言</w:t>
      </w:r>
    </w:p>
    <w:p w:rsidR="0072734C" w:rsidRDefault="0072734C" w:rsidP="008051CB">
      <w:pPr>
        <w:ind w:firstLineChars="200" w:firstLine="480"/>
        <w:rPr>
          <w:lang w:eastAsia="zh-CN"/>
        </w:rPr>
      </w:pPr>
      <w:r>
        <w:rPr>
          <w:lang w:eastAsia="zh-CN"/>
        </w:rPr>
        <w:t>根据</w:t>
      </w:r>
      <w:r w:rsidR="008051CB">
        <w:rPr>
          <w:lang w:eastAsia="zh-CN"/>
        </w:rPr>
        <w:t>ITU-R</w:t>
      </w:r>
      <w:r w:rsidR="008051CB"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 w:rsidR="008051CB"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 w:rsidR="008051CB">
        <w:rPr>
          <w:rFonts w:hint="eastAsia"/>
          <w:lang w:eastAsia="zh-CN"/>
        </w:rPr>
        <w:t>第</w:t>
      </w:r>
      <w:r w:rsidR="008051CB">
        <w:rPr>
          <w:rFonts w:hint="eastAsia"/>
          <w:lang w:eastAsia="zh-CN"/>
        </w:rPr>
        <w:t>9</w:t>
      </w:r>
      <w:r>
        <w:rPr>
          <w:lang w:eastAsia="zh-CN"/>
        </w:rPr>
        <w:t>段</w:t>
      </w:r>
      <w:r w:rsidR="005656B2">
        <w:rPr>
          <w:lang w:eastAsia="zh-CN"/>
        </w:rPr>
        <w:t>（</w:t>
      </w:r>
      <w:r w:rsidR="005656B2" w:rsidRPr="005656B2">
        <w:rPr>
          <w:rFonts w:ascii="SimSun" w:hAnsi="SimSun"/>
          <w:lang w:eastAsia="zh-CN"/>
        </w:rPr>
        <w:t>“</w:t>
      </w:r>
      <w:r>
        <w:rPr>
          <w:lang w:eastAsia="zh-CN"/>
        </w:rPr>
        <w:t>信息的分发</w:t>
      </w:r>
      <w:r w:rsidR="005656B2" w:rsidRPr="005656B2">
        <w:rPr>
          <w:rFonts w:ascii="SimSun" w:hAnsi="SimSun"/>
          <w:lang w:eastAsia="zh-CN"/>
        </w:rPr>
        <w:t>”</w:t>
      </w:r>
      <w:r w:rsidR="005656B2">
        <w:rPr>
          <w:lang w:eastAsia="zh-CN"/>
        </w:rPr>
        <w:t>）</w:t>
      </w:r>
      <w:r w:rsidR="008051CB">
        <w:rPr>
          <w:rFonts w:hint="eastAsia"/>
          <w:lang w:eastAsia="zh-CN"/>
        </w:rPr>
        <w:t>：</w:t>
      </w:r>
    </w:p>
    <w:p w:rsidR="0072734C" w:rsidRPr="00A634CB" w:rsidRDefault="0072734C" w:rsidP="0072734C">
      <w:pPr>
        <w:rPr>
          <w:bCs/>
          <w:lang w:eastAsia="zh-CN"/>
        </w:rPr>
      </w:pPr>
      <w:r w:rsidRPr="00A634CB">
        <w:rPr>
          <w:bCs/>
          <w:lang w:eastAsia="zh-CN"/>
        </w:rPr>
        <w:t>9.1</w:t>
      </w:r>
      <w:r w:rsidRPr="00A634CB">
        <w:rPr>
          <w:b/>
          <w:bCs/>
          <w:lang w:eastAsia="zh-CN"/>
        </w:rPr>
        <w:tab/>
      </w:r>
      <w:r w:rsidRPr="00A634CB">
        <w:rPr>
          <w:rFonts w:hint="eastAsia"/>
          <w:bCs/>
          <w:lang w:eastAsia="zh-CN"/>
        </w:rPr>
        <w:t>无线电通信局主任须</w:t>
      </w:r>
      <w:r w:rsidR="005656B2">
        <w:rPr>
          <w:rFonts w:hint="eastAsia"/>
          <w:bCs/>
          <w:lang w:eastAsia="zh-CN"/>
        </w:rPr>
        <w:t>（</w:t>
      </w:r>
      <w:r w:rsidRPr="00A634CB">
        <w:rPr>
          <w:rFonts w:hint="eastAsia"/>
          <w:bCs/>
          <w:lang w:eastAsia="zh-CN"/>
        </w:rPr>
        <w:t>以包括电子形式在内的方式</w:t>
      </w:r>
      <w:r w:rsidR="005656B2">
        <w:rPr>
          <w:rFonts w:hint="eastAsia"/>
          <w:bCs/>
          <w:lang w:eastAsia="zh-CN"/>
        </w:rPr>
        <w:t>）</w:t>
      </w:r>
      <w:r w:rsidRPr="00A634CB">
        <w:rPr>
          <w:rFonts w:hint="eastAsia"/>
          <w:bCs/>
          <w:lang w:eastAsia="zh-CN"/>
        </w:rPr>
        <w:t>定期发布有关该部门活动的信息：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参加下一研究期研究组的工作的邀请函；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为接收文件填写的申请表；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至少未来</w:t>
      </w:r>
      <w:r w:rsidRPr="00A634CB">
        <w:rPr>
          <w:lang w:eastAsia="zh-CN"/>
        </w:rPr>
        <w:t>12</w:t>
      </w:r>
      <w:r w:rsidRPr="00A634CB">
        <w:rPr>
          <w:rFonts w:hint="eastAsia"/>
          <w:lang w:eastAsia="zh-CN"/>
        </w:rPr>
        <w:t>个月会议的时间安排，并适当更新；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所有研究组会议邀请函；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  <w:t>CPM</w:t>
      </w:r>
      <w:r w:rsidRPr="00A634CB">
        <w:rPr>
          <w:rFonts w:hint="eastAsia"/>
          <w:lang w:eastAsia="zh-CN"/>
        </w:rPr>
        <w:t>准备性文件和最终报告；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无线电通信全会的准备性文件。</w:t>
      </w:r>
    </w:p>
    <w:p w:rsidR="0072734C" w:rsidRPr="00A634CB" w:rsidRDefault="0072734C" w:rsidP="008051CB">
      <w:pPr>
        <w:ind w:firstLineChars="200" w:firstLine="480"/>
        <w:rPr>
          <w:bCs/>
          <w:lang w:eastAsia="zh-CN"/>
        </w:rPr>
      </w:pPr>
      <w:r w:rsidRPr="00A634CB">
        <w:rPr>
          <w:rFonts w:hint="eastAsia"/>
          <w:bCs/>
          <w:lang w:eastAsia="zh-CN"/>
        </w:rPr>
        <w:t>根据对上述文件申请的回应，将提供以下信息：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发给所有工作组、任务组和联合报告人组会议邀请函的研究组通函，其中包括个人与会表和议程草案；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研究组、工作组、任务组和联合报告人组；</w:t>
      </w:r>
    </w:p>
    <w:p w:rsidR="0072734C" w:rsidRPr="00A634CB" w:rsidRDefault="0072734C" w:rsidP="008051CB">
      <w:pPr>
        <w:pStyle w:val="enumlev1"/>
        <w:rPr>
          <w:lang w:eastAsia="zh-CN"/>
        </w:rPr>
      </w:pPr>
      <w:r w:rsidRPr="00A634CB">
        <w:rPr>
          <w:lang w:eastAsia="zh-CN"/>
        </w:rPr>
        <w:t>–</w:t>
      </w:r>
      <w:r w:rsidRPr="00A634CB">
        <w:rPr>
          <w:lang w:eastAsia="zh-CN"/>
        </w:rPr>
        <w:tab/>
      </w:r>
      <w:r w:rsidRPr="00A634CB">
        <w:rPr>
          <w:rFonts w:hint="eastAsia"/>
          <w:lang w:eastAsia="zh-CN"/>
        </w:rPr>
        <w:t>有助于成员的其它信息。</w:t>
      </w:r>
    </w:p>
    <w:p w:rsidR="0072734C" w:rsidRDefault="0072734C" w:rsidP="00A23486">
      <w:pPr>
        <w:ind w:firstLineChars="200" w:firstLine="480"/>
        <w:rPr>
          <w:lang w:eastAsia="zh-CN"/>
        </w:rPr>
      </w:pPr>
      <w:r>
        <w:rPr>
          <w:lang w:eastAsia="zh-CN"/>
        </w:rPr>
        <w:t>无线电通信</w:t>
      </w:r>
      <w:r w:rsidR="008051CB">
        <w:rPr>
          <w:rFonts w:hint="eastAsia"/>
          <w:lang w:eastAsia="zh-CN"/>
        </w:rPr>
        <w:t>局</w:t>
      </w:r>
      <w:r>
        <w:rPr>
          <w:lang w:eastAsia="zh-CN"/>
        </w:rPr>
        <w:t>主</w:t>
      </w:r>
      <w:r w:rsidR="008051CB">
        <w:rPr>
          <w:rFonts w:hint="eastAsia"/>
          <w:lang w:eastAsia="zh-CN"/>
        </w:rPr>
        <w:t>任</w:t>
      </w:r>
      <w:r>
        <w:rPr>
          <w:lang w:eastAsia="zh-CN"/>
        </w:rPr>
        <w:t>在</w:t>
      </w:r>
      <w:r w:rsidR="008051CB">
        <w:rPr>
          <w:rFonts w:hint="eastAsia"/>
          <w:lang w:eastAsia="zh-CN"/>
        </w:rPr>
        <w:t>第</w:t>
      </w:r>
      <w:r>
        <w:rPr>
          <w:lang w:eastAsia="zh-CN"/>
        </w:rPr>
        <w:t>CA/203</w:t>
      </w:r>
      <w:r>
        <w:rPr>
          <w:lang w:eastAsia="zh-CN"/>
        </w:rPr>
        <w:t>号通函中指出，第</w:t>
      </w:r>
      <w:r w:rsidR="008051CB">
        <w:rPr>
          <w:rFonts w:hint="eastAsia"/>
          <w:lang w:eastAsia="zh-CN"/>
        </w:rPr>
        <w:t>167</w:t>
      </w:r>
      <w:r>
        <w:rPr>
          <w:lang w:eastAsia="zh-CN"/>
        </w:rPr>
        <w:t>号决议</w:t>
      </w:r>
      <w:r w:rsidR="005656B2">
        <w:rPr>
          <w:lang w:eastAsia="zh-CN"/>
        </w:rPr>
        <w:t>（</w:t>
      </w:r>
      <w:r>
        <w:rPr>
          <w:lang w:eastAsia="zh-CN"/>
        </w:rPr>
        <w:t>2010</w:t>
      </w:r>
      <w:r>
        <w:rPr>
          <w:lang w:eastAsia="zh-CN"/>
        </w:rPr>
        <w:t>年，瓜达拉哈拉</w:t>
      </w:r>
      <w:r w:rsidR="005656B2">
        <w:rPr>
          <w:lang w:eastAsia="zh-CN"/>
        </w:rPr>
        <w:t>）</w:t>
      </w:r>
      <w:r>
        <w:rPr>
          <w:lang w:eastAsia="zh-CN"/>
        </w:rPr>
        <w:t>鼓励国际电联</w:t>
      </w:r>
      <w:r w:rsidR="005656B2" w:rsidRPr="005656B2">
        <w:rPr>
          <w:rFonts w:ascii="SimSun" w:hAnsi="SimSun"/>
          <w:lang w:eastAsia="zh-CN"/>
        </w:rPr>
        <w:t>“</w:t>
      </w:r>
      <w:r>
        <w:rPr>
          <w:lang w:eastAsia="zh-CN"/>
        </w:rPr>
        <w:t>继续完善在</w:t>
      </w:r>
      <w:r w:rsidR="008051CB">
        <w:rPr>
          <w:rFonts w:hint="eastAsia"/>
          <w:lang w:eastAsia="zh-CN"/>
        </w:rPr>
        <w:t>文件</w:t>
      </w:r>
      <w:r>
        <w:rPr>
          <w:lang w:eastAsia="zh-CN"/>
        </w:rPr>
        <w:t>制定、分发和批准方面的电</w:t>
      </w:r>
      <w:r w:rsidR="008051CB">
        <w:rPr>
          <w:rFonts w:hint="eastAsia"/>
          <w:lang w:eastAsia="zh-CN"/>
        </w:rPr>
        <w:t>子</w:t>
      </w:r>
      <w:r>
        <w:rPr>
          <w:lang w:eastAsia="zh-CN"/>
        </w:rPr>
        <w:t>工作方法并推广</w:t>
      </w:r>
      <w:r w:rsidR="008051CB">
        <w:rPr>
          <w:rFonts w:hint="eastAsia"/>
          <w:lang w:eastAsia="zh-CN"/>
        </w:rPr>
        <w:t>无纸</w:t>
      </w:r>
      <w:r>
        <w:rPr>
          <w:lang w:eastAsia="zh-CN"/>
        </w:rPr>
        <w:t>会议</w:t>
      </w:r>
      <w:r w:rsidR="005656B2" w:rsidRPr="005656B2">
        <w:rPr>
          <w:rFonts w:ascii="SimSun" w:hAnsi="SimSun"/>
          <w:lang w:eastAsia="zh-CN"/>
        </w:rPr>
        <w:t>”</w:t>
      </w:r>
      <w:r>
        <w:rPr>
          <w:lang w:eastAsia="zh-CN"/>
        </w:rPr>
        <w:t>，</w:t>
      </w:r>
      <w:r>
        <w:rPr>
          <w:rFonts w:hint="eastAsia"/>
          <w:lang w:eastAsia="zh-CN"/>
        </w:rPr>
        <w:t>ITU-R</w:t>
      </w:r>
      <w:r w:rsidR="008051CB">
        <w:rPr>
          <w:rFonts w:hint="eastAsia"/>
          <w:lang w:eastAsia="zh-CN"/>
        </w:rPr>
        <w:t>纸质</w:t>
      </w:r>
      <w:r>
        <w:rPr>
          <w:rFonts w:hint="eastAsia"/>
          <w:lang w:eastAsia="zh-CN"/>
        </w:rPr>
        <w:t>通函</w:t>
      </w:r>
      <w:r w:rsidR="005656B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</w:t>
      </w:r>
      <w:r w:rsidR="008051CB">
        <w:rPr>
          <w:rFonts w:hint="eastAsia"/>
          <w:lang w:eastAsia="zh-CN"/>
        </w:rPr>
        <w:t>待</w:t>
      </w:r>
      <w:r>
        <w:rPr>
          <w:rFonts w:hint="eastAsia"/>
          <w:lang w:eastAsia="zh-CN"/>
        </w:rPr>
        <w:t>通过和批准</w:t>
      </w:r>
      <w:r w:rsidR="008051C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案文草案</w:t>
      </w:r>
      <w:r w:rsidR="005656B2">
        <w:rPr>
          <w:rFonts w:hint="eastAsia"/>
          <w:lang w:eastAsia="zh-CN"/>
        </w:rPr>
        <w:t>）</w:t>
      </w:r>
      <w:r w:rsidR="008051CB">
        <w:rPr>
          <w:rFonts w:hint="eastAsia"/>
          <w:lang w:eastAsia="zh-CN"/>
        </w:rPr>
        <w:t>只</w:t>
      </w:r>
      <w:r>
        <w:rPr>
          <w:rFonts w:hint="eastAsia"/>
          <w:lang w:eastAsia="zh-CN"/>
        </w:rPr>
        <w:t>在</w:t>
      </w:r>
      <w:r w:rsidR="00A23486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填妥通函附件</w:t>
      </w:r>
      <w:r w:rsidR="008051CB">
        <w:rPr>
          <w:rFonts w:hint="eastAsia"/>
          <w:lang w:eastAsia="zh-CN"/>
        </w:rPr>
        <w:t>2</w:t>
      </w:r>
      <w:r w:rsidR="008051CB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表格</w:t>
      </w:r>
      <w:r w:rsidR="00A23486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要求</w:t>
      </w:r>
      <w:r w:rsidR="00A23486">
        <w:rPr>
          <w:rFonts w:hint="eastAsia"/>
          <w:lang w:eastAsia="zh-CN"/>
        </w:rPr>
        <w:t>后方可</w:t>
      </w:r>
      <w:r>
        <w:rPr>
          <w:rFonts w:hint="eastAsia"/>
          <w:lang w:eastAsia="zh-CN"/>
        </w:rPr>
        <w:t>分发。然而，该建议仅针对成员国、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部门成员、参加</w:t>
      </w:r>
      <w:r w:rsidR="00A23486">
        <w:rPr>
          <w:rFonts w:hint="eastAsia"/>
          <w:lang w:eastAsia="zh-CN"/>
        </w:rPr>
        <w:t>无线</w:t>
      </w:r>
      <w:r>
        <w:rPr>
          <w:rFonts w:hint="eastAsia"/>
          <w:lang w:eastAsia="zh-CN"/>
        </w:rPr>
        <w:t>电通信研究组工作的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部门准成员和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学术成员。</w:t>
      </w:r>
    </w:p>
    <w:p w:rsidR="0072734C" w:rsidRDefault="0072734C" w:rsidP="00A234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至关重要的是，应将原来通过磁盘分发的通过和批准案文草案提供在网站上。</w:t>
      </w:r>
    </w:p>
    <w:p w:rsidR="007D0AA3" w:rsidRDefault="007D0A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2734C" w:rsidRDefault="00A23486" w:rsidP="007D0A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与此</w:t>
      </w:r>
      <w:r w:rsidR="0072734C">
        <w:rPr>
          <w:rFonts w:hint="eastAsia"/>
          <w:lang w:eastAsia="zh-CN"/>
        </w:rPr>
        <w:t>同时，以下人员应一如</w:t>
      </w:r>
      <w:r>
        <w:rPr>
          <w:rFonts w:hint="eastAsia"/>
          <w:lang w:eastAsia="zh-CN"/>
        </w:rPr>
        <w:t>继往</w:t>
      </w:r>
      <w:r w:rsidR="0072734C">
        <w:rPr>
          <w:rFonts w:hint="eastAsia"/>
          <w:lang w:eastAsia="zh-CN"/>
        </w:rPr>
        <w:t>地收到所有</w:t>
      </w:r>
      <w:r>
        <w:rPr>
          <w:rFonts w:hint="eastAsia"/>
          <w:lang w:eastAsia="zh-CN"/>
        </w:rPr>
        <w:t>纸质</w:t>
      </w:r>
      <w:r w:rsidR="0072734C">
        <w:rPr>
          <w:rFonts w:hint="eastAsia"/>
          <w:lang w:eastAsia="zh-CN"/>
        </w:rPr>
        <w:t>信息</w:t>
      </w:r>
      <w:r w:rsidR="007D0AA3">
        <w:rPr>
          <w:rFonts w:hint="eastAsia"/>
          <w:lang w:eastAsia="zh-CN"/>
        </w:rPr>
        <w:t>：</w:t>
      </w:r>
    </w:p>
    <w:p w:rsidR="0072734C" w:rsidRDefault="00A23486" w:rsidP="00A234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72734C">
        <w:rPr>
          <w:rFonts w:hint="eastAsia"/>
          <w:lang w:eastAsia="zh-CN"/>
        </w:rPr>
        <w:t>IRU-R</w:t>
      </w:r>
      <w:r w:rsidR="0072734C">
        <w:rPr>
          <w:rFonts w:hint="eastAsia"/>
          <w:lang w:eastAsia="zh-CN"/>
        </w:rPr>
        <w:t>研究组、</w:t>
      </w:r>
      <w:r>
        <w:rPr>
          <w:rFonts w:hint="eastAsia"/>
          <w:lang w:eastAsia="zh-CN"/>
        </w:rPr>
        <w:t>词汇协调委员会</w:t>
      </w:r>
      <w:r w:rsidR="0072734C">
        <w:rPr>
          <w:rFonts w:hint="eastAsia"/>
          <w:lang w:eastAsia="zh-CN"/>
        </w:rPr>
        <w:t>和</w:t>
      </w:r>
      <w:r w:rsidR="0072734C">
        <w:rPr>
          <w:rFonts w:hint="eastAsia"/>
          <w:lang w:eastAsia="zh-CN"/>
        </w:rPr>
        <w:t>SC-RPM</w:t>
      </w:r>
      <w:r w:rsidR="0072734C">
        <w:rPr>
          <w:rFonts w:hint="eastAsia"/>
          <w:lang w:eastAsia="zh-CN"/>
        </w:rPr>
        <w:t>正副主席</w:t>
      </w:r>
      <w:r w:rsidR="0072734C">
        <w:rPr>
          <w:rFonts w:hint="eastAsia"/>
          <w:lang w:eastAsia="zh-CN"/>
        </w:rPr>
        <w:t xml:space="preserve"> </w:t>
      </w:r>
    </w:p>
    <w:p w:rsidR="0072734C" w:rsidRDefault="00A23486" w:rsidP="00A234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72734C">
        <w:rPr>
          <w:rFonts w:hint="eastAsia"/>
          <w:lang w:eastAsia="zh-CN"/>
        </w:rPr>
        <w:t>无线电通信顾问组正副主席</w:t>
      </w:r>
      <w:r w:rsidR="0072734C">
        <w:rPr>
          <w:rFonts w:hint="eastAsia"/>
          <w:lang w:eastAsia="zh-CN"/>
        </w:rPr>
        <w:t xml:space="preserve"> </w:t>
      </w:r>
    </w:p>
    <w:p w:rsidR="0072734C" w:rsidRDefault="00A23486" w:rsidP="00A234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72734C">
        <w:rPr>
          <w:rFonts w:hint="eastAsia"/>
          <w:lang w:eastAsia="zh-CN"/>
        </w:rPr>
        <w:t>大会筹备会议</w:t>
      </w:r>
      <w:r>
        <w:rPr>
          <w:rFonts w:hint="eastAsia"/>
          <w:lang w:eastAsia="zh-CN"/>
        </w:rPr>
        <w:t>正</w:t>
      </w:r>
      <w:r w:rsidR="0072734C">
        <w:rPr>
          <w:rFonts w:hint="eastAsia"/>
          <w:lang w:eastAsia="zh-CN"/>
        </w:rPr>
        <w:t>副主席</w:t>
      </w:r>
      <w:r w:rsidR="0072734C">
        <w:rPr>
          <w:rFonts w:hint="eastAsia"/>
          <w:lang w:eastAsia="zh-CN"/>
        </w:rPr>
        <w:t xml:space="preserve"> </w:t>
      </w:r>
    </w:p>
    <w:p w:rsidR="0072734C" w:rsidRDefault="00A23486" w:rsidP="00A234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72734C">
        <w:rPr>
          <w:rFonts w:hint="eastAsia"/>
          <w:lang w:eastAsia="zh-CN"/>
        </w:rPr>
        <w:t>无线电规则委员会委员</w:t>
      </w:r>
      <w:r w:rsidR="0072734C">
        <w:rPr>
          <w:rFonts w:hint="eastAsia"/>
          <w:lang w:eastAsia="zh-CN"/>
        </w:rPr>
        <w:t xml:space="preserve"> </w:t>
      </w:r>
    </w:p>
    <w:p w:rsidR="0072734C" w:rsidRDefault="0072734C" w:rsidP="00A2348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 w:rsidR="00A23486">
        <w:rPr>
          <w:rFonts w:hint="eastAsia"/>
          <w:lang w:eastAsia="zh-CN"/>
        </w:rPr>
        <w:tab/>
      </w:r>
      <w:r w:rsidR="00A23486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案</w:t>
      </w:r>
      <w:r>
        <w:rPr>
          <w:rFonts w:hint="eastAsia"/>
          <w:lang w:eastAsia="zh-CN"/>
        </w:rPr>
        <w:t xml:space="preserve"> </w:t>
      </w:r>
    </w:p>
    <w:p w:rsidR="00A23486" w:rsidRDefault="0072734C" w:rsidP="00A23486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2.1</w:t>
      </w:r>
      <w:r w:rsidR="00A23486">
        <w:rPr>
          <w:rFonts w:hint="eastAsia"/>
          <w:lang w:eastAsia="zh-CN"/>
        </w:rPr>
        <w:tab/>
      </w:r>
      <w:r w:rsidR="00A23486">
        <w:rPr>
          <w:rFonts w:hint="eastAsia"/>
          <w:lang w:eastAsia="zh-CN"/>
        </w:rPr>
        <w:t>请按</w:t>
      </w:r>
      <w:r>
        <w:rPr>
          <w:rFonts w:hint="eastAsia"/>
          <w:lang w:eastAsia="zh-CN"/>
        </w:rPr>
        <w:t>收</w:t>
      </w:r>
      <w:r w:rsidR="00A23486">
        <w:rPr>
          <w:rFonts w:hint="eastAsia"/>
          <w:lang w:eastAsia="zh-CN"/>
        </w:rPr>
        <w:t>纸质</w:t>
      </w:r>
      <w:r>
        <w:rPr>
          <w:rFonts w:hint="eastAsia"/>
          <w:lang w:eastAsia="zh-CN"/>
        </w:rPr>
        <w:t>文件</w:t>
      </w:r>
      <w:r w:rsidR="00A23486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收件人在无线电通信顾问组确定的截止日期内向无线电通信</w:t>
      </w:r>
      <w:r w:rsidR="00A23486">
        <w:rPr>
          <w:rFonts w:hint="eastAsia"/>
          <w:lang w:eastAsia="zh-CN"/>
        </w:rPr>
        <w:t>局</w:t>
      </w:r>
      <w:r>
        <w:rPr>
          <w:rFonts w:hint="eastAsia"/>
          <w:lang w:eastAsia="zh-CN"/>
        </w:rPr>
        <w:t>提出相应</w:t>
      </w:r>
      <w:r w:rsidR="00A23486">
        <w:rPr>
          <w:rFonts w:hint="eastAsia"/>
          <w:lang w:eastAsia="zh-CN"/>
        </w:rPr>
        <w:t>申请</w:t>
      </w:r>
      <w:r>
        <w:rPr>
          <w:rFonts w:hint="eastAsia"/>
          <w:lang w:eastAsia="zh-CN"/>
        </w:rPr>
        <w:t>，</w:t>
      </w:r>
      <w:r w:rsidR="00A23486">
        <w:rPr>
          <w:rFonts w:hint="eastAsia"/>
          <w:lang w:eastAsia="zh-CN"/>
        </w:rPr>
        <w:t>如愿意，表示希望在</w:t>
      </w:r>
      <w:r>
        <w:rPr>
          <w:rFonts w:hint="eastAsia"/>
          <w:lang w:eastAsia="zh-CN"/>
        </w:rPr>
        <w:t>通函、建议书、课题和</w:t>
      </w:r>
      <w:r w:rsidR="00A23486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所感兴趣的文件公布在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网站上</w:t>
      </w:r>
      <w:r w:rsidR="00A23486">
        <w:rPr>
          <w:rFonts w:hint="eastAsia"/>
          <w:lang w:eastAsia="zh-CN"/>
        </w:rPr>
        <w:t>时得到通知。</w:t>
      </w:r>
      <w:proofErr w:type="gramEnd"/>
    </w:p>
    <w:p w:rsidR="0072734C" w:rsidRDefault="00A23486" w:rsidP="00A23486">
      <w:pPr>
        <w:rPr>
          <w:lang w:eastAsia="zh-CN"/>
        </w:rPr>
      </w:pPr>
      <w:r>
        <w:rPr>
          <w:rFonts w:hint="eastAsia"/>
          <w:lang w:eastAsia="zh-CN"/>
        </w:rPr>
        <w:t>2.2</w:t>
      </w:r>
      <w:r>
        <w:rPr>
          <w:rFonts w:hint="eastAsia"/>
          <w:lang w:eastAsia="zh-CN"/>
        </w:rPr>
        <w:tab/>
      </w:r>
      <w:r w:rsidR="0072734C">
        <w:rPr>
          <w:rFonts w:hint="eastAsia"/>
          <w:lang w:eastAsia="zh-CN"/>
        </w:rPr>
        <w:t>截止日期后，</w:t>
      </w:r>
      <w:r>
        <w:rPr>
          <w:rFonts w:hint="eastAsia"/>
          <w:lang w:eastAsia="zh-CN"/>
        </w:rPr>
        <w:t>只按照</w:t>
      </w:r>
      <w:r w:rsidR="0072734C">
        <w:rPr>
          <w:rFonts w:hint="eastAsia"/>
          <w:lang w:eastAsia="zh-CN"/>
        </w:rPr>
        <w:t>所收到的请求表发送</w:t>
      </w:r>
      <w:r>
        <w:rPr>
          <w:rFonts w:hint="eastAsia"/>
          <w:lang w:eastAsia="zh-CN"/>
        </w:rPr>
        <w:t>纸质</w:t>
      </w:r>
      <w:r w:rsidR="0072734C">
        <w:rPr>
          <w:rFonts w:hint="eastAsia"/>
          <w:lang w:eastAsia="zh-CN"/>
        </w:rPr>
        <w:t>文件。</w:t>
      </w:r>
    </w:p>
    <w:p w:rsidR="00787DBE" w:rsidRDefault="0072734C" w:rsidP="00A23486">
      <w:pPr>
        <w:rPr>
          <w:lang w:eastAsia="zh-CN"/>
        </w:rPr>
      </w:pPr>
      <w:r>
        <w:rPr>
          <w:rFonts w:hint="eastAsia"/>
          <w:lang w:eastAsia="zh-CN"/>
        </w:rPr>
        <w:t>2.3</w:t>
      </w:r>
      <w:r w:rsidR="00A23486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确保能够在网站上获取文件，包括待通过和批准的案文草案。</w:t>
      </w:r>
      <w:r w:rsidR="00787DBE">
        <w:rPr>
          <w:lang w:eastAsia="zh-CN"/>
        </w:rPr>
        <w:t xml:space="preserve"> </w:t>
      </w:r>
    </w:p>
    <w:p w:rsidR="0072734C" w:rsidRDefault="0072734C" w:rsidP="0072734C">
      <w:pPr>
        <w:rPr>
          <w:lang w:eastAsia="zh-CN"/>
        </w:rPr>
      </w:pPr>
    </w:p>
    <w:p w:rsidR="007D0AA3" w:rsidRDefault="007D0AA3" w:rsidP="0072734C">
      <w:pPr>
        <w:rPr>
          <w:lang w:eastAsia="zh-CN"/>
        </w:rPr>
      </w:pPr>
    </w:p>
    <w:p w:rsidR="007D0AA3" w:rsidRDefault="007D0AA3" w:rsidP="0072734C">
      <w:pPr>
        <w:rPr>
          <w:lang w:eastAsia="zh-CN"/>
        </w:rPr>
      </w:pPr>
    </w:p>
    <w:p w:rsidR="007D0AA3" w:rsidRDefault="007D0AA3" w:rsidP="0032202E">
      <w:pPr>
        <w:pStyle w:val="Reasons"/>
        <w:rPr>
          <w:rFonts w:eastAsiaTheme="minorEastAsia"/>
          <w:lang w:eastAsia="zh-CN"/>
        </w:rPr>
      </w:pPr>
    </w:p>
    <w:p w:rsidR="007D0AA3" w:rsidRPr="007D0AA3" w:rsidRDefault="007D0AA3" w:rsidP="0032202E">
      <w:pPr>
        <w:pStyle w:val="Reasons"/>
        <w:rPr>
          <w:rFonts w:eastAsiaTheme="minorEastAsia"/>
          <w:lang w:eastAsia="zh-CN"/>
        </w:rPr>
      </w:pPr>
    </w:p>
    <w:p w:rsidR="007D0AA3" w:rsidRDefault="007D0AA3">
      <w:pPr>
        <w:jc w:val="center"/>
      </w:pPr>
      <w:r>
        <w:t>______________</w:t>
      </w:r>
    </w:p>
    <w:p w:rsidR="007D0AA3" w:rsidRPr="0072734C" w:rsidRDefault="007D0AA3" w:rsidP="0072734C">
      <w:pPr>
        <w:rPr>
          <w:lang w:eastAsia="zh-CN"/>
        </w:rPr>
      </w:pPr>
    </w:p>
    <w:sectPr w:rsidR="007D0AA3" w:rsidRPr="0072734C" w:rsidSect="00DB24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1418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CB" w:rsidRDefault="00BF13CB">
      <w:r>
        <w:separator/>
      </w:r>
    </w:p>
  </w:endnote>
  <w:endnote w:type="continuationSeparator" w:id="0">
    <w:p w:rsidR="00BF13CB" w:rsidRDefault="00B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37" w:rsidRDefault="00373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44" w:rsidRDefault="00373737" w:rsidP="00421B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M:\BRIAP\STAFF\Millet\RAG\RAG12\DOCS\008Cv2.docx</w:t>
    </w:r>
    <w:r>
      <w:fldChar w:fldCharType="end"/>
    </w:r>
    <w:bookmarkStart w:id="5" w:name="_GoBack"/>
    <w:bookmarkEnd w:id="5"/>
    <w:r w:rsidR="00421B44">
      <w:rPr>
        <w:rFonts w:hint="eastAsia"/>
        <w:lang w:eastAsia="zh-CN"/>
      </w:rPr>
      <w:t xml:space="preserve"> (328305)</w:t>
    </w:r>
    <w:r w:rsidR="00421B44">
      <w:tab/>
    </w:r>
    <w:r w:rsidR="00421B44">
      <w:fldChar w:fldCharType="begin"/>
    </w:r>
    <w:r w:rsidR="00421B44">
      <w:instrText xml:space="preserve"> SAVEDATE \@ DD.MM.YY </w:instrText>
    </w:r>
    <w:r w:rsidR="00421B44">
      <w:fldChar w:fldCharType="separate"/>
    </w:r>
    <w:r w:rsidR="00287DC2">
      <w:t>13.06.12</w:t>
    </w:r>
    <w:r w:rsidR="00421B44">
      <w:fldChar w:fldCharType="end"/>
    </w:r>
    <w:r w:rsidR="00421B44">
      <w:tab/>
    </w:r>
    <w:r w:rsidR="00421B44">
      <w:fldChar w:fldCharType="begin"/>
    </w:r>
    <w:r w:rsidR="00421B44">
      <w:instrText xml:space="preserve"> PRINTDATE \@ DD.MM.YY </w:instrText>
    </w:r>
    <w:r w:rsidR="00421B44">
      <w:fldChar w:fldCharType="separate"/>
    </w:r>
    <w:r w:rsidR="00D802A9">
      <w:t>13.06.12</w:t>
    </w:r>
    <w:r w:rsidR="00421B4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C0" w:rsidRDefault="00373737" w:rsidP="00421B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M:\BRIAP\STAFF\Millet\RAG\RAG12\DOCS\008Cv2.docx</w:t>
    </w:r>
    <w:r>
      <w:fldChar w:fldCharType="end"/>
    </w:r>
    <w:r w:rsidR="00DB24C0">
      <w:rPr>
        <w:rFonts w:hint="eastAsia"/>
        <w:lang w:eastAsia="zh-CN"/>
      </w:rPr>
      <w:t xml:space="preserve"> (32</w:t>
    </w:r>
    <w:r w:rsidR="00421B44">
      <w:rPr>
        <w:rFonts w:hint="eastAsia"/>
        <w:lang w:eastAsia="zh-CN"/>
      </w:rPr>
      <w:t>8305</w:t>
    </w:r>
    <w:r w:rsidR="00DB24C0">
      <w:rPr>
        <w:rFonts w:hint="eastAsia"/>
        <w:lang w:eastAsia="zh-CN"/>
      </w:rPr>
      <w:t>)</w:t>
    </w:r>
    <w:r w:rsidR="00DB24C0">
      <w:tab/>
    </w:r>
    <w:r w:rsidR="00DB24C0">
      <w:fldChar w:fldCharType="begin"/>
    </w:r>
    <w:r w:rsidR="00DB24C0">
      <w:instrText xml:space="preserve"> SAVEDATE \@ DD.MM.YY </w:instrText>
    </w:r>
    <w:r w:rsidR="00DB24C0">
      <w:fldChar w:fldCharType="separate"/>
    </w:r>
    <w:r w:rsidR="00287DC2">
      <w:t>13.06.12</w:t>
    </w:r>
    <w:r w:rsidR="00DB24C0">
      <w:fldChar w:fldCharType="end"/>
    </w:r>
    <w:r w:rsidR="00DB24C0">
      <w:tab/>
    </w:r>
    <w:r w:rsidR="00DB24C0">
      <w:fldChar w:fldCharType="begin"/>
    </w:r>
    <w:r w:rsidR="00DB24C0">
      <w:instrText xml:space="preserve"> PRINTDATE \@ DD.MM.YY </w:instrText>
    </w:r>
    <w:r w:rsidR="00DB24C0">
      <w:fldChar w:fldCharType="separate"/>
    </w:r>
    <w:r w:rsidR="00D802A9">
      <w:t>13.06.12</w:t>
    </w:r>
    <w:r w:rsidR="00DB24C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CB" w:rsidRDefault="00BF13CB">
      <w:r>
        <w:t>____________________</w:t>
      </w:r>
    </w:p>
  </w:footnote>
  <w:footnote w:type="continuationSeparator" w:id="0">
    <w:p w:rsidR="00BF13CB" w:rsidRDefault="00BF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37" w:rsidRDefault="00373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CB" w:rsidRPr="00AF0B82" w:rsidRDefault="00BF13CB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73737">
      <w:rPr>
        <w:noProof/>
      </w:rPr>
      <w:t>2</w:t>
    </w:r>
    <w:r>
      <w:fldChar w:fldCharType="end"/>
    </w:r>
  </w:p>
  <w:p w:rsidR="00BF13CB" w:rsidRPr="00AF0B82" w:rsidRDefault="00BF13CB" w:rsidP="000C3C6E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</w:t>
    </w:r>
    <w:r>
      <w:rPr>
        <w:lang w:eastAsia="zh-CN"/>
      </w:rPr>
      <w:t>2</w:t>
    </w:r>
    <w:r w:rsidRPr="00AF0B82">
      <w:t>-1/</w:t>
    </w:r>
    <w:r w:rsidR="000C3C6E">
      <w:rPr>
        <w:rFonts w:hint="eastAsia"/>
        <w:lang w:eastAsia="zh-CN"/>
      </w:rPr>
      <w:t>8</w:t>
    </w:r>
    <w:r w:rsidRPr="00AF0B82">
      <w:t>-</w:t>
    </w:r>
    <w:r w:rsidRPr="00AF0B82">
      <w:rPr>
        <w:rFonts w:hint="eastAsia"/>
        <w:lang w:eastAsia="zh-CN"/>
      </w:rPr>
      <w:t>C</w:t>
    </w:r>
  </w:p>
  <w:p w:rsidR="00BF13CB" w:rsidRDefault="00BF13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37" w:rsidRDefault="00373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7A5D90"/>
    <w:multiLevelType w:val="hybridMultilevel"/>
    <w:tmpl w:val="512C80C6"/>
    <w:lvl w:ilvl="0" w:tplc="626AE16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9A1CF6"/>
    <w:multiLevelType w:val="hybridMultilevel"/>
    <w:tmpl w:val="1FC640A4"/>
    <w:lvl w:ilvl="0" w:tplc="AD0A0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27B1D"/>
    <w:multiLevelType w:val="hybridMultilevel"/>
    <w:tmpl w:val="7706A354"/>
    <w:lvl w:ilvl="0" w:tplc="C630D7E2">
      <w:numFmt w:val="bullet"/>
      <w:lvlText w:val="–"/>
      <w:lvlJc w:val="left"/>
      <w:pPr>
        <w:ind w:left="1155" w:hanging="79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B249E"/>
    <w:multiLevelType w:val="hybridMultilevel"/>
    <w:tmpl w:val="D9E0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8"/>
  </w:num>
  <w:num w:numId="13">
    <w:abstractNumId w:val="30"/>
  </w:num>
  <w:num w:numId="14">
    <w:abstractNumId w:val="27"/>
  </w:num>
  <w:num w:numId="15">
    <w:abstractNumId w:val="23"/>
  </w:num>
  <w:num w:numId="16">
    <w:abstractNumId w:val="29"/>
  </w:num>
  <w:num w:numId="17">
    <w:abstractNumId w:val="22"/>
  </w:num>
  <w:num w:numId="18">
    <w:abstractNumId w:val="10"/>
  </w:num>
  <w:num w:numId="19">
    <w:abstractNumId w:val="16"/>
  </w:num>
  <w:num w:numId="20">
    <w:abstractNumId w:val="17"/>
  </w:num>
  <w:num w:numId="21">
    <w:abstractNumId w:val="20"/>
  </w:num>
  <w:num w:numId="22">
    <w:abstractNumId w:val="31"/>
  </w:num>
  <w:num w:numId="23">
    <w:abstractNumId w:val="25"/>
  </w:num>
  <w:num w:numId="24">
    <w:abstractNumId w:val="26"/>
  </w:num>
  <w:num w:numId="25">
    <w:abstractNumId w:val="12"/>
  </w:num>
  <w:num w:numId="26">
    <w:abstractNumId w:val="21"/>
  </w:num>
  <w:num w:numId="27">
    <w:abstractNumId w:val="14"/>
  </w:num>
  <w:num w:numId="28">
    <w:abstractNumId w:val="1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91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2D07"/>
    <w:rsid w:val="000B4D42"/>
    <w:rsid w:val="000C0FEC"/>
    <w:rsid w:val="000C3C6E"/>
    <w:rsid w:val="000F275A"/>
    <w:rsid w:val="000F3718"/>
    <w:rsid w:val="000F783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6E77"/>
    <w:rsid w:val="001E582E"/>
    <w:rsid w:val="001E5A76"/>
    <w:rsid w:val="001E692F"/>
    <w:rsid w:val="001E7277"/>
    <w:rsid w:val="001F1416"/>
    <w:rsid w:val="001F6763"/>
    <w:rsid w:val="001F75CD"/>
    <w:rsid w:val="0020573C"/>
    <w:rsid w:val="00211DC7"/>
    <w:rsid w:val="00213AE0"/>
    <w:rsid w:val="00221367"/>
    <w:rsid w:val="00236FBE"/>
    <w:rsid w:val="00244613"/>
    <w:rsid w:val="00252B08"/>
    <w:rsid w:val="00271619"/>
    <w:rsid w:val="00271C4F"/>
    <w:rsid w:val="00287DC2"/>
    <w:rsid w:val="0029544B"/>
    <w:rsid w:val="0029735D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0637"/>
    <w:rsid w:val="00342405"/>
    <w:rsid w:val="00342659"/>
    <w:rsid w:val="0034529C"/>
    <w:rsid w:val="00361609"/>
    <w:rsid w:val="00363AF1"/>
    <w:rsid w:val="00364117"/>
    <w:rsid w:val="00370DA9"/>
    <w:rsid w:val="00371A3D"/>
    <w:rsid w:val="00373737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1B44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81468"/>
    <w:rsid w:val="00491D13"/>
    <w:rsid w:val="00492483"/>
    <w:rsid w:val="004974DE"/>
    <w:rsid w:val="004976C5"/>
    <w:rsid w:val="004A07A2"/>
    <w:rsid w:val="004A6698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61A8F"/>
    <w:rsid w:val="00562977"/>
    <w:rsid w:val="005656B2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C54FB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13791"/>
    <w:rsid w:val="00723E69"/>
    <w:rsid w:val="00725BEA"/>
    <w:rsid w:val="0072734C"/>
    <w:rsid w:val="00730A2A"/>
    <w:rsid w:val="0074537E"/>
    <w:rsid w:val="0075704C"/>
    <w:rsid w:val="00757BB1"/>
    <w:rsid w:val="007669B2"/>
    <w:rsid w:val="00787DBE"/>
    <w:rsid w:val="007A299C"/>
    <w:rsid w:val="007A31FF"/>
    <w:rsid w:val="007A6C4A"/>
    <w:rsid w:val="007B56C2"/>
    <w:rsid w:val="007B7525"/>
    <w:rsid w:val="007C0529"/>
    <w:rsid w:val="007C0CCC"/>
    <w:rsid w:val="007C4F8B"/>
    <w:rsid w:val="007D0AA3"/>
    <w:rsid w:val="007D5B11"/>
    <w:rsid w:val="007E466C"/>
    <w:rsid w:val="007F087F"/>
    <w:rsid w:val="007F1A81"/>
    <w:rsid w:val="007F28FE"/>
    <w:rsid w:val="007F7F05"/>
    <w:rsid w:val="008027FD"/>
    <w:rsid w:val="008051C9"/>
    <w:rsid w:val="008051CB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27773"/>
    <w:rsid w:val="009322FA"/>
    <w:rsid w:val="009345BB"/>
    <w:rsid w:val="009369E5"/>
    <w:rsid w:val="009442F3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4B27"/>
    <w:rsid w:val="009C521B"/>
    <w:rsid w:val="009D3B5B"/>
    <w:rsid w:val="009F6C40"/>
    <w:rsid w:val="00A038FA"/>
    <w:rsid w:val="00A054E3"/>
    <w:rsid w:val="00A05E32"/>
    <w:rsid w:val="00A06654"/>
    <w:rsid w:val="00A07083"/>
    <w:rsid w:val="00A16CB2"/>
    <w:rsid w:val="00A177BA"/>
    <w:rsid w:val="00A23486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7758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BF13CB"/>
    <w:rsid w:val="00C0211F"/>
    <w:rsid w:val="00C226F4"/>
    <w:rsid w:val="00C25047"/>
    <w:rsid w:val="00C3076D"/>
    <w:rsid w:val="00C30A3C"/>
    <w:rsid w:val="00C42F4E"/>
    <w:rsid w:val="00C53641"/>
    <w:rsid w:val="00C60AC9"/>
    <w:rsid w:val="00C77784"/>
    <w:rsid w:val="00C82B32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11A5F"/>
    <w:rsid w:val="00D22D5C"/>
    <w:rsid w:val="00D33A41"/>
    <w:rsid w:val="00D476FB"/>
    <w:rsid w:val="00D57861"/>
    <w:rsid w:val="00D6793C"/>
    <w:rsid w:val="00D72A39"/>
    <w:rsid w:val="00D769B3"/>
    <w:rsid w:val="00D77F6A"/>
    <w:rsid w:val="00D802A9"/>
    <w:rsid w:val="00D80A4C"/>
    <w:rsid w:val="00D8149F"/>
    <w:rsid w:val="00D83981"/>
    <w:rsid w:val="00D872CB"/>
    <w:rsid w:val="00D91C7F"/>
    <w:rsid w:val="00DB24C0"/>
    <w:rsid w:val="00DB26B3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736A7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1329"/>
    <w:rsid w:val="00EF42D3"/>
    <w:rsid w:val="00EF6A54"/>
    <w:rsid w:val="00F1110E"/>
    <w:rsid w:val="00F2181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713791"/>
    <w:rPr>
      <w:rFonts w:ascii="Times New Roman" w:hAnsi="Times New Roman"/>
      <w:b/>
      <w:sz w:val="22"/>
      <w:lang w:val="en-GB" w:eastAsia="en-US"/>
    </w:rPr>
  </w:style>
  <w:style w:type="paragraph" w:customStyle="1" w:styleId="Default">
    <w:name w:val="Default"/>
    <w:rsid w:val="0071379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paragraph" w:customStyle="1" w:styleId="Reasons">
    <w:name w:val="Reasons"/>
    <w:basedOn w:val="Normal"/>
    <w:qFormat/>
    <w:rsid w:val="007137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F7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713791"/>
    <w:rPr>
      <w:rFonts w:ascii="Times New Roman" w:hAnsi="Times New Roman"/>
      <w:b/>
      <w:sz w:val="22"/>
      <w:lang w:val="en-GB" w:eastAsia="en-US"/>
    </w:rPr>
  </w:style>
  <w:style w:type="paragraph" w:customStyle="1" w:styleId="Default">
    <w:name w:val="Default"/>
    <w:rsid w:val="0071379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paragraph" w:customStyle="1" w:styleId="Reasons">
    <w:name w:val="Reasons"/>
    <w:basedOn w:val="Normal"/>
    <w:qFormat/>
    <w:rsid w:val="007137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Application%20Data\Microsoft\Templates\POOL%20C%20-%20ITU\PC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88B-BDB0-4A42-B103-A847224D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PC_RAG12</Template>
  <TotalTime>1</TotalTime>
  <Pages>2</Pages>
  <Words>710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REPORT TO THE FIFTEENTH MEETING OF THE RADIOCOMMUNICATION ADVISORY GROUP</vt:lpstr>
      <vt:lpstr>一	引言</vt:lpstr>
      <vt:lpstr>二	提案 </vt:lpstr>
    </vt:vector>
  </TitlesOfParts>
  <Manager>General Secretariat - Pool</Manager>
  <Company>International Telecommunication Union (ITU)</Company>
  <LinksUpToDate>false</LinksUpToDate>
  <CharactersWithSpaces>899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</dc:creator>
  <cp:keywords>RAG03-1</cp:keywords>
  <dc:description>Document RAG08-1/1-E  For: _x000d_Document date: 12 December 2007_x000d_Saved by JJF44233 at 15:38:46 on 18/12/2007</dc:description>
  <cp:lastModifiedBy>millet</cp:lastModifiedBy>
  <cp:revision>3</cp:revision>
  <cp:lastPrinted>2012-06-13T19:14:00Z</cp:lastPrinted>
  <dcterms:created xsi:type="dcterms:W3CDTF">2012-06-14T14:07:00Z</dcterms:created>
  <dcterms:modified xsi:type="dcterms:W3CDTF">2012-06-14T14:07:00Z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