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 w:rsidRPr="00851982">
        <w:trPr>
          <w:cantSplit/>
        </w:trPr>
        <w:tc>
          <w:tcPr>
            <w:tcW w:w="6771" w:type="dxa"/>
          </w:tcPr>
          <w:p w:rsidR="006E291F" w:rsidRPr="00851982" w:rsidRDefault="006E291F" w:rsidP="00482905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851982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851982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851982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851982">
              <w:rPr>
                <w:b/>
                <w:caps/>
                <w:sz w:val="32"/>
              </w:rPr>
              <w:br/>
            </w:r>
            <w:r w:rsidRPr="00851982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 w:rsidRPr="00851982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851982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 w:rsidRPr="00851982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851982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E72EA7" w:rsidRPr="00851982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 w:rsidRPr="00851982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 w:rsidRPr="0085198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82905" w:rsidRPr="00851982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6E291F" w:rsidRPr="00851982" w:rsidRDefault="006A42AB" w:rsidP="00CB7A43">
            <w:pPr>
              <w:shd w:val="solid" w:color="FFFFFF" w:fill="FFFFFF"/>
              <w:spacing w:before="0" w:line="240" w:lineRule="atLeast"/>
            </w:pPr>
            <w:r w:rsidRPr="00851982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5E8119A7" wp14:editId="19C21488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851982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851982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851982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851982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851982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851982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851982">
        <w:trPr>
          <w:cantSplit/>
        </w:trPr>
        <w:tc>
          <w:tcPr>
            <w:tcW w:w="6771" w:type="dxa"/>
            <w:vMerge w:val="restart"/>
          </w:tcPr>
          <w:p w:rsidR="006E291F" w:rsidRPr="00851982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851982" w:rsidRDefault="006A0FB1" w:rsidP="006A0FB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851982">
              <w:rPr>
                <w:rFonts w:ascii="Verdana" w:hAnsi="Verdana"/>
                <w:b/>
                <w:sz w:val="20"/>
              </w:rPr>
              <w:t>Documento RAG12-1/7-S</w:t>
            </w:r>
          </w:p>
        </w:tc>
      </w:tr>
      <w:tr w:rsidR="006E291F" w:rsidRPr="00851982">
        <w:trPr>
          <w:cantSplit/>
        </w:trPr>
        <w:tc>
          <w:tcPr>
            <w:tcW w:w="6771" w:type="dxa"/>
            <w:vMerge/>
          </w:tcPr>
          <w:p w:rsidR="006E291F" w:rsidRPr="00851982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851982" w:rsidRDefault="006A0FB1" w:rsidP="006A0FB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851982">
              <w:rPr>
                <w:rFonts w:ascii="Verdana" w:hAnsi="Verdana"/>
                <w:b/>
                <w:sz w:val="20"/>
              </w:rPr>
              <w:t>25 de mayo de 2012</w:t>
            </w:r>
          </w:p>
        </w:tc>
      </w:tr>
      <w:tr w:rsidR="006E291F" w:rsidRPr="00851982">
        <w:trPr>
          <w:cantSplit/>
        </w:trPr>
        <w:tc>
          <w:tcPr>
            <w:tcW w:w="6771" w:type="dxa"/>
            <w:vMerge/>
          </w:tcPr>
          <w:p w:rsidR="006E291F" w:rsidRPr="00851982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851982" w:rsidRDefault="006A0FB1" w:rsidP="006A0FB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851982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E291F" w:rsidRPr="00851982">
        <w:trPr>
          <w:cantSplit/>
        </w:trPr>
        <w:tc>
          <w:tcPr>
            <w:tcW w:w="9889" w:type="dxa"/>
            <w:gridSpan w:val="2"/>
          </w:tcPr>
          <w:p w:rsidR="006E291F" w:rsidRPr="00851982" w:rsidRDefault="006A0FB1" w:rsidP="00D973B4">
            <w:pPr>
              <w:pStyle w:val="Source"/>
            </w:pPr>
            <w:bookmarkStart w:id="3" w:name="dsource" w:colFirst="0" w:colLast="0"/>
            <w:bookmarkEnd w:id="2"/>
            <w:r w:rsidRPr="00851982">
              <w:t>Federación de Rusia</w:t>
            </w:r>
            <w:r w:rsidR="00D973B4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6E291F" w:rsidRPr="00851982">
        <w:trPr>
          <w:cantSplit/>
        </w:trPr>
        <w:tc>
          <w:tcPr>
            <w:tcW w:w="9889" w:type="dxa"/>
            <w:gridSpan w:val="2"/>
          </w:tcPr>
          <w:p w:rsidR="006E291F" w:rsidRPr="00851982" w:rsidRDefault="00EA4E10" w:rsidP="00CB7A43">
            <w:pPr>
              <w:pStyle w:val="Title1"/>
              <w:rPr>
                <w:rFonts w:eastAsia="SimSun"/>
                <w:szCs w:val="24"/>
                <w:lang w:eastAsia="zh-CN"/>
              </w:rPr>
            </w:pPr>
            <w:bookmarkStart w:id="4" w:name="dtitle1" w:colFirst="0" w:colLast="0"/>
            <w:bookmarkEnd w:id="3"/>
            <w:r w:rsidRPr="00851982">
              <w:rPr>
                <w:rFonts w:eastAsia="SimSun"/>
                <w:szCs w:val="24"/>
                <w:lang w:eastAsia="zh-CN"/>
              </w:rPr>
              <w:t>Implementació</w:t>
            </w:r>
            <w:r w:rsidRPr="00EA4E10">
              <w:rPr>
                <w:rFonts w:eastAsia="SimSun"/>
                <w:szCs w:val="24"/>
                <w:lang w:eastAsia="zh-CN"/>
              </w:rPr>
              <w:t>n de estudios sobre resolucione</w:t>
            </w:r>
            <w:r w:rsidRPr="00851982">
              <w:rPr>
                <w:rFonts w:eastAsia="SimSun"/>
                <w:szCs w:val="24"/>
                <w:lang w:eastAsia="zh-CN"/>
              </w:rPr>
              <w:t>s</w:t>
            </w:r>
            <w:r w:rsidRPr="00EA4E10">
              <w:rPr>
                <w:rFonts w:eastAsia="SimSun"/>
                <w:szCs w:val="24"/>
                <w:lang w:eastAsia="zh-CN"/>
              </w:rPr>
              <w:t xml:space="preserve"> UIT-R</w:t>
            </w:r>
          </w:p>
          <w:p w:rsidR="006C1B02" w:rsidRPr="00851982" w:rsidRDefault="006C1B02" w:rsidP="006C1B02">
            <w:pPr>
              <w:pStyle w:val="Title2"/>
              <w:rPr>
                <w:lang w:eastAsia="zh-CN"/>
              </w:rPr>
            </w:pPr>
          </w:p>
        </w:tc>
      </w:tr>
    </w:tbl>
    <w:bookmarkEnd w:id="4"/>
    <w:p w:rsidR="00EA4E10" w:rsidRPr="00851982" w:rsidRDefault="008743D7" w:rsidP="006C1B02">
      <w:pPr>
        <w:pStyle w:val="Headingb"/>
        <w:spacing w:before="360"/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>Introducción</w:t>
      </w:r>
    </w:p>
    <w:p w:rsidR="00EA4E10" w:rsidRPr="00851982" w:rsidRDefault="00EA4E10" w:rsidP="00851982">
      <w:pPr>
        <w:spacing w:before="240"/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>La Asambl</w:t>
      </w:r>
      <w:r w:rsidR="003373B8">
        <w:rPr>
          <w:rFonts w:eastAsia="SimSun"/>
          <w:lang w:eastAsia="zh-CN"/>
        </w:rPr>
        <w:t>ea de R</w:t>
      </w:r>
      <w:r w:rsidR="00851982">
        <w:rPr>
          <w:rFonts w:eastAsia="SimSun"/>
          <w:lang w:eastAsia="zh-CN"/>
        </w:rPr>
        <w:t>adiocomunicaciones adoptó</w:t>
      </w:r>
      <w:r w:rsidRPr="00851982">
        <w:rPr>
          <w:rFonts w:eastAsia="SimSun"/>
          <w:lang w:eastAsia="zh-CN"/>
        </w:rPr>
        <w:t xml:space="preserve"> un cierto n</w:t>
      </w:r>
      <w:r w:rsidR="00851982">
        <w:rPr>
          <w:rFonts w:eastAsia="SimSun"/>
          <w:lang w:eastAsia="zh-CN"/>
        </w:rPr>
        <w:t>ú</w:t>
      </w:r>
      <w:r w:rsidRPr="00851982">
        <w:rPr>
          <w:rFonts w:eastAsia="SimSun"/>
          <w:lang w:eastAsia="zh-CN"/>
        </w:rPr>
        <w:t>mero de Resoluciones UIT-R que solicitan la realizació</w:t>
      </w:r>
      <w:r w:rsidR="003373B8">
        <w:rPr>
          <w:rFonts w:eastAsia="SimSun"/>
          <w:lang w:eastAsia="zh-CN"/>
        </w:rPr>
        <w:t>n de estudios por parte de las C</w:t>
      </w:r>
      <w:r w:rsidRPr="00851982">
        <w:rPr>
          <w:rFonts w:eastAsia="SimSun"/>
          <w:lang w:eastAsia="zh-CN"/>
        </w:rPr>
        <w:t>omisi</w:t>
      </w:r>
      <w:r w:rsidR="001D6767">
        <w:rPr>
          <w:rFonts w:eastAsia="SimSun"/>
          <w:lang w:eastAsia="zh-CN"/>
        </w:rPr>
        <w:t>ones de Estudio del UIT-R. Las R</w:t>
      </w:r>
      <w:r w:rsidRPr="00851982">
        <w:rPr>
          <w:rFonts w:eastAsia="SimSun"/>
          <w:lang w:eastAsia="zh-CN"/>
        </w:rPr>
        <w:t>esoluciones UIT-R, junto con las Cuestiones UIT-R y las Resoluciones de las CMR constituyen uno de los medios de llevar a cabo los estudios en el seno de una CE.</w:t>
      </w:r>
    </w:p>
    <w:p w:rsidR="00EA4E10" w:rsidRPr="00851982" w:rsidRDefault="00EA4E10" w:rsidP="00EA4E10">
      <w:pPr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 xml:space="preserve">Los estudios del UIT-R efectuados de conformidad con Cuestiones UIT-R adoptadas o según Resoluciones de las CMR (sobre puntos del orden del </w:t>
      </w:r>
      <w:r w:rsidR="008743D7" w:rsidRPr="00851982">
        <w:rPr>
          <w:rFonts w:eastAsia="SimSun"/>
          <w:lang w:eastAsia="zh-CN"/>
        </w:rPr>
        <w:t>día</w:t>
      </w:r>
      <w:r w:rsidRPr="00851982">
        <w:rPr>
          <w:rFonts w:eastAsia="SimSun"/>
          <w:lang w:eastAsia="zh-CN"/>
        </w:rPr>
        <w:t xml:space="preserve"> de la CMR) proporcionan una organización </w:t>
      </w:r>
      <w:r w:rsidR="00262990" w:rsidRPr="00851982">
        <w:rPr>
          <w:rFonts w:eastAsia="SimSun"/>
          <w:lang w:eastAsia="zh-CN"/>
        </w:rPr>
        <w:t>específica</w:t>
      </w:r>
      <w:r w:rsidRPr="00851982">
        <w:rPr>
          <w:rFonts w:eastAsia="SimSun"/>
          <w:lang w:eastAsia="zh-CN"/>
        </w:rPr>
        <w:t xml:space="preserve"> de los trabajos.</w:t>
      </w:r>
    </w:p>
    <w:p w:rsidR="00EA4E10" w:rsidRPr="00851982" w:rsidRDefault="00EA4E10" w:rsidP="00262990">
      <w:pPr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>Por consiguiente, las Cuestiones UIT-R incluyen la adopción de un programa de trabajo (es decir, unas pautas para el progres</w:t>
      </w:r>
      <w:r w:rsidR="00262990" w:rsidRPr="00851982">
        <w:rPr>
          <w:rFonts w:eastAsia="SimSun"/>
          <w:lang w:eastAsia="zh-CN"/>
        </w:rPr>
        <w:t>o en los estudios y una fecha previst</w:t>
      </w:r>
      <w:r w:rsidRPr="00851982">
        <w:rPr>
          <w:rFonts w:eastAsia="SimSun"/>
          <w:lang w:eastAsia="zh-CN"/>
        </w:rPr>
        <w:t xml:space="preserve">a de </w:t>
      </w:r>
      <w:r w:rsidR="008743D7" w:rsidRPr="00851982">
        <w:rPr>
          <w:rFonts w:eastAsia="SimSun"/>
          <w:lang w:eastAsia="zh-CN"/>
        </w:rPr>
        <w:t>finalización</w:t>
      </w:r>
      <w:r w:rsidRPr="00851982">
        <w:rPr>
          <w:rFonts w:eastAsia="SimSun"/>
          <w:lang w:eastAsia="zh-CN"/>
        </w:rPr>
        <w:t xml:space="preserve"> de los mismos) e indican la </w:t>
      </w:r>
      <w:r w:rsidR="00262990" w:rsidRPr="00851982">
        <w:rPr>
          <w:rFonts w:eastAsia="SimSun"/>
          <w:lang w:eastAsia="zh-CN"/>
        </w:rPr>
        <w:t>manera de presentar los resultados</w:t>
      </w:r>
      <w:r w:rsidRPr="00851982">
        <w:rPr>
          <w:rFonts w:eastAsia="SimSun"/>
          <w:lang w:eastAsia="zh-CN"/>
        </w:rPr>
        <w:t xml:space="preserve"> (por ejemplo, </w:t>
      </w:r>
      <w:r w:rsidR="00262990" w:rsidRPr="00851982">
        <w:rPr>
          <w:rFonts w:eastAsia="SimSun"/>
          <w:lang w:eastAsia="zh-CN"/>
        </w:rPr>
        <w:t>en forma de</w:t>
      </w:r>
      <w:r w:rsidRPr="00851982">
        <w:rPr>
          <w:rFonts w:eastAsia="SimSun"/>
          <w:lang w:eastAsia="zh-CN"/>
        </w:rPr>
        <w:t xml:space="preserve"> Recomendación).</w:t>
      </w:r>
    </w:p>
    <w:p w:rsidR="00EA4E10" w:rsidRPr="00851982" w:rsidRDefault="00EA4E10" w:rsidP="00262990">
      <w:pPr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 xml:space="preserve">En el caso de Resoluciones de CMR, la correspondiente </w:t>
      </w:r>
      <w:r w:rsidR="008743D7" w:rsidRPr="00851982">
        <w:rPr>
          <w:rFonts w:eastAsia="SimSun"/>
          <w:lang w:eastAsia="zh-CN"/>
        </w:rPr>
        <w:t>reunión</w:t>
      </w:r>
      <w:r w:rsidRPr="00851982">
        <w:rPr>
          <w:rFonts w:eastAsia="SimSun"/>
          <w:lang w:eastAsia="zh-CN"/>
        </w:rPr>
        <w:t xml:space="preserve"> de la RPC identifica </w:t>
      </w:r>
      <w:r w:rsidR="00262990" w:rsidRPr="00851982">
        <w:rPr>
          <w:rFonts w:eastAsia="SimSun"/>
          <w:lang w:eastAsia="zh-CN"/>
        </w:rPr>
        <w:t>la Comisión de Estudio o el Grupo</w:t>
      </w:r>
      <w:r w:rsidRPr="00851982">
        <w:rPr>
          <w:rFonts w:eastAsia="SimSun"/>
          <w:lang w:eastAsia="zh-CN"/>
        </w:rPr>
        <w:t xml:space="preserve"> de Trabajo responsable </w:t>
      </w:r>
      <w:r w:rsidR="008743D7" w:rsidRPr="00851982">
        <w:rPr>
          <w:rFonts w:eastAsia="SimSun"/>
          <w:lang w:eastAsia="zh-CN"/>
        </w:rPr>
        <w:t>así</w:t>
      </w:r>
      <w:r w:rsidRPr="00851982">
        <w:rPr>
          <w:rFonts w:eastAsia="SimSun"/>
          <w:lang w:eastAsia="zh-CN"/>
        </w:rPr>
        <w:t xml:space="preserve"> </w:t>
      </w:r>
      <w:r w:rsidR="008743D7" w:rsidRPr="00851982">
        <w:rPr>
          <w:rFonts w:eastAsia="SimSun"/>
          <w:lang w:eastAsia="zh-CN"/>
        </w:rPr>
        <w:t>como</w:t>
      </w:r>
      <w:r w:rsidR="00262990" w:rsidRPr="00851982">
        <w:rPr>
          <w:rFonts w:eastAsia="SimSun"/>
          <w:lang w:eastAsia="zh-CN"/>
        </w:rPr>
        <w:t xml:space="preserve"> las C</w:t>
      </w:r>
      <w:r w:rsidRPr="00851982">
        <w:rPr>
          <w:rFonts w:eastAsia="SimSun"/>
          <w:lang w:eastAsia="zh-CN"/>
        </w:rPr>
        <w:t xml:space="preserve">omisiones de Estudio o los Grupos de Trabajo interesados en esas actividades. </w:t>
      </w:r>
      <w:r w:rsidR="008743D7" w:rsidRPr="00851982">
        <w:rPr>
          <w:rFonts w:eastAsia="SimSun"/>
          <w:lang w:eastAsia="zh-CN"/>
        </w:rPr>
        <w:t>Además</w:t>
      </w:r>
      <w:r w:rsidRPr="00851982">
        <w:rPr>
          <w:rFonts w:eastAsia="SimSun"/>
          <w:lang w:eastAsia="zh-CN"/>
        </w:rPr>
        <w:t>, los estudios relativos a las Resoluciones de la CMR se incluyen en el informe de la RPC pertinente.</w:t>
      </w:r>
    </w:p>
    <w:p w:rsidR="00EA4E10" w:rsidRPr="00851982" w:rsidRDefault="00EA4E10" w:rsidP="00262990">
      <w:pPr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 xml:space="preserve">Por otro lado, para los estudios con arreglo a Resoluciones UIT-R no hay disposiciones sobre el mismo tipo de organización de los estudios en el UIT-R y ello puede desembocar en una </w:t>
      </w:r>
      <w:r w:rsidR="008743D7" w:rsidRPr="00851982">
        <w:rPr>
          <w:rFonts w:eastAsia="SimSun"/>
          <w:lang w:eastAsia="zh-CN"/>
        </w:rPr>
        <w:t>descoordinación</w:t>
      </w:r>
      <w:r w:rsidRPr="00851982">
        <w:rPr>
          <w:rFonts w:eastAsia="SimSun"/>
          <w:lang w:eastAsia="zh-CN"/>
        </w:rPr>
        <w:t xml:space="preserve"> de los trabajos de la</w:t>
      </w:r>
      <w:r w:rsidR="00262990" w:rsidRPr="00851982">
        <w:rPr>
          <w:rFonts w:eastAsia="SimSun"/>
          <w:lang w:eastAsia="zh-CN"/>
        </w:rPr>
        <w:t>s</w:t>
      </w:r>
      <w:r w:rsidRPr="00851982">
        <w:rPr>
          <w:rFonts w:eastAsia="SimSun"/>
          <w:lang w:eastAsia="zh-CN"/>
        </w:rPr>
        <w:t xml:space="preserve"> Comisiones de Estudio y de los Grupos de Trabajo, </w:t>
      </w:r>
      <w:r w:rsidR="00262990" w:rsidRPr="00851982">
        <w:rPr>
          <w:rFonts w:eastAsia="SimSun"/>
          <w:lang w:eastAsia="zh-CN"/>
        </w:rPr>
        <w:t>y también puede</w:t>
      </w:r>
      <w:r w:rsidRPr="00851982">
        <w:rPr>
          <w:rFonts w:eastAsia="SimSun"/>
          <w:lang w:eastAsia="zh-CN"/>
        </w:rPr>
        <w:t xml:space="preserve"> </w:t>
      </w:r>
      <w:r w:rsidR="008743D7" w:rsidRPr="00851982">
        <w:rPr>
          <w:rFonts w:eastAsia="SimSun"/>
          <w:lang w:eastAsia="zh-CN"/>
        </w:rPr>
        <w:t>plantear</w:t>
      </w:r>
      <w:r w:rsidRPr="00851982">
        <w:rPr>
          <w:rFonts w:eastAsia="SimSun"/>
          <w:lang w:eastAsia="zh-CN"/>
        </w:rPr>
        <w:t xml:space="preserve"> </w:t>
      </w:r>
      <w:r w:rsidR="008743D7" w:rsidRPr="00851982">
        <w:rPr>
          <w:rFonts w:eastAsia="SimSun"/>
          <w:lang w:eastAsia="zh-CN"/>
        </w:rPr>
        <w:t>dificultades</w:t>
      </w:r>
      <w:r w:rsidRPr="00851982">
        <w:rPr>
          <w:rFonts w:eastAsia="SimSun"/>
          <w:lang w:eastAsia="zh-CN"/>
        </w:rPr>
        <w:t xml:space="preserve"> a la hora de fijar una fecha de </w:t>
      </w:r>
      <w:r w:rsidR="008743D7" w:rsidRPr="00851982">
        <w:rPr>
          <w:rFonts w:eastAsia="SimSun"/>
          <w:lang w:eastAsia="zh-CN"/>
        </w:rPr>
        <w:t>finalización</w:t>
      </w:r>
      <w:r w:rsidRPr="00851982">
        <w:rPr>
          <w:rFonts w:eastAsia="SimSun"/>
          <w:lang w:eastAsia="zh-CN"/>
        </w:rPr>
        <w:t xml:space="preserve"> de los estudios y </w:t>
      </w:r>
      <w:r w:rsidR="00262990" w:rsidRPr="00851982">
        <w:rPr>
          <w:rFonts w:eastAsia="SimSun"/>
          <w:lang w:eastAsia="zh-CN"/>
        </w:rPr>
        <w:t xml:space="preserve">de </w:t>
      </w:r>
      <w:r w:rsidRPr="00851982">
        <w:rPr>
          <w:rFonts w:eastAsia="SimSun"/>
          <w:lang w:eastAsia="zh-CN"/>
        </w:rPr>
        <w:t>estipular la forma en que deben presentarse los resultados.</w:t>
      </w:r>
    </w:p>
    <w:p w:rsidR="00EA4E10" w:rsidRPr="00851982" w:rsidRDefault="00EA4E10" w:rsidP="00262990">
      <w:pPr>
        <w:pStyle w:val="Headingb"/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>Propuesta</w:t>
      </w:r>
    </w:p>
    <w:p w:rsidR="00EA4E10" w:rsidRPr="00851982" w:rsidRDefault="00EA4E10" w:rsidP="001D6767">
      <w:pPr>
        <w:rPr>
          <w:rFonts w:eastAsia="SimSun"/>
          <w:lang w:eastAsia="zh-CN"/>
        </w:rPr>
      </w:pPr>
      <w:r w:rsidRPr="00851982">
        <w:rPr>
          <w:rFonts w:eastAsia="SimSun"/>
          <w:lang w:eastAsia="zh-CN"/>
        </w:rPr>
        <w:t xml:space="preserve">Se propone considerar la posibilidad de organizar </w:t>
      </w:r>
      <w:r w:rsidR="00262990" w:rsidRPr="00851982">
        <w:rPr>
          <w:rFonts w:eastAsia="SimSun"/>
          <w:lang w:eastAsia="zh-CN"/>
        </w:rPr>
        <w:t xml:space="preserve">los </w:t>
      </w:r>
      <w:r w:rsidRPr="00851982">
        <w:rPr>
          <w:rFonts w:eastAsia="SimSun"/>
          <w:lang w:eastAsia="zh-CN"/>
        </w:rPr>
        <w:t>estudios con arreglo a las Resoluciones UIT-R de la misma forma que se organizan</w:t>
      </w:r>
      <w:r w:rsidR="00262990" w:rsidRPr="00851982">
        <w:rPr>
          <w:rFonts w:eastAsia="SimSun"/>
          <w:lang w:eastAsia="zh-CN"/>
        </w:rPr>
        <w:t xml:space="preserve"> los</w:t>
      </w:r>
      <w:r w:rsidRPr="00851982">
        <w:rPr>
          <w:rFonts w:eastAsia="SimSun"/>
          <w:lang w:eastAsia="zh-CN"/>
        </w:rPr>
        <w:t xml:space="preserve"> estudios de conformidad con las Resoluciones de las CMR para la preparación del informe de la RPC. Con ese objetivo, el GAR debe identificar a los Grupos de Trabajo responsable</w:t>
      </w:r>
      <w:r w:rsidR="00262990" w:rsidRPr="00851982">
        <w:rPr>
          <w:rFonts w:eastAsia="SimSun"/>
          <w:lang w:eastAsia="zh-CN"/>
        </w:rPr>
        <w:t>s</w:t>
      </w:r>
      <w:r w:rsidRPr="00851982">
        <w:rPr>
          <w:rFonts w:eastAsia="SimSun"/>
          <w:lang w:eastAsia="zh-CN"/>
        </w:rPr>
        <w:t xml:space="preserve"> e interesados para cada una de las </w:t>
      </w:r>
      <w:r w:rsidR="008743D7" w:rsidRPr="00851982">
        <w:rPr>
          <w:rFonts w:eastAsia="SimSun"/>
          <w:lang w:eastAsia="zh-CN"/>
        </w:rPr>
        <w:t>Resoluciones</w:t>
      </w:r>
      <w:r w:rsidRPr="00851982">
        <w:rPr>
          <w:rFonts w:eastAsia="SimSun"/>
          <w:lang w:eastAsia="zh-CN"/>
        </w:rPr>
        <w:t xml:space="preserve"> UIT-R, </w:t>
      </w:r>
      <w:r w:rsidR="008743D7" w:rsidRPr="00851982">
        <w:rPr>
          <w:rFonts w:eastAsia="SimSun"/>
          <w:lang w:eastAsia="zh-CN"/>
        </w:rPr>
        <w:t>así</w:t>
      </w:r>
      <w:r w:rsidRPr="00851982">
        <w:rPr>
          <w:rFonts w:eastAsia="SimSun"/>
          <w:lang w:eastAsia="zh-CN"/>
        </w:rPr>
        <w:t xml:space="preserve"> como la fecha </w:t>
      </w:r>
      <w:r w:rsidRPr="00851982">
        <w:rPr>
          <w:rFonts w:eastAsia="SimSun"/>
          <w:lang w:eastAsia="zh-CN"/>
        </w:rPr>
        <w:lastRenderedPageBreak/>
        <w:t xml:space="preserve">de </w:t>
      </w:r>
      <w:r w:rsidR="008743D7" w:rsidRPr="00851982">
        <w:rPr>
          <w:rFonts w:eastAsia="SimSun"/>
          <w:lang w:eastAsia="zh-CN"/>
        </w:rPr>
        <w:t>finalización</w:t>
      </w:r>
      <w:r w:rsidRPr="00851982">
        <w:rPr>
          <w:rFonts w:eastAsia="SimSun"/>
          <w:lang w:eastAsia="zh-CN"/>
        </w:rPr>
        <w:t xml:space="preserve"> de estos estudios (generalmente, la siguiente Asamblea de Radiocomunicaciones) y la forma en que deben presentarse los resultados. E</w:t>
      </w:r>
      <w:r w:rsidR="00262990" w:rsidRPr="00851982">
        <w:rPr>
          <w:rFonts w:eastAsia="SimSun"/>
          <w:lang w:eastAsia="zh-CN"/>
        </w:rPr>
        <w:t>n e</w:t>
      </w:r>
      <w:r w:rsidRPr="00851982">
        <w:rPr>
          <w:rFonts w:eastAsia="SimSun"/>
          <w:lang w:eastAsia="zh-CN"/>
        </w:rPr>
        <w:t xml:space="preserve">l Anexo al presente documento </w:t>
      </w:r>
      <w:r w:rsidR="001D6767">
        <w:rPr>
          <w:rFonts w:eastAsia="SimSun"/>
          <w:lang w:eastAsia="zh-CN"/>
        </w:rPr>
        <w:t>aparece</w:t>
      </w:r>
      <w:r w:rsidRPr="00851982">
        <w:rPr>
          <w:rFonts w:eastAsia="SimSun"/>
          <w:lang w:eastAsia="zh-CN"/>
        </w:rPr>
        <w:t xml:space="preserve"> una plantilla sobre la organización de los estudios en virtud de las Resoluciones UIT-R, para su </w:t>
      </w:r>
      <w:r w:rsidR="008743D7" w:rsidRPr="00851982">
        <w:rPr>
          <w:rFonts w:eastAsia="SimSun"/>
          <w:lang w:eastAsia="zh-CN"/>
        </w:rPr>
        <w:t>consideración</w:t>
      </w:r>
      <w:r w:rsidRPr="00851982">
        <w:rPr>
          <w:rFonts w:eastAsia="SimSun"/>
          <w:lang w:eastAsia="zh-CN"/>
        </w:rPr>
        <w:t xml:space="preserve"> por el GAR.</w:t>
      </w:r>
    </w:p>
    <w:p w:rsidR="006A0FB1" w:rsidRPr="00851982" w:rsidRDefault="006A0FB1" w:rsidP="00851982">
      <w:pPr>
        <w:spacing w:line="480" w:lineRule="auto"/>
        <w:sectPr w:rsidR="006A0FB1" w:rsidRPr="00851982" w:rsidSect="00851982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851982">
        <w:t>.</w:t>
      </w:r>
    </w:p>
    <w:p w:rsidR="006A0FB1" w:rsidRPr="00851982" w:rsidRDefault="006A0FB1" w:rsidP="00851982">
      <w:pPr>
        <w:pStyle w:val="AnnexNotitle"/>
        <w:spacing w:before="0"/>
      </w:pPr>
      <w:r w:rsidRPr="00851982">
        <w:lastRenderedPageBreak/>
        <w:t>Anexo</w:t>
      </w:r>
    </w:p>
    <w:tbl>
      <w:tblPr>
        <w:tblStyle w:val="TableGrid"/>
        <w:tblW w:w="1349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1417"/>
        <w:gridCol w:w="5529"/>
        <w:gridCol w:w="1276"/>
        <w:gridCol w:w="1276"/>
        <w:gridCol w:w="1272"/>
      </w:tblGrid>
      <w:tr w:rsidR="006A0FB1" w:rsidRPr="00851982" w:rsidTr="00851982">
        <w:trPr>
          <w:tblHeader/>
        </w:trPr>
        <w:tc>
          <w:tcPr>
            <w:tcW w:w="2721" w:type="dxa"/>
          </w:tcPr>
          <w:p w:rsidR="006A0FB1" w:rsidRPr="00851982" w:rsidRDefault="008743D7" w:rsidP="00851982">
            <w:pPr>
              <w:pStyle w:val="Tablehead"/>
            </w:pPr>
            <w:r w:rsidRPr="00851982">
              <w:t>Asun</w:t>
            </w:r>
            <w:r w:rsidR="006A0FB1" w:rsidRPr="00851982">
              <w:t>t</w:t>
            </w:r>
            <w:r w:rsidRPr="00851982">
              <w:t>o</w:t>
            </w:r>
          </w:p>
        </w:tc>
        <w:tc>
          <w:tcPr>
            <w:tcW w:w="1417" w:type="dxa"/>
          </w:tcPr>
          <w:p w:rsidR="006A0FB1" w:rsidRPr="00851982" w:rsidRDefault="008743D7" w:rsidP="008743D7">
            <w:pPr>
              <w:pStyle w:val="Tablehead"/>
            </w:pPr>
            <w:r w:rsidRPr="00851982">
              <w:t>G</w:t>
            </w:r>
            <w:r w:rsidR="006A0FB1" w:rsidRPr="00851982">
              <w:t>rup</w:t>
            </w:r>
            <w:r w:rsidRPr="00851982">
              <w:t>o</w:t>
            </w:r>
          </w:p>
          <w:p w:rsidR="008743D7" w:rsidRPr="00851982" w:rsidRDefault="008743D7" w:rsidP="008743D7">
            <w:pPr>
              <w:pStyle w:val="Tabletext"/>
              <w:rPr>
                <w:b/>
                <w:bCs/>
              </w:rPr>
            </w:pPr>
            <w:r w:rsidRPr="00851982">
              <w:rPr>
                <w:b/>
                <w:bCs/>
              </w:rPr>
              <w:t>responsable</w:t>
            </w:r>
          </w:p>
        </w:tc>
        <w:tc>
          <w:tcPr>
            <w:tcW w:w="5529" w:type="dxa"/>
          </w:tcPr>
          <w:p w:rsidR="006A0FB1" w:rsidRPr="00851982" w:rsidRDefault="008743D7" w:rsidP="00851982">
            <w:pPr>
              <w:pStyle w:val="Tablehead"/>
            </w:pPr>
            <w:r w:rsidRPr="00851982">
              <w:t>Medidas que debe tomar el grupo</w:t>
            </w:r>
          </w:p>
        </w:tc>
        <w:tc>
          <w:tcPr>
            <w:tcW w:w="1276" w:type="dxa"/>
          </w:tcPr>
          <w:p w:rsidR="006A0FB1" w:rsidRPr="00851982" w:rsidRDefault="008743D7" w:rsidP="00AE7472">
            <w:pPr>
              <w:pStyle w:val="Tablehead"/>
            </w:pPr>
            <w:r w:rsidRPr="00851982">
              <w:t>G</w:t>
            </w:r>
            <w:r w:rsidR="006A0FB1" w:rsidRPr="00851982">
              <w:t>rup</w:t>
            </w:r>
            <w:r w:rsidRPr="00851982">
              <w:t>o</w:t>
            </w:r>
          </w:p>
          <w:p w:rsidR="008743D7" w:rsidRPr="00851982" w:rsidRDefault="008743D7" w:rsidP="008743D7">
            <w:pPr>
              <w:pStyle w:val="Tabletext"/>
              <w:rPr>
                <w:b/>
                <w:bCs/>
              </w:rPr>
            </w:pPr>
            <w:r w:rsidRPr="00851982">
              <w:rPr>
                <w:b/>
                <w:bCs/>
              </w:rPr>
              <w:t>Implicado</w:t>
            </w:r>
            <w:r w:rsidR="00AE7472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276" w:type="dxa"/>
          </w:tcPr>
          <w:p w:rsidR="006A0FB1" w:rsidRPr="00851982" w:rsidRDefault="00090A8D" w:rsidP="00090A8D">
            <w:pPr>
              <w:pStyle w:val="Tablehead"/>
            </w:pPr>
            <w:r>
              <w:t>Fecha de fi</w:t>
            </w:r>
            <w:r w:rsidR="008743D7" w:rsidRPr="00851982">
              <w:t>nalización</w:t>
            </w:r>
          </w:p>
        </w:tc>
        <w:tc>
          <w:tcPr>
            <w:tcW w:w="1272" w:type="dxa"/>
          </w:tcPr>
          <w:p w:rsidR="006A0FB1" w:rsidRPr="00851982" w:rsidRDefault="008743D7" w:rsidP="00851982">
            <w:pPr>
              <w:pStyle w:val="Tablehead"/>
            </w:pPr>
            <w:r w:rsidRPr="00851982">
              <w:t>Forma de presentar los resultados</w:t>
            </w: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</w:pPr>
            <w:bookmarkStart w:id="5" w:name="dbreak"/>
            <w:bookmarkEnd w:id="5"/>
            <w:r w:rsidRPr="00851982">
              <w:t>Resolución UIT-R 50-2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t>Funciones del Sector de Radiocomunicaciones con respecto al desarrollo de las IMT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i w:val="0"/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1</w:t>
            </w:r>
            <w:r w:rsidRPr="00851982">
              <w:rPr>
                <w:sz w:val="22"/>
                <w:szCs w:val="22"/>
              </w:rPr>
              <w:tab/>
              <w:t>que la Comisión de Estudio de Radiocomunicaciones pertinente debe elaborar una «hoja de ruta» para las actividades del UIT</w:t>
            </w:r>
            <w:r w:rsidRPr="00851982">
              <w:rPr>
                <w:sz w:val="22"/>
                <w:szCs w:val="22"/>
              </w:rPr>
              <w:noBreakHyphen/>
              <w:t xml:space="preserve">R </w:t>
            </w:r>
            <w:r w:rsidRPr="00851982">
              <w:rPr>
                <w:bCs/>
                <w:sz w:val="22"/>
                <w:szCs w:val="22"/>
              </w:rPr>
              <w:t>relativas</w:t>
            </w:r>
            <w:r w:rsidRPr="00851982">
              <w:rPr>
                <w:sz w:val="22"/>
                <w:szCs w:val="22"/>
              </w:rPr>
              <w:t xml:space="preserve"> a las IMT a fin de asegurar que los trabajos progresan de manera eficaz con las organizaciones externas a la UIT;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2</w:t>
            </w:r>
            <w:r w:rsidRPr="00851982">
              <w:rPr>
                <w:sz w:val="22"/>
                <w:szCs w:val="22"/>
              </w:rPr>
              <w:tab/>
              <w:t>que continúe la coordinación eficaz establecida actualmente entre el UIT</w:t>
            </w:r>
            <w:r w:rsidRPr="00851982">
              <w:rPr>
                <w:sz w:val="22"/>
                <w:szCs w:val="22"/>
              </w:rPr>
              <w:noBreakHyphen/>
              <w:t>T y el UIT</w:t>
            </w:r>
            <w:r w:rsidRPr="00851982">
              <w:rPr>
                <w:sz w:val="22"/>
                <w:szCs w:val="22"/>
              </w:rPr>
              <w:noBreakHyphen/>
              <w:t xml:space="preserve">R sobre </w:t>
            </w:r>
            <w:r w:rsidRPr="00851982">
              <w:rPr>
                <w:bCs/>
                <w:sz w:val="22"/>
                <w:szCs w:val="22"/>
              </w:rPr>
              <w:t>las</w:t>
            </w:r>
            <w:r w:rsidRPr="00851982">
              <w:rPr>
                <w:sz w:val="22"/>
                <w:szCs w:val="22"/>
              </w:rPr>
              <w:t xml:space="preserve"> actividades relativas a las IMT, Redes de Telecomunicaciones Móviles y Redes de la Próxima Generación;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3</w:t>
            </w:r>
            <w:r w:rsidRPr="00851982">
              <w:rPr>
                <w:sz w:val="22"/>
                <w:szCs w:val="22"/>
              </w:rPr>
              <w:tab/>
            </w:r>
            <w:r w:rsidRPr="00851982">
              <w:rPr>
                <w:bCs/>
                <w:sz w:val="22"/>
                <w:szCs w:val="22"/>
              </w:rPr>
              <w:t>que</w:t>
            </w:r>
            <w:r w:rsidRPr="00851982">
              <w:rPr>
                <w:sz w:val="22"/>
                <w:szCs w:val="22"/>
              </w:rPr>
              <w:t xml:space="preserve"> la labor desarrollada por el Sector de Radiocomunicaciones en relación con las IMT debe comunicarse al Director de la BDT,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</w:pPr>
            <w:r w:rsidRPr="00851982">
              <w:t>Resolución UIT-R 53-1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t>Utilización de las radiocomunicaciones para la respuesta y las operaciones de socorro en caso de catástrofe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</w:t>
            </w:r>
          </w:p>
          <w:p w:rsidR="006A0FB1" w:rsidRPr="00851982" w:rsidRDefault="006A0FB1" w:rsidP="00851982">
            <w:pPr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que, teniendo en cuenta la importancia que reviste la utilización eficaz del espectro radioeléctrico para establecer las radiocomunicaciones en situaciones de catástrofe, las Comisiones de Estudio del UIT</w:t>
            </w:r>
            <w:r w:rsidRPr="00851982">
              <w:rPr>
                <w:sz w:val="22"/>
                <w:szCs w:val="22"/>
              </w:rPr>
              <w:noBreakHyphen/>
              <w:t>R competentes emprendan estudios y elaboren directrices en relación con la gestión de las radiocomunicaciones para la predicción, detección, reducción de los efectos y operaciones de socorro en casos de catástrofe, en cooperación con el resto de la UIT y con organizaciones ajenas a la Unión,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</w:pPr>
            <w:r w:rsidRPr="00851982">
              <w:t>Resolución UIT-R 54-1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t xml:space="preserve">Estudios para lograr la </w:t>
            </w:r>
            <w:r w:rsidRPr="00851982">
              <w:lastRenderedPageBreak/>
              <w:t>armonización de los dispositivos de corto alcance (RCA)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bCs/>
                <w:sz w:val="22"/>
                <w:szCs w:val="22"/>
              </w:rPr>
              <w:t>1</w:t>
            </w:r>
            <w:r w:rsidRPr="00851982">
              <w:rPr>
                <w:sz w:val="22"/>
                <w:szCs w:val="22"/>
              </w:rPr>
              <w:tab/>
              <w:t xml:space="preserve">proseguir en colaboración con organizaciones de </w:t>
            </w:r>
            <w:r w:rsidRPr="00851982">
              <w:rPr>
                <w:sz w:val="22"/>
                <w:szCs w:val="22"/>
              </w:rPr>
              <w:lastRenderedPageBreak/>
              <w:t xml:space="preserve">normalización, científicas e industriales, los estudios sobre la armonización mundial o regional de los parámetros técnicos y de funcionamiento, incluidas las gamas de </w:t>
            </w:r>
            <w:r w:rsidRPr="00851982">
              <w:rPr>
                <w:bCs/>
                <w:sz w:val="22"/>
                <w:szCs w:val="22"/>
              </w:rPr>
              <w:t>frecuencias</w:t>
            </w:r>
            <w:r w:rsidRPr="00851982">
              <w:rPr>
                <w:sz w:val="22"/>
                <w:szCs w:val="22"/>
              </w:rPr>
              <w:t xml:space="preserve"> y las técnicas de reducción de la interferencia para los RCA;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rFonts w:eastAsia="BatangChe"/>
                <w:sz w:val="22"/>
                <w:szCs w:val="22"/>
              </w:rPr>
            </w:pPr>
            <w:r w:rsidRPr="00851982">
              <w:rPr>
                <w:sz w:val="22"/>
                <w:szCs w:val="22"/>
                <w:lang w:eastAsia="ko-KR"/>
              </w:rPr>
              <w:t>2</w:t>
            </w:r>
            <w:r w:rsidRPr="00851982">
              <w:rPr>
                <w:sz w:val="22"/>
                <w:szCs w:val="22"/>
                <w:lang w:eastAsia="ko-KR"/>
              </w:rPr>
              <w:tab/>
              <w:t>seguir desarrollando los procedimientos necesarios de comprobación técnica y medición para permitir a las administraciones verificar los parámetros técnicos y de funcionamiento de los RCA y examinar el efecto que tienen las emisiones de dichos dispositivos sobre los servicios de radiocomunicaciones;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3</w:t>
            </w:r>
            <w:r w:rsidRPr="00851982">
              <w:rPr>
                <w:sz w:val="22"/>
                <w:szCs w:val="22"/>
              </w:rPr>
              <w:tab/>
              <w:t xml:space="preserve">fomentar y mantener el intercambio </w:t>
            </w:r>
            <w:r w:rsidRPr="00851982">
              <w:rPr>
                <w:bCs/>
                <w:sz w:val="22"/>
                <w:szCs w:val="22"/>
              </w:rPr>
              <w:t>continuo</w:t>
            </w:r>
            <w:r w:rsidRPr="00851982">
              <w:rPr>
                <w:sz w:val="22"/>
                <w:szCs w:val="22"/>
              </w:rPr>
              <w:t xml:space="preserve"> de información sobre los RCA entre los miembros del UIT-R y otras organizaciones, con arreglo a la Resolución UIT-R 9; 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bCs/>
                <w:sz w:val="22"/>
                <w:szCs w:val="22"/>
              </w:rPr>
              <w:t>4</w:t>
            </w:r>
            <w:r w:rsidRPr="00851982">
              <w:rPr>
                <w:sz w:val="22"/>
                <w:szCs w:val="22"/>
              </w:rPr>
              <w:tab/>
              <w:t xml:space="preserve">estudiar la utilización del espectro y los </w:t>
            </w:r>
            <w:r w:rsidRPr="00851982">
              <w:rPr>
                <w:bCs/>
                <w:sz w:val="22"/>
                <w:szCs w:val="22"/>
              </w:rPr>
              <w:t>requisitos</w:t>
            </w:r>
            <w:r w:rsidRPr="00851982">
              <w:rPr>
                <w:sz w:val="22"/>
                <w:szCs w:val="22"/>
              </w:rPr>
              <w:t xml:space="preserve"> técnicos de los RCA para propiciar la utilización eficaz del espectro;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bCs/>
                <w:sz w:val="22"/>
                <w:szCs w:val="22"/>
              </w:rPr>
              <w:t>5</w:t>
            </w:r>
            <w:r w:rsidRPr="00851982">
              <w:rPr>
                <w:sz w:val="22"/>
                <w:szCs w:val="22"/>
              </w:rPr>
              <w:tab/>
              <w:t xml:space="preserve">llevar a cabo estudios técnicos para evaluar la viabilidad de la implantación de los RCA </w:t>
            </w:r>
            <w:r w:rsidRPr="00851982">
              <w:rPr>
                <w:bCs/>
                <w:sz w:val="22"/>
                <w:szCs w:val="22"/>
              </w:rPr>
              <w:t>en</w:t>
            </w:r>
            <w:r w:rsidRPr="00851982">
              <w:rPr>
                <w:sz w:val="22"/>
                <w:szCs w:val="22"/>
              </w:rPr>
              <w:t xml:space="preserve"> bandas de frecuencias específicas que puedan armonizarse a escala mundial o regional;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6</w:t>
            </w:r>
            <w:r w:rsidRPr="00851982">
              <w:rPr>
                <w:sz w:val="22"/>
                <w:szCs w:val="22"/>
              </w:rPr>
              <w:tab/>
              <w:t>proseguir los estudios por hacer posible la implementación de tecnologías avanzadas para los RCA, centrándose por tanto especialmente en una estrategia para el futuro;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7</w:t>
            </w:r>
            <w:r w:rsidRPr="00851982">
              <w:rPr>
                <w:sz w:val="22"/>
                <w:szCs w:val="22"/>
              </w:rPr>
              <w:tab/>
              <w:t>que, en particular, se deberían llevar a cabo los estudios siguientes: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sz w:val="22"/>
                <w:szCs w:val="22"/>
              </w:rPr>
            </w:pPr>
            <w:r w:rsidRPr="00851982">
              <w:rPr>
                <w:i/>
                <w:iCs/>
                <w:sz w:val="22"/>
                <w:szCs w:val="22"/>
              </w:rPr>
              <w:t>a)</w:t>
            </w:r>
            <w:r w:rsidRPr="00851982">
              <w:rPr>
                <w:sz w:val="22"/>
                <w:szCs w:val="22"/>
              </w:rPr>
              <w:tab/>
              <w:t>recopilar información sobre los RCA que utilicen técnicas avanzadas de acceso al espectro y de gama de sintonización de frecuencias a fin de llegar a entender mejor sus capacidades, garantizando al mismo tiempo la protección de los servicios de radiocomunicaciones;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sz w:val="22"/>
                <w:szCs w:val="22"/>
              </w:rPr>
            </w:pPr>
            <w:r w:rsidRPr="00851982">
              <w:rPr>
                <w:i/>
                <w:iCs/>
                <w:sz w:val="22"/>
                <w:szCs w:val="22"/>
              </w:rPr>
              <w:t>b)</w:t>
            </w:r>
            <w:r w:rsidRPr="00851982">
              <w:rPr>
                <w:sz w:val="22"/>
                <w:szCs w:val="22"/>
              </w:rPr>
              <w:tab/>
              <w:t xml:space="preserve">aconsejar acerca de un mecanismo, inspirado en el 7 </w:t>
            </w:r>
            <w:r w:rsidRPr="00851982">
              <w:rPr>
                <w:i/>
                <w:iCs/>
                <w:sz w:val="22"/>
                <w:szCs w:val="22"/>
              </w:rPr>
              <w:t>a)</w:t>
            </w:r>
            <w:r w:rsidRPr="00851982">
              <w:rPr>
                <w:sz w:val="22"/>
                <w:szCs w:val="22"/>
              </w:rPr>
              <w:t xml:space="preserve"> anterior, que pueda facilitar la utilización de bandas de </w:t>
            </w:r>
            <w:r w:rsidRPr="00851982">
              <w:rPr>
                <w:sz w:val="22"/>
                <w:szCs w:val="22"/>
              </w:rPr>
              <w:lastRenderedPageBreak/>
              <w:t>frecuencias y/o gamas de sintonización de frecuencias pertinentes, preferiblemente a nivel mundial, o a nivel regional, adecuadas para los RCA;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sz w:val="22"/>
                <w:szCs w:val="22"/>
              </w:rPr>
            </w:pPr>
            <w:r w:rsidRPr="00851982">
              <w:rPr>
                <w:i/>
                <w:iCs/>
                <w:sz w:val="22"/>
                <w:szCs w:val="22"/>
              </w:rPr>
              <w:t>c)</w:t>
            </w:r>
            <w:r w:rsidRPr="00851982">
              <w:rPr>
                <w:sz w:val="22"/>
                <w:szCs w:val="22"/>
              </w:rPr>
              <w:tab/>
              <w:t>actualizar la información sobre las bandas de frecuencias utilizadas habitualmente por los RCA;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8</w:t>
            </w:r>
            <w:r w:rsidRPr="00851982">
              <w:rPr>
                <w:sz w:val="22"/>
                <w:szCs w:val="22"/>
              </w:rPr>
              <w:tab/>
              <w:t>documentar dichos estudios en Recomendaciones e Informes del UIT-R revisados periódicamente,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</w:pPr>
            <w:r w:rsidRPr="00851982">
              <w:lastRenderedPageBreak/>
              <w:t>Resolución UIT-R 58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t>Estudios sobre la implantación y utilización de sistemas de radiocomunicaciones inteligentes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i w:val="0"/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 xml:space="preserve">resuelve 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bCs/>
                <w:sz w:val="22"/>
                <w:szCs w:val="22"/>
              </w:rPr>
              <w:t>1</w:t>
            </w:r>
            <w:r w:rsidRPr="00851982">
              <w:rPr>
                <w:sz w:val="22"/>
                <w:szCs w:val="22"/>
              </w:rPr>
              <w:tab/>
              <w:t xml:space="preserve">continuar los estudios para la </w:t>
            </w:r>
            <w:r w:rsidRPr="00851982">
              <w:rPr>
                <w:bCs/>
                <w:sz w:val="22"/>
                <w:szCs w:val="22"/>
              </w:rPr>
              <w:t>implementación</w:t>
            </w:r>
            <w:r w:rsidRPr="00851982">
              <w:rPr>
                <w:sz w:val="22"/>
                <w:szCs w:val="22"/>
              </w:rPr>
              <w:t xml:space="preserve"> y utilización de los CRS en los servicios de radiocomunicaciones;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bCs/>
                <w:sz w:val="22"/>
                <w:szCs w:val="22"/>
              </w:rPr>
              <w:t>2</w:t>
            </w:r>
            <w:r w:rsidRPr="00851982">
              <w:rPr>
                <w:sz w:val="22"/>
                <w:szCs w:val="22"/>
              </w:rPr>
              <w:tab/>
              <w:t xml:space="preserve">estudiar las características y los requisitos de </w:t>
            </w:r>
            <w:r w:rsidRPr="00851982">
              <w:rPr>
                <w:bCs/>
                <w:sz w:val="22"/>
                <w:szCs w:val="22"/>
              </w:rPr>
              <w:t>funcionamiento</w:t>
            </w:r>
            <w:r w:rsidRPr="00851982">
              <w:rPr>
                <w:sz w:val="22"/>
                <w:szCs w:val="22"/>
              </w:rPr>
              <w:t xml:space="preserve"> y técnicos, la calidad de funcionamiento y las posibles ventajas derivadas de la implementación y utilización de los CRS en los servicios de radiocomunicaciones pertinentes y en las bandas de frecuencia correspondientes;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bCs/>
                <w:sz w:val="22"/>
                <w:szCs w:val="22"/>
              </w:rPr>
              <w:t>3</w:t>
            </w:r>
            <w:r w:rsidRPr="00851982">
              <w:rPr>
                <w:sz w:val="22"/>
                <w:szCs w:val="22"/>
              </w:rPr>
              <w:tab/>
              <w:t xml:space="preserve">prestar especial atención a la mejora de la </w:t>
            </w:r>
            <w:r w:rsidRPr="00851982">
              <w:rPr>
                <w:bCs/>
                <w:sz w:val="22"/>
                <w:szCs w:val="22"/>
              </w:rPr>
              <w:t>coexistencia</w:t>
            </w:r>
            <w:r w:rsidRPr="00851982">
              <w:rPr>
                <w:sz w:val="22"/>
                <w:szCs w:val="22"/>
              </w:rPr>
              <w:t xml:space="preserve"> y compartición entre los servicios de radiocomunicaciones;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  <w:lang w:eastAsia="zh-CN"/>
              </w:rPr>
            </w:pPr>
            <w:r w:rsidRPr="00851982">
              <w:rPr>
                <w:bCs/>
                <w:sz w:val="22"/>
                <w:szCs w:val="22"/>
              </w:rPr>
              <w:t>4</w:t>
            </w:r>
            <w:r w:rsidRPr="00851982">
              <w:rPr>
                <w:sz w:val="22"/>
                <w:szCs w:val="22"/>
              </w:rPr>
              <w:tab/>
              <w:t xml:space="preserve">elaborar las Recomendaciones e/o </w:t>
            </w:r>
            <w:r w:rsidRPr="00851982">
              <w:rPr>
                <w:bCs/>
                <w:sz w:val="22"/>
                <w:szCs w:val="22"/>
              </w:rPr>
              <w:t>Informes</w:t>
            </w:r>
            <w:r w:rsidRPr="00851982">
              <w:rPr>
                <w:sz w:val="22"/>
                <w:szCs w:val="22"/>
              </w:rPr>
              <w:t xml:space="preserve"> UIT-R pertinentes sobre la base de los citados estudios, según corresponda,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</w:pPr>
            <w:r w:rsidRPr="00851982">
              <w:t>Resolución UIT-R 59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t xml:space="preserve">Estudios sobre disponibilidad de bandas de frecuencias y/o gamas de sintonía para la armonización a nivel mundial y/o regional y condiciones para su utilización por los sistemas electrónicos terrenales de periodismo </w:t>
            </w:r>
            <w:r w:rsidRPr="00851982">
              <w:lastRenderedPageBreak/>
              <w:t>electrónico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i w:val="0"/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  <w:lang w:eastAsia="nl-NL"/>
              </w:rPr>
              <w:t>1</w:t>
            </w:r>
            <w:r w:rsidRPr="00851982">
              <w:rPr>
                <w:sz w:val="22"/>
                <w:szCs w:val="22"/>
                <w:lang w:eastAsia="nl-NL"/>
              </w:rPr>
              <w:tab/>
              <w:t>realizar estudios sobre posibles soluciones a la armonización mundial y regional de las bandas de frecuencias y gamas de sintonía de los sistemas ENG en las bandas ya atribuidas a los servicios fijo, móvil o de radiodifusión, teniendo en cuenta: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sz w:val="22"/>
                <w:szCs w:val="22"/>
                <w:lang w:eastAsia="ja-JP"/>
              </w:rPr>
            </w:pPr>
            <w:r w:rsidRPr="00851982">
              <w:rPr>
                <w:sz w:val="22"/>
                <w:szCs w:val="22"/>
              </w:rPr>
              <w:t>–</w:t>
            </w:r>
            <w:r w:rsidRPr="00851982">
              <w:rPr>
                <w:sz w:val="22"/>
                <w:szCs w:val="22"/>
              </w:rPr>
              <w:tab/>
              <w:t>las tecnologías disponibles para optimizar la eficacia y la flexibilidad de la utilización del espectro;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–</w:t>
            </w:r>
            <w:r w:rsidRPr="00851982">
              <w:rPr>
                <w:sz w:val="22"/>
                <w:szCs w:val="22"/>
              </w:rPr>
              <w:tab/>
              <w:t xml:space="preserve">las características del sistema y las prácticas operacionales </w:t>
            </w:r>
            <w:r w:rsidRPr="00851982">
              <w:rPr>
                <w:sz w:val="22"/>
                <w:szCs w:val="22"/>
              </w:rPr>
              <w:lastRenderedPageBreak/>
              <w:t>que faciliten la aplicación de esas soluciones;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2</w:t>
            </w:r>
            <w:r w:rsidRPr="00851982">
              <w:rPr>
                <w:sz w:val="22"/>
                <w:szCs w:val="22"/>
              </w:rPr>
              <w:tab/>
              <w:t xml:space="preserve">elaborar Recomendaciones e/o Informes del </w:t>
            </w:r>
            <w:r w:rsidRPr="00851982">
              <w:rPr>
                <w:bCs/>
                <w:sz w:val="22"/>
                <w:szCs w:val="22"/>
              </w:rPr>
              <w:t>UIT</w:t>
            </w:r>
            <w:r w:rsidRPr="00851982">
              <w:rPr>
                <w:sz w:val="22"/>
                <w:szCs w:val="22"/>
              </w:rPr>
              <w:t>-R pertinentes basados en los estudios mencionados, según el caso,</w:t>
            </w:r>
          </w:p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 además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1</w:t>
            </w:r>
            <w:r w:rsidRPr="00851982">
              <w:rPr>
                <w:sz w:val="22"/>
                <w:szCs w:val="22"/>
              </w:rPr>
              <w:tab/>
              <w:t>alentar a las administraciones a preparar la información pertinente en relación con la utilización en sus países de los sistemas ENG (por ejemplo, la lista de bandas de frecuencias o gamas de sintonía disponibles para los sistemas ENG, las prácticas de gestión del espectro, los requisitos técnicos y de explotación y los puntos de contacto para la autorización de espectro en su caso...) para que lo utilicen las entidades extranjeras cuando se produzcan acontecimientos noticiables a nivel mundial,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2</w:t>
            </w:r>
            <w:r w:rsidRPr="00851982">
              <w:rPr>
                <w:sz w:val="22"/>
                <w:szCs w:val="22"/>
              </w:rPr>
              <w:tab/>
              <w:t xml:space="preserve">alentar a las administraciones a estudiar, con </w:t>
            </w:r>
            <w:r w:rsidRPr="00851982">
              <w:rPr>
                <w:bCs/>
                <w:sz w:val="22"/>
                <w:szCs w:val="22"/>
              </w:rPr>
              <w:t>vistas</w:t>
            </w:r>
            <w:r w:rsidRPr="00851982">
              <w:rPr>
                <w:sz w:val="22"/>
                <w:szCs w:val="22"/>
              </w:rPr>
              <w:t xml:space="preserve"> a su armonización, las bandas de frecuencias/gamas de sintonía utilizadas para los sistemas ENG por otras administraciones;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  <w:rPr>
                <w:lang w:eastAsia="zh-CN"/>
              </w:rPr>
            </w:pPr>
            <w:r w:rsidRPr="00851982">
              <w:lastRenderedPageBreak/>
              <w:t xml:space="preserve">Resolución </w:t>
            </w:r>
            <w:r w:rsidRPr="00851982">
              <w:rPr>
                <w:lang w:eastAsia="zh-CN"/>
              </w:rPr>
              <w:t>UIT-R 60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rPr>
                <w:lang w:eastAsia="zh-CN"/>
              </w:rPr>
              <w:t>Reducción del consumo de energía para la protección del medio ambiente y la reducción del cambio climático mediante la utilización de tecnologías y sistemas de radiocomunicaciones/TIC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i/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1</w:t>
            </w:r>
            <w:r w:rsidRPr="00851982">
              <w:rPr>
                <w:sz w:val="22"/>
                <w:szCs w:val="22"/>
              </w:rPr>
              <w:tab/>
              <w:t>que las Comisiones de Estudio del UIT-R deben elaborar Recomendaciones, Informes o Manuales sobre: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i/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•</w:t>
            </w:r>
            <w:r w:rsidRPr="00851982">
              <w:rPr>
                <w:sz w:val="22"/>
                <w:szCs w:val="22"/>
              </w:rPr>
              <w:tab/>
              <w:t>las prácticas idóneas utilizadas para reducir el consumo de energía en los sistemas, equipos o aplicaciones de TIC que funcionan en un servicio de radiocomunicación;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•</w:t>
            </w:r>
            <w:r w:rsidRPr="00851982">
              <w:rPr>
                <w:sz w:val="22"/>
                <w:szCs w:val="22"/>
              </w:rPr>
              <w:tab/>
              <w:t>el posible desarrollo y utilización de aplicaciones o sistemas de radiocomunicaciones que contribuyan a la reducción del consumo de energía en sectores de la economía distintos al de las radiocomunicaciones;</w:t>
            </w:r>
          </w:p>
          <w:p w:rsidR="006A0FB1" w:rsidRPr="00851982" w:rsidRDefault="006A0FB1" w:rsidP="00851982">
            <w:pPr>
              <w:pStyle w:val="enumlev1"/>
              <w:spacing w:before="40"/>
              <w:ind w:left="284" w:hanging="284"/>
              <w:rPr>
                <w:i/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•</w:t>
            </w:r>
            <w:r w:rsidRPr="00851982">
              <w:rPr>
                <w:sz w:val="22"/>
                <w:szCs w:val="22"/>
              </w:rPr>
              <w:tab/>
              <w:t>sistemas eficaces de supervisión del medio ambiente y control y predicción del cambio climático, y sobre la explotación fiable de estos sistemas;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lastRenderedPageBreak/>
              <w:t>2</w:t>
            </w:r>
            <w:r w:rsidRPr="00851982">
              <w:rPr>
                <w:sz w:val="22"/>
                <w:szCs w:val="22"/>
              </w:rPr>
              <w:tab/>
              <w:t>que las Comisiones de Estudio del UIT-R, cuando elaboren nuevas Recomendaciones, Manuales o Informes, o examinen las Recomendaciones o Informes existentes, tengan en cuenta, según corresponda, el consumo de energía así como las prácticas idóneas de conservación de energía;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3</w:t>
            </w:r>
            <w:r w:rsidRPr="00851982">
              <w:rPr>
                <w:sz w:val="22"/>
                <w:szCs w:val="22"/>
              </w:rPr>
              <w:tab/>
              <w:t>mantener una estrecha cooperación y servir de enlace regular con el UIT-T, el UIT-D y la Secretaría General y tener en cuenta los resultados de los trabajos realizados en estos Sectores para evitar la duplicación de tareas,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</w:pPr>
            <w:r w:rsidRPr="00851982">
              <w:lastRenderedPageBreak/>
              <w:t>RESOLUCIÓN UIT-R 61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t>Contribución del UIT-R a la puesta en práctica de los resultados de la Cumbre Mundial sobre la Sociedad de la Información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bCs/>
                <w:sz w:val="22"/>
                <w:szCs w:val="22"/>
              </w:rPr>
              <w:t>1</w:t>
            </w:r>
            <w:r w:rsidRPr="00851982">
              <w:rPr>
                <w:sz w:val="22"/>
                <w:szCs w:val="22"/>
              </w:rPr>
              <w:tab/>
              <w:t>continuar los trabajos del UIT-R sobre la puesta en práctica de la CMSI y las actividades de seguimiento, en el marco de su mandato;</w:t>
            </w:r>
          </w:p>
          <w:p w:rsidR="006A0FB1" w:rsidRPr="00851982" w:rsidRDefault="006A0FB1" w:rsidP="00851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2</w:t>
            </w:r>
            <w:r w:rsidRPr="00851982">
              <w:rPr>
                <w:sz w:val="22"/>
                <w:szCs w:val="22"/>
              </w:rPr>
              <w:tab/>
              <w:t>que el UIT-R debe llevar a cabo las actividades que se enmarcan en su mandato y participar con los demás interesados, según proceda, en la puesta en práctica de todas las líneas de acción pertinentes y de otros resultados de la CMSI,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  <w:tr w:rsidR="006A0FB1" w:rsidRPr="00851982" w:rsidTr="00851982">
        <w:tc>
          <w:tcPr>
            <w:tcW w:w="2721" w:type="dxa"/>
          </w:tcPr>
          <w:p w:rsidR="006A0FB1" w:rsidRPr="00851982" w:rsidRDefault="006A0FB1" w:rsidP="00851982">
            <w:pPr>
              <w:pStyle w:val="Tabletext"/>
            </w:pPr>
            <w:r w:rsidRPr="00851982">
              <w:t>RESOLUCIÓN UIT-R 62</w:t>
            </w:r>
          </w:p>
          <w:p w:rsidR="006A0FB1" w:rsidRPr="00851982" w:rsidRDefault="006A0FB1" w:rsidP="00851982">
            <w:pPr>
              <w:pStyle w:val="Tabletext"/>
            </w:pPr>
            <w:r w:rsidRPr="00851982">
              <w:t>Estudios sobre pruebas de conformidad con las Recomendaciones UIT-R e interfuncionamiento de los equipos y sistemas de radiocomunicaciones</w:t>
            </w:r>
          </w:p>
        </w:tc>
        <w:tc>
          <w:tcPr>
            <w:tcW w:w="1417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A0FB1" w:rsidRPr="00851982" w:rsidRDefault="006A0FB1" w:rsidP="00851982">
            <w:pPr>
              <w:pStyle w:val="Call"/>
              <w:spacing w:before="80"/>
              <w:ind w:left="284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>resuelve</w:t>
            </w:r>
          </w:p>
          <w:p w:rsidR="006A0FB1" w:rsidRPr="00851982" w:rsidRDefault="006A0FB1" w:rsidP="00851982">
            <w:pPr>
              <w:spacing w:before="40" w:after="80"/>
              <w:rPr>
                <w:sz w:val="22"/>
                <w:szCs w:val="22"/>
              </w:rPr>
            </w:pPr>
            <w:r w:rsidRPr="00851982">
              <w:rPr>
                <w:sz w:val="22"/>
                <w:szCs w:val="22"/>
              </w:rPr>
              <w:t xml:space="preserve">que el UIT-R colabore con el UIT-T y el UIT-D en materia de pruebas de conformidad y compatibilidad, en el marco de su mandato actual y de conformidad con la Resolución 177 (Guadalajara, 2010) de la Conferencia de Plenipotenciarios (véase </w:t>
            </w:r>
            <w:r w:rsidRPr="00851982">
              <w:rPr>
                <w:i/>
                <w:iCs/>
                <w:sz w:val="22"/>
                <w:szCs w:val="22"/>
              </w:rPr>
              <w:t>observando</w:t>
            </w:r>
            <w:r w:rsidRPr="00851982">
              <w:rPr>
                <w:sz w:val="22"/>
                <w:szCs w:val="22"/>
              </w:rPr>
              <w:t xml:space="preserve"> </w:t>
            </w:r>
            <w:r w:rsidRPr="00851982">
              <w:rPr>
                <w:i/>
                <w:iCs/>
                <w:sz w:val="22"/>
                <w:szCs w:val="22"/>
              </w:rPr>
              <w:t>b)</w:t>
            </w:r>
            <w:r w:rsidRPr="00851982">
              <w:rPr>
                <w:sz w:val="22"/>
                <w:szCs w:val="22"/>
              </w:rPr>
              <w:t>), y facilite información cuando éstos se la soliciten,</w:t>
            </w: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A0FB1" w:rsidRPr="00851982" w:rsidRDefault="006A0FB1" w:rsidP="00851982">
            <w:pPr>
              <w:rPr>
                <w:sz w:val="22"/>
                <w:szCs w:val="22"/>
              </w:rPr>
            </w:pPr>
          </w:p>
        </w:tc>
      </w:tr>
    </w:tbl>
    <w:p w:rsidR="006A0FB1" w:rsidRDefault="006A0FB1" w:rsidP="00851982">
      <w:pPr>
        <w:pStyle w:val="Reasons"/>
        <w:rPr>
          <w:lang w:val="es-ES_tradnl"/>
        </w:rPr>
      </w:pPr>
    </w:p>
    <w:p w:rsidR="006A0FB1" w:rsidRPr="00851982" w:rsidRDefault="006A0FB1" w:rsidP="00851982">
      <w:pPr>
        <w:jc w:val="center"/>
      </w:pPr>
      <w:r w:rsidRPr="00851982">
        <w:t>______________</w:t>
      </w:r>
      <w:bookmarkStart w:id="6" w:name="_GoBack"/>
      <w:bookmarkEnd w:id="6"/>
    </w:p>
    <w:sectPr w:rsidR="006A0FB1" w:rsidRPr="00851982" w:rsidSect="006A0FB1">
      <w:headerReference w:type="default" r:id="rId12"/>
      <w:footerReference w:type="default" r:id="rId13"/>
      <w:headerReference w:type="first" r:id="rId14"/>
      <w:footerReference w:type="first" r:id="rId15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82" w:rsidRDefault="00851982">
      <w:r>
        <w:separator/>
      </w:r>
    </w:p>
  </w:endnote>
  <w:endnote w:type="continuationSeparator" w:id="0">
    <w:p w:rsidR="00851982" w:rsidRDefault="0085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82" w:rsidRDefault="00270E2F" w:rsidP="0019306F">
    <w:pPr>
      <w:pStyle w:val="Footer"/>
    </w:pPr>
    <w:fldSimple w:instr=" FILENAME \p  \* MERGEFORMAT ">
      <w:r w:rsidR="00796450">
        <w:t>P:\ESP\ITU-R\AG\RAG12\RAG-1\000\007S.docx</w:t>
      </w:r>
    </w:fldSimple>
    <w:r w:rsidR="00851982">
      <w:t xml:space="preserve"> (328304)</w:t>
    </w:r>
    <w:r w:rsidR="00851982">
      <w:tab/>
    </w:r>
    <w:r w:rsidR="00851982">
      <w:fldChar w:fldCharType="begin"/>
    </w:r>
    <w:r w:rsidR="00851982">
      <w:instrText xml:space="preserve"> SAVEDATE \@ DD.MM.YY </w:instrText>
    </w:r>
    <w:r w:rsidR="00851982">
      <w:fldChar w:fldCharType="separate"/>
    </w:r>
    <w:r w:rsidR="00796450">
      <w:t>13.06.12</w:t>
    </w:r>
    <w:r w:rsidR="00851982">
      <w:fldChar w:fldCharType="end"/>
    </w:r>
    <w:r w:rsidR="00851982">
      <w:tab/>
    </w:r>
    <w:r w:rsidR="00851982">
      <w:fldChar w:fldCharType="begin"/>
    </w:r>
    <w:r w:rsidR="00851982">
      <w:instrText xml:space="preserve"> PRINTDATE \@ DD.MM.YY </w:instrText>
    </w:r>
    <w:r w:rsidR="00851982">
      <w:fldChar w:fldCharType="separate"/>
    </w:r>
    <w:r w:rsidR="00796450">
      <w:t>13.06.12</w:t>
    </w:r>
    <w:r w:rsidR="0085198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82" w:rsidRDefault="00270E2F">
    <w:pPr>
      <w:pStyle w:val="Footer"/>
    </w:pPr>
    <w:fldSimple w:instr=" FILENAME \p  \* MERGEFORMAT ">
      <w:r w:rsidR="00796450">
        <w:t>P:\ESP\ITU-R\AG\RAG12\RAG-1\000\007S.docx</w:t>
      </w:r>
    </w:fldSimple>
    <w:r w:rsidR="00851982">
      <w:t xml:space="preserve"> (328304)</w:t>
    </w:r>
    <w:r w:rsidR="00851982">
      <w:tab/>
    </w:r>
    <w:r w:rsidR="00851982">
      <w:fldChar w:fldCharType="begin"/>
    </w:r>
    <w:r w:rsidR="00851982">
      <w:instrText xml:space="preserve"> SAVEDATE \@ DD.MM.YY </w:instrText>
    </w:r>
    <w:r w:rsidR="00851982">
      <w:fldChar w:fldCharType="separate"/>
    </w:r>
    <w:r w:rsidR="00796450">
      <w:t>13.06.12</w:t>
    </w:r>
    <w:r w:rsidR="00851982">
      <w:fldChar w:fldCharType="end"/>
    </w:r>
    <w:r w:rsidR="00851982">
      <w:tab/>
    </w:r>
    <w:r w:rsidR="00851982">
      <w:fldChar w:fldCharType="begin"/>
    </w:r>
    <w:r w:rsidR="00851982">
      <w:instrText xml:space="preserve"> PRINTDATE \@ DD.MM.YY </w:instrText>
    </w:r>
    <w:r w:rsidR="00851982">
      <w:fldChar w:fldCharType="separate"/>
    </w:r>
    <w:r w:rsidR="00796450">
      <w:t>13.06.12</w:t>
    </w:r>
    <w:r w:rsidR="0085198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82" w:rsidRDefault="00270E2F" w:rsidP="0019306F">
    <w:pPr>
      <w:pStyle w:val="Footer"/>
      <w:tabs>
        <w:tab w:val="clear" w:pos="5954"/>
        <w:tab w:val="clear" w:pos="9639"/>
        <w:tab w:val="left" w:pos="8222"/>
        <w:tab w:val="right" w:pos="14034"/>
      </w:tabs>
    </w:pPr>
    <w:fldSimple w:instr=" FILENAME \p  \* MERGEFORMAT ">
      <w:r w:rsidR="00796450">
        <w:t>P:\ESP\ITU-R\AG\RAG12\RAG-1\000\007S.docx</w:t>
      </w:r>
    </w:fldSimple>
    <w:r w:rsidR="00851982">
      <w:t xml:space="preserve"> (328304)</w:t>
    </w:r>
    <w:r w:rsidR="00851982">
      <w:tab/>
    </w:r>
    <w:r w:rsidR="00851982">
      <w:fldChar w:fldCharType="begin"/>
    </w:r>
    <w:r w:rsidR="00851982">
      <w:instrText xml:space="preserve"> SAVEDATE \@ DD.MM.YY </w:instrText>
    </w:r>
    <w:r w:rsidR="00851982">
      <w:fldChar w:fldCharType="separate"/>
    </w:r>
    <w:r w:rsidR="00796450">
      <w:t>13.06.12</w:t>
    </w:r>
    <w:r w:rsidR="00851982">
      <w:fldChar w:fldCharType="end"/>
    </w:r>
    <w:r w:rsidR="00851982">
      <w:tab/>
    </w:r>
    <w:r w:rsidR="00851982">
      <w:fldChar w:fldCharType="begin"/>
    </w:r>
    <w:r w:rsidR="00851982">
      <w:instrText xml:space="preserve"> PRINTDATE \@ DD.MM.YY </w:instrText>
    </w:r>
    <w:r w:rsidR="00851982">
      <w:fldChar w:fldCharType="separate"/>
    </w:r>
    <w:r w:rsidR="00796450">
      <w:t>13.06.12</w:t>
    </w:r>
    <w:r w:rsidR="00851982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82" w:rsidRDefault="00270E2F" w:rsidP="0019306F">
    <w:pPr>
      <w:pStyle w:val="Footer"/>
      <w:tabs>
        <w:tab w:val="clear" w:pos="5954"/>
        <w:tab w:val="clear" w:pos="9639"/>
        <w:tab w:val="left" w:pos="8222"/>
        <w:tab w:val="right" w:pos="14034"/>
      </w:tabs>
    </w:pPr>
    <w:fldSimple w:instr=" FILENAME \p  \* MERGEFORMAT ">
      <w:r w:rsidR="00796450">
        <w:t>P:\ESP\ITU-R\AG\RAG12\RAG-1\000\007S.docx</w:t>
      </w:r>
    </w:fldSimple>
    <w:r w:rsidR="00851982">
      <w:t xml:space="preserve"> (328304)</w:t>
    </w:r>
    <w:r w:rsidR="00851982">
      <w:tab/>
    </w:r>
    <w:r w:rsidR="00851982">
      <w:fldChar w:fldCharType="begin"/>
    </w:r>
    <w:r w:rsidR="00851982">
      <w:instrText xml:space="preserve"> SAVEDATE \@ DD.MM.YY </w:instrText>
    </w:r>
    <w:r w:rsidR="00851982">
      <w:fldChar w:fldCharType="separate"/>
    </w:r>
    <w:r w:rsidR="00796450">
      <w:t>13.06.12</w:t>
    </w:r>
    <w:r w:rsidR="00851982">
      <w:fldChar w:fldCharType="end"/>
    </w:r>
    <w:r w:rsidR="00851982">
      <w:tab/>
    </w:r>
    <w:r w:rsidR="00851982">
      <w:fldChar w:fldCharType="begin"/>
    </w:r>
    <w:r w:rsidR="00851982">
      <w:instrText xml:space="preserve"> PRINTDATE \@ DD.MM.YY </w:instrText>
    </w:r>
    <w:r w:rsidR="00851982">
      <w:fldChar w:fldCharType="separate"/>
    </w:r>
    <w:r w:rsidR="00796450">
      <w:t>13.06.12</w:t>
    </w:r>
    <w:r w:rsidR="0085198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82" w:rsidRDefault="00851982">
      <w:r>
        <w:t>____________________</w:t>
      </w:r>
    </w:p>
  </w:footnote>
  <w:footnote w:type="continuationSeparator" w:id="0">
    <w:p w:rsidR="00851982" w:rsidRDefault="00851982">
      <w:r>
        <w:continuationSeparator/>
      </w:r>
    </w:p>
  </w:footnote>
  <w:footnote w:id="1">
    <w:p w:rsidR="00D973B4" w:rsidRDefault="00D973B4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</w:r>
      <w:r w:rsidRPr="008743D7">
        <w:rPr>
          <w:rFonts w:eastAsia="SimSun"/>
          <w:lang w:eastAsia="zh-CN"/>
        </w:rPr>
        <w:t>Este documento fue considerado y aprobado en la segunda reunión d</w:t>
      </w:r>
      <w:r w:rsidR="001D6767">
        <w:rPr>
          <w:rFonts w:eastAsia="SimSun"/>
          <w:lang w:eastAsia="zh-CN"/>
        </w:rPr>
        <w:t>e la C</w:t>
      </w:r>
      <w:r w:rsidRPr="008743D7">
        <w:rPr>
          <w:rFonts w:eastAsia="SimSun"/>
          <w:lang w:eastAsia="zh-CN"/>
        </w:rPr>
        <w:t>omisión sobre reglamentación de la utilización del espe</w:t>
      </w:r>
      <w:r w:rsidR="001D6767">
        <w:rPr>
          <w:rFonts w:eastAsia="SimSun"/>
          <w:lang w:eastAsia="zh-CN"/>
        </w:rPr>
        <w:t>ctro de radiofrecuencias y las ó</w:t>
      </w:r>
      <w:r w:rsidRPr="008743D7">
        <w:rPr>
          <w:rFonts w:eastAsia="SimSun"/>
          <w:lang w:eastAsia="zh-CN"/>
        </w:rPr>
        <w:t>rbitas de</w:t>
      </w:r>
      <w:r w:rsidR="001D6767">
        <w:rPr>
          <w:rFonts w:eastAsia="SimSun"/>
          <w:lang w:eastAsia="zh-CN"/>
        </w:rPr>
        <w:t xml:space="preserve"> los satélites de la Comunidad R</w:t>
      </w:r>
      <w:r w:rsidRPr="008743D7">
        <w:rPr>
          <w:rFonts w:eastAsia="SimSun"/>
          <w:lang w:eastAsia="zh-CN"/>
        </w:rPr>
        <w:t>egional de Comunicaciones (CRC)</w:t>
      </w:r>
    </w:p>
  </w:footnote>
  <w:footnote w:id="2">
    <w:p w:rsidR="00AE7472" w:rsidRDefault="00AE74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743D7">
        <w:rPr>
          <w:lang w:val="es-ES"/>
        </w:rPr>
        <w:t>Un grupo UIT-R implicado puede ser un grupo que con</w:t>
      </w:r>
      <w:r>
        <w:rPr>
          <w:lang w:val="es-ES"/>
        </w:rPr>
        <w:t>t</w:t>
      </w:r>
      <w:r w:rsidRPr="008743D7">
        <w:rPr>
          <w:lang w:val="es-ES"/>
        </w:rPr>
        <w:t>ribuye a</w:t>
      </w:r>
      <w:r>
        <w:rPr>
          <w:lang w:val="es-ES"/>
        </w:rPr>
        <w:t xml:space="preserve"> los Trabajos sobre un tema específico (indicado en negrita) o un grupo interesado (indicado entre corchetes) que seguirá las actividades sobre un tema específico y tomará las medidas correspondientes.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82" w:rsidRDefault="00851982" w:rsidP="00851982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6450">
      <w:rPr>
        <w:rStyle w:val="PageNumber"/>
        <w:noProof/>
      </w:rPr>
      <w:t>7</w:t>
    </w:r>
    <w:r>
      <w:rPr>
        <w:rStyle w:val="PageNumber"/>
      </w:rPr>
      <w:fldChar w:fldCharType="end"/>
    </w:r>
  </w:p>
  <w:p w:rsidR="00851982" w:rsidRPr="009E4E10" w:rsidRDefault="00851982" w:rsidP="00851982">
    <w:pPr>
      <w:pStyle w:val="Header"/>
    </w:pPr>
    <w:r>
      <w:rPr>
        <w:lang w:val="es-ES"/>
      </w:rPr>
      <w:t>RAG12-1/7-S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82" w:rsidRDefault="00851982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48D5">
      <w:rPr>
        <w:rStyle w:val="PageNumber"/>
        <w:noProof/>
      </w:rPr>
      <w:t>7</w:t>
    </w:r>
    <w:r>
      <w:rPr>
        <w:rStyle w:val="PageNumber"/>
      </w:rPr>
      <w:fldChar w:fldCharType="end"/>
    </w:r>
  </w:p>
  <w:p w:rsidR="00851982" w:rsidRDefault="00851982" w:rsidP="007A480A">
    <w:pPr>
      <w:pStyle w:val="Header"/>
      <w:rPr>
        <w:lang w:val="es-ES"/>
      </w:rPr>
    </w:pPr>
    <w:r>
      <w:rPr>
        <w:lang w:val="es-ES"/>
      </w:rPr>
      <w:t>RAG12-1/</w:t>
    </w:r>
    <w:r w:rsidR="007A480A">
      <w:rPr>
        <w:lang w:val="es-ES"/>
      </w:rPr>
      <w:t>7</w:t>
    </w:r>
    <w:r>
      <w:rPr>
        <w:lang w:val="es-ES"/>
      </w:rPr>
      <w:t>-S</w:t>
    </w:r>
  </w:p>
  <w:p w:rsidR="007A480A" w:rsidRDefault="007A480A" w:rsidP="007A480A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1" w:rsidRDefault="008A4481">
    <w:pPr>
      <w:pStyle w:val="Header"/>
    </w:pPr>
    <w:r>
      <w:t>3</w:t>
    </w:r>
  </w:p>
  <w:p w:rsidR="007A480A" w:rsidRDefault="007A480A" w:rsidP="007A480A">
    <w:pPr>
      <w:pStyle w:val="Header"/>
      <w:rPr>
        <w:lang w:val="es-ES"/>
      </w:rPr>
    </w:pPr>
    <w:r>
      <w:rPr>
        <w:lang w:val="es-ES"/>
      </w:rPr>
      <w:t>RAG12-1/7-S</w:t>
    </w:r>
  </w:p>
  <w:p w:rsidR="007A480A" w:rsidRPr="009E4E10" w:rsidRDefault="007A480A" w:rsidP="007A4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1"/>
    <w:rsid w:val="00090A8D"/>
    <w:rsid w:val="0012592F"/>
    <w:rsid w:val="0019306F"/>
    <w:rsid w:val="001D6767"/>
    <w:rsid w:val="001E5381"/>
    <w:rsid w:val="00262990"/>
    <w:rsid w:val="00270E2F"/>
    <w:rsid w:val="003373B8"/>
    <w:rsid w:val="0034043B"/>
    <w:rsid w:val="003D48D5"/>
    <w:rsid w:val="003E075C"/>
    <w:rsid w:val="00414D8B"/>
    <w:rsid w:val="00482905"/>
    <w:rsid w:val="004D6C09"/>
    <w:rsid w:val="004F3661"/>
    <w:rsid w:val="00513D9E"/>
    <w:rsid w:val="005D3E02"/>
    <w:rsid w:val="00610642"/>
    <w:rsid w:val="00616601"/>
    <w:rsid w:val="006236D0"/>
    <w:rsid w:val="00644945"/>
    <w:rsid w:val="006A0FB1"/>
    <w:rsid w:val="006A42AB"/>
    <w:rsid w:val="006C1B02"/>
    <w:rsid w:val="006E291F"/>
    <w:rsid w:val="007800F7"/>
    <w:rsid w:val="00783F3A"/>
    <w:rsid w:val="00796450"/>
    <w:rsid w:val="007A480A"/>
    <w:rsid w:val="00851982"/>
    <w:rsid w:val="00855D96"/>
    <w:rsid w:val="008743D7"/>
    <w:rsid w:val="008A4481"/>
    <w:rsid w:val="008C1060"/>
    <w:rsid w:val="00950AE4"/>
    <w:rsid w:val="00994F91"/>
    <w:rsid w:val="009F0A6F"/>
    <w:rsid w:val="00A929AC"/>
    <w:rsid w:val="00AB1C49"/>
    <w:rsid w:val="00AE7472"/>
    <w:rsid w:val="00B32E51"/>
    <w:rsid w:val="00CB7A43"/>
    <w:rsid w:val="00CF2189"/>
    <w:rsid w:val="00D973B4"/>
    <w:rsid w:val="00DC2658"/>
    <w:rsid w:val="00E30573"/>
    <w:rsid w:val="00E35D3D"/>
    <w:rsid w:val="00E72EA7"/>
    <w:rsid w:val="00E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rsid w:val="006A0FB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A0FB1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6A0FB1"/>
    <w:rPr>
      <w:rFonts w:ascii="Times New Roman" w:hAnsi="Times New Roman"/>
      <w:sz w:val="18"/>
      <w:lang w:val="es-ES_tradnl" w:eastAsia="en-US"/>
    </w:rPr>
  </w:style>
  <w:style w:type="table" w:styleId="TableGrid">
    <w:name w:val="Table Grid"/>
    <w:basedOn w:val="TableNormal"/>
    <w:rsid w:val="006A0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6A0F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A0FB1"/>
    <w:rPr>
      <w:rFonts w:ascii="Times New Roman" w:hAnsi="Times New Roman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6A0FB1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rsid w:val="006A0FB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A0FB1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6A0FB1"/>
    <w:rPr>
      <w:rFonts w:ascii="Times New Roman" w:hAnsi="Times New Roman"/>
      <w:sz w:val="18"/>
      <w:lang w:val="es-ES_tradnl" w:eastAsia="en-US"/>
    </w:rPr>
  </w:style>
  <w:style w:type="table" w:styleId="TableGrid">
    <w:name w:val="Table Grid"/>
    <w:basedOn w:val="TableNormal"/>
    <w:rsid w:val="006A0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6A0F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A0FB1"/>
    <w:rPr>
      <w:rFonts w:ascii="Times New Roman" w:hAnsi="Times New Roman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6A0FB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RAG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1103-5942-4A5E-B95F-47BFA92B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PS_RAG12.dotm</Template>
  <TotalTime>76</TotalTime>
  <Pages>7</Pages>
  <Words>1660</Words>
  <Characters>9134</Characters>
  <Application>Microsoft Office Word</Application>
  <DocSecurity>0</DocSecurity>
  <Lines>287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IMPLEMENTACIÓN DE ESTUDIOS SOBRE RESOLUCIONES UIT-R</vt:lpstr>
    </vt:vector>
  </TitlesOfParts>
  <Manager>General Secretariat - Pool</Manager>
  <Company>International Telecommunication Union (ITU)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ESTUDIOS SOBRE RESOLUCIONES UIT-R</dc:title>
  <dc:subject>GRUPO ASESOR DE RADIOCOMUNICACIONES</dc:subject>
  <dc:creator>Federación de Rusia*</dc:creator>
  <cp:keywords>RAG03-1</cp:keywords>
  <dc:description>Documento RAG12-1/7-S  For: _x000d_Document date: 25 de mayo de 2012_x000d_Saved by SJM107817 at 23:10:43 on 13.06.2012</dc:description>
  <cp:lastModifiedBy>Mendoza Siles, Sidma Jeanneth</cp:lastModifiedBy>
  <cp:revision>65</cp:revision>
  <cp:lastPrinted>2012-06-13T21:08:00Z</cp:lastPrinted>
  <dcterms:created xsi:type="dcterms:W3CDTF">2012-06-13T19:06:00Z</dcterms:created>
  <dcterms:modified xsi:type="dcterms:W3CDTF">2012-06-13T21:10:00Z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RAG12-1/7-S</vt:lpwstr>
  </property>
  <property fmtid="{D5CDD505-2E9C-101B-9397-08002B2CF9AE}" pid="3" name="Docdate">
    <vt:lpwstr>25 de mayo de 2012</vt:lpwstr>
  </property>
  <property fmtid="{D5CDD505-2E9C-101B-9397-08002B2CF9AE}" pid="4" name="Docorlang">
    <vt:lpwstr>Original: ruso</vt:lpwstr>
  </property>
  <property fmtid="{D5CDD505-2E9C-101B-9397-08002B2CF9AE}" pid="5" name="Docauthor">
    <vt:lpwstr>Federación de Rusia*</vt:lpwstr>
  </property>
</Properties>
</file>