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AC39EE">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25</w:t>
            </w:r>
            <w:r w:rsidRPr="002D238A">
              <w:rPr>
                <w:rFonts w:ascii="Verdana" w:hAnsi="Verdana"/>
                <w:b/>
                <w:bCs/>
                <w:sz w:val="20"/>
              </w:rPr>
              <w:t>-</w:t>
            </w:r>
            <w:r w:rsidR="00AC39EE">
              <w:rPr>
                <w:rFonts w:ascii="Verdana" w:hAnsi="Verdana"/>
                <w:b/>
                <w:bCs/>
                <w:sz w:val="20"/>
              </w:rPr>
              <w:t>27</w:t>
            </w:r>
            <w:r>
              <w:rPr>
                <w:rFonts w:ascii="Verdana" w:hAnsi="Verdana"/>
                <w:b/>
                <w:bCs/>
                <w:sz w:val="20"/>
              </w:rPr>
              <w:t xml:space="preserve"> </w:t>
            </w:r>
            <w:r w:rsidR="00D228F7">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AC39EE">
              <w:rPr>
                <w:rFonts w:ascii="Verdana" w:hAnsi="Verdana"/>
                <w:b/>
                <w:bCs/>
                <w:sz w:val="20"/>
              </w:rPr>
              <w:t>2</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02DFDF59" wp14:editId="61880936">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A7097F" w:rsidRDefault="00A7097F" w:rsidP="00A7097F">
            <w:pPr>
              <w:shd w:val="solid" w:color="FFFFFF" w:fill="FFFFFF"/>
              <w:spacing w:before="0" w:line="240" w:lineRule="atLeast"/>
              <w:rPr>
                <w:rFonts w:ascii="Verdana" w:hAnsi="Verdana"/>
                <w:sz w:val="20"/>
              </w:rPr>
            </w:pPr>
            <w:r>
              <w:rPr>
                <w:rFonts w:ascii="Verdana" w:hAnsi="Verdana"/>
                <w:b/>
                <w:sz w:val="20"/>
              </w:rPr>
              <w:t>Document RAG12-1/7-F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A7097F" w:rsidRDefault="00A7097F" w:rsidP="00A7097F">
            <w:pPr>
              <w:shd w:val="solid" w:color="FFFFFF" w:fill="FFFFFF"/>
              <w:spacing w:before="0" w:line="240" w:lineRule="atLeast"/>
              <w:rPr>
                <w:rFonts w:ascii="Verdana" w:hAnsi="Verdana"/>
                <w:sz w:val="20"/>
              </w:rPr>
            </w:pPr>
            <w:r>
              <w:rPr>
                <w:rFonts w:ascii="Verdana" w:hAnsi="Verdana"/>
                <w:b/>
                <w:sz w:val="20"/>
              </w:rPr>
              <w:t>25 mai 2012</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A7097F" w:rsidRDefault="00A7097F" w:rsidP="00A7097F">
            <w:pPr>
              <w:shd w:val="solid" w:color="FFFFFF" w:fill="FFFFFF"/>
              <w:spacing w:before="0" w:after="120" w:line="240" w:lineRule="atLeast"/>
              <w:rPr>
                <w:rFonts w:ascii="Verdana" w:hAnsi="Verdana"/>
                <w:sz w:val="20"/>
              </w:rPr>
            </w:pPr>
            <w:r>
              <w:rPr>
                <w:rFonts w:ascii="Verdana" w:hAnsi="Verdana"/>
                <w:b/>
                <w:sz w:val="20"/>
              </w:rPr>
              <w:t>Original: russe</w:t>
            </w:r>
          </w:p>
        </w:tc>
      </w:tr>
      <w:tr w:rsidR="002D238A">
        <w:trPr>
          <w:cantSplit/>
        </w:trPr>
        <w:tc>
          <w:tcPr>
            <w:tcW w:w="9889" w:type="dxa"/>
            <w:gridSpan w:val="2"/>
          </w:tcPr>
          <w:p w:rsidR="002D238A" w:rsidRDefault="0079313A" w:rsidP="00445ABF">
            <w:pPr>
              <w:pStyle w:val="Source"/>
            </w:pPr>
            <w:bookmarkStart w:id="3" w:name="dsource" w:colFirst="0" w:colLast="0"/>
            <w:bookmarkEnd w:id="2"/>
            <w:r>
              <w:t>Fédération de Russie</w:t>
            </w:r>
            <w:r w:rsidR="00445ABF">
              <w:rPr>
                <w:rStyle w:val="FootnoteReference"/>
              </w:rPr>
              <w:footnoteReference w:customMarkFollows="1" w:id="1"/>
              <w:t>*</w:t>
            </w:r>
          </w:p>
        </w:tc>
      </w:tr>
      <w:tr w:rsidR="002D238A">
        <w:trPr>
          <w:cantSplit/>
        </w:trPr>
        <w:tc>
          <w:tcPr>
            <w:tcW w:w="9889" w:type="dxa"/>
            <w:gridSpan w:val="2"/>
          </w:tcPr>
          <w:p w:rsidR="002D238A" w:rsidRDefault="0079313A" w:rsidP="00E7285E">
            <w:pPr>
              <w:pStyle w:val="Title1"/>
            </w:pPr>
            <w:bookmarkStart w:id="4" w:name="dtitle1" w:colFirst="0" w:colLast="0"/>
            <w:bookmarkEnd w:id="3"/>
            <w:r>
              <w:t xml:space="preserve">mise en </w:t>
            </w:r>
            <w:r w:rsidR="00E7285E">
              <w:t>oe</w:t>
            </w:r>
            <w:r w:rsidR="002832C0">
              <w:t>uvre des é</w:t>
            </w:r>
            <w:r>
              <w:t>tudes sur les r</w:t>
            </w:r>
            <w:r w:rsidR="001A16E8">
              <w:t>é</w:t>
            </w:r>
            <w:r>
              <w:t>solutions uit</w:t>
            </w:r>
            <w:r w:rsidR="00487681">
              <w:noBreakHyphen/>
            </w:r>
            <w:r>
              <w:t>r</w:t>
            </w:r>
          </w:p>
        </w:tc>
      </w:tr>
    </w:tbl>
    <w:bookmarkEnd w:id="4"/>
    <w:p w:rsidR="0079313A" w:rsidRDefault="0079313A" w:rsidP="00400E33">
      <w:pPr>
        <w:pStyle w:val="Headingb"/>
        <w:spacing w:before="600"/>
      </w:pPr>
      <w:r>
        <w:t>Introduction</w:t>
      </w:r>
    </w:p>
    <w:p w:rsidR="0079313A" w:rsidRDefault="0079313A" w:rsidP="00487681">
      <w:r>
        <w:t>L</w:t>
      </w:r>
      <w:r w:rsidR="001A16E8">
        <w:t>'</w:t>
      </w:r>
      <w:r>
        <w:t>Assemblée des radiocommunications a adopté un certain nombre de Résolutions UIT</w:t>
      </w:r>
      <w:r w:rsidR="00487681">
        <w:noBreakHyphen/>
      </w:r>
      <w:r>
        <w:t>R qui appellent à réalise</w:t>
      </w:r>
      <w:r w:rsidR="002832C0">
        <w:t>r des études dans le cadre des C</w:t>
      </w:r>
      <w:r>
        <w:t>ommissions d</w:t>
      </w:r>
      <w:r w:rsidR="001A16E8">
        <w:t>'</w:t>
      </w:r>
      <w:r>
        <w:t>études de l</w:t>
      </w:r>
      <w:r w:rsidR="001A16E8">
        <w:t>'</w:t>
      </w:r>
      <w:r>
        <w:t>UIT</w:t>
      </w:r>
      <w:r w:rsidR="00487681">
        <w:noBreakHyphen/>
      </w:r>
      <w:r>
        <w:t>R. Les</w:t>
      </w:r>
      <w:r w:rsidR="00487681">
        <w:t> </w:t>
      </w:r>
      <w:r>
        <w:t>Résolutions</w:t>
      </w:r>
      <w:r w:rsidR="00487681">
        <w:t> </w:t>
      </w:r>
      <w:r>
        <w:t>UIT</w:t>
      </w:r>
      <w:r w:rsidR="00487681">
        <w:noBreakHyphen/>
      </w:r>
      <w:r>
        <w:t>R, de même que les Questions UIT</w:t>
      </w:r>
      <w:r w:rsidR="00487681">
        <w:noBreakHyphen/>
      </w:r>
      <w:r>
        <w:t>R et les Résolutions de la CMR, sont l</w:t>
      </w:r>
      <w:r w:rsidR="001A16E8">
        <w:t>'</w:t>
      </w:r>
      <w:r>
        <w:t>un des modes d</w:t>
      </w:r>
      <w:r w:rsidR="001A16E8">
        <w:t>'</w:t>
      </w:r>
      <w:r>
        <w:t>organisation des travaux à l</w:t>
      </w:r>
      <w:r w:rsidR="001A16E8">
        <w:t>'</w:t>
      </w:r>
      <w:r>
        <w:t>intérieur d</w:t>
      </w:r>
      <w:r w:rsidR="001A16E8">
        <w:t>'</w:t>
      </w:r>
      <w:r>
        <w:t>une commission d</w:t>
      </w:r>
      <w:r w:rsidR="001A16E8">
        <w:t>'</w:t>
      </w:r>
      <w:r>
        <w:t>études.</w:t>
      </w:r>
    </w:p>
    <w:p w:rsidR="0079313A" w:rsidRDefault="0079313A" w:rsidP="00487681">
      <w:r>
        <w:t>Les études menées par l</w:t>
      </w:r>
      <w:r w:rsidR="001A16E8">
        <w:t>'</w:t>
      </w:r>
      <w:r>
        <w:t>UIT</w:t>
      </w:r>
      <w:r w:rsidR="00487681">
        <w:noBreakHyphen/>
      </w:r>
      <w:r>
        <w:t>R conformément aux Questions UIT</w:t>
      </w:r>
      <w:r w:rsidR="00487681">
        <w:noBreakHyphen/>
      </w:r>
      <w:r>
        <w:t>R ou aux Résolutions de la CMR (relativement aux points de l</w:t>
      </w:r>
      <w:r w:rsidR="001A16E8">
        <w:t>'</w:t>
      </w:r>
      <w:r>
        <w:t>ordre du jour des CMR) prévoient une organisation du travail spécifique.</w:t>
      </w:r>
    </w:p>
    <w:p w:rsidR="0079313A" w:rsidRDefault="0079313A" w:rsidP="0079313A">
      <w:r>
        <w:t>Pour les Questions UIT-R, il est prévu d</w:t>
      </w:r>
      <w:r w:rsidR="001A16E8">
        <w:t>'</w:t>
      </w:r>
      <w:r>
        <w:t>adopter un programme de travail (autrement dit, de définir les étapes du déroulement des études et la date prévue de leur achèvement) et de définir la forme que doit revêtir la réponse (par exemple, Recommandation).</w:t>
      </w:r>
    </w:p>
    <w:p w:rsidR="0079313A" w:rsidRDefault="0079313A" w:rsidP="0079313A">
      <w:r>
        <w:t>Concernant les Résolutions de la CMR, la RPC définit le groupe de travail ou la commission d</w:t>
      </w:r>
      <w:r w:rsidR="001A16E8">
        <w:t>'</w:t>
      </w:r>
      <w:r>
        <w:t>études responsable, ainsi que les groupes de travail ou les commissions d</w:t>
      </w:r>
      <w:r w:rsidR="001A16E8">
        <w:t>'</w:t>
      </w:r>
      <w:r>
        <w:t>études qui participeront aux activités. En outre, les études relatives aux Résolutions de la CMR figurent dans le Rapport de la RPC.</w:t>
      </w:r>
    </w:p>
    <w:p w:rsidR="0079313A" w:rsidRDefault="0079313A" w:rsidP="00487681">
      <w:r>
        <w:t>Par contre, dans le cas des études au titre des Résolutions UIT</w:t>
      </w:r>
      <w:r w:rsidR="00487681">
        <w:noBreakHyphen/>
      </w:r>
      <w:r>
        <w:t>R, il n</w:t>
      </w:r>
      <w:r w:rsidR="001A16E8">
        <w:t>'</w:t>
      </w:r>
      <w:r>
        <w:t>est pas prévu, à l</w:t>
      </w:r>
      <w:r w:rsidR="001A16E8">
        <w:t>'</w:t>
      </w:r>
      <w:r>
        <w:t>UIT</w:t>
      </w:r>
      <w:r w:rsidR="00487681">
        <w:noBreakHyphen/>
      </w:r>
      <w:r>
        <w:t>R, d</w:t>
      </w:r>
      <w:r w:rsidR="001A16E8">
        <w:t>'</w:t>
      </w:r>
      <w:r>
        <w:t>organisation similaire, ce qui pourrait entraîner une mauvaise coordination des travaux des commissions d</w:t>
      </w:r>
      <w:r w:rsidR="001A16E8">
        <w:t>'</w:t>
      </w:r>
      <w:r>
        <w:t>études et des groupes de travail, ainsi que des difficultés pour définir la date d</w:t>
      </w:r>
      <w:r w:rsidR="001A16E8">
        <w:t>'</w:t>
      </w:r>
      <w:r>
        <w:t>achèvement de ces études et la forme que doivent revêtir leurs résultats.</w:t>
      </w:r>
    </w:p>
    <w:p w:rsidR="0079313A" w:rsidRDefault="0079313A" w:rsidP="00400E33">
      <w:pPr>
        <w:keepNext/>
        <w:keepLines/>
        <w:spacing w:before="360"/>
        <w:rPr>
          <w:b/>
          <w:bCs/>
        </w:rPr>
      </w:pPr>
      <w:r w:rsidRPr="00830FCB">
        <w:rPr>
          <w:b/>
          <w:bCs/>
        </w:rPr>
        <w:lastRenderedPageBreak/>
        <w:t>Proposition</w:t>
      </w:r>
    </w:p>
    <w:p w:rsidR="0079313A" w:rsidRDefault="0079313A" w:rsidP="00813ADA">
      <w:pPr>
        <w:keepNext/>
        <w:keepLines/>
      </w:pPr>
      <w:r w:rsidRPr="00830FCB">
        <w:t>I</w:t>
      </w:r>
      <w:r>
        <w:t>l est proposé d</w:t>
      </w:r>
      <w:r w:rsidR="001A16E8">
        <w:t>'</w:t>
      </w:r>
      <w:r>
        <w:t>envisager d</w:t>
      </w:r>
      <w:r w:rsidR="001A16E8">
        <w:t>'</w:t>
      </w:r>
      <w:r>
        <w:t>org</w:t>
      </w:r>
      <w:r w:rsidR="002832C0">
        <w:t>aniser des études au titre des R</w:t>
      </w:r>
      <w:r>
        <w:t>ésolutions UIT</w:t>
      </w:r>
      <w:r w:rsidR="00813ADA">
        <w:noBreakHyphen/>
      </w:r>
      <w:r>
        <w:t>R, de manière analogue</w:t>
      </w:r>
      <w:r w:rsidR="002832C0">
        <w:t xml:space="preserve"> à ce qui se fait au titre des R</w:t>
      </w:r>
      <w:r>
        <w:t>ésolutions de la CMR en vue de l</w:t>
      </w:r>
      <w:r w:rsidR="001A16E8">
        <w:t>'</w:t>
      </w:r>
      <w:r>
        <w:t>établissement du rapport de la RPC. A</w:t>
      </w:r>
      <w:r w:rsidR="00813ADA">
        <w:t> </w:t>
      </w:r>
      <w:r>
        <w:t>cette fin, le GCR devrait désigner des groupes de travail responsables et participant aux travaux pour chaque Résolution UIT</w:t>
      </w:r>
      <w:r w:rsidR="00813ADA">
        <w:noBreakHyphen/>
      </w:r>
      <w:r>
        <w:t>R, ainsi que la date à laquelle les études doivent être achevées (en règle générale, avant l</w:t>
      </w:r>
      <w:r w:rsidR="001A16E8">
        <w:t>'</w:t>
      </w:r>
      <w:r>
        <w:t>assemblée des radiocommunications suivante), ainsi que la forme que doivent revêtir les résultats de ces études. On trouvera dans l</w:t>
      </w:r>
      <w:r w:rsidR="001A16E8">
        <w:t>'</w:t>
      </w:r>
      <w:r>
        <w:t>Annexe du présent document un modèle pour l</w:t>
      </w:r>
      <w:r w:rsidR="001A16E8">
        <w:t>'</w:t>
      </w:r>
      <w:r>
        <w:t>organisation des études au titre des Résolutions UIT</w:t>
      </w:r>
      <w:r w:rsidR="00813ADA">
        <w:noBreakHyphen/>
      </w:r>
      <w:r>
        <w:t>R, présenté au GCR pour examen.</w:t>
      </w:r>
    </w:p>
    <w:p w:rsidR="004653DA" w:rsidRDefault="004653DA" w:rsidP="00813ADA">
      <w:pPr>
        <w:keepNext/>
        <w:keepLines/>
        <w:sectPr w:rsidR="004653DA" w:rsidSect="00132F8E">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pPr>
    </w:p>
    <w:p w:rsidR="004653DA" w:rsidRDefault="004653DA" w:rsidP="002832C0">
      <w:pPr>
        <w:pStyle w:val="AnnexNotitle"/>
        <w:spacing w:after="240"/>
      </w:pPr>
      <w:r>
        <w:t>Annexe</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725"/>
        <w:gridCol w:w="5432"/>
        <w:gridCol w:w="1629"/>
        <w:gridCol w:w="1590"/>
        <w:gridCol w:w="1703"/>
      </w:tblGrid>
      <w:tr w:rsidR="00656CAB" w:rsidRPr="007F7D9E" w:rsidTr="0069382D">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7F7D9E" w:rsidRDefault="00656CAB"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656CAB" w:rsidRDefault="00656CAB"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656CAB" w:rsidRDefault="00656CAB"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F93800" w:rsidRDefault="00656CAB" w:rsidP="0069382D">
            <w:pPr>
              <w:pStyle w:val="Tablehead"/>
              <w:rPr>
                <w:lang w:val="fr-CH"/>
              </w:rPr>
            </w:pPr>
            <w:r>
              <w:rPr>
                <w:lang w:val="fr-CH"/>
              </w:rPr>
              <w:t>Groupe participant</w:t>
            </w:r>
            <w:r w:rsidR="00F93800" w:rsidRPr="002832C0">
              <w:rPr>
                <w:rStyle w:val="FootnoteReference"/>
                <w:b w:val="0"/>
                <w:bCs/>
                <w:sz w:val="16"/>
                <w:szCs w:val="16"/>
                <w:lang w:val="fr-CH"/>
              </w:rPr>
              <w:footnoteReference w:customMarkFollows="1" w:id="2"/>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656CAB" w:rsidRDefault="00656CAB"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56CAB" w:rsidRPr="00656CAB" w:rsidRDefault="00656CAB" w:rsidP="0069382D">
            <w:pPr>
              <w:pStyle w:val="Tablehead"/>
              <w:rPr>
                <w:lang w:val="fr-CH"/>
              </w:rPr>
            </w:pPr>
            <w:r>
              <w:rPr>
                <w:lang w:val="fr-CH"/>
              </w:rPr>
              <w:t xml:space="preserve">Forme pour la présentation </w:t>
            </w:r>
            <w:r w:rsidR="00E96D42">
              <w:rPr>
                <w:lang w:val="fr-CH"/>
              </w:rPr>
              <w:t>des résultats</w:t>
            </w:r>
          </w:p>
        </w:tc>
      </w:tr>
      <w:tr w:rsidR="00656CAB" w:rsidRPr="00990073" w:rsidTr="00656CAB">
        <w:trPr>
          <w:tblHeader/>
        </w:trPr>
        <w:tc>
          <w:tcPr>
            <w:tcW w:w="2707" w:type="dxa"/>
            <w:tcBorders>
              <w:top w:val="single" w:sz="4" w:space="0" w:color="auto"/>
              <w:left w:val="single" w:sz="4" w:space="0" w:color="auto"/>
              <w:bottom w:val="single" w:sz="4" w:space="0" w:color="auto"/>
              <w:right w:val="single" w:sz="4" w:space="0" w:color="auto"/>
            </w:tcBorders>
            <w:hideMark/>
          </w:tcPr>
          <w:p w:rsidR="00656CAB" w:rsidRPr="00990073" w:rsidRDefault="00656CAB" w:rsidP="00656CAB">
            <w:pPr>
              <w:pStyle w:val="ResNo"/>
              <w:keepNext w:val="0"/>
              <w:keepLines w:val="0"/>
              <w:spacing w:before="120"/>
              <w:rPr>
                <w:sz w:val="20"/>
                <w:lang w:val="fr-CH"/>
              </w:rPr>
            </w:pPr>
            <w:bookmarkStart w:id="5" w:name="_Toc314864504"/>
            <w:bookmarkStart w:id="6" w:name="_Toc314865203"/>
            <w:r w:rsidRPr="00851B25">
              <w:rPr>
                <w:b w:val="0"/>
                <w:caps/>
                <w:sz w:val="20"/>
              </w:rPr>
              <w:t>résolution uit</w:t>
            </w:r>
            <w:r w:rsidRPr="00851B25">
              <w:rPr>
                <w:b w:val="0"/>
                <w:caps/>
                <w:sz w:val="20"/>
              </w:rPr>
              <w:noBreakHyphen/>
              <w:t>R 50-2</w:t>
            </w:r>
          </w:p>
          <w:p w:rsidR="00656CAB" w:rsidRPr="00990073" w:rsidRDefault="00656CAB" w:rsidP="00656CAB">
            <w:pPr>
              <w:pStyle w:val="ResNo"/>
              <w:keepNext w:val="0"/>
              <w:keepLines w:val="0"/>
              <w:rPr>
                <w:sz w:val="20"/>
              </w:rPr>
            </w:pPr>
            <w:r>
              <w:rPr>
                <w:sz w:val="20"/>
              </w:rPr>
              <w:t>R</w:t>
            </w:r>
            <w:r w:rsidRPr="00990073">
              <w:rPr>
                <w:sz w:val="20"/>
              </w:rPr>
              <w:t>ôle du secteur des radiocommunications dans l</w:t>
            </w:r>
            <w:r w:rsidR="001A16E8">
              <w:rPr>
                <w:sz w:val="20"/>
              </w:rPr>
              <w:t>'</w:t>
            </w:r>
            <w:r w:rsidRPr="00990073">
              <w:rPr>
                <w:sz w:val="20"/>
              </w:rPr>
              <w:t xml:space="preserve">évolution des </w:t>
            </w:r>
            <w:bookmarkEnd w:id="5"/>
            <w:bookmarkEnd w:id="6"/>
            <w:r>
              <w:rPr>
                <w:sz w:val="20"/>
              </w:rPr>
              <w:t>IMT</w:t>
            </w:r>
          </w:p>
        </w:tc>
        <w:tc>
          <w:tcPr>
            <w:tcW w:w="1725"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b/>
                <w:bCs/>
                <w:sz w:val="20"/>
              </w:rPr>
            </w:pPr>
          </w:p>
        </w:tc>
        <w:tc>
          <w:tcPr>
            <w:tcW w:w="5432" w:type="dxa"/>
            <w:tcBorders>
              <w:top w:val="single" w:sz="4" w:space="0" w:color="auto"/>
              <w:left w:val="single" w:sz="4" w:space="0" w:color="auto"/>
              <w:bottom w:val="single" w:sz="4" w:space="0" w:color="auto"/>
              <w:right w:val="single" w:sz="4" w:space="0" w:color="auto"/>
            </w:tcBorders>
            <w:hideMark/>
          </w:tcPr>
          <w:p w:rsidR="00656CAB" w:rsidRPr="00990073" w:rsidRDefault="00656CAB" w:rsidP="00656CAB">
            <w:pPr>
              <w:pStyle w:val="Call"/>
              <w:keepNext w:val="0"/>
              <w:keepLines w:val="0"/>
              <w:spacing w:before="120"/>
              <w:rPr>
                <w:sz w:val="20"/>
              </w:rPr>
            </w:pPr>
            <w:r w:rsidRPr="00990073">
              <w:rPr>
                <w:sz w:val="20"/>
              </w:rPr>
              <w:t>décide</w:t>
            </w:r>
          </w:p>
          <w:p w:rsidR="00656CAB" w:rsidRPr="00990073" w:rsidRDefault="00656CAB" w:rsidP="00656CAB">
            <w:pPr>
              <w:rPr>
                <w:sz w:val="20"/>
              </w:rPr>
            </w:pPr>
            <w:r w:rsidRPr="00990073">
              <w:rPr>
                <w:sz w:val="20"/>
              </w:rPr>
              <w:t>1</w:t>
            </w:r>
            <w:r w:rsidRPr="00990073">
              <w:rPr>
                <w:sz w:val="20"/>
              </w:rPr>
              <w:tab/>
              <w:t xml:space="preserve">que la </w:t>
            </w:r>
            <w:r w:rsidRPr="00990073">
              <w:rPr>
                <w:color w:val="000000"/>
                <w:sz w:val="20"/>
              </w:rPr>
              <w:t>Commission d</w:t>
            </w:r>
            <w:r w:rsidR="001A16E8">
              <w:rPr>
                <w:color w:val="000000"/>
                <w:sz w:val="20"/>
              </w:rPr>
              <w:t>'</w:t>
            </w:r>
            <w:r w:rsidRPr="00990073">
              <w:rPr>
                <w:color w:val="000000"/>
                <w:sz w:val="20"/>
              </w:rPr>
              <w:t xml:space="preserve">études des </w:t>
            </w:r>
            <w:r w:rsidRPr="00990073">
              <w:rPr>
                <w:sz w:val="20"/>
              </w:rPr>
              <w:t>radiocommunications</w:t>
            </w:r>
            <w:r w:rsidRPr="00990073">
              <w:rPr>
                <w:color w:val="000000"/>
                <w:sz w:val="20"/>
              </w:rPr>
              <w:t xml:space="preserve"> compétente devrait </w:t>
            </w:r>
            <w:r w:rsidRPr="00990073">
              <w:rPr>
                <w:sz w:val="20"/>
              </w:rPr>
              <w:t>élaborer un document d</w:t>
            </w:r>
            <w:r w:rsidR="001A16E8">
              <w:rPr>
                <w:sz w:val="20"/>
              </w:rPr>
              <w:t>'</w:t>
            </w:r>
            <w:r w:rsidRPr="00990073">
              <w:rPr>
                <w:sz w:val="20"/>
              </w:rPr>
              <w:t>orientation relatif aux activités de l</w:t>
            </w:r>
            <w:r w:rsidR="001A16E8">
              <w:rPr>
                <w:sz w:val="20"/>
              </w:rPr>
              <w:t>'</w:t>
            </w:r>
            <w:r w:rsidRPr="00990073">
              <w:rPr>
                <w:sz w:val="20"/>
              </w:rPr>
              <w:t>UIT</w:t>
            </w:r>
            <w:r w:rsidRPr="00990073">
              <w:rPr>
                <w:sz w:val="20"/>
              </w:rPr>
              <w:noBreakHyphen/>
              <w:t>R sur les IMT, afin de veiller à ce que les travaux progressent efficacement avec des organisations extérieures à l</w:t>
            </w:r>
            <w:r w:rsidR="001A16E8">
              <w:rPr>
                <w:sz w:val="20"/>
              </w:rPr>
              <w:t>'</w:t>
            </w:r>
            <w:r w:rsidRPr="00990073">
              <w:rPr>
                <w:sz w:val="20"/>
              </w:rPr>
              <w:t>UIT;</w:t>
            </w:r>
          </w:p>
          <w:p w:rsidR="00656CAB" w:rsidRPr="00990073" w:rsidRDefault="00656CAB" w:rsidP="00656CAB">
            <w:pPr>
              <w:rPr>
                <w:sz w:val="20"/>
              </w:rPr>
            </w:pPr>
            <w:r w:rsidRPr="00990073">
              <w:rPr>
                <w:sz w:val="20"/>
              </w:rPr>
              <w:t>2</w:t>
            </w:r>
            <w:r w:rsidRPr="00990073">
              <w:rPr>
                <w:sz w:val="20"/>
              </w:rPr>
              <w:tab/>
              <w:t>que la coordination établie actuellement entre l</w:t>
            </w:r>
            <w:r w:rsidR="001A16E8">
              <w:rPr>
                <w:sz w:val="20"/>
              </w:rPr>
              <w:t>'</w:t>
            </w:r>
            <w:r w:rsidRPr="00990073">
              <w:rPr>
                <w:sz w:val="20"/>
              </w:rPr>
              <w:t>UIT-T et l</w:t>
            </w:r>
            <w:r w:rsidR="001A16E8">
              <w:rPr>
                <w:sz w:val="20"/>
              </w:rPr>
              <w:t>'</w:t>
            </w:r>
            <w:r w:rsidRPr="00990073">
              <w:rPr>
                <w:sz w:val="20"/>
              </w:rPr>
              <w:t>UIT-R sur les activités relatives aux IMT, aux réseaux de télécommunications mobiles et aux réseaux de la prochaine génération devrait se poursuivre;</w:t>
            </w:r>
          </w:p>
          <w:p w:rsidR="00656CAB" w:rsidRPr="00990073" w:rsidRDefault="00656CAB" w:rsidP="00656CAB">
            <w:pPr>
              <w:rPr>
                <w:sz w:val="20"/>
                <w:szCs w:val="22"/>
              </w:rPr>
            </w:pPr>
            <w:r w:rsidRPr="00990073">
              <w:rPr>
                <w:sz w:val="20"/>
              </w:rPr>
              <w:t>3</w:t>
            </w:r>
            <w:r w:rsidRPr="00990073">
              <w:rPr>
                <w:sz w:val="20"/>
              </w:rPr>
              <w:tab/>
              <w:t>que les travaux effectués par le Secteur des radiocommunications sur les IMT devraient être communiqués au Directeur du BDT,</w:t>
            </w:r>
          </w:p>
        </w:tc>
        <w:tc>
          <w:tcPr>
            <w:tcW w:w="1629"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r>
      <w:tr w:rsidR="00656CAB" w:rsidRPr="00990073"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Pr="007A3A3C" w:rsidRDefault="00656CAB" w:rsidP="005879A5">
            <w:pPr>
              <w:pStyle w:val="ResNo"/>
              <w:keepNext w:val="0"/>
              <w:keepLines w:val="0"/>
              <w:spacing w:before="120"/>
              <w:rPr>
                <w:sz w:val="20"/>
              </w:rPr>
            </w:pPr>
            <w:r w:rsidRPr="007A3A3C">
              <w:rPr>
                <w:b w:val="0"/>
                <w:caps/>
                <w:sz w:val="20"/>
              </w:rPr>
              <w:t>résolution uit</w:t>
            </w:r>
            <w:r w:rsidRPr="007A3A3C">
              <w:rPr>
                <w:b w:val="0"/>
                <w:caps/>
                <w:sz w:val="20"/>
              </w:rPr>
              <w:noBreakHyphen/>
              <w:t>R 53-1</w:t>
            </w:r>
          </w:p>
          <w:p w:rsidR="00656CAB" w:rsidRPr="007A3A3C" w:rsidRDefault="00656CAB" w:rsidP="005879A5">
            <w:pPr>
              <w:pStyle w:val="ResNo"/>
              <w:keepNext w:val="0"/>
              <w:keepLines w:val="0"/>
              <w:spacing w:before="120"/>
              <w:rPr>
                <w:b w:val="0"/>
                <w:caps/>
                <w:sz w:val="20"/>
              </w:rPr>
            </w:pPr>
            <w:r w:rsidRPr="007A3A3C">
              <w:rPr>
                <w:sz w:val="20"/>
              </w:rPr>
              <w:t>Utilisation des radiocommunications pour les interventions et les secours en cas de catastrophe</w:t>
            </w:r>
          </w:p>
          <w:p w:rsidR="00656CAB" w:rsidRPr="007A3A3C" w:rsidRDefault="00656CAB" w:rsidP="005879A5">
            <w:pPr>
              <w:pStyle w:val="ResNo"/>
              <w:keepNext w:val="0"/>
              <w:keepLines w:val="0"/>
              <w:spacing w:before="120"/>
              <w:rPr>
                <w:sz w:val="20"/>
              </w:rPr>
            </w:pPr>
          </w:p>
        </w:tc>
        <w:tc>
          <w:tcPr>
            <w:tcW w:w="1725" w:type="dxa"/>
            <w:tcBorders>
              <w:top w:val="single" w:sz="4" w:space="0" w:color="auto"/>
              <w:left w:val="single" w:sz="4" w:space="0" w:color="auto"/>
              <w:bottom w:val="single" w:sz="4" w:space="0" w:color="auto"/>
              <w:right w:val="single" w:sz="4" w:space="0" w:color="auto"/>
            </w:tcBorders>
          </w:tcPr>
          <w:p w:rsidR="00656CAB" w:rsidRPr="007A3A3C" w:rsidRDefault="00656CAB" w:rsidP="005879A5">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7A3A3C" w:rsidRDefault="00656CAB" w:rsidP="005879A5">
            <w:pPr>
              <w:pStyle w:val="Call"/>
              <w:keepNext w:val="0"/>
              <w:keepLines w:val="0"/>
              <w:spacing w:before="120"/>
              <w:rPr>
                <w:sz w:val="20"/>
              </w:rPr>
            </w:pPr>
            <w:r w:rsidRPr="00990073">
              <w:rPr>
                <w:sz w:val="20"/>
              </w:rPr>
              <w:t>décide</w:t>
            </w:r>
          </w:p>
          <w:p w:rsidR="00656CAB" w:rsidRPr="007A3A3C" w:rsidRDefault="00656CAB" w:rsidP="005879A5">
            <w:pPr>
              <w:rPr>
                <w:sz w:val="20"/>
              </w:rPr>
            </w:pPr>
            <w:r w:rsidRPr="007A3A3C">
              <w:rPr>
                <w:sz w:val="20"/>
              </w:rPr>
              <w:t>étant donné l</w:t>
            </w:r>
            <w:r w:rsidR="001A16E8">
              <w:rPr>
                <w:sz w:val="20"/>
              </w:rPr>
              <w:t>'</w:t>
            </w:r>
            <w:r w:rsidRPr="007A3A3C">
              <w:rPr>
                <w:sz w:val="20"/>
              </w:rPr>
              <w:t>importance de l</w:t>
            </w:r>
            <w:r w:rsidR="001A16E8">
              <w:rPr>
                <w:sz w:val="20"/>
              </w:rPr>
              <w:t>'</w:t>
            </w:r>
            <w:r w:rsidRPr="007A3A3C">
              <w:rPr>
                <w:sz w:val="20"/>
              </w:rPr>
              <w:t>utilisation efficace du spectre radioélectrique pour les besoins de radiocommunication en cas de catastrophe, de charger les Commissions d</w:t>
            </w:r>
            <w:r w:rsidR="001A16E8">
              <w:rPr>
                <w:sz w:val="20"/>
              </w:rPr>
              <w:t>'</w:t>
            </w:r>
            <w:r w:rsidRPr="007A3A3C">
              <w:rPr>
                <w:sz w:val="20"/>
              </w:rPr>
              <w:t>études compétentes de l</w:t>
            </w:r>
            <w:r w:rsidR="001A16E8">
              <w:rPr>
                <w:sz w:val="20"/>
              </w:rPr>
              <w:t>'</w:t>
            </w:r>
            <w:r w:rsidRPr="007A3A3C">
              <w:rPr>
                <w:sz w:val="20"/>
              </w:rPr>
              <w:t>UIT</w:t>
            </w:r>
            <w:r w:rsidRPr="007A3A3C">
              <w:rPr>
                <w:sz w:val="20"/>
              </w:rPr>
              <w:noBreakHyphen/>
              <w:t>R d</w:t>
            </w:r>
            <w:r w:rsidR="001A16E8">
              <w:rPr>
                <w:sz w:val="20"/>
              </w:rPr>
              <w:t>'</w:t>
            </w:r>
            <w:r w:rsidRPr="007A3A3C">
              <w:rPr>
                <w:sz w:val="20"/>
              </w:rPr>
              <w:t>entreprendre des études et d</w:t>
            </w:r>
            <w:r w:rsidR="001A16E8">
              <w:rPr>
                <w:sz w:val="20"/>
              </w:rPr>
              <w:t>'</w:t>
            </w:r>
            <w:r w:rsidRPr="007A3A3C">
              <w:rPr>
                <w:sz w:val="20"/>
              </w:rPr>
              <w:t>élaborer des Lignes directrices relatives à la gestion des radiocommunications pour prévoir ou détecter les catastrophes, en atténuer les effets et pour les opérations de secours en instaurant une collaboration et une coopération au sein de l</w:t>
            </w:r>
            <w:r w:rsidR="001A16E8">
              <w:rPr>
                <w:sz w:val="20"/>
              </w:rPr>
              <w:t>'</w:t>
            </w:r>
            <w:r w:rsidRPr="007A3A3C">
              <w:rPr>
                <w:sz w:val="20"/>
              </w:rPr>
              <w:t>UIT et avec des organisations extérieures à l</w:t>
            </w:r>
            <w:r w:rsidR="001A16E8">
              <w:rPr>
                <w:sz w:val="20"/>
              </w:rPr>
              <w:t>'</w:t>
            </w:r>
            <w:r w:rsidRPr="007A3A3C">
              <w:rPr>
                <w:sz w:val="20"/>
              </w:rPr>
              <w:t>Union,</w:t>
            </w:r>
          </w:p>
        </w:tc>
        <w:tc>
          <w:tcPr>
            <w:tcW w:w="1629"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r>
      <w:tr w:rsidR="005879A5" w:rsidRPr="00990073" w:rsidTr="0069382D">
        <w:trPr>
          <w:tblHeader/>
        </w:trPr>
        <w:tc>
          <w:tcPr>
            <w:tcW w:w="2707" w:type="dxa"/>
            <w:tcBorders>
              <w:top w:val="single" w:sz="4" w:space="0" w:color="auto"/>
              <w:left w:val="single" w:sz="4" w:space="0" w:color="auto"/>
              <w:bottom w:val="single" w:sz="4" w:space="0" w:color="auto"/>
              <w:right w:val="single" w:sz="4" w:space="0" w:color="auto"/>
            </w:tcBorders>
            <w:vAlign w:val="center"/>
          </w:tcPr>
          <w:p w:rsidR="005879A5" w:rsidRPr="007F7D9E" w:rsidRDefault="005879A5"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vAlign w:val="center"/>
          </w:tcPr>
          <w:p w:rsidR="005879A5" w:rsidRPr="00656CAB" w:rsidRDefault="005879A5"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vAlign w:val="center"/>
          </w:tcPr>
          <w:p w:rsidR="005879A5" w:rsidRPr="00656CAB" w:rsidRDefault="005879A5"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vAlign w:val="center"/>
          </w:tcPr>
          <w:p w:rsidR="005879A5" w:rsidRPr="00F93800" w:rsidRDefault="005879A5" w:rsidP="0069382D">
            <w:pPr>
              <w:pStyle w:val="Tablehead"/>
              <w:rPr>
                <w:lang w:val="fr-CH"/>
              </w:rPr>
            </w:pPr>
            <w:r>
              <w:rPr>
                <w:lang w:val="fr-CH"/>
              </w:rPr>
              <w:t>Groupe participant</w:t>
            </w:r>
            <w:r w:rsidR="001104F6" w:rsidRPr="002848A9">
              <w:rPr>
                <w:vertAlign w:val="superscript"/>
              </w:rPr>
              <w:t>1</w:t>
            </w:r>
          </w:p>
        </w:tc>
        <w:tc>
          <w:tcPr>
            <w:tcW w:w="1590" w:type="dxa"/>
            <w:tcBorders>
              <w:top w:val="single" w:sz="4" w:space="0" w:color="auto"/>
              <w:left w:val="single" w:sz="4" w:space="0" w:color="auto"/>
              <w:bottom w:val="single" w:sz="4" w:space="0" w:color="auto"/>
              <w:right w:val="single" w:sz="4" w:space="0" w:color="auto"/>
            </w:tcBorders>
            <w:vAlign w:val="center"/>
          </w:tcPr>
          <w:p w:rsidR="005879A5" w:rsidRPr="00656CAB" w:rsidRDefault="005879A5"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vAlign w:val="center"/>
          </w:tcPr>
          <w:p w:rsidR="005879A5" w:rsidRPr="00656CAB" w:rsidRDefault="005879A5" w:rsidP="0069382D">
            <w:pPr>
              <w:pStyle w:val="Tablehead"/>
              <w:rPr>
                <w:lang w:val="fr-CH"/>
              </w:rPr>
            </w:pPr>
            <w:r>
              <w:rPr>
                <w:lang w:val="fr-CH"/>
              </w:rPr>
              <w:t>Forme pour la présentation des résultats</w:t>
            </w:r>
          </w:p>
        </w:tc>
      </w:tr>
      <w:tr w:rsidR="00656CAB" w:rsidRPr="00990073"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Pr="00851B25" w:rsidRDefault="00656CAB" w:rsidP="005879A5">
            <w:pPr>
              <w:pStyle w:val="ResNo"/>
              <w:keepNext w:val="0"/>
              <w:keepLines w:val="0"/>
              <w:spacing w:before="120"/>
              <w:rPr>
                <w:lang w:eastAsia="ru-RU"/>
              </w:rPr>
            </w:pPr>
            <w:r w:rsidRPr="00851B25">
              <w:rPr>
                <w:b w:val="0"/>
                <w:caps/>
                <w:sz w:val="20"/>
              </w:rPr>
              <w:t>résolution uit</w:t>
            </w:r>
            <w:r w:rsidRPr="00851B25">
              <w:rPr>
                <w:b w:val="0"/>
                <w:caps/>
                <w:sz w:val="20"/>
              </w:rPr>
              <w:noBreakHyphen/>
              <w:t>R 54-1</w:t>
            </w:r>
            <w:r w:rsidRPr="00851B25">
              <w:t xml:space="preserve"> </w:t>
            </w:r>
          </w:p>
          <w:p w:rsidR="00656CAB" w:rsidRPr="007A3A3C" w:rsidRDefault="00656CAB" w:rsidP="005879A5">
            <w:pPr>
              <w:pStyle w:val="ResNo"/>
              <w:keepNext w:val="0"/>
              <w:keepLines w:val="0"/>
              <w:spacing w:before="120"/>
              <w:rPr>
                <w:b w:val="0"/>
                <w:caps/>
                <w:sz w:val="20"/>
              </w:rPr>
            </w:pPr>
            <w:r w:rsidRPr="00851B25">
              <w:rPr>
                <w:sz w:val="20"/>
              </w:rPr>
              <w:t>Etudes en vue d</w:t>
            </w:r>
            <w:r w:rsidR="001A16E8">
              <w:rPr>
                <w:sz w:val="20"/>
              </w:rPr>
              <w:t>'</w:t>
            </w:r>
            <w:r w:rsidRPr="00851B25">
              <w:rPr>
                <w:sz w:val="20"/>
              </w:rPr>
              <w:t>assurer l</w:t>
            </w:r>
            <w:r w:rsidR="001A16E8">
              <w:rPr>
                <w:sz w:val="20"/>
              </w:rPr>
              <w:t>'</w:t>
            </w:r>
            <w:r w:rsidR="001104F6">
              <w:rPr>
                <w:sz w:val="20"/>
              </w:rPr>
              <w:t xml:space="preserve">harmonisation des dispositifs </w:t>
            </w:r>
            <w:r w:rsidRPr="00851B25">
              <w:rPr>
                <w:sz w:val="20"/>
              </w:rPr>
              <w:t>à courte portée</w:t>
            </w:r>
          </w:p>
        </w:tc>
        <w:tc>
          <w:tcPr>
            <w:tcW w:w="1725" w:type="dxa"/>
            <w:tcBorders>
              <w:top w:val="single" w:sz="4" w:space="0" w:color="auto"/>
              <w:left w:val="single" w:sz="4" w:space="0" w:color="auto"/>
              <w:bottom w:val="single" w:sz="4" w:space="0" w:color="auto"/>
              <w:right w:val="single" w:sz="4" w:space="0" w:color="auto"/>
            </w:tcBorders>
          </w:tcPr>
          <w:p w:rsidR="00656CAB" w:rsidRPr="007A3A3C" w:rsidRDefault="00656CAB" w:rsidP="005879A5">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D206B7" w:rsidRDefault="00656CAB" w:rsidP="005879A5">
            <w:pPr>
              <w:pStyle w:val="Call"/>
              <w:keepNext w:val="0"/>
              <w:keepLines w:val="0"/>
              <w:spacing w:before="120"/>
              <w:rPr>
                <w:sz w:val="20"/>
              </w:rPr>
            </w:pPr>
            <w:r w:rsidRPr="00D206B7">
              <w:rPr>
                <w:sz w:val="20"/>
              </w:rPr>
              <w:t>décide</w:t>
            </w:r>
          </w:p>
          <w:p w:rsidR="00656CAB" w:rsidRPr="00D206B7" w:rsidRDefault="00656CAB" w:rsidP="005879A5">
            <w:pPr>
              <w:rPr>
                <w:sz w:val="20"/>
              </w:rPr>
            </w:pPr>
            <w:r w:rsidRPr="00D206B7">
              <w:rPr>
                <w:sz w:val="20"/>
              </w:rPr>
              <w:t>1</w:t>
            </w:r>
            <w:r w:rsidRPr="00D206B7">
              <w:rPr>
                <w:sz w:val="20"/>
              </w:rPr>
              <w:tab/>
              <w:t>de poursuivre les études, en collaboration avec des organisations de normalisation et des organismes scientifiques ou industriels, sur l</w:t>
            </w:r>
            <w:r w:rsidR="001A16E8">
              <w:rPr>
                <w:sz w:val="20"/>
              </w:rPr>
              <w:t>'</w:t>
            </w:r>
            <w:r w:rsidRPr="00D206B7">
              <w:rPr>
                <w:sz w:val="20"/>
              </w:rPr>
              <w:t>harmonisation à l</w:t>
            </w:r>
            <w:r w:rsidR="001A16E8">
              <w:rPr>
                <w:sz w:val="20"/>
              </w:rPr>
              <w:t>'</w:t>
            </w:r>
            <w:r w:rsidRPr="00D206B7">
              <w:rPr>
                <w:sz w:val="20"/>
              </w:rPr>
              <w:t>échelle mondiale ou régionale des paramètres techniques et d</w:t>
            </w:r>
            <w:r w:rsidR="001A16E8">
              <w:rPr>
                <w:sz w:val="20"/>
              </w:rPr>
              <w:t>'</w:t>
            </w:r>
            <w:r w:rsidRPr="00D206B7">
              <w:rPr>
                <w:sz w:val="20"/>
              </w:rPr>
              <w:t>exploitation, y compris les gammes de fréquences et les techniques de réduction de brouillage pour les dispositifs SRD;</w:t>
            </w:r>
          </w:p>
          <w:p w:rsidR="00656CAB" w:rsidRPr="00D206B7" w:rsidRDefault="00656CAB" w:rsidP="005879A5">
            <w:pPr>
              <w:rPr>
                <w:noProof/>
                <w:sz w:val="20"/>
              </w:rPr>
            </w:pPr>
            <w:r w:rsidRPr="00D206B7">
              <w:rPr>
                <w:sz w:val="20"/>
              </w:rPr>
              <w:t>2</w:t>
            </w:r>
            <w:r w:rsidRPr="00D206B7">
              <w:rPr>
                <w:sz w:val="20"/>
              </w:rPr>
              <w:tab/>
              <w:t>de continuer d</w:t>
            </w:r>
            <w:r w:rsidR="001A16E8">
              <w:rPr>
                <w:sz w:val="20"/>
              </w:rPr>
              <w:t>'</w:t>
            </w:r>
            <w:r w:rsidRPr="00D206B7">
              <w:rPr>
                <w:sz w:val="20"/>
              </w:rPr>
              <w:t>élaborer les procédures de contrôle et de mesure nécessaires pour permettre aux administrations de vérifier les paramètres techniques et d</w:t>
            </w:r>
            <w:r w:rsidR="001A16E8">
              <w:rPr>
                <w:sz w:val="20"/>
              </w:rPr>
              <w:t>'</w:t>
            </w:r>
            <w:r w:rsidRPr="00D206B7">
              <w:rPr>
                <w:sz w:val="20"/>
              </w:rPr>
              <w:t>exploitation des dispositifs SRD et d</w:t>
            </w:r>
            <w:r w:rsidR="001A16E8">
              <w:rPr>
                <w:sz w:val="20"/>
              </w:rPr>
              <w:t>'</w:t>
            </w:r>
            <w:r w:rsidRPr="00D206B7">
              <w:rPr>
                <w:sz w:val="20"/>
              </w:rPr>
              <w:t>examiner les effets des émissions de ces dispositifs sur les services de radiocommunication;</w:t>
            </w:r>
          </w:p>
          <w:p w:rsidR="00656CAB" w:rsidRPr="00D206B7" w:rsidRDefault="00656CAB" w:rsidP="005879A5">
            <w:pPr>
              <w:rPr>
                <w:sz w:val="20"/>
              </w:rPr>
            </w:pPr>
            <w:r w:rsidRPr="00D206B7">
              <w:rPr>
                <w:sz w:val="20"/>
              </w:rPr>
              <w:t>3</w:t>
            </w:r>
            <w:r w:rsidRPr="00D206B7">
              <w:rPr>
                <w:sz w:val="20"/>
              </w:rPr>
              <w:tab/>
              <w:t>de promouvoir et de maintenir des échanges permanents d</w:t>
            </w:r>
            <w:r w:rsidR="001A16E8">
              <w:rPr>
                <w:sz w:val="20"/>
              </w:rPr>
              <w:t>'</w:t>
            </w:r>
            <w:r w:rsidRPr="00D206B7">
              <w:rPr>
                <w:sz w:val="20"/>
              </w:rPr>
              <w:t>informations sur les dispositifs SRD entre les Membres de l</w:t>
            </w:r>
            <w:r w:rsidR="001A16E8">
              <w:rPr>
                <w:sz w:val="20"/>
              </w:rPr>
              <w:t>'</w:t>
            </w:r>
            <w:r w:rsidRPr="00D206B7">
              <w:rPr>
                <w:sz w:val="20"/>
              </w:rPr>
              <w:t>UIT-R et d</w:t>
            </w:r>
            <w:r w:rsidR="001A16E8">
              <w:rPr>
                <w:sz w:val="20"/>
              </w:rPr>
              <w:t>'</w:t>
            </w:r>
            <w:r w:rsidRPr="00D206B7">
              <w:rPr>
                <w:sz w:val="20"/>
              </w:rPr>
              <w:t>autres organisations, conformément à la Résolution UIT</w:t>
            </w:r>
            <w:r w:rsidRPr="00D206B7">
              <w:rPr>
                <w:sz w:val="20"/>
              </w:rPr>
              <w:noBreakHyphen/>
              <w:t>R 9;</w:t>
            </w:r>
          </w:p>
          <w:p w:rsidR="00656CAB" w:rsidRPr="00D206B7" w:rsidRDefault="00656CAB" w:rsidP="005879A5">
            <w:pPr>
              <w:rPr>
                <w:noProof/>
                <w:sz w:val="20"/>
              </w:rPr>
            </w:pPr>
            <w:r w:rsidRPr="00D206B7">
              <w:rPr>
                <w:noProof/>
                <w:sz w:val="20"/>
              </w:rPr>
              <w:t>4</w:t>
            </w:r>
            <w:r w:rsidRPr="00D206B7">
              <w:rPr>
                <w:noProof/>
                <w:sz w:val="20"/>
              </w:rPr>
              <w:tab/>
              <w:t>d</w:t>
            </w:r>
            <w:r w:rsidR="001A16E8">
              <w:rPr>
                <w:noProof/>
                <w:sz w:val="20"/>
              </w:rPr>
              <w:t>'</w:t>
            </w:r>
            <w:r w:rsidRPr="00D206B7">
              <w:rPr>
                <w:noProof/>
                <w:sz w:val="20"/>
              </w:rPr>
              <w:t>étudier les conditions d</w:t>
            </w:r>
            <w:r w:rsidR="001A16E8">
              <w:rPr>
                <w:noProof/>
                <w:sz w:val="20"/>
              </w:rPr>
              <w:t>'</w:t>
            </w:r>
            <w:r w:rsidRPr="00D206B7">
              <w:rPr>
                <w:noProof/>
                <w:sz w:val="20"/>
              </w:rPr>
              <w:t>utilisation du spectre et les prescriptions techniques des dispositifs SRD, afin d</w:t>
            </w:r>
            <w:r w:rsidR="001A16E8">
              <w:rPr>
                <w:noProof/>
                <w:sz w:val="20"/>
              </w:rPr>
              <w:t>'</w:t>
            </w:r>
            <w:r w:rsidRPr="00D206B7">
              <w:rPr>
                <w:noProof/>
                <w:sz w:val="20"/>
              </w:rPr>
              <w:t>encourager une utilisation efficace du spectre;</w:t>
            </w:r>
          </w:p>
          <w:p w:rsidR="00656CAB" w:rsidRPr="00D206B7" w:rsidRDefault="00656CAB" w:rsidP="005879A5">
            <w:pPr>
              <w:rPr>
                <w:noProof/>
                <w:sz w:val="20"/>
              </w:rPr>
            </w:pPr>
            <w:r w:rsidRPr="00D206B7">
              <w:rPr>
                <w:noProof/>
                <w:sz w:val="20"/>
              </w:rPr>
              <w:t>5</w:t>
            </w:r>
            <w:r w:rsidRPr="00D206B7">
              <w:rPr>
                <w:noProof/>
                <w:sz w:val="20"/>
              </w:rPr>
              <w:tab/>
              <w:t>de mener des études techniques pour évaluer la faisabilité de la mise en œuvre de dispositifs SRD dans des bandes de fréquences spécifiques qui pourraient être harmonisées à l</w:t>
            </w:r>
            <w:r w:rsidR="001A16E8">
              <w:rPr>
                <w:noProof/>
                <w:sz w:val="20"/>
              </w:rPr>
              <w:t>'</w:t>
            </w:r>
            <w:r w:rsidRPr="00D206B7">
              <w:rPr>
                <w:noProof/>
                <w:sz w:val="20"/>
              </w:rPr>
              <w:t>échelle mondiale ou régionale;</w:t>
            </w:r>
          </w:p>
          <w:p w:rsidR="00656CAB" w:rsidRPr="00D206B7" w:rsidRDefault="00656CAB" w:rsidP="005879A5">
            <w:pPr>
              <w:rPr>
                <w:noProof/>
                <w:sz w:val="20"/>
              </w:rPr>
            </w:pPr>
            <w:r w:rsidRPr="00D206B7">
              <w:rPr>
                <w:bCs/>
                <w:sz w:val="20"/>
              </w:rPr>
              <w:t>6</w:t>
            </w:r>
            <w:r w:rsidRPr="00D206B7">
              <w:rPr>
                <w:b/>
                <w:bCs/>
                <w:sz w:val="20"/>
              </w:rPr>
              <w:tab/>
            </w:r>
            <w:r w:rsidRPr="00D206B7">
              <w:rPr>
                <w:sz w:val="20"/>
              </w:rPr>
              <w:t>de poursuivre les études en vue de permettre la mise en oeuvre de technologies évoluées pour les dispositifs SRD, notamment en mettant l</w:t>
            </w:r>
            <w:r w:rsidR="001A16E8">
              <w:rPr>
                <w:sz w:val="20"/>
              </w:rPr>
              <w:t>'</w:t>
            </w:r>
            <w:r w:rsidRPr="00D206B7">
              <w:rPr>
                <w:sz w:val="20"/>
              </w:rPr>
              <w:t>accent sur une stratégie pour l</w:t>
            </w:r>
            <w:r w:rsidR="001A16E8">
              <w:rPr>
                <w:sz w:val="20"/>
              </w:rPr>
              <w:t>'</w:t>
            </w:r>
            <w:r w:rsidRPr="00D206B7">
              <w:rPr>
                <w:sz w:val="20"/>
              </w:rPr>
              <w:t>avenir;</w:t>
            </w:r>
          </w:p>
        </w:tc>
        <w:tc>
          <w:tcPr>
            <w:tcW w:w="1629"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990073" w:rsidRDefault="00656CAB" w:rsidP="005879A5">
            <w:pPr>
              <w:pStyle w:val="Tabletext"/>
              <w:rPr>
                <w:rStyle w:val="FootnoteReference"/>
                <w:sz w:val="20"/>
              </w:rPr>
            </w:pPr>
          </w:p>
        </w:tc>
      </w:tr>
      <w:tr w:rsidR="00132F8E" w:rsidRPr="007F7D9E" w:rsidTr="0069382D">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7F7D9E" w:rsidRDefault="00132F8E"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1104F6" w:rsidRDefault="00132F8E" w:rsidP="0069382D">
            <w:pPr>
              <w:pStyle w:val="Tablehead"/>
              <w:rPr>
                <w:vertAlign w:val="superscript"/>
                <w:lang w:val="fr-CH"/>
              </w:rPr>
            </w:pPr>
            <w:r>
              <w:rPr>
                <w:lang w:val="fr-CH"/>
              </w:rPr>
              <w:t>Groupe participant</w:t>
            </w:r>
            <w:r w:rsidR="001104F6" w:rsidRPr="001104F6">
              <w:rPr>
                <w:vertAlign w:val="superscript"/>
                <w:lang w:val="fr-CH"/>
              </w:rPr>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Forme pour la présentation des résultats</w:t>
            </w:r>
          </w:p>
        </w:tc>
      </w:tr>
      <w:tr w:rsidR="00656CAB" w:rsidRPr="00990073"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Pr="00851B25" w:rsidRDefault="00656CAB" w:rsidP="00656CAB">
            <w:pPr>
              <w:pStyle w:val="ResNo"/>
              <w:keepNext w:val="0"/>
              <w:keepLines w:val="0"/>
              <w:spacing w:before="120"/>
              <w:rPr>
                <w:b w:val="0"/>
                <w:caps/>
                <w:sz w:val="20"/>
              </w:rPr>
            </w:pPr>
          </w:p>
        </w:tc>
        <w:tc>
          <w:tcPr>
            <w:tcW w:w="1725" w:type="dxa"/>
            <w:tcBorders>
              <w:top w:val="single" w:sz="4" w:space="0" w:color="auto"/>
              <w:left w:val="single" w:sz="4" w:space="0" w:color="auto"/>
              <w:bottom w:val="single" w:sz="4" w:space="0" w:color="auto"/>
              <w:right w:val="single" w:sz="4" w:space="0" w:color="auto"/>
            </w:tcBorders>
          </w:tcPr>
          <w:p w:rsidR="00656CAB" w:rsidRPr="007A3A3C" w:rsidRDefault="00656CAB" w:rsidP="00656CAB">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rPr>
                <w:sz w:val="20"/>
              </w:rPr>
            </w:pPr>
            <w:r w:rsidRPr="00D206B7">
              <w:rPr>
                <w:bCs/>
                <w:sz w:val="20"/>
              </w:rPr>
              <w:t>7</w:t>
            </w:r>
            <w:r w:rsidRPr="00D206B7">
              <w:rPr>
                <w:b/>
                <w:bCs/>
                <w:sz w:val="20"/>
              </w:rPr>
              <w:tab/>
            </w:r>
            <w:r w:rsidRPr="00D206B7">
              <w:rPr>
                <w:sz w:val="20"/>
              </w:rPr>
              <w:t>qu</w:t>
            </w:r>
            <w:r w:rsidR="001A16E8">
              <w:rPr>
                <w:sz w:val="20"/>
              </w:rPr>
              <w:t>'</w:t>
            </w:r>
            <w:r w:rsidRPr="00D206B7">
              <w:rPr>
                <w:sz w:val="20"/>
              </w:rPr>
              <w:t>il y a lieu d</w:t>
            </w:r>
            <w:r w:rsidR="001A16E8">
              <w:rPr>
                <w:sz w:val="20"/>
              </w:rPr>
              <w:t>'</w:t>
            </w:r>
            <w:r w:rsidRPr="00D206B7">
              <w:rPr>
                <w:sz w:val="20"/>
              </w:rPr>
              <w:t>entreprendre les études suivantes, en vue notamment:</w:t>
            </w:r>
          </w:p>
          <w:p w:rsidR="00656CAB" w:rsidRPr="00D206B7" w:rsidRDefault="00656CAB" w:rsidP="00656CAB">
            <w:pPr>
              <w:pStyle w:val="enumlev1"/>
              <w:rPr>
                <w:sz w:val="20"/>
              </w:rPr>
            </w:pPr>
            <w:r w:rsidRPr="00D206B7">
              <w:rPr>
                <w:i/>
                <w:iCs/>
                <w:sz w:val="20"/>
              </w:rPr>
              <w:t>a)</w:t>
            </w:r>
            <w:r w:rsidRPr="00D206B7">
              <w:rPr>
                <w:sz w:val="20"/>
              </w:rPr>
              <w:tab/>
              <w:t>de recueillir des informations sur les dispositifs SRD utilisant des techniques évoluées d</w:t>
            </w:r>
            <w:r w:rsidR="001A16E8">
              <w:rPr>
                <w:sz w:val="20"/>
              </w:rPr>
              <w:t>'</w:t>
            </w:r>
            <w:r w:rsidRPr="00D206B7">
              <w:rPr>
                <w:sz w:val="20"/>
              </w:rPr>
              <w:t>accès au spectre et de gamme d</w:t>
            </w:r>
            <w:r w:rsidR="001A16E8">
              <w:rPr>
                <w:sz w:val="20"/>
              </w:rPr>
              <w:t>'</w:t>
            </w:r>
            <w:r w:rsidRPr="00D206B7">
              <w:rPr>
                <w:sz w:val="20"/>
              </w:rPr>
              <w:t>accord, afin de comprendre leurs fonctionnalités, tout en assurant la protection des services de radiocommunication;</w:t>
            </w:r>
          </w:p>
          <w:p w:rsidR="00656CAB" w:rsidRPr="00D206B7" w:rsidRDefault="00656CAB" w:rsidP="00656CAB">
            <w:pPr>
              <w:pStyle w:val="enumlev1"/>
              <w:rPr>
                <w:sz w:val="20"/>
              </w:rPr>
            </w:pPr>
            <w:r w:rsidRPr="00D206B7">
              <w:rPr>
                <w:i/>
                <w:iCs/>
                <w:sz w:val="20"/>
              </w:rPr>
              <w:t>b)</w:t>
            </w:r>
            <w:r w:rsidRPr="00D206B7">
              <w:rPr>
                <w:sz w:val="20"/>
              </w:rPr>
              <w:tab/>
              <w:t>de recommander un mécanisme, sur la base du point 7</w:t>
            </w:r>
            <w:r w:rsidRPr="00D206B7">
              <w:rPr>
                <w:i/>
                <w:iCs/>
                <w:sz w:val="20"/>
              </w:rPr>
              <w:t xml:space="preserve"> a)</w:t>
            </w:r>
            <w:r w:rsidRPr="00D206B7">
              <w:rPr>
                <w:sz w:val="20"/>
              </w:rPr>
              <w:t xml:space="preserve"> ci-dessus, susceptible de faciliter l</w:t>
            </w:r>
            <w:r w:rsidR="001A16E8">
              <w:rPr>
                <w:sz w:val="20"/>
              </w:rPr>
              <w:t>'</w:t>
            </w:r>
            <w:r w:rsidRPr="00D206B7">
              <w:rPr>
                <w:sz w:val="20"/>
              </w:rPr>
              <w:t>utilisation de bandes de fréquences ou de gammes d</w:t>
            </w:r>
            <w:r w:rsidR="001A16E8">
              <w:rPr>
                <w:sz w:val="20"/>
              </w:rPr>
              <w:t>'</w:t>
            </w:r>
            <w:r w:rsidRPr="00D206B7">
              <w:rPr>
                <w:sz w:val="20"/>
              </w:rPr>
              <w:t>accord appropriées, de préférence à l</w:t>
            </w:r>
            <w:r w:rsidR="001A16E8">
              <w:rPr>
                <w:sz w:val="20"/>
              </w:rPr>
              <w:t>'</w:t>
            </w:r>
            <w:r w:rsidRPr="00D206B7">
              <w:rPr>
                <w:sz w:val="20"/>
              </w:rPr>
              <w:t>échelle mondiale ou régionale, adaptées aux dispositifs SRD;</w:t>
            </w:r>
          </w:p>
          <w:p w:rsidR="00656CAB" w:rsidRPr="00D206B7" w:rsidRDefault="00656CAB" w:rsidP="00656CAB">
            <w:pPr>
              <w:pStyle w:val="enumlev1"/>
              <w:rPr>
                <w:sz w:val="20"/>
              </w:rPr>
            </w:pPr>
            <w:r w:rsidRPr="00D206B7">
              <w:rPr>
                <w:i/>
                <w:iCs/>
                <w:sz w:val="20"/>
              </w:rPr>
              <w:t>c)</w:t>
            </w:r>
            <w:r w:rsidRPr="00D206B7">
              <w:rPr>
                <w:sz w:val="20"/>
              </w:rPr>
              <w:tab/>
              <w:t>de mettre à jour les informations sur les bandes de fréquences couramment utilisées par les dispositifs SRD;</w:t>
            </w:r>
          </w:p>
          <w:p w:rsidR="00656CAB" w:rsidRPr="00D206B7" w:rsidRDefault="00656CAB" w:rsidP="00656CAB">
            <w:pPr>
              <w:rPr>
                <w:sz w:val="20"/>
              </w:rPr>
            </w:pPr>
            <w:r w:rsidRPr="00D206B7">
              <w:rPr>
                <w:sz w:val="20"/>
              </w:rPr>
              <w:t>8</w:t>
            </w:r>
            <w:r w:rsidRPr="00D206B7">
              <w:rPr>
                <w:sz w:val="20"/>
              </w:rPr>
              <w:tab/>
              <w:t>de faire connaître les résultats de ces études dans des Recommandations et des Rapports UIT-R révisés périodiquement,</w:t>
            </w:r>
          </w:p>
        </w:tc>
        <w:tc>
          <w:tcPr>
            <w:tcW w:w="1629"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r>
    </w:tbl>
    <w:p w:rsidR="00656CAB" w:rsidRDefault="00656CAB" w:rsidP="00656CAB">
      <w:r>
        <w:rPr>
          <w:b/>
        </w:rPr>
        <w:br w:type="page"/>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725"/>
        <w:gridCol w:w="5432"/>
        <w:gridCol w:w="1629"/>
        <w:gridCol w:w="1590"/>
        <w:gridCol w:w="1703"/>
      </w:tblGrid>
      <w:tr w:rsidR="00132F8E" w:rsidRPr="007F7D9E" w:rsidTr="0069382D">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7F7D9E" w:rsidRDefault="00132F8E"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F93800" w:rsidRDefault="00132F8E" w:rsidP="0069382D">
            <w:pPr>
              <w:pStyle w:val="Tablehead"/>
              <w:rPr>
                <w:lang w:val="fr-CH"/>
              </w:rPr>
            </w:pPr>
            <w:r>
              <w:rPr>
                <w:lang w:val="fr-CH"/>
              </w:rPr>
              <w:t>Groupe participant</w:t>
            </w:r>
            <w:r w:rsidR="001104F6" w:rsidRPr="001104F6">
              <w:rPr>
                <w:vertAlign w:val="superscript"/>
                <w:lang w:val="fr-CH"/>
              </w:rPr>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Forme pour la présentation des résultats</w:t>
            </w:r>
          </w:p>
        </w:tc>
      </w:tr>
      <w:tr w:rsidR="00656CAB" w:rsidRPr="00990073"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Default="00656CAB" w:rsidP="00656CAB">
            <w:pPr>
              <w:pStyle w:val="ResNo"/>
              <w:keepNext w:val="0"/>
              <w:keepLines w:val="0"/>
              <w:spacing w:before="120"/>
              <w:rPr>
                <w:b w:val="0"/>
                <w:caps/>
                <w:sz w:val="20"/>
              </w:rPr>
            </w:pPr>
            <w:r w:rsidRPr="00851B25">
              <w:rPr>
                <w:b w:val="0"/>
                <w:caps/>
                <w:sz w:val="20"/>
              </w:rPr>
              <w:t>résolution uit</w:t>
            </w:r>
            <w:r w:rsidRPr="00851B25">
              <w:rPr>
                <w:b w:val="0"/>
                <w:caps/>
                <w:sz w:val="20"/>
              </w:rPr>
              <w:noBreakHyphen/>
              <w:t xml:space="preserve">R </w:t>
            </w:r>
            <w:r>
              <w:rPr>
                <w:b w:val="0"/>
                <w:caps/>
                <w:sz w:val="20"/>
              </w:rPr>
              <w:t>58</w:t>
            </w:r>
          </w:p>
          <w:p w:rsidR="00656CAB" w:rsidRPr="00D206B7" w:rsidRDefault="00656CAB" w:rsidP="00656CAB">
            <w:pPr>
              <w:pStyle w:val="ResNo"/>
              <w:keepNext w:val="0"/>
              <w:keepLines w:val="0"/>
              <w:spacing w:before="120"/>
            </w:pPr>
            <w:r w:rsidRPr="00D206B7">
              <w:rPr>
                <w:sz w:val="20"/>
              </w:rPr>
              <w:t>Etudes sur la mise en oeuvre et l</w:t>
            </w:r>
            <w:r w:rsidR="001A16E8">
              <w:rPr>
                <w:sz w:val="20"/>
              </w:rPr>
              <w:t>'</w:t>
            </w:r>
            <w:r w:rsidRPr="00D206B7">
              <w:rPr>
                <w:sz w:val="20"/>
              </w:rPr>
              <w:t xml:space="preserve">utilisation des systèmes </w:t>
            </w:r>
            <w:r w:rsidRPr="00D206B7">
              <w:rPr>
                <w:sz w:val="20"/>
              </w:rPr>
              <w:br/>
              <w:t>de radiocommunication cognitifs</w:t>
            </w:r>
          </w:p>
        </w:tc>
        <w:tc>
          <w:tcPr>
            <w:tcW w:w="1725" w:type="dxa"/>
            <w:tcBorders>
              <w:top w:val="single" w:sz="4" w:space="0" w:color="auto"/>
              <w:left w:val="single" w:sz="4" w:space="0" w:color="auto"/>
              <w:bottom w:val="single" w:sz="4" w:space="0" w:color="auto"/>
              <w:right w:val="single" w:sz="4" w:space="0" w:color="auto"/>
            </w:tcBorders>
          </w:tcPr>
          <w:p w:rsidR="00656CAB" w:rsidRPr="00851B25" w:rsidRDefault="00656CAB" w:rsidP="00656CAB">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4E7739" w:rsidRDefault="00656CAB" w:rsidP="00656CAB">
            <w:pPr>
              <w:pStyle w:val="Call"/>
              <w:keepNext w:val="0"/>
              <w:keepLines w:val="0"/>
              <w:spacing w:before="120"/>
              <w:rPr>
                <w:sz w:val="20"/>
              </w:rPr>
            </w:pPr>
            <w:r w:rsidRPr="00D206B7">
              <w:rPr>
                <w:sz w:val="20"/>
              </w:rPr>
              <w:t>d</w:t>
            </w:r>
            <w:r w:rsidRPr="004E7739">
              <w:rPr>
                <w:sz w:val="20"/>
              </w:rPr>
              <w:t>é</w:t>
            </w:r>
            <w:r w:rsidRPr="00D206B7">
              <w:rPr>
                <w:sz w:val="20"/>
              </w:rPr>
              <w:t>cide</w:t>
            </w:r>
          </w:p>
          <w:p w:rsidR="00656CAB" w:rsidRPr="00D206B7" w:rsidRDefault="00656CAB" w:rsidP="00656CAB">
            <w:pPr>
              <w:rPr>
                <w:sz w:val="20"/>
                <w:lang w:val="fr-CH"/>
              </w:rPr>
            </w:pPr>
            <w:r w:rsidRPr="00D206B7">
              <w:rPr>
                <w:sz w:val="20"/>
                <w:lang w:val="fr-CH"/>
              </w:rPr>
              <w:t>1</w:t>
            </w:r>
            <w:r w:rsidRPr="00D206B7">
              <w:rPr>
                <w:b/>
                <w:bCs/>
                <w:sz w:val="20"/>
                <w:lang w:val="fr-CH"/>
              </w:rPr>
              <w:tab/>
            </w:r>
            <w:r w:rsidRPr="00D206B7">
              <w:rPr>
                <w:sz w:val="20"/>
                <w:lang w:val="fr-CH"/>
              </w:rPr>
              <w:t>de poursuivre les études sur la mise en oeuvre et l</w:t>
            </w:r>
            <w:r w:rsidR="001A16E8">
              <w:rPr>
                <w:sz w:val="20"/>
                <w:lang w:val="fr-CH"/>
              </w:rPr>
              <w:t>'</w:t>
            </w:r>
            <w:r w:rsidRPr="00D206B7">
              <w:rPr>
                <w:sz w:val="20"/>
                <w:lang w:val="fr-CH"/>
              </w:rPr>
              <w:t>utilisation des systèmes CRS dans les services de radiocommunication;</w:t>
            </w:r>
          </w:p>
          <w:p w:rsidR="00656CAB" w:rsidRPr="00D206B7" w:rsidRDefault="00656CAB" w:rsidP="00656CAB">
            <w:pPr>
              <w:rPr>
                <w:sz w:val="20"/>
                <w:lang w:val="fr-CH"/>
              </w:rPr>
            </w:pPr>
            <w:r w:rsidRPr="00D206B7">
              <w:rPr>
                <w:sz w:val="20"/>
                <w:lang w:val="fr-CH"/>
              </w:rPr>
              <w:t>2</w:t>
            </w:r>
            <w:r w:rsidRPr="00D206B7">
              <w:rPr>
                <w:sz w:val="20"/>
                <w:lang w:val="fr-CH"/>
              </w:rPr>
              <w:tab/>
              <w:t>d</w:t>
            </w:r>
            <w:r w:rsidR="001A16E8">
              <w:rPr>
                <w:sz w:val="20"/>
                <w:lang w:val="fr-CH"/>
              </w:rPr>
              <w:t>'</w:t>
            </w:r>
            <w:r w:rsidRPr="00D206B7">
              <w:rPr>
                <w:sz w:val="20"/>
                <w:lang w:val="fr-CH"/>
              </w:rPr>
              <w:t>étudier les prescriptions opérationnelles et techniques, les caractéristiques, la qualité de fonctionnement et les avantages qui pourraient être associés à la mise en oeuvre et à l</w:t>
            </w:r>
            <w:r w:rsidR="001A16E8">
              <w:rPr>
                <w:sz w:val="20"/>
                <w:lang w:val="fr-CH"/>
              </w:rPr>
              <w:t>'</w:t>
            </w:r>
            <w:r w:rsidRPr="00D206B7">
              <w:rPr>
                <w:sz w:val="20"/>
                <w:lang w:val="fr-CH"/>
              </w:rPr>
              <w:t>utilisation de systèmes CRS dans les services de radiocommunication pertinents et dans les bandes de fréquences connexes;</w:t>
            </w:r>
          </w:p>
          <w:p w:rsidR="00656CAB" w:rsidRPr="00D206B7" w:rsidRDefault="00656CAB" w:rsidP="00656CAB">
            <w:pPr>
              <w:rPr>
                <w:sz w:val="20"/>
                <w:lang w:val="fr-CH"/>
              </w:rPr>
            </w:pPr>
            <w:r w:rsidRPr="00D206B7">
              <w:rPr>
                <w:sz w:val="20"/>
                <w:lang w:val="fr-CH"/>
              </w:rPr>
              <w:t>3</w:t>
            </w:r>
            <w:r w:rsidRPr="00D206B7">
              <w:rPr>
                <w:sz w:val="20"/>
                <w:lang w:val="fr-CH"/>
              </w:rPr>
              <w:tab/>
              <w:t>d</w:t>
            </w:r>
            <w:r w:rsidR="001A16E8">
              <w:rPr>
                <w:sz w:val="20"/>
                <w:lang w:val="fr-CH"/>
              </w:rPr>
              <w:t>'</w:t>
            </w:r>
            <w:r w:rsidRPr="00D206B7">
              <w:rPr>
                <w:sz w:val="20"/>
                <w:lang w:val="fr-CH"/>
              </w:rPr>
              <w:t>accorder une attention particulière à l</w:t>
            </w:r>
            <w:r w:rsidR="001A16E8">
              <w:rPr>
                <w:sz w:val="20"/>
                <w:lang w:val="fr-CH"/>
              </w:rPr>
              <w:t>'</w:t>
            </w:r>
            <w:r w:rsidRPr="00D206B7">
              <w:rPr>
                <w:sz w:val="20"/>
                <w:lang w:val="fr-CH"/>
              </w:rPr>
              <w:t>amélioration de la coexistence et du partage entre les services de radiocommunication;</w:t>
            </w:r>
          </w:p>
          <w:p w:rsidR="00656CAB" w:rsidRPr="00D206B7" w:rsidRDefault="00656CAB" w:rsidP="00656CAB">
            <w:pPr>
              <w:rPr>
                <w:sz w:val="20"/>
              </w:rPr>
            </w:pPr>
            <w:r w:rsidRPr="00D206B7">
              <w:rPr>
                <w:sz w:val="20"/>
                <w:lang w:val="fr-CH"/>
              </w:rPr>
              <w:t>4</w:t>
            </w:r>
            <w:r w:rsidRPr="00D206B7">
              <w:rPr>
                <w:sz w:val="20"/>
                <w:lang w:val="fr-CH"/>
              </w:rPr>
              <w:tab/>
              <w:t>d</w:t>
            </w:r>
            <w:r w:rsidR="001A16E8">
              <w:rPr>
                <w:sz w:val="20"/>
                <w:lang w:val="fr-CH"/>
              </w:rPr>
              <w:t>'</w:t>
            </w:r>
            <w:r w:rsidRPr="00D206B7">
              <w:rPr>
                <w:sz w:val="20"/>
                <w:lang w:val="fr-CH"/>
              </w:rPr>
              <w:t>élaborer, au besoin, des Recommandations et/ou Rapports UIT-R pertinents sur la base des études susmentionnées,</w:t>
            </w:r>
            <w:r w:rsidRPr="00D206B7">
              <w:rPr>
                <w:sz w:val="20"/>
                <w:cs/>
              </w:rPr>
              <w:t>‎</w:t>
            </w:r>
          </w:p>
        </w:tc>
        <w:tc>
          <w:tcPr>
            <w:tcW w:w="1629"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990073" w:rsidRDefault="00656CAB" w:rsidP="00656CAB">
            <w:pPr>
              <w:pStyle w:val="Tabletext"/>
              <w:rPr>
                <w:rStyle w:val="FootnoteReference"/>
                <w:sz w:val="20"/>
              </w:rPr>
            </w:pPr>
          </w:p>
        </w:tc>
      </w:tr>
      <w:tr w:rsidR="00132F8E" w:rsidRPr="007F7D9E" w:rsidTr="002848A9">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7F7D9E" w:rsidRDefault="00132F8E"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F93800" w:rsidRDefault="00132F8E" w:rsidP="0069382D">
            <w:pPr>
              <w:pStyle w:val="Tablehead"/>
              <w:rPr>
                <w:lang w:val="fr-CH"/>
              </w:rPr>
            </w:pPr>
            <w:r>
              <w:rPr>
                <w:lang w:val="fr-CH"/>
              </w:rPr>
              <w:t>Groupe participant</w:t>
            </w:r>
            <w:r w:rsidR="001104F6" w:rsidRPr="001104F6">
              <w:rPr>
                <w:vertAlign w:val="superscript"/>
                <w:lang w:val="fr-CH"/>
              </w:rPr>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Forme pour la présentation des résultats</w:t>
            </w:r>
          </w:p>
        </w:tc>
      </w:tr>
      <w:tr w:rsidR="00656CAB" w:rsidRPr="00D206B7" w:rsidTr="002848A9">
        <w:trPr>
          <w:tblHeader/>
        </w:trPr>
        <w:tc>
          <w:tcPr>
            <w:tcW w:w="2707" w:type="dxa"/>
            <w:tcBorders>
              <w:top w:val="single" w:sz="4" w:space="0" w:color="auto"/>
              <w:left w:val="single" w:sz="4" w:space="0" w:color="auto"/>
              <w:bottom w:val="nil"/>
              <w:right w:val="single" w:sz="4" w:space="0" w:color="auto"/>
            </w:tcBorders>
          </w:tcPr>
          <w:p w:rsidR="00656CAB" w:rsidRDefault="00656CAB" w:rsidP="00656CAB">
            <w:pPr>
              <w:pStyle w:val="ResNo"/>
              <w:keepNext w:val="0"/>
              <w:keepLines w:val="0"/>
              <w:spacing w:before="120"/>
              <w:rPr>
                <w:b w:val="0"/>
                <w:caps/>
                <w:sz w:val="20"/>
              </w:rPr>
            </w:pPr>
            <w:r w:rsidRPr="00851B25">
              <w:rPr>
                <w:b w:val="0"/>
                <w:caps/>
                <w:sz w:val="20"/>
              </w:rPr>
              <w:t>résolution uit</w:t>
            </w:r>
            <w:r w:rsidRPr="00851B25">
              <w:rPr>
                <w:b w:val="0"/>
                <w:caps/>
                <w:sz w:val="20"/>
              </w:rPr>
              <w:noBreakHyphen/>
              <w:t xml:space="preserve">R </w:t>
            </w:r>
            <w:r>
              <w:rPr>
                <w:b w:val="0"/>
                <w:caps/>
                <w:sz w:val="20"/>
              </w:rPr>
              <w:t>59</w:t>
            </w:r>
          </w:p>
          <w:p w:rsidR="00656CAB" w:rsidRPr="00D206B7" w:rsidRDefault="00656CAB" w:rsidP="00656CAB">
            <w:pPr>
              <w:pStyle w:val="ResNo"/>
              <w:keepNext w:val="0"/>
              <w:keepLines w:val="0"/>
              <w:spacing w:before="120"/>
            </w:pPr>
            <w:r w:rsidRPr="004E7739">
              <w:rPr>
                <w:sz w:val="20"/>
              </w:rPr>
              <w:t>Etudes sur la disponibilité de bandes de fréquences ou de gammes d</w:t>
            </w:r>
            <w:r w:rsidR="001A16E8">
              <w:rPr>
                <w:sz w:val="20"/>
              </w:rPr>
              <w:t>'</w:t>
            </w:r>
            <w:r w:rsidRPr="004E7739">
              <w:rPr>
                <w:sz w:val="20"/>
              </w:rPr>
              <w:t>accord en vue de l</w:t>
            </w:r>
            <w:r w:rsidR="001A16E8">
              <w:rPr>
                <w:sz w:val="20"/>
              </w:rPr>
              <w:t>'</w:t>
            </w:r>
            <w:r w:rsidRPr="004E7739">
              <w:rPr>
                <w:sz w:val="20"/>
              </w:rPr>
              <w:t>harmonisation à l</w:t>
            </w:r>
            <w:r w:rsidR="001A16E8">
              <w:rPr>
                <w:sz w:val="20"/>
              </w:rPr>
              <w:t>'</w:t>
            </w:r>
            <w:r w:rsidRPr="004E7739">
              <w:rPr>
                <w:sz w:val="20"/>
              </w:rPr>
              <w:t xml:space="preserve">échelle mondiale ou régionale et sur les conditions </w:t>
            </w:r>
            <w:r w:rsidRPr="004E7739">
              <w:rPr>
                <w:sz w:val="20"/>
              </w:rPr>
              <w:br/>
              <w:t>de leur utilisation par les systèmes de reportage électronique d</w:t>
            </w:r>
            <w:r w:rsidR="001A16E8">
              <w:rPr>
                <w:sz w:val="20"/>
              </w:rPr>
              <w:t>'</w:t>
            </w:r>
            <w:r w:rsidRPr="004E7739">
              <w:rPr>
                <w:sz w:val="20"/>
              </w:rPr>
              <w:t>actualités</w:t>
            </w:r>
          </w:p>
        </w:tc>
        <w:tc>
          <w:tcPr>
            <w:tcW w:w="1725" w:type="dxa"/>
            <w:tcBorders>
              <w:top w:val="single" w:sz="4" w:space="0" w:color="auto"/>
              <w:left w:val="single" w:sz="4" w:space="0" w:color="auto"/>
              <w:bottom w:val="nil"/>
              <w:right w:val="single" w:sz="4" w:space="0" w:color="auto"/>
            </w:tcBorders>
          </w:tcPr>
          <w:p w:rsidR="00656CAB" w:rsidRPr="00851B25" w:rsidRDefault="00656CAB" w:rsidP="00656CAB">
            <w:pPr>
              <w:pStyle w:val="Tabletext"/>
              <w:spacing w:before="120"/>
              <w:rPr>
                <w:b/>
                <w:bCs/>
                <w:sz w:val="20"/>
              </w:rPr>
            </w:pPr>
          </w:p>
        </w:tc>
        <w:tc>
          <w:tcPr>
            <w:tcW w:w="5432" w:type="dxa"/>
            <w:tcBorders>
              <w:top w:val="single" w:sz="4" w:space="0" w:color="auto"/>
              <w:left w:val="single" w:sz="4" w:space="0" w:color="auto"/>
              <w:bottom w:val="nil"/>
              <w:right w:val="single" w:sz="4" w:space="0" w:color="auto"/>
            </w:tcBorders>
          </w:tcPr>
          <w:p w:rsidR="00656CAB" w:rsidRPr="004E7739" w:rsidRDefault="00656CAB" w:rsidP="00656CAB">
            <w:pPr>
              <w:pStyle w:val="Call"/>
              <w:keepNext w:val="0"/>
              <w:keepLines w:val="0"/>
              <w:spacing w:before="120"/>
              <w:rPr>
                <w:sz w:val="20"/>
              </w:rPr>
            </w:pPr>
            <w:r w:rsidRPr="00D206B7">
              <w:rPr>
                <w:sz w:val="20"/>
              </w:rPr>
              <w:t>d</w:t>
            </w:r>
            <w:r w:rsidRPr="004E7739">
              <w:rPr>
                <w:sz w:val="20"/>
              </w:rPr>
              <w:t>é</w:t>
            </w:r>
            <w:r w:rsidRPr="00D206B7">
              <w:rPr>
                <w:sz w:val="20"/>
              </w:rPr>
              <w:t>cide</w:t>
            </w:r>
          </w:p>
          <w:p w:rsidR="00656CAB" w:rsidRPr="004E7739" w:rsidRDefault="00656CAB" w:rsidP="00656CAB">
            <w:pPr>
              <w:keepNext/>
              <w:keepLines/>
              <w:rPr>
                <w:sz w:val="20"/>
                <w:lang w:val="fr-CH"/>
              </w:rPr>
            </w:pPr>
            <w:r w:rsidRPr="004E7739">
              <w:rPr>
                <w:sz w:val="20"/>
                <w:lang w:val="fr-CH"/>
              </w:rPr>
              <w:t>1</w:t>
            </w:r>
            <w:r w:rsidRPr="004E7739">
              <w:rPr>
                <w:b/>
                <w:bCs/>
                <w:sz w:val="20"/>
                <w:lang w:val="fr-CH"/>
              </w:rPr>
              <w:tab/>
            </w:r>
            <w:r w:rsidRPr="004E7739">
              <w:rPr>
                <w:sz w:val="20"/>
                <w:lang w:val="fr-CH"/>
              </w:rPr>
              <w:t>que des études doivent être menées concernant les solutions possibles en vue de l</w:t>
            </w:r>
            <w:r w:rsidR="001A16E8">
              <w:rPr>
                <w:sz w:val="20"/>
                <w:lang w:val="fr-CH"/>
              </w:rPr>
              <w:t>'</w:t>
            </w:r>
            <w:r w:rsidRPr="004E7739">
              <w:rPr>
                <w:sz w:val="20"/>
                <w:lang w:val="fr-CH"/>
              </w:rPr>
              <w:t>harmonisation mondiale ou régionale des bandes de fréquences et des gammes d</w:t>
            </w:r>
            <w:r w:rsidR="001A16E8">
              <w:rPr>
                <w:sz w:val="20"/>
                <w:lang w:val="fr-CH"/>
              </w:rPr>
              <w:t>'</w:t>
            </w:r>
            <w:r w:rsidRPr="004E7739">
              <w:rPr>
                <w:sz w:val="20"/>
                <w:lang w:val="fr-CH"/>
              </w:rPr>
              <w:t>accord destinées à être utilisées par les systèmes ENG dans des bandes déjà attribuées aux services fixe, mobile ou de radiodiffusion, en tenant compte:</w:t>
            </w:r>
          </w:p>
          <w:p w:rsidR="00656CAB" w:rsidRPr="004E7739" w:rsidRDefault="00656CAB" w:rsidP="00656CAB">
            <w:pPr>
              <w:pStyle w:val="enumlev1"/>
              <w:keepNext/>
              <w:keepLines/>
              <w:rPr>
                <w:sz w:val="20"/>
                <w:lang w:val="fr-CH"/>
              </w:rPr>
            </w:pPr>
            <w:r w:rsidRPr="004E7739">
              <w:rPr>
                <w:sz w:val="20"/>
                <w:lang w:val="fr-CH"/>
              </w:rPr>
              <w:t>–</w:t>
            </w:r>
            <w:r w:rsidRPr="004E7739">
              <w:rPr>
                <w:sz w:val="20"/>
                <w:lang w:val="fr-CH"/>
              </w:rPr>
              <w:tab/>
            </w:r>
            <w:bookmarkStart w:id="7" w:name="_GoBack"/>
            <w:bookmarkEnd w:id="7"/>
            <w:r w:rsidRPr="004E7739">
              <w:rPr>
                <w:sz w:val="20"/>
                <w:lang w:val="fr-CH"/>
              </w:rPr>
              <w:t>des technologies disponibles pour optimiser l</w:t>
            </w:r>
            <w:r w:rsidR="001A16E8">
              <w:rPr>
                <w:sz w:val="20"/>
                <w:lang w:val="fr-CH"/>
              </w:rPr>
              <w:t>'</w:t>
            </w:r>
            <w:r w:rsidRPr="004E7739">
              <w:rPr>
                <w:sz w:val="20"/>
                <w:lang w:val="fr-CH"/>
              </w:rPr>
              <w:t>efficacité et la souplesse d</w:t>
            </w:r>
            <w:r w:rsidR="001A16E8">
              <w:rPr>
                <w:sz w:val="20"/>
                <w:lang w:val="fr-CH"/>
              </w:rPr>
              <w:t>'</w:t>
            </w:r>
            <w:r w:rsidRPr="004E7739">
              <w:rPr>
                <w:sz w:val="20"/>
                <w:lang w:val="fr-CH"/>
              </w:rPr>
              <w:t>utilisation des fréquences;</w:t>
            </w:r>
          </w:p>
          <w:p w:rsidR="00656CAB" w:rsidRPr="004E7739" w:rsidRDefault="00656CAB" w:rsidP="00656CAB">
            <w:pPr>
              <w:pStyle w:val="enumlev1"/>
              <w:rPr>
                <w:sz w:val="20"/>
                <w:lang w:val="fr-CH"/>
              </w:rPr>
            </w:pPr>
            <w:r w:rsidRPr="004E7739">
              <w:rPr>
                <w:sz w:val="20"/>
                <w:lang w:val="fr-CH"/>
              </w:rPr>
              <w:t>–</w:t>
            </w:r>
            <w:r w:rsidRPr="004E7739">
              <w:rPr>
                <w:sz w:val="20"/>
                <w:lang w:val="fr-CH"/>
              </w:rPr>
              <w:tab/>
              <w:t>des caractéristiques des systèmes et des pratiques opérationnelles propres à faciliter la mise en oeuvre de ces solutions;</w:t>
            </w:r>
          </w:p>
          <w:p w:rsidR="00656CAB" w:rsidRPr="00D21CAE" w:rsidRDefault="00656CAB" w:rsidP="00656CAB">
            <w:pPr>
              <w:rPr>
                <w:lang w:val="fr-CH"/>
              </w:rPr>
            </w:pPr>
            <w:r w:rsidRPr="004E7739">
              <w:rPr>
                <w:sz w:val="20"/>
                <w:lang w:val="fr-CH"/>
              </w:rPr>
              <w:t>2</w:t>
            </w:r>
            <w:r w:rsidRPr="004E7739">
              <w:rPr>
                <w:b/>
                <w:bCs/>
                <w:sz w:val="20"/>
                <w:lang w:val="fr-CH"/>
              </w:rPr>
              <w:tab/>
            </w:r>
            <w:r w:rsidRPr="004E7739">
              <w:rPr>
                <w:sz w:val="20"/>
                <w:lang w:val="fr-CH"/>
              </w:rPr>
              <w:t>que des Recommandations ou des Rapports UIT-R doivent être élaborés sur la base des études susmentionnées, selon qu</w:t>
            </w:r>
            <w:r w:rsidR="001A16E8">
              <w:rPr>
                <w:sz w:val="20"/>
                <w:lang w:val="fr-CH"/>
              </w:rPr>
              <w:t>'</w:t>
            </w:r>
            <w:r w:rsidRPr="004E7739">
              <w:rPr>
                <w:sz w:val="20"/>
                <w:lang w:val="fr-CH"/>
              </w:rPr>
              <w:t>il convient,</w:t>
            </w:r>
          </w:p>
        </w:tc>
        <w:tc>
          <w:tcPr>
            <w:tcW w:w="1629"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c>
          <w:tcPr>
            <w:tcW w:w="1590"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c>
          <w:tcPr>
            <w:tcW w:w="1703"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r>
      <w:tr w:rsidR="00656CAB" w:rsidRPr="00D206B7" w:rsidTr="002848A9">
        <w:trPr>
          <w:tblHeader/>
        </w:trPr>
        <w:tc>
          <w:tcPr>
            <w:tcW w:w="2707" w:type="dxa"/>
            <w:tcBorders>
              <w:top w:val="nil"/>
              <w:left w:val="single" w:sz="4" w:space="0" w:color="auto"/>
              <w:bottom w:val="single" w:sz="4" w:space="0" w:color="auto"/>
              <w:right w:val="single" w:sz="4" w:space="0" w:color="auto"/>
            </w:tcBorders>
          </w:tcPr>
          <w:p w:rsidR="00656CAB" w:rsidRPr="00851B25" w:rsidRDefault="00656CAB" w:rsidP="00656CAB">
            <w:pPr>
              <w:pStyle w:val="ResNo"/>
              <w:keepNext w:val="0"/>
              <w:keepLines w:val="0"/>
              <w:spacing w:before="120"/>
              <w:rPr>
                <w:b w:val="0"/>
                <w:caps/>
                <w:sz w:val="20"/>
              </w:rPr>
            </w:pPr>
          </w:p>
        </w:tc>
        <w:tc>
          <w:tcPr>
            <w:tcW w:w="1725" w:type="dxa"/>
            <w:tcBorders>
              <w:top w:val="nil"/>
              <w:left w:val="single" w:sz="4" w:space="0" w:color="auto"/>
              <w:bottom w:val="single" w:sz="4" w:space="0" w:color="auto"/>
              <w:right w:val="single" w:sz="4" w:space="0" w:color="auto"/>
            </w:tcBorders>
          </w:tcPr>
          <w:p w:rsidR="00656CAB" w:rsidRPr="00851B25" w:rsidRDefault="00656CAB" w:rsidP="00656CAB">
            <w:pPr>
              <w:pStyle w:val="Tabletext"/>
              <w:spacing w:before="120"/>
              <w:rPr>
                <w:b/>
                <w:bCs/>
                <w:sz w:val="20"/>
              </w:rPr>
            </w:pPr>
          </w:p>
        </w:tc>
        <w:tc>
          <w:tcPr>
            <w:tcW w:w="5432" w:type="dxa"/>
            <w:tcBorders>
              <w:top w:val="nil"/>
              <w:left w:val="single" w:sz="4" w:space="0" w:color="auto"/>
              <w:bottom w:val="single" w:sz="4" w:space="0" w:color="auto"/>
              <w:right w:val="single" w:sz="4" w:space="0" w:color="auto"/>
            </w:tcBorders>
          </w:tcPr>
          <w:p w:rsidR="00656CAB" w:rsidRPr="004E7739" w:rsidRDefault="00656CAB" w:rsidP="00656CAB">
            <w:pPr>
              <w:pStyle w:val="Call"/>
              <w:keepNext w:val="0"/>
              <w:keepLines w:val="0"/>
              <w:spacing w:before="120"/>
              <w:rPr>
                <w:sz w:val="20"/>
              </w:rPr>
            </w:pPr>
            <w:r w:rsidRPr="004E7739">
              <w:rPr>
                <w:sz w:val="20"/>
              </w:rPr>
              <w:t>décide en outre</w:t>
            </w:r>
          </w:p>
          <w:p w:rsidR="00656CAB" w:rsidRPr="004E7739" w:rsidRDefault="00656CAB" w:rsidP="00656CAB">
            <w:pPr>
              <w:rPr>
                <w:sz w:val="20"/>
                <w:lang w:val="fr-CH"/>
              </w:rPr>
            </w:pPr>
            <w:r w:rsidRPr="004E7739">
              <w:rPr>
                <w:sz w:val="20"/>
                <w:lang w:val="fr-CH"/>
              </w:rPr>
              <w:t>1</w:t>
            </w:r>
            <w:r w:rsidRPr="004E7739">
              <w:rPr>
                <w:sz w:val="20"/>
                <w:lang w:val="fr-CH"/>
              </w:rPr>
              <w:tab/>
              <w:t>d</w:t>
            </w:r>
            <w:r w:rsidR="001A16E8">
              <w:rPr>
                <w:sz w:val="20"/>
                <w:lang w:val="fr-CH"/>
              </w:rPr>
              <w:t>'</w:t>
            </w:r>
            <w:r w:rsidRPr="004E7739">
              <w:rPr>
                <w:sz w:val="20"/>
                <w:lang w:val="fr-CH"/>
              </w:rPr>
              <w:t>encourager les administrations à rassembler les informations pertinentes concernant l</w:t>
            </w:r>
            <w:r w:rsidR="001A16E8">
              <w:rPr>
                <w:sz w:val="20"/>
                <w:lang w:val="fr-CH"/>
              </w:rPr>
              <w:t>'</w:t>
            </w:r>
            <w:r w:rsidRPr="004E7739">
              <w:rPr>
                <w:sz w:val="20"/>
                <w:lang w:val="fr-CH"/>
              </w:rPr>
              <w:t>utilisation des systèmes ENG au niveau national (par exemple, une liste des bandes de fréquences ou des gammes d</w:t>
            </w:r>
            <w:r w:rsidR="001A16E8">
              <w:rPr>
                <w:sz w:val="20"/>
                <w:lang w:val="fr-CH"/>
              </w:rPr>
              <w:t>'</w:t>
            </w:r>
            <w:r w:rsidRPr="004E7739">
              <w:rPr>
                <w:sz w:val="20"/>
                <w:lang w:val="fr-CH"/>
              </w:rPr>
              <w:t>accord disponibles pour les systèmes ENG, les pratiques de gestion du spectre, les prescriptions techniques et opérationnelles et les personnes à contacter pour obtenir une autorisation d</w:t>
            </w:r>
            <w:r w:rsidR="001A16E8">
              <w:rPr>
                <w:sz w:val="20"/>
                <w:lang w:val="fr-CH"/>
              </w:rPr>
              <w:t>'</w:t>
            </w:r>
            <w:r w:rsidRPr="004E7739">
              <w:rPr>
                <w:sz w:val="20"/>
                <w:lang w:val="fr-CH"/>
              </w:rPr>
              <w:t>utilisation du spectre, selon le cas …), en vue de leur utilisation par des entités étrangères lors d</w:t>
            </w:r>
            <w:r w:rsidR="001A16E8">
              <w:rPr>
                <w:sz w:val="20"/>
                <w:lang w:val="fr-CH"/>
              </w:rPr>
              <w:t>'</w:t>
            </w:r>
            <w:r w:rsidRPr="004E7739">
              <w:rPr>
                <w:sz w:val="20"/>
                <w:lang w:val="fr-CH"/>
              </w:rPr>
              <w:t>événements médiatiques de caractère international;</w:t>
            </w:r>
          </w:p>
          <w:p w:rsidR="00656CAB" w:rsidRPr="00D206B7" w:rsidRDefault="00656CAB" w:rsidP="00656CAB">
            <w:pPr>
              <w:rPr>
                <w:sz w:val="20"/>
              </w:rPr>
            </w:pPr>
            <w:r w:rsidRPr="004E7739">
              <w:rPr>
                <w:sz w:val="20"/>
                <w:lang w:val="fr-CH"/>
              </w:rPr>
              <w:t>2</w:t>
            </w:r>
            <w:r w:rsidRPr="004E7739">
              <w:rPr>
                <w:sz w:val="20"/>
                <w:lang w:val="fr-CH"/>
              </w:rPr>
              <w:tab/>
              <w:t>d</w:t>
            </w:r>
            <w:r w:rsidR="001A16E8">
              <w:rPr>
                <w:sz w:val="20"/>
                <w:lang w:val="fr-CH"/>
              </w:rPr>
              <w:t>'</w:t>
            </w:r>
            <w:r w:rsidRPr="004E7739">
              <w:rPr>
                <w:sz w:val="20"/>
                <w:lang w:val="fr-CH"/>
              </w:rPr>
              <w:t>encourager les administrations à tenir compte, à des fins d</w:t>
            </w:r>
            <w:r w:rsidR="001A16E8">
              <w:rPr>
                <w:sz w:val="20"/>
                <w:lang w:val="fr-CH"/>
              </w:rPr>
              <w:t>'</w:t>
            </w:r>
            <w:r w:rsidRPr="004E7739">
              <w:rPr>
                <w:sz w:val="20"/>
                <w:lang w:val="fr-CH"/>
              </w:rPr>
              <w:t>harmonisation, des bandes de fréquences ou des gammes d</w:t>
            </w:r>
            <w:r w:rsidR="001A16E8">
              <w:rPr>
                <w:sz w:val="20"/>
                <w:lang w:val="fr-CH"/>
              </w:rPr>
              <w:t>'</w:t>
            </w:r>
            <w:r w:rsidRPr="004E7739">
              <w:rPr>
                <w:sz w:val="20"/>
                <w:lang w:val="fr-CH"/>
              </w:rPr>
              <w:t>accord utilisées par d</w:t>
            </w:r>
            <w:r w:rsidR="001A16E8">
              <w:rPr>
                <w:sz w:val="20"/>
                <w:lang w:val="fr-CH"/>
              </w:rPr>
              <w:t>'</w:t>
            </w:r>
            <w:r w:rsidRPr="004E7739">
              <w:rPr>
                <w:sz w:val="20"/>
                <w:lang w:val="fr-CH"/>
              </w:rPr>
              <w:t>autres administrations pour les systèmes ENG,</w:t>
            </w:r>
          </w:p>
        </w:tc>
        <w:tc>
          <w:tcPr>
            <w:tcW w:w="1629"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590"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703"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r>
    </w:tbl>
    <w:p w:rsidR="00656CAB" w:rsidRDefault="00656CAB" w:rsidP="00656CAB">
      <w:pPr>
        <w:rPr>
          <w:b/>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725"/>
        <w:gridCol w:w="5432"/>
        <w:gridCol w:w="1629"/>
        <w:gridCol w:w="1590"/>
        <w:gridCol w:w="1703"/>
      </w:tblGrid>
      <w:tr w:rsidR="00132F8E" w:rsidRPr="00D21CAE" w:rsidTr="0069382D">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7F7D9E" w:rsidRDefault="00132F8E"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F93800" w:rsidRDefault="00132F8E" w:rsidP="0069382D">
            <w:pPr>
              <w:pStyle w:val="Tablehead"/>
              <w:rPr>
                <w:lang w:val="fr-CH"/>
              </w:rPr>
            </w:pPr>
            <w:r>
              <w:rPr>
                <w:lang w:val="fr-CH"/>
              </w:rPr>
              <w:t>Groupe participant</w:t>
            </w:r>
            <w:r w:rsidR="001104F6" w:rsidRPr="001104F6">
              <w:rPr>
                <w:vertAlign w:val="superscript"/>
                <w:lang w:val="fr-CH"/>
              </w:rPr>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Forme pour la présentation des résultats</w:t>
            </w:r>
          </w:p>
        </w:tc>
      </w:tr>
      <w:tr w:rsidR="00656CAB" w:rsidRPr="00D206B7" w:rsidTr="00656CAB">
        <w:trPr>
          <w:tblHeader/>
        </w:trPr>
        <w:tc>
          <w:tcPr>
            <w:tcW w:w="2707" w:type="dxa"/>
            <w:tcBorders>
              <w:top w:val="single" w:sz="4" w:space="0" w:color="auto"/>
              <w:left w:val="single" w:sz="4" w:space="0" w:color="auto"/>
              <w:bottom w:val="nil"/>
              <w:right w:val="single" w:sz="4" w:space="0" w:color="auto"/>
            </w:tcBorders>
          </w:tcPr>
          <w:p w:rsidR="00656CAB" w:rsidRDefault="00656CAB" w:rsidP="00656CAB">
            <w:pPr>
              <w:pStyle w:val="ResNo"/>
              <w:keepNext w:val="0"/>
              <w:keepLines w:val="0"/>
              <w:spacing w:before="120"/>
              <w:rPr>
                <w:b w:val="0"/>
                <w:caps/>
                <w:sz w:val="20"/>
              </w:rPr>
            </w:pPr>
            <w:r w:rsidRPr="00851B25">
              <w:rPr>
                <w:b w:val="0"/>
                <w:caps/>
                <w:sz w:val="20"/>
              </w:rPr>
              <w:t>résolution uit</w:t>
            </w:r>
            <w:r w:rsidRPr="00851B25">
              <w:rPr>
                <w:b w:val="0"/>
                <w:caps/>
                <w:sz w:val="20"/>
              </w:rPr>
              <w:noBreakHyphen/>
              <w:t xml:space="preserve">R </w:t>
            </w:r>
            <w:r>
              <w:rPr>
                <w:b w:val="0"/>
                <w:caps/>
                <w:sz w:val="20"/>
              </w:rPr>
              <w:t>60</w:t>
            </w:r>
          </w:p>
          <w:p w:rsidR="00656CAB" w:rsidRPr="004E7739" w:rsidRDefault="00656CAB" w:rsidP="00656CAB">
            <w:pPr>
              <w:pStyle w:val="ResNo"/>
              <w:keepNext w:val="0"/>
              <w:keepLines w:val="0"/>
              <w:spacing w:before="120"/>
            </w:pPr>
            <w:r w:rsidRPr="007F7D9E">
              <w:rPr>
                <w:sz w:val="20"/>
              </w:rPr>
              <w:t>Réduction de la consommation d</w:t>
            </w:r>
            <w:r w:rsidR="001A16E8">
              <w:rPr>
                <w:sz w:val="20"/>
              </w:rPr>
              <w:t>'</w:t>
            </w:r>
            <w:r w:rsidRPr="007F7D9E">
              <w:rPr>
                <w:sz w:val="20"/>
              </w:rPr>
              <w:t>énergie pour la protection de l</w:t>
            </w:r>
            <w:r w:rsidR="001A16E8">
              <w:rPr>
                <w:sz w:val="20"/>
              </w:rPr>
              <w:t>'</w:t>
            </w:r>
            <w:r w:rsidRPr="007F7D9E">
              <w:rPr>
                <w:sz w:val="20"/>
              </w:rPr>
              <w:t>environnement et l</w:t>
            </w:r>
            <w:r w:rsidR="001A16E8">
              <w:rPr>
                <w:sz w:val="20"/>
              </w:rPr>
              <w:t>'</w:t>
            </w:r>
            <w:r w:rsidRPr="007F7D9E">
              <w:rPr>
                <w:sz w:val="20"/>
              </w:rPr>
              <w:t>atténuation des effets des changements climatiques grâce à l</w:t>
            </w:r>
            <w:r w:rsidR="001A16E8">
              <w:rPr>
                <w:sz w:val="20"/>
              </w:rPr>
              <w:t>'</w:t>
            </w:r>
            <w:r w:rsidR="00024628">
              <w:rPr>
                <w:sz w:val="20"/>
              </w:rPr>
              <w:t xml:space="preserve">utilisation </w:t>
            </w:r>
            <w:r w:rsidRPr="007F7D9E">
              <w:rPr>
                <w:sz w:val="20"/>
              </w:rPr>
              <w:t>de technologies et systèmes des radiocommunications/</w:t>
            </w:r>
            <w:r w:rsidRPr="007F7D9E">
              <w:rPr>
                <w:sz w:val="20"/>
              </w:rPr>
              <w:br/>
              <w:t>technologies de l</w:t>
            </w:r>
            <w:r w:rsidR="001A16E8">
              <w:rPr>
                <w:sz w:val="20"/>
              </w:rPr>
              <w:t>'</w:t>
            </w:r>
            <w:r w:rsidRPr="007F7D9E">
              <w:rPr>
                <w:sz w:val="20"/>
              </w:rPr>
              <w:t>information et de la communication</w:t>
            </w:r>
          </w:p>
        </w:tc>
        <w:tc>
          <w:tcPr>
            <w:tcW w:w="1725" w:type="dxa"/>
            <w:tcBorders>
              <w:top w:val="single" w:sz="4" w:space="0" w:color="auto"/>
              <w:left w:val="single" w:sz="4" w:space="0" w:color="auto"/>
              <w:bottom w:val="nil"/>
              <w:right w:val="single" w:sz="4" w:space="0" w:color="auto"/>
            </w:tcBorders>
          </w:tcPr>
          <w:p w:rsidR="00656CAB" w:rsidRPr="00851B25" w:rsidRDefault="00656CAB" w:rsidP="00656CAB">
            <w:pPr>
              <w:pStyle w:val="Tabletext"/>
              <w:spacing w:before="120"/>
              <w:rPr>
                <w:b/>
                <w:bCs/>
                <w:sz w:val="20"/>
              </w:rPr>
            </w:pPr>
          </w:p>
        </w:tc>
        <w:tc>
          <w:tcPr>
            <w:tcW w:w="5432" w:type="dxa"/>
            <w:tcBorders>
              <w:top w:val="single" w:sz="4" w:space="0" w:color="auto"/>
              <w:left w:val="single" w:sz="4" w:space="0" w:color="auto"/>
              <w:bottom w:val="nil"/>
              <w:right w:val="single" w:sz="4" w:space="0" w:color="auto"/>
            </w:tcBorders>
          </w:tcPr>
          <w:p w:rsidR="00656CAB" w:rsidRPr="006F3641" w:rsidRDefault="00656CAB" w:rsidP="00656CAB">
            <w:pPr>
              <w:pStyle w:val="Call"/>
              <w:keepNext w:val="0"/>
              <w:keepLines w:val="0"/>
              <w:spacing w:before="120"/>
              <w:rPr>
                <w:sz w:val="20"/>
              </w:rPr>
            </w:pPr>
            <w:r w:rsidRPr="006F3641">
              <w:rPr>
                <w:sz w:val="20"/>
              </w:rPr>
              <w:t>décide</w:t>
            </w:r>
          </w:p>
          <w:p w:rsidR="00656CAB" w:rsidRPr="006C54B8" w:rsidRDefault="00656CAB" w:rsidP="00656CAB">
            <w:pPr>
              <w:rPr>
                <w:i/>
                <w:sz w:val="20"/>
              </w:rPr>
            </w:pPr>
            <w:r w:rsidRPr="006C54B8">
              <w:rPr>
                <w:sz w:val="20"/>
              </w:rPr>
              <w:t>1</w:t>
            </w:r>
            <w:r w:rsidRPr="006C54B8">
              <w:rPr>
                <w:sz w:val="20"/>
              </w:rPr>
              <w:tab/>
              <w:t>que les Commissions d</w:t>
            </w:r>
            <w:r w:rsidR="001A16E8">
              <w:rPr>
                <w:sz w:val="20"/>
              </w:rPr>
              <w:t>'</w:t>
            </w:r>
            <w:r w:rsidRPr="006C54B8">
              <w:rPr>
                <w:sz w:val="20"/>
              </w:rPr>
              <w:t>études de l</w:t>
            </w:r>
            <w:r w:rsidR="001A16E8">
              <w:rPr>
                <w:sz w:val="20"/>
              </w:rPr>
              <w:t>'</w:t>
            </w:r>
            <w:r w:rsidRPr="006C54B8">
              <w:rPr>
                <w:sz w:val="20"/>
              </w:rPr>
              <w:t>UIT-R devraient élaborer des Recommandations, Rapports ou Manuels sur:</w:t>
            </w:r>
          </w:p>
          <w:p w:rsidR="00656CAB" w:rsidRPr="006C54B8" w:rsidRDefault="00656CAB" w:rsidP="00656CAB">
            <w:pPr>
              <w:pStyle w:val="enumlev1"/>
              <w:rPr>
                <w:sz w:val="20"/>
              </w:rPr>
            </w:pPr>
            <w:r w:rsidRPr="006C54B8">
              <w:rPr>
                <w:sz w:val="20"/>
              </w:rPr>
              <w:t>•</w:t>
            </w:r>
            <w:r w:rsidRPr="006C54B8">
              <w:rPr>
                <w:sz w:val="20"/>
              </w:rPr>
              <w:tab/>
              <w:t>les bonnes pratiques existantes pour réduire la consommation d</w:t>
            </w:r>
            <w:r w:rsidR="001A16E8">
              <w:rPr>
                <w:sz w:val="20"/>
              </w:rPr>
              <w:t>'</w:t>
            </w:r>
            <w:r w:rsidRPr="006C54B8">
              <w:rPr>
                <w:sz w:val="20"/>
              </w:rPr>
              <w:t xml:space="preserve">énergie dans les systèmes, équipements ou applications des TIC fonctionnant dans un service de radiocommunication; </w:t>
            </w:r>
          </w:p>
          <w:p w:rsidR="00656CAB" w:rsidRPr="006C54B8" w:rsidRDefault="00656CAB" w:rsidP="00656CAB">
            <w:pPr>
              <w:pStyle w:val="enumlev1"/>
              <w:rPr>
                <w:sz w:val="20"/>
              </w:rPr>
            </w:pPr>
            <w:r w:rsidRPr="006C54B8">
              <w:rPr>
                <w:sz w:val="20"/>
              </w:rPr>
              <w:t>•</w:t>
            </w:r>
            <w:r w:rsidRPr="006C54B8">
              <w:rPr>
                <w:sz w:val="20"/>
              </w:rPr>
              <w:tab/>
              <w:t>la possibilité de concevoir et d</w:t>
            </w:r>
            <w:r w:rsidR="001A16E8">
              <w:rPr>
                <w:sz w:val="20"/>
              </w:rPr>
              <w:t>'</w:t>
            </w:r>
            <w:r w:rsidRPr="006C54B8">
              <w:rPr>
                <w:sz w:val="20"/>
              </w:rPr>
              <w:t>utiliser des systèmes ou applications de radiocommunication permettant de réduire la consommation d</w:t>
            </w:r>
            <w:r w:rsidR="001A16E8">
              <w:rPr>
                <w:sz w:val="20"/>
              </w:rPr>
              <w:t>'</w:t>
            </w:r>
            <w:r w:rsidRPr="006C54B8">
              <w:rPr>
                <w:sz w:val="20"/>
              </w:rPr>
              <w:t>énergie dans les secteurs autres que celui des radiocommunications;</w:t>
            </w:r>
          </w:p>
          <w:p w:rsidR="00656CAB" w:rsidRPr="00D206B7" w:rsidRDefault="00656CAB" w:rsidP="00656CAB">
            <w:pPr>
              <w:pStyle w:val="enumlev1"/>
              <w:rPr>
                <w:sz w:val="20"/>
              </w:rPr>
            </w:pPr>
            <w:r w:rsidRPr="006C54B8">
              <w:rPr>
                <w:sz w:val="20"/>
              </w:rPr>
              <w:t>•</w:t>
            </w:r>
            <w:r w:rsidRPr="006C54B8">
              <w:rPr>
                <w:sz w:val="20"/>
              </w:rPr>
              <w:tab/>
              <w:t>des systèmes efficaces d</w:t>
            </w:r>
            <w:r w:rsidR="001A16E8">
              <w:rPr>
                <w:sz w:val="20"/>
              </w:rPr>
              <w:t>'</w:t>
            </w:r>
            <w:r w:rsidRPr="006C54B8">
              <w:rPr>
                <w:sz w:val="20"/>
              </w:rPr>
              <w:t>observation de l</w:t>
            </w:r>
            <w:r w:rsidR="001A16E8">
              <w:rPr>
                <w:sz w:val="20"/>
              </w:rPr>
              <w:t>'</w:t>
            </w:r>
            <w:r w:rsidRPr="006C54B8">
              <w:rPr>
                <w:sz w:val="20"/>
              </w:rPr>
              <w:t>environnement et de suivi et de prévision des changements climatiques, la fiabilité de fonctionnement de ces systèmes devant être garantie;</w:t>
            </w:r>
          </w:p>
        </w:tc>
        <w:tc>
          <w:tcPr>
            <w:tcW w:w="1629"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c>
          <w:tcPr>
            <w:tcW w:w="1590"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c>
          <w:tcPr>
            <w:tcW w:w="1703" w:type="dxa"/>
            <w:tcBorders>
              <w:top w:val="single" w:sz="4" w:space="0" w:color="auto"/>
              <w:left w:val="single" w:sz="4" w:space="0" w:color="auto"/>
              <w:bottom w:val="nil"/>
              <w:right w:val="single" w:sz="4" w:space="0" w:color="auto"/>
            </w:tcBorders>
          </w:tcPr>
          <w:p w:rsidR="00656CAB" w:rsidRPr="00D206B7" w:rsidRDefault="00656CAB" w:rsidP="00656CAB">
            <w:pPr>
              <w:pStyle w:val="Tabletext"/>
              <w:rPr>
                <w:rStyle w:val="FootnoteReference"/>
                <w:sz w:val="20"/>
              </w:rPr>
            </w:pPr>
          </w:p>
        </w:tc>
      </w:tr>
      <w:tr w:rsidR="00656CAB" w:rsidRPr="00D206B7" w:rsidTr="00656CAB">
        <w:trPr>
          <w:tblHeader/>
        </w:trPr>
        <w:tc>
          <w:tcPr>
            <w:tcW w:w="2707" w:type="dxa"/>
            <w:tcBorders>
              <w:top w:val="nil"/>
              <w:left w:val="single" w:sz="4" w:space="0" w:color="auto"/>
              <w:bottom w:val="single" w:sz="4" w:space="0" w:color="auto"/>
              <w:right w:val="single" w:sz="4" w:space="0" w:color="auto"/>
            </w:tcBorders>
          </w:tcPr>
          <w:p w:rsidR="00656CAB" w:rsidRPr="00851B25" w:rsidRDefault="00656CAB" w:rsidP="00656CAB">
            <w:pPr>
              <w:pStyle w:val="ResNo"/>
              <w:keepNext w:val="0"/>
              <w:keepLines w:val="0"/>
              <w:spacing w:before="120"/>
              <w:rPr>
                <w:b w:val="0"/>
                <w:caps/>
                <w:sz w:val="20"/>
              </w:rPr>
            </w:pPr>
          </w:p>
        </w:tc>
        <w:tc>
          <w:tcPr>
            <w:tcW w:w="1725" w:type="dxa"/>
            <w:tcBorders>
              <w:top w:val="nil"/>
              <w:left w:val="single" w:sz="4" w:space="0" w:color="auto"/>
              <w:bottom w:val="single" w:sz="4" w:space="0" w:color="auto"/>
              <w:right w:val="single" w:sz="4" w:space="0" w:color="auto"/>
            </w:tcBorders>
          </w:tcPr>
          <w:p w:rsidR="00656CAB" w:rsidRPr="00851B25" w:rsidRDefault="00656CAB" w:rsidP="00656CAB">
            <w:pPr>
              <w:pStyle w:val="Tabletext"/>
              <w:spacing w:before="120"/>
              <w:rPr>
                <w:b/>
                <w:bCs/>
                <w:sz w:val="20"/>
              </w:rPr>
            </w:pPr>
          </w:p>
        </w:tc>
        <w:tc>
          <w:tcPr>
            <w:tcW w:w="5432" w:type="dxa"/>
            <w:tcBorders>
              <w:top w:val="nil"/>
              <w:left w:val="single" w:sz="4" w:space="0" w:color="auto"/>
              <w:bottom w:val="single" w:sz="4" w:space="0" w:color="auto"/>
              <w:right w:val="single" w:sz="4" w:space="0" w:color="auto"/>
            </w:tcBorders>
          </w:tcPr>
          <w:p w:rsidR="00656CAB" w:rsidRPr="006C54B8" w:rsidRDefault="00656CAB" w:rsidP="00656CAB">
            <w:pPr>
              <w:rPr>
                <w:sz w:val="20"/>
              </w:rPr>
            </w:pPr>
            <w:r w:rsidRPr="006C54B8">
              <w:rPr>
                <w:sz w:val="20"/>
              </w:rPr>
              <w:t>2</w:t>
            </w:r>
            <w:r w:rsidRPr="006C54B8">
              <w:rPr>
                <w:sz w:val="20"/>
              </w:rPr>
              <w:tab/>
              <w:t>que, lorsqu</w:t>
            </w:r>
            <w:r w:rsidR="001A16E8">
              <w:rPr>
                <w:sz w:val="20"/>
              </w:rPr>
              <w:t>'</w:t>
            </w:r>
            <w:r w:rsidRPr="006C54B8">
              <w:rPr>
                <w:sz w:val="20"/>
              </w:rPr>
              <w:t>elles élaborent de nouveaux Manuels, Rapports ou Recommandations UIT</w:t>
            </w:r>
            <w:r w:rsidRPr="006C54B8">
              <w:rPr>
                <w:sz w:val="20"/>
              </w:rPr>
              <w:noBreakHyphen/>
              <w:t>R ou révisent des Recommandations ou Rapports existants, les Commissions d</w:t>
            </w:r>
            <w:r w:rsidR="001A16E8">
              <w:rPr>
                <w:sz w:val="20"/>
              </w:rPr>
              <w:t>'</w:t>
            </w:r>
            <w:r w:rsidRPr="006C54B8">
              <w:rPr>
                <w:sz w:val="20"/>
              </w:rPr>
              <w:t>études de l</w:t>
            </w:r>
            <w:r w:rsidR="001A16E8">
              <w:rPr>
                <w:sz w:val="20"/>
              </w:rPr>
              <w:t>'</w:t>
            </w:r>
            <w:r w:rsidRPr="006C54B8">
              <w:rPr>
                <w:sz w:val="20"/>
              </w:rPr>
              <w:t>UIT</w:t>
            </w:r>
            <w:r w:rsidRPr="006C54B8">
              <w:rPr>
                <w:sz w:val="20"/>
              </w:rPr>
              <w:noBreakHyphen/>
              <w:t>R doivent tenir compte, selon qu</w:t>
            </w:r>
            <w:r w:rsidR="001A16E8">
              <w:rPr>
                <w:sz w:val="20"/>
              </w:rPr>
              <w:t>'</w:t>
            </w:r>
            <w:r w:rsidRPr="006C54B8">
              <w:rPr>
                <w:sz w:val="20"/>
              </w:rPr>
              <w:t>il convient, de la consommation d</w:t>
            </w:r>
            <w:r w:rsidR="001A16E8">
              <w:rPr>
                <w:sz w:val="20"/>
              </w:rPr>
              <w:t>'</w:t>
            </w:r>
            <w:r w:rsidRPr="006C54B8">
              <w:rPr>
                <w:sz w:val="20"/>
              </w:rPr>
              <w:t>énergie et des bonnes pratiques en matière d</w:t>
            </w:r>
            <w:r w:rsidR="001A16E8">
              <w:rPr>
                <w:sz w:val="20"/>
              </w:rPr>
              <w:t>'</w:t>
            </w:r>
            <w:r w:rsidRPr="006C54B8">
              <w:rPr>
                <w:sz w:val="20"/>
              </w:rPr>
              <w:t>économies d</w:t>
            </w:r>
            <w:r w:rsidR="001A16E8">
              <w:rPr>
                <w:sz w:val="20"/>
              </w:rPr>
              <w:t>'</w:t>
            </w:r>
            <w:r w:rsidRPr="006C54B8">
              <w:rPr>
                <w:sz w:val="20"/>
              </w:rPr>
              <w:t>énergie;</w:t>
            </w:r>
          </w:p>
          <w:p w:rsidR="00656CAB" w:rsidRPr="006C54B8" w:rsidRDefault="00656CAB" w:rsidP="00656CAB">
            <w:pPr>
              <w:rPr>
                <w:sz w:val="20"/>
              </w:rPr>
            </w:pPr>
            <w:r w:rsidRPr="006C54B8">
              <w:rPr>
                <w:sz w:val="20"/>
              </w:rPr>
              <w:t>3</w:t>
            </w:r>
            <w:r w:rsidRPr="006C54B8">
              <w:rPr>
                <w:sz w:val="20"/>
              </w:rPr>
              <w:tab/>
              <w:t>qu</w:t>
            </w:r>
            <w:r w:rsidR="001A16E8">
              <w:rPr>
                <w:sz w:val="20"/>
              </w:rPr>
              <w:t>'</w:t>
            </w:r>
            <w:r w:rsidRPr="006C54B8">
              <w:rPr>
                <w:sz w:val="20"/>
              </w:rPr>
              <w:t>il convient de maintenir une coopération étroite et une liaison régulière avec l</w:t>
            </w:r>
            <w:r w:rsidR="001A16E8">
              <w:rPr>
                <w:sz w:val="20"/>
              </w:rPr>
              <w:t>'</w:t>
            </w:r>
            <w:r w:rsidRPr="006C54B8">
              <w:rPr>
                <w:sz w:val="20"/>
              </w:rPr>
              <w:t>UIT-T, l</w:t>
            </w:r>
            <w:r w:rsidR="001A16E8">
              <w:rPr>
                <w:sz w:val="20"/>
              </w:rPr>
              <w:t>'</w:t>
            </w:r>
            <w:r w:rsidRPr="006C54B8">
              <w:rPr>
                <w:sz w:val="20"/>
              </w:rPr>
              <w:t>UIT-D et le Secrétariat général, de tenir compte des résultats des travaux menés dans ces Secteurs et d</w:t>
            </w:r>
            <w:r w:rsidR="001A16E8">
              <w:rPr>
                <w:sz w:val="20"/>
              </w:rPr>
              <w:t>'</w:t>
            </w:r>
            <w:r w:rsidRPr="006C54B8">
              <w:rPr>
                <w:sz w:val="20"/>
              </w:rPr>
              <w:t>éviter toute répétition des tâches,</w:t>
            </w:r>
          </w:p>
        </w:tc>
        <w:tc>
          <w:tcPr>
            <w:tcW w:w="1629"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590"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703" w:type="dxa"/>
            <w:tcBorders>
              <w:top w:val="nil"/>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r>
      <w:tr w:rsidR="00132F8E" w:rsidRPr="00D21CAE" w:rsidTr="0069382D">
        <w:trPr>
          <w:tblHeader/>
        </w:trPr>
        <w:tc>
          <w:tcPr>
            <w:tcW w:w="2707"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7F7D9E" w:rsidRDefault="00132F8E" w:rsidP="0069382D">
            <w:pPr>
              <w:pStyle w:val="Tablehead"/>
            </w:pPr>
            <w:r>
              <w:t>Sujet</w:t>
            </w:r>
          </w:p>
        </w:tc>
        <w:tc>
          <w:tcPr>
            <w:tcW w:w="1725"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t>Groupe</w:t>
            </w:r>
            <w:r w:rsidRPr="00656CAB">
              <w:rPr>
                <w:lang w:val="ru-RU"/>
              </w:rPr>
              <w:br/>
            </w:r>
            <w:r>
              <w:rPr>
                <w:lang w:val="fr-CH"/>
              </w:rPr>
              <w:t>responsable</w:t>
            </w:r>
          </w:p>
        </w:tc>
        <w:tc>
          <w:tcPr>
            <w:tcW w:w="5432"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Suite devant être donnée par le groupe</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F93800" w:rsidRDefault="00132F8E" w:rsidP="0069382D">
            <w:pPr>
              <w:pStyle w:val="Tablehead"/>
              <w:rPr>
                <w:lang w:val="fr-CH"/>
              </w:rPr>
            </w:pPr>
            <w:r>
              <w:rPr>
                <w:lang w:val="fr-CH"/>
              </w:rPr>
              <w:t>Groupe participant</w:t>
            </w:r>
            <w:r w:rsidR="001104F6" w:rsidRPr="001104F6">
              <w:rPr>
                <w:vertAlign w:val="superscript"/>
                <w:lang w:val="fr-CH"/>
              </w:rPr>
              <w:t>1</w:t>
            </w:r>
          </w:p>
        </w:tc>
        <w:tc>
          <w:tcPr>
            <w:tcW w:w="1590"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Date d</w:t>
            </w:r>
            <w:r w:rsidR="001A16E8">
              <w:rPr>
                <w:lang w:val="fr-CH"/>
              </w:rPr>
              <w:t>'</w:t>
            </w:r>
            <w:r>
              <w:rPr>
                <w:lang w:val="fr-CH"/>
              </w:rPr>
              <w:t>achèvement</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center"/>
          </w:tcPr>
          <w:p w:rsidR="00132F8E" w:rsidRPr="00656CAB" w:rsidRDefault="00132F8E" w:rsidP="0069382D">
            <w:pPr>
              <w:pStyle w:val="Tablehead"/>
              <w:rPr>
                <w:lang w:val="fr-CH"/>
              </w:rPr>
            </w:pPr>
            <w:r>
              <w:rPr>
                <w:lang w:val="fr-CH"/>
              </w:rPr>
              <w:t>Forme pour la présentation des résultats</w:t>
            </w:r>
          </w:p>
        </w:tc>
      </w:tr>
      <w:tr w:rsidR="00656CAB" w:rsidRPr="00D206B7"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Default="00656CAB" w:rsidP="00656CAB">
            <w:pPr>
              <w:pStyle w:val="ResNo"/>
              <w:keepNext w:val="0"/>
              <w:keepLines w:val="0"/>
              <w:spacing w:before="120"/>
            </w:pPr>
            <w:r w:rsidRPr="00851B25">
              <w:rPr>
                <w:b w:val="0"/>
                <w:caps/>
                <w:sz w:val="20"/>
              </w:rPr>
              <w:t>résolution uit</w:t>
            </w:r>
            <w:r w:rsidRPr="00851B25">
              <w:rPr>
                <w:b w:val="0"/>
                <w:caps/>
                <w:sz w:val="20"/>
              </w:rPr>
              <w:noBreakHyphen/>
              <w:t xml:space="preserve">R </w:t>
            </w:r>
            <w:r>
              <w:rPr>
                <w:b w:val="0"/>
                <w:caps/>
                <w:sz w:val="20"/>
              </w:rPr>
              <w:t>61</w:t>
            </w:r>
          </w:p>
          <w:p w:rsidR="00656CAB" w:rsidRPr="006C54B8" w:rsidRDefault="00656CAB" w:rsidP="002848A9">
            <w:pPr>
              <w:pStyle w:val="ResNo"/>
              <w:keepNext w:val="0"/>
              <w:keepLines w:val="0"/>
              <w:spacing w:before="120"/>
              <w:rPr>
                <w:sz w:val="20"/>
              </w:rPr>
            </w:pPr>
            <w:r w:rsidRPr="006C54B8">
              <w:rPr>
                <w:sz w:val="20"/>
              </w:rPr>
              <w:t>Contribution de l</w:t>
            </w:r>
            <w:r w:rsidR="001A16E8">
              <w:rPr>
                <w:sz w:val="20"/>
              </w:rPr>
              <w:t>'</w:t>
            </w:r>
            <w:r w:rsidRPr="006C54B8">
              <w:rPr>
                <w:sz w:val="20"/>
              </w:rPr>
              <w:t xml:space="preserve">UIT-R à la mise en </w:t>
            </w:r>
            <w:r w:rsidR="002848A9">
              <w:rPr>
                <w:sz w:val="20"/>
              </w:rPr>
              <w:t>oe</w:t>
            </w:r>
            <w:r w:rsidRPr="006C54B8">
              <w:rPr>
                <w:sz w:val="20"/>
              </w:rPr>
              <w:t>uvre des résultats du Sommet mondial sur la société de l</w:t>
            </w:r>
            <w:r w:rsidR="001A16E8">
              <w:rPr>
                <w:sz w:val="20"/>
              </w:rPr>
              <w:t>'</w:t>
            </w:r>
            <w:r w:rsidRPr="006C54B8">
              <w:rPr>
                <w:sz w:val="20"/>
              </w:rPr>
              <w:t>information</w:t>
            </w:r>
          </w:p>
        </w:tc>
        <w:tc>
          <w:tcPr>
            <w:tcW w:w="1725" w:type="dxa"/>
            <w:tcBorders>
              <w:top w:val="single" w:sz="4" w:space="0" w:color="auto"/>
              <w:left w:val="single" w:sz="4" w:space="0" w:color="auto"/>
              <w:bottom w:val="single" w:sz="4" w:space="0" w:color="auto"/>
              <w:right w:val="single" w:sz="4" w:space="0" w:color="auto"/>
            </w:tcBorders>
          </w:tcPr>
          <w:p w:rsidR="00656CAB" w:rsidRPr="00851B25" w:rsidRDefault="00656CAB" w:rsidP="00656CAB">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6C54B8" w:rsidRDefault="00656CAB" w:rsidP="00656CAB">
            <w:pPr>
              <w:pStyle w:val="Call"/>
              <w:keepNext w:val="0"/>
              <w:keepLines w:val="0"/>
              <w:spacing w:before="120"/>
              <w:rPr>
                <w:sz w:val="20"/>
              </w:rPr>
            </w:pPr>
            <w:r w:rsidRPr="006C54B8">
              <w:rPr>
                <w:sz w:val="20"/>
              </w:rPr>
              <w:t>décide</w:t>
            </w:r>
          </w:p>
          <w:p w:rsidR="00656CAB" w:rsidRPr="006C54B8" w:rsidRDefault="00656CAB" w:rsidP="00656CAB">
            <w:pPr>
              <w:rPr>
                <w:sz w:val="20"/>
                <w:lang w:val="fr-CH"/>
              </w:rPr>
            </w:pPr>
            <w:r w:rsidRPr="006C54B8">
              <w:rPr>
                <w:sz w:val="20"/>
                <w:lang w:val="fr-CH"/>
              </w:rPr>
              <w:t>1</w:t>
            </w:r>
            <w:r w:rsidRPr="006C54B8">
              <w:rPr>
                <w:sz w:val="20"/>
                <w:lang w:val="fr-CH"/>
              </w:rPr>
              <w:tab/>
              <w:t>que l</w:t>
            </w:r>
            <w:r w:rsidR="001A16E8">
              <w:rPr>
                <w:sz w:val="20"/>
                <w:lang w:val="fr-CH"/>
              </w:rPr>
              <w:t>'</w:t>
            </w:r>
            <w:r w:rsidRPr="006C54B8">
              <w:rPr>
                <w:sz w:val="20"/>
                <w:lang w:val="fr-CH"/>
              </w:rPr>
              <w:t>UIT-R doit poursuivre ses travaux sur la mise en œuvre des résultats du SMSI et les activités de suivi, dans le cadre de son mandat;</w:t>
            </w:r>
          </w:p>
          <w:p w:rsidR="00656CAB" w:rsidRPr="006C54B8" w:rsidRDefault="00656CAB" w:rsidP="00656CAB">
            <w:pPr>
              <w:rPr>
                <w:sz w:val="20"/>
              </w:rPr>
            </w:pPr>
            <w:r w:rsidRPr="006C54B8">
              <w:rPr>
                <w:sz w:val="20"/>
                <w:lang w:val="fr-CH"/>
              </w:rPr>
              <w:t>2</w:t>
            </w:r>
            <w:r w:rsidRPr="006C54B8">
              <w:rPr>
                <w:sz w:val="20"/>
                <w:lang w:val="fr-CH"/>
              </w:rPr>
              <w:tab/>
              <w:t>que l</w:t>
            </w:r>
            <w:r w:rsidR="001A16E8">
              <w:rPr>
                <w:sz w:val="20"/>
                <w:lang w:val="fr-CH"/>
              </w:rPr>
              <w:t>'</w:t>
            </w:r>
            <w:r w:rsidRPr="006C54B8">
              <w:rPr>
                <w:sz w:val="20"/>
                <w:lang w:val="fr-CH"/>
              </w:rPr>
              <w:t>UIT-R doit mener à bien les activités qui relèvent de son mandat et participer avec d</w:t>
            </w:r>
            <w:r w:rsidR="001A16E8">
              <w:rPr>
                <w:sz w:val="20"/>
                <w:lang w:val="fr-CH"/>
              </w:rPr>
              <w:t>'</w:t>
            </w:r>
            <w:r w:rsidRPr="006C54B8">
              <w:rPr>
                <w:sz w:val="20"/>
                <w:lang w:val="fr-CH"/>
              </w:rPr>
              <w:t>autres parties prenantes, s</w:t>
            </w:r>
            <w:r w:rsidR="001A16E8">
              <w:rPr>
                <w:sz w:val="20"/>
                <w:lang w:val="fr-CH"/>
              </w:rPr>
              <w:t>'</w:t>
            </w:r>
            <w:r w:rsidRPr="006C54B8">
              <w:rPr>
                <w:sz w:val="20"/>
                <w:lang w:val="fr-CH"/>
              </w:rPr>
              <w:t>il y a lieu, à la mise en œuvre de toutes les grandes orientations et autres résultats pertinents du SMSI,</w:t>
            </w:r>
          </w:p>
        </w:tc>
        <w:tc>
          <w:tcPr>
            <w:tcW w:w="1629"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r>
      <w:tr w:rsidR="00656CAB" w:rsidRPr="00D206B7" w:rsidTr="00656CAB">
        <w:trPr>
          <w:tblHeader/>
        </w:trPr>
        <w:tc>
          <w:tcPr>
            <w:tcW w:w="2707" w:type="dxa"/>
            <w:tcBorders>
              <w:top w:val="single" w:sz="4" w:space="0" w:color="auto"/>
              <w:left w:val="single" w:sz="4" w:space="0" w:color="auto"/>
              <w:bottom w:val="single" w:sz="4" w:space="0" w:color="auto"/>
              <w:right w:val="single" w:sz="4" w:space="0" w:color="auto"/>
            </w:tcBorders>
          </w:tcPr>
          <w:p w:rsidR="00656CAB" w:rsidRDefault="00656CAB" w:rsidP="00656CAB">
            <w:pPr>
              <w:pStyle w:val="ResNo"/>
              <w:keepNext w:val="0"/>
              <w:keepLines w:val="0"/>
              <w:spacing w:before="120"/>
              <w:rPr>
                <w:b w:val="0"/>
                <w:caps/>
                <w:sz w:val="20"/>
              </w:rPr>
            </w:pPr>
            <w:r w:rsidRPr="00851B25">
              <w:rPr>
                <w:b w:val="0"/>
                <w:caps/>
                <w:sz w:val="20"/>
              </w:rPr>
              <w:t>résolution uit</w:t>
            </w:r>
            <w:r w:rsidRPr="00851B25">
              <w:rPr>
                <w:b w:val="0"/>
                <w:caps/>
                <w:sz w:val="20"/>
              </w:rPr>
              <w:noBreakHyphen/>
              <w:t xml:space="preserve">R </w:t>
            </w:r>
            <w:r>
              <w:rPr>
                <w:b w:val="0"/>
                <w:caps/>
                <w:sz w:val="20"/>
              </w:rPr>
              <w:t>62</w:t>
            </w:r>
          </w:p>
          <w:p w:rsidR="00656CAB" w:rsidRPr="006C54B8" w:rsidRDefault="00656CAB" w:rsidP="00656CAB">
            <w:pPr>
              <w:pStyle w:val="ResNo"/>
              <w:keepNext w:val="0"/>
              <w:keepLines w:val="0"/>
              <w:spacing w:before="120"/>
            </w:pPr>
            <w:r w:rsidRPr="006C54B8">
              <w:rPr>
                <w:sz w:val="20"/>
              </w:rPr>
              <w:t>Etudes relatives aux essais de conformité aux Recommandations UIT-R et d</w:t>
            </w:r>
            <w:r w:rsidR="001A16E8">
              <w:rPr>
                <w:sz w:val="20"/>
              </w:rPr>
              <w:t>'</w:t>
            </w:r>
            <w:r w:rsidRPr="006C54B8">
              <w:rPr>
                <w:sz w:val="20"/>
              </w:rPr>
              <w:t>interopérabilité des équipements et systèmes de radiocommunication</w:t>
            </w:r>
          </w:p>
        </w:tc>
        <w:tc>
          <w:tcPr>
            <w:tcW w:w="1725" w:type="dxa"/>
            <w:tcBorders>
              <w:top w:val="single" w:sz="4" w:space="0" w:color="auto"/>
              <w:left w:val="single" w:sz="4" w:space="0" w:color="auto"/>
              <w:bottom w:val="single" w:sz="4" w:space="0" w:color="auto"/>
              <w:right w:val="single" w:sz="4" w:space="0" w:color="auto"/>
            </w:tcBorders>
          </w:tcPr>
          <w:p w:rsidR="00656CAB" w:rsidRPr="00851B25" w:rsidRDefault="00656CAB" w:rsidP="00656CAB">
            <w:pPr>
              <w:pStyle w:val="Tabletext"/>
              <w:spacing w:before="120"/>
              <w:rPr>
                <w:b/>
                <w:bCs/>
                <w:sz w:val="20"/>
              </w:rPr>
            </w:pPr>
          </w:p>
        </w:tc>
        <w:tc>
          <w:tcPr>
            <w:tcW w:w="5432" w:type="dxa"/>
            <w:tcBorders>
              <w:top w:val="single" w:sz="4" w:space="0" w:color="auto"/>
              <w:left w:val="single" w:sz="4" w:space="0" w:color="auto"/>
              <w:bottom w:val="single" w:sz="4" w:space="0" w:color="auto"/>
              <w:right w:val="single" w:sz="4" w:space="0" w:color="auto"/>
            </w:tcBorders>
          </w:tcPr>
          <w:p w:rsidR="00656CAB" w:rsidRPr="006C54B8" w:rsidRDefault="00656CAB" w:rsidP="00656CAB">
            <w:pPr>
              <w:pStyle w:val="Call"/>
              <w:keepNext w:val="0"/>
              <w:keepLines w:val="0"/>
              <w:spacing w:before="120"/>
              <w:rPr>
                <w:sz w:val="20"/>
              </w:rPr>
            </w:pPr>
            <w:r w:rsidRPr="006C54B8">
              <w:rPr>
                <w:sz w:val="20"/>
              </w:rPr>
              <w:t>décide</w:t>
            </w:r>
          </w:p>
          <w:p w:rsidR="00656CAB" w:rsidRPr="006F3641" w:rsidRDefault="00656CAB" w:rsidP="00656CAB">
            <w:pPr>
              <w:rPr>
                <w:sz w:val="20"/>
              </w:rPr>
            </w:pPr>
            <w:r w:rsidRPr="006F3641">
              <w:rPr>
                <w:sz w:val="20"/>
                <w:lang w:val="fr-CH"/>
              </w:rPr>
              <w:t>que l</w:t>
            </w:r>
            <w:r w:rsidR="001A16E8">
              <w:rPr>
                <w:sz w:val="20"/>
                <w:lang w:val="fr-CH"/>
              </w:rPr>
              <w:t>'</w:t>
            </w:r>
            <w:r w:rsidRPr="006F3641">
              <w:rPr>
                <w:sz w:val="20"/>
                <w:lang w:val="fr-CH"/>
              </w:rPr>
              <w:t>UIT-R doit collaborer avec l</w:t>
            </w:r>
            <w:r w:rsidR="001A16E8">
              <w:rPr>
                <w:sz w:val="20"/>
                <w:lang w:val="fr-CH"/>
              </w:rPr>
              <w:t>'</w:t>
            </w:r>
            <w:r w:rsidRPr="006F3641">
              <w:rPr>
                <w:sz w:val="20"/>
                <w:lang w:val="fr-CH"/>
              </w:rPr>
              <w:t>UIT-T et l</w:t>
            </w:r>
            <w:r w:rsidR="001A16E8">
              <w:rPr>
                <w:sz w:val="20"/>
                <w:lang w:val="fr-CH"/>
              </w:rPr>
              <w:t>'</w:t>
            </w:r>
            <w:r w:rsidRPr="006F3641">
              <w:rPr>
                <w:sz w:val="20"/>
                <w:lang w:val="fr-CH"/>
              </w:rPr>
              <w:t>UIT-D en ce qui concerne les essais de conformité et d</w:t>
            </w:r>
            <w:r w:rsidR="001A16E8">
              <w:rPr>
                <w:sz w:val="20"/>
                <w:lang w:val="fr-CH"/>
              </w:rPr>
              <w:t>'</w:t>
            </w:r>
            <w:r w:rsidRPr="006F3641">
              <w:rPr>
                <w:sz w:val="20"/>
                <w:lang w:val="fr-CH"/>
              </w:rPr>
              <w:t xml:space="preserve">interopérabilité, dans le cadre de son mandat, conformément à la Résolution 177 (Guadalajara, 2010) de la Conférence de plénipotentiaires (voir le </w:t>
            </w:r>
            <w:r w:rsidRPr="006F3641">
              <w:rPr>
                <w:i/>
                <w:iCs/>
                <w:sz w:val="20"/>
                <w:lang w:val="fr-CH"/>
              </w:rPr>
              <w:t>notant b)</w:t>
            </w:r>
            <w:r w:rsidRPr="006F3641">
              <w:rPr>
                <w:sz w:val="20"/>
                <w:lang w:val="fr-CH"/>
              </w:rPr>
              <w:t>) et fournir des informations à ces Secteurs lorsqu</w:t>
            </w:r>
            <w:r w:rsidR="001A16E8">
              <w:rPr>
                <w:sz w:val="20"/>
                <w:lang w:val="fr-CH"/>
              </w:rPr>
              <w:t>'</w:t>
            </w:r>
            <w:r w:rsidRPr="006F3641">
              <w:rPr>
                <w:sz w:val="20"/>
                <w:lang w:val="fr-CH"/>
              </w:rPr>
              <w:t>ils le lui demandent,</w:t>
            </w:r>
          </w:p>
        </w:tc>
        <w:tc>
          <w:tcPr>
            <w:tcW w:w="1629"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590"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c>
          <w:tcPr>
            <w:tcW w:w="1703" w:type="dxa"/>
            <w:tcBorders>
              <w:top w:val="single" w:sz="4" w:space="0" w:color="auto"/>
              <w:left w:val="single" w:sz="4" w:space="0" w:color="auto"/>
              <w:bottom w:val="single" w:sz="4" w:space="0" w:color="auto"/>
              <w:right w:val="single" w:sz="4" w:space="0" w:color="auto"/>
            </w:tcBorders>
          </w:tcPr>
          <w:p w:rsidR="00656CAB" w:rsidRPr="00D206B7" w:rsidRDefault="00656CAB" w:rsidP="00656CAB">
            <w:pPr>
              <w:pStyle w:val="Tabletext"/>
              <w:rPr>
                <w:rStyle w:val="FootnoteReference"/>
                <w:sz w:val="20"/>
              </w:rPr>
            </w:pPr>
          </w:p>
        </w:tc>
      </w:tr>
    </w:tbl>
    <w:p w:rsidR="00656CAB" w:rsidRDefault="00656CAB" w:rsidP="00656CAB"/>
    <w:p w:rsidR="00132F8E" w:rsidRPr="001A16E8" w:rsidRDefault="00132F8E" w:rsidP="00A8573D">
      <w:pPr>
        <w:pStyle w:val="Reasons"/>
        <w:rPr>
          <w:lang w:val="fr-FR"/>
        </w:rPr>
      </w:pPr>
    </w:p>
    <w:p w:rsidR="00132F8E" w:rsidRDefault="00132F8E">
      <w:pPr>
        <w:jc w:val="center"/>
      </w:pPr>
      <w:r>
        <w:t>______________</w:t>
      </w:r>
    </w:p>
    <w:p w:rsidR="00656CAB" w:rsidRDefault="00656CAB" w:rsidP="00656CAB"/>
    <w:sectPr w:rsidR="00656CAB" w:rsidSect="00132F8E">
      <w:pgSz w:w="16834" w:h="11907" w:orient="landscape"/>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A9" w:rsidRDefault="002848A9">
      <w:r>
        <w:separator/>
      </w:r>
    </w:p>
  </w:endnote>
  <w:endnote w:type="continuationSeparator" w:id="0">
    <w:p w:rsidR="002848A9" w:rsidRDefault="0028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9" w:rsidRDefault="002848A9">
    <w:pPr>
      <w:pStyle w:val="Footer"/>
      <w:rPr>
        <w:lang w:val="en-US"/>
      </w:rPr>
    </w:pPr>
    <w:r>
      <w:fldChar w:fldCharType="begin"/>
    </w:r>
    <w:r w:rsidRPr="00A9055C">
      <w:rPr>
        <w:lang w:val="en-US"/>
      </w:rPr>
      <w:instrText xml:space="preserve"> FILENAME \p \* MERGEFORMAT </w:instrText>
    </w:r>
    <w:r>
      <w:fldChar w:fldCharType="separate"/>
    </w:r>
    <w:r>
      <w:rPr>
        <w:lang w:val="en-US"/>
      </w:rPr>
      <w:t>P:\FRA\ITU-R\AG\RAG12\RAG-1\000\007F.docx</w:t>
    </w:r>
    <w:r>
      <w:rPr>
        <w:lang w:val="en-US"/>
      </w:rPr>
      <w:fldChar w:fldCharType="end"/>
    </w:r>
    <w:r>
      <w:rPr>
        <w:lang w:val="en-US"/>
      </w:rPr>
      <w:tab/>
    </w:r>
    <w:r>
      <w:fldChar w:fldCharType="begin"/>
    </w:r>
    <w:r>
      <w:instrText xml:space="preserve"> savedate \@ dd.MM.yy </w:instrText>
    </w:r>
    <w:r>
      <w:fldChar w:fldCharType="separate"/>
    </w:r>
    <w:r>
      <w:t>18.06.12</w:t>
    </w:r>
    <w:r>
      <w:fldChar w:fldCharType="end"/>
    </w:r>
    <w:r>
      <w:rPr>
        <w:lang w:val="en-US"/>
      </w:rPr>
      <w:tab/>
    </w:r>
    <w:r>
      <w:fldChar w:fldCharType="begin"/>
    </w:r>
    <w:r>
      <w:instrText xml:space="preserve"> printdate \@ dd.MM.yy </w:instrText>
    </w:r>
    <w:r>
      <w:fldChar w:fldCharType="separate"/>
    </w:r>
    <w:r>
      <w:t>18.06.12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9" w:rsidRDefault="002848A9">
    <w:pPr>
      <w:pStyle w:val="Footer"/>
      <w:rPr>
        <w:lang w:val="en-US"/>
      </w:rPr>
    </w:pPr>
    <w:r>
      <w:fldChar w:fldCharType="begin"/>
    </w:r>
    <w:r w:rsidRPr="00A9055C">
      <w:rPr>
        <w:lang w:val="en-US"/>
      </w:rPr>
      <w:instrText xml:space="preserve"> FILENAME \p \* MERGEFORMAT </w:instrText>
    </w:r>
    <w:r>
      <w:fldChar w:fldCharType="separate"/>
    </w:r>
    <w:r>
      <w:rPr>
        <w:lang w:val="en-US"/>
      </w:rPr>
      <w:t>P:\FRA\ITU-R\AG\RAG12\RAG-1\000\007F.docx</w:t>
    </w:r>
    <w:r>
      <w:rPr>
        <w:lang w:val="en-US"/>
      </w:rPr>
      <w:fldChar w:fldCharType="end"/>
    </w:r>
    <w:r>
      <w:rPr>
        <w:lang w:val="en-US"/>
      </w:rPr>
      <w:t xml:space="preserve"> (328304)</w:t>
    </w:r>
    <w:r>
      <w:rPr>
        <w:lang w:val="en-US"/>
      </w:rPr>
      <w:tab/>
    </w:r>
    <w:r>
      <w:fldChar w:fldCharType="begin"/>
    </w:r>
    <w:r>
      <w:instrText xml:space="preserve"> savedate \@ dd.MM.yy </w:instrText>
    </w:r>
    <w:r>
      <w:fldChar w:fldCharType="separate"/>
    </w:r>
    <w:r>
      <w:t>18.06.12</w:t>
    </w:r>
    <w:r>
      <w:fldChar w:fldCharType="end"/>
    </w:r>
    <w:r>
      <w:rPr>
        <w:lang w:val="en-US"/>
      </w:rPr>
      <w:tab/>
    </w:r>
    <w:r>
      <w:fldChar w:fldCharType="begin"/>
    </w:r>
    <w:r>
      <w:instrText xml:space="preserve"> printdate \@ dd.MM.yy </w:instrText>
    </w:r>
    <w:r>
      <w:fldChar w:fldCharType="separate"/>
    </w:r>
    <w:r>
      <w:t>18.06.12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9" w:rsidRDefault="002848A9">
    <w:pPr>
      <w:pStyle w:val="Footer"/>
      <w:rPr>
        <w:lang w:val="en-US"/>
      </w:rPr>
    </w:pPr>
    <w:r>
      <w:fldChar w:fldCharType="begin"/>
    </w:r>
    <w:r w:rsidRPr="00A9055C">
      <w:rPr>
        <w:lang w:val="en-US"/>
      </w:rPr>
      <w:instrText xml:space="preserve"> FILENAME \p \* MERGEFORMAT </w:instrText>
    </w:r>
    <w:r>
      <w:fldChar w:fldCharType="separate"/>
    </w:r>
    <w:r>
      <w:rPr>
        <w:lang w:val="en-US"/>
      </w:rPr>
      <w:t>P:\FRA\ITU-R\AG\RAG12\RAG-1\000\007F.docx</w:t>
    </w:r>
    <w:r>
      <w:rPr>
        <w:lang w:val="en-US"/>
      </w:rPr>
      <w:fldChar w:fldCharType="end"/>
    </w:r>
    <w:r>
      <w:rPr>
        <w:lang w:val="en-US"/>
      </w:rPr>
      <w:t xml:space="preserve"> (328304)</w:t>
    </w:r>
    <w:r>
      <w:rPr>
        <w:lang w:val="en-US"/>
      </w:rPr>
      <w:tab/>
    </w:r>
    <w:r>
      <w:fldChar w:fldCharType="begin"/>
    </w:r>
    <w:r>
      <w:instrText xml:space="preserve"> savedate \@ dd.MM.yy </w:instrText>
    </w:r>
    <w:r>
      <w:fldChar w:fldCharType="separate"/>
    </w:r>
    <w:r>
      <w:t>18.06.12</w:t>
    </w:r>
    <w:r>
      <w:fldChar w:fldCharType="end"/>
    </w:r>
    <w:r>
      <w:rPr>
        <w:lang w:val="en-US"/>
      </w:rPr>
      <w:tab/>
    </w:r>
    <w:r>
      <w:fldChar w:fldCharType="begin"/>
    </w:r>
    <w:r>
      <w:instrText xml:space="preserve"> printdate \@ dd.MM.yy </w:instrText>
    </w:r>
    <w:r>
      <w:fldChar w:fldCharType="separate"/>
    </w:r>
    <w:r>
      <w:t>18.06.12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A9" w:rsidRDefault="002848A9">
      <w:r>
        <w:t>____________________</w:t>
      </w:r>
    </w:p>
  </w:footnote>
  <w:footnote w:type="continuationSeparator" w:id="0">
    <w:p w:rsidR="002848A9" w:rsidRDefault="002848A9">
      <w:r>
        <w:continuationSeparator/>
      </w:r>
    </w:p>
  </w:footnote>
  <w:footnote w:id="1">
    <w:p w:rsidR="002848A9" w:rsidRPr="00445ABF" w:rsidRDefault="002848A9">
      <w:pPr>
        <w:pStyle w:val="FootnoteText"/>
        <w:rPr>
          <w:lang w:val="fr-CH"/>
        </w:rPr>
      </w:pPr>
      <w:r>
        <w:rPr>
          <w:rStyle w:val="FootnoteReference"/>
        </w:rPr>
        <w:t>*</w:t>
      </w:r>
      <w:r>
        <w:t xml:space="preserve"> </w:t>
      </w:r>
      <w:r>
        <w:rPr>
          <w:lang w:val="fr-CH"/>
        </w:rPr>
        <w:tab/>
      </w:r>
      <w:r>
        <w:t>Le présent document a été examiné et a fait l’objet d’un accord lors de la deuxième réunion de la Commission sur la réglementation de l’utilisation du spectre des fréquences radioélectriques et des orbites de satellites de la Communauté régionale des communications.</w:t>
      </w:r>
    </w:p>
  </w:footnote>
  <w:footnote w:id="2">
    <w:p w:rsidR="002848A9" w:rsidRPr="00F93800" w:rsidRDefault="002848A9" w:rsidP="005879A5">
      <w:pPr>
        <w:pStyle w:val="FootnoteText"/>
        <w:keepLines w:val="0"/>
        <w:rPr>
          <w:lang w:val="fr-CH"/>
        </w:rPr>
      </w:pPr>
      <w:r>
        <w:rPr>
          <w:rStyle w:val="FootnoteReference"/>
        </w:rPr>
        <w:t>1</w:t>
      </w:r>
      <w:r>
        <w:t xml:space="preserve"> </w:t>
      </w:r>
      <w:r>
        <w:tab/>
        <w:t>Un groupe UIT-R participant peut être soit un groupe qui contribue aux travaux sur un sujet précis (indiqué en gras), soit un groupe intéressé (indiqué entre parenthèses) qui suit les travaux sur un sujet précis et agit en conséquence.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9" w:rsidRDefault="002848A9">
    <w:pPr>
      <w:pStyle w:val="Header"/>
    </w:pPr>
    <w:r>
      <w:rPr>
        <w:lang w:val="es-ES"/>
      </w:rPr>
      <w:t xml:space="preserve">- </w:t>
    </w:r>
    <w:r>
      <w:fldChar w:fldCharType="begin"/>
    </w:r>
    <w:r>
      <w:instrText xml:space="preserve"> PAGE </w:instrText>
    </w:r>
    <w:r>
      <w:fldChar w:fldCharType="separate"/>
    </w:r>
    <w:r>
      <w:rPr>
        <w:noProof/>
      </w:rPr>
      <w:t>7</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9" w:rsidRDefault="002848A9" w:rsidP="00925627">
    <w:pPr>
      <w:pStyle w:val="Header"/>
      <w:rPr>
        <w:lang w:val="es-ES"/>
      </w:rPr>
    </w:pPr>
    <w:r>
      <w:fldChar w:fldCharType="begin"/>
    </w:r>
    <w:r>
      <w:instrText xml:space="preserve"> PAGE </w:instrText>
    </w:r>
    <w:r>
      <w:fldChar w:fldCharType="separate"/>
    </w:r>
    <w:r>
      <w:rPr>
        <w:noProof/>
      </w:rPr>
      <w:t>9</w:t>
    </w:r>
    <w:r>
      <w:rPr>
        <w:noProof/>
      </w:rPr>
      <w:fldChar w:fldCharType="end"/>
    </w:r>
  </w:p>
  <w:p w:rsidR="002848A9" w:rsidRDefault="002848A9" w:rsidP="00A2582E">
    <w:pPr>
      <w:pStyle w:val="Header"/>
      <w:rPr>
        <w:lang w:val="es-ES"/>
      </w:rPr>
    </w:pPr>
    <w:r>
      <w:rPr>
        <w:lang w:val="es-ES"/>
      </w:rPr>
      <w:t>RAG12-1/7-F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7F"/>
    <w:rsid w:val="00024628"/>
    <w:rsid w:val="00041BDC"/>
    <w:rsid w:val="00070611"/>
    <w:rsid w:val="0007202C"/>
    <w:rsid w:val="000B4119"/>
    <w:rsid w:val="001104F6"/>
    <w:rsid w:val="00132F8E"/>
    <w:rsid w:val="00140AE6"/>
    <w:rsid w:val="001A16E8"/>
    <w:rsid w:val="001A311E"/>
    <w:rsid w:val="002832C0"/>
    <w:rsid w:val="002848A9"/>
    <w:rsid w:val="002D238A"/>
    <w:rsid w:val="00400E33"/>
    <w:rsid w:val="00445ABF"/>
    <w:rsid w:val="004653DA"/>
    <w:rsid w:val="00487681"/>
    <w:rsid w:val="005430E4"/>
    <w:rsid w:val="005879A5"/>
    <w:rsid w:val="00656CAB"/>
    <w:rsid w:val="0067019B"/>
    <w:rsid w:val="00671149"/>
    <w:rsid w:val="0069382D"/>
    <w:rsid w:val="00773E5E"/>
    <w:rsid w:val="0079313A"/>
    <w:rsid w:val="00813ADA"/>
    <w:rsid w:val="00847AAC"/>
    <w:rsid w:val="00910AF0"/>
    <w:rsid w:val="00925627"/>
    <w:rsid w:val="0093101F"/>
    <w:rsid w:val="009373D2"/>
    <w:rsid w:val="0097156E"/>
    <w:rsid w:val="00A2582E"/>
    <w:rsid w:val="00A7097F"/>
    <w:rsid w:val="00A839E0"/>
    <w:rsid w:val="00A8573D"/>
    <w:rsid w:val="00A9055C"/>
    <w:rsid w:val="00AB7F92"/>
    <w:rsid w:val="00AC39EE"/>
    <w:rsid w:val="00CC5B9E"/>
    <w:rsid w:val="00CC7208"/>
    <w:rsid w:val="00D228F7"/>
    <w:rsid w:val="00E7285E"/>
    <w:rsid w:val="00E96D42"/>
    <w:rsid w:val="00F14BA3"/>
    <w:rsid w:val="00F93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79313A"/>
    <w:rPr>
      <w:rFonts w:ascii="Times New Roman" w:hAnsi="Times New Roman"/>
      <w:sz w:val="24"/>
      <w:lang w:val="fr-FR" w:eastAsia="en-US"/>
    </w:rPr>
  </w:style>
  <w:style w:type="character" w:customStyle="1" w:styleId="TabletextChar">
    <w:name w:val="Table_text Char"/>
    <w:link w:val="Tabletext"/>
    <w:locked/>
    <w:rsid w:val="00656CAB"/>
    <w:rPr>
      <w:rFonts w:ascii="Times New Roman" w:hAnsi="Times New Roman"/>
      <w:sz w:val="22"/>
      <w:lang w:val="fr-FR" w:eastAsia="en-US"/>
    </w:rPr>
  </w:style>
  <w:style w:type="character" w:customStyle="1" w:styleId="ResNoChar">
    <w:name w:val="Res_No Char"/>
    <w:link w:val="ResNo"/>
    <w:locked/>
    <w:rsid w:val="00656CAB"/>
    <w:rPr>
      <w:rFonts w:ascii="Times New Roman" w:hAnsi="Times New Roman"/>
      <w:b/>
      <w:sz w:val="28"/>
      <w:lang w:val="fr-FR" w:eastAsia="en-US"/>
    </w:rPr>
  </w:style>
  <w:style w:type="character" w:customStyle="1" w:styleId="CallChar">
    <w:name w:val="Call Char"/>
    <w:link w:val="Call"/>
    <w:locked/>
    <w:rsid w:val="00656CAB"/>
    <w:rPr>
      <w:rFonts w:ascii="Times New Roman" w:hAnsi="Times New Roman"/>
      <w:i/>
      <w:sz w:val="24"/>
      <w:lang w:val="fr-FR" w:eastAsia="en-US"/>
    </w:rPr>
  </w:style>
  <w:style w:type="character" w:customStyle="1" w:styleId="enumlev1Char">
    <w:name w:val="enumlev1 Char"/>
    <w:link w:val="enumlev1"/>
    <w:locked/>
    <w:rsid w:val="00656CAB"/>
    <w:rPr>
      <w:rFonts w:ascii="Times New Roman" w:hAnsi="Times New Roman"/>
      <w:sz w:val="24"/>
      <w:lang w:val="fr-FR" w:eastAsia="en-US"/>
    </w:rPr>
  </w:style>
  <w:style w:type="character" w:customStyle="1" w:styleId="TableheadChar">
    <w:name w:val="Table_head Char"/>
    <w:link w:val="Tablehead"/>
    <w:locked/>
    <w:rsid w:val="00656CAB"/>
    <w:rPr>
      <w:rFonts w:ascii="Times New Roman" w:hAnsi="Times New Roman"/>
      <w:b/>
      <w:sz w:val="22"/>
      <w:lang w:val="fr-FR" w:eastAsia="en-US"/>
    </w:rPr>
  </w:style>
  <w:style w:type="paragraph" w:customStyle="1" w:styleId="Reasons">
    <w:name w:val="Reasons"/>
    <w:basedOn w:val="Normal"/>
    <w:qFormat/>
    <w:rsid w:val="00132F8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79313A"/>
    <w:rPr>
      <w:rFonts w:ascii="Times New Roman" w:hAnsi="Times New Roman"/>
      <w:sz w:val="24"/>
      <w:lang w:val="fr-FR" w:eastAsia="en-US"/>
    </w:rPr>
  </w:style>
  <w:style w:type="character" w:customStyle="1" w:styleId="TabletextChar">
    <w:name w:val="Table_text Char"/>
    <w:link w:val="Tabletext"/>
    <w:locked/>
    <w:rsid w:val="00656CAB"/>
    <w:rPr>
      <w:rFonts w:ascii="Times New Roman" w:hAnsi="Times New Roman"/>
      <w:sz w:val="22"/>
      <w:lang w:val="fr-FR" w:eastAsia="en-US"/>
    </w:rPr>
  </w:style>
  <w:style w:type="character" w:customStyle="1" w:styleId="ResNoChar">
    <w:name w:val="Res_No Char"/>
    <w:link w:val="ResNo"/>
    <w:locked/>
    <w:rsid w:val="00656CAB"/>
    <w:rPr>
      <w:rFonts w:ascii="Times New Roman" w:hAnsi="Times New Roman"/>
      <w:b/>
      <w:sz w:val="28"/>
      <w:lang w:val="fr-FR" w:eastAsia="en-US"/>
    </w:rPr>
  </w:style>
  <w:style w:type="character" w:customStyle="1" w:styleId="CallChar">
    <w:name w:val="Call Char"/>
    <w:link w:val="Call"/>
    <w:locked/>
    <w:rsid w:val="00656CAB"/>
    <w:rPr>
      <w:rFonts w:ascii="Times New Roman" w:hAnsi="Times New Roman"/>
      <w:i/>
      <w:sz w:val="24"/>
      <w:lang w:val="fr-FR" w:eastAsia="en-US"/>
    </w:rPr>
  </w:style>
  <w:style w:type="character" w:customStyle="1" w:styleId="enumlev1Char">
    <w:name w:val="enumlev1 Char"/>
    <w:link w:val="enumlev1"/>
    <w:locked/>
    <w:rsid w:val="00656CAB"/>
    <w:rPr>
      <w:rFonts w:ascii="Times New Roman" w:hAnsi="Times New Roman"/>
      <w:sz w:val="24"/>
      <w:lang w:val="fr-FR" w:eastAsia="en-US"/>
    </w:rPr>
  </w:style>
  <w:style w:type="character" w:customStyle="1" w:styleId="TableheadChar">
    <w:name w:val="Table_head Char"/>
    <w:link w:val="Tablehead"/>
    <w:locked/>
    <w:rsid w:val="00656CAB"/>
    <w:rPr>
      <w:rFonts w:ascii="Times New Roman" w:hAnsi="Times New Roman"/>
      <w:b/>
      <w:sz w:val="22"/>
      <w:lang w:val="fr-FR" w:eastAsia="en-US"/>
    </w:rPr>
  </w:style>
  <w:style w:type="paragraph" w:customStyle="1" w:styleId="Reasons">
    <w:name w:val="Reasons"/>
    <w:basedOn w:val="Normal"/>
    <w:qFormat/>
    <w:rsid w:val="00132F8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RAG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A386-40F2-4517-9599-780F107F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PF_RAG12</Template>
  <TotalTime>91</TotalTime>
  <Pages>9</Pages>
  <Words>1757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MISE EN OEUVRE DES ETUDES SUR LES RÉSOLUTIONS UIT-R</vt:lpstr>
    </vt:vector>
  </TitlesOfParts>
  <Manager>General Secretariat - Pool</Manager>
  <Company>International Telecommunication Union (ITU)</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OEUVRE DES ETUDES SUR LES RÉSOLUTIONS UIT-R</dc:title>
  <dc:subject>GROUPE CONSULTATIF DES RADIOCOMMUNICATIONS</dc:subject>
  <dc:creator>Fédération de Russie*</dc:creator>
  <cp:keywords>RAG03-1</cp:keywords>
  <dc:description>Document RAG12-1/7-F  For: _x000d_Document date: 25 mai 2012_x000d_Saved by KR108135 at 11:57:01 on 18.06.2012</dc:description>
  <cp:lastModifiedBy>Royer, Veronique</cp:lastModifiedBy>
  <cp:revision>28</cp:revision>
  <cp:lastPrinted>2012-06-18T12:31:00Z</cp:lastPrinted>
  <dcterms:created xsi:type="dcterms:W3CDTF">2012-06-18T08:45:00Z</dcterms:created>
  <dcterms:modified xsi:type="dcterms:W3CDTF">2012-06-18T12:33:00Z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RAG12-1/7-F</vt:lpwstr>
  </property>
  <property fmtid="{D5CDD505-2E9C-101B-9397-08002B2CF9AE}" pid="3" name="Docdate">
    <vt:lpwstr>25 mai 2012</vt:lpwstr>
  </property>
  <property fmtid="{D5CDD505-2E9C-101B-9397-08002B2CF9AE}" pid="4" name="Docorlang">
    <vt:lpwstr>Original: russe</vt:lpwstr>
  </property>
  <property fmtid="{D5CDD505-2E9C-101B-9397-08002B2CF9AE}" pid="5" name="Docauthor">
    <vt:lpwstr>Fédération de Russie*</vt:lpwstr>
  </property>
</Properties>
</file>