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2C2AEAC3" w:rsidR="00175E0C" w:rsidRPr="00D872CB" w:rsidRDefault="00C468E2" w:rsidP="00E327F0">
            <w:pPr>
              <w:framePr w:hSpace="181" w:wrap="around" w:vAnchor="page" w:hAnchor="margin" w:x="1" w:y="852"/>
              <w:shd w:val="solid" w:color="FFFFFF" w:fill="FFFFFF"/>
              <w:spacing w:before="0" w:line="240" w:lineRule="atLeast"/>
              <w:rPr>
                <w:rFonts w:ascii="Verdana" w:hAnsi="Verdana"/>
                <w:b/>
                <w:sz w:val="20"/>
              </w:rPr>
            </w:pPr>
            <w:r>
              <w:rPr>
                <w:rFonts w:ascii="Verdana" w:hAnsi="Verdana"/>
                <w:b/>
                <w:sz w:val="20"/>
              </w:rPr>
              <w:t xml:space="preserve">Addendum </w:t>
            </w:r>
            <w:r w:rsidR="00E327F0">
              <w:rPr>
                <w:rFonts w:ascii="Verdana" w:hAnsi="Verdana"/>
                <w:b/>
                <w:sz w:val="20"/>
              </w:rPr>
              <w:t>1</w:t>
            </w:r>
            <w:r>
              <w:rPr>
                <w:rFonts w:ascii="Verdana" w:hAnsi="Verdana"/>
                <w:b/>
                <w:sz w:val="20"/>
              </w:rPr>
              <w:t xml:space="preserve"> to</w:t>
            </w: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2853229F" w:rsidR="0051782D" w:rsidRPr="00D872CB" w:rsidRDefault="00BD7223" w:rsidP="00E327F0">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E327F0">
              <w:rPr>
                <w:rFonts w:ascii="Verdana" w:hAnsi="Verdana"/>
                <w:b/>
                <w:sz w:val="20"/>
              </w:rPr>
              <w:t>5</w:t>
            </w:r>
            <w:r w:rsidRPr="00D872CB">
              <w:rPr>
                <w:rFonts w:ascii="Verdana" w:hAnsi="Verdana"/>
                <w:b/>
                <w:sz w:val="20"/>
              </w:rPr>
              <w:t>-E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047CC854" w:rsidR="0051782D" w:rsidRPr="00D872CB" w:rsidRDefault="00E327F0" w:rsidP="0007381C">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15 June</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421DDFB6"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r w:rsidR="00E327F0">
              <w:rPr>
                <w:rFonts w:ascii="Verdana" w:hAnsi="Verdana"/>
                <w:b/>
                <w:sz w:val="20"/>
              </w:rPr>
              <w:t xml:space="preserve"> only</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44B9121C" w:rsidR="00093C73" w:rsidRPr="00D872CB" w:rsidRDefault="006E6496">
            <w:pPr>
              <w:pStyle w:val="Source"/>
            </w:pPr>
            <w:bookmarkStart w:id="3" w:name="dsource" w:colFirst="0" w:colLast="0"/>
            <w:bookmarkEnd w:id="2"/>
            <w:r>
              <w:t>Chairman of the Correspondence Group on BR Information Systems</w:t>
            </w:r>
          </w:p>
        </w:tc>
      </w:tr>
      <w:tr w:rsidR="00093C73" w:rsidRPr="00D872CB" w14:paraId="1C7FCA82" w14:textId="77777777">
        <w:trPr>
          <w:cantSplit/>
        </w:trPr>
        <w:tc>
          <w:tcPr>
            <w:tcW w:w="9889" w:type="dxa"/>
          </w:tcPr>
          <w:p w14:paraId="00A030E1" w14:textId="3427EBD1" w:rsidR="00093C73" w:rsidRPr="00D872CB" w:rsidRDefault="006E6496" w:rsidP="00472494">
            <w:pPr>
              <w:pStyle w:val="Title1"/>
            </w:pPr>
            <w:bookmarkStart w:id="4" w:name="dtitle1" w:colFirst="0" w:colLast="0"/>
            <w:bookmarkEnd w:id="3"/>
            <w:r>
              <w:t>REPORT OF THE CORRESPONDENCE GROUP ON</w:t>
            </w:r>
            <w:r>
              <w:br/>
              <w:t>BR INFORMATION SYSTEMS</w:t>
            </w:r>
          </w:p>
        </w:tc>
      </w:tr>
      <w:bookmarkEnd w:id="4"/>
    </w:tbl>
    <w:p w14:paraId="5967BA77" w14:textId="77777777" w:rsidR="000B7B82" w:rsidRDefault="000B7B82" w:rsidP="000B7B82"/>
    <w:p w14:paraId="46086B9A" w14:textId="77777777" w:rsidR="006E6496" w:rsidRDefault="006E6496" w:rsidP="000B7B82"/>
    <w:p w14:paraId="12CCF389" w14:textId="77777777" w:rsidR="00985CB2" w:rsidRPr="00B160DE" w:rsidRDefault="00985CB2" w:rsidP="00985CB2">
      <w:pPr>
        <w:jc w:val="center"/>
        <w:rPr>
          <w:b/>
          <w:bCs/>
          <w:sz w:val="26"/>
          <w:szCs w:val="26"/>
        </w:rPr>
      </w:pPr>
      <w:r w:rsidRPr="00B160DE">
        <w:rPr>
          <w:b/>
          <w:bCs/>
          <w:sz w:val="26"/>
          <w:szCs w:val="26"/>
        </w:rPr>
        <w:t xml:space="preserve">ITU-R Recommendations </w:t>
      </w:r>
      <w:r w:rsidRPr="00B160DE">
        <w:rPr>
          <w:b/>
          <w:bCs/>
          <w:sz w:val="26"/>
          <w:szCs w:val="26"/>
          <w:lang w:eastAsia="ja-JP"/>
        </w:rPr>
        <w:t xml:space="preserve">for which software </w:t>
      </w:r>
      <w:r>
        <w:rPr>
          <w:b/>
          <w:bCs/>
          <w:sz w:val="26"/>
          <w:szCs w:val="26"/>
          <w:lang w:eastAsia="ja-JP"/>
        </w:rPr>
        <w:t>should</w:t>
      </w:r>
      <w:r w:rsidRPr="00B160DE">
        <w:rPr>
          <w:b/>
          <w:bCs/>
          <w:sz w:val="26"/>
          <w:szCs w:val="26"/>
          <w:lang w:eastAsia="ja-JP"/>
        </w:rPr>
        <w:t xml:space="preserve"> be developed/regularly updated</w:t>
      </w:r>
    </w:p>
    <w:p w14:paraId="5BA7992C" w14:textId="77777777" w:rsidR="00985CB2" w:rsidRPr="00FD4B83" w:rsidRDefault="00985CB2" w:rsidP="00985CB2">
      <w:pPr>
        <w:outlineLvl w:val="0"/>
      </w:pPr>
    </w:p>
    <w:p w14:paraId="47AC14FC" w14:textId="77777777" w:rsidR="00985CB2" w:rsidRPr="00883DA4" w:rsidRDefault="00985CB2" w:rsidP="00985CB2">
      <w:pPr>
        <w:outlineLvl w:val="0"/>
        <w:rPr>
          <w:b/>
          <w:bCs/>
        </w:rPr>
      </w:pPr>
      <w:r w:rsidRPr="00883DA4">
        <w:rPr>
          <w:b/>
          <w:bCs/>
        </w:rPr>
        <w:t>Fixed-satellite service</w:t>
      </w:r>
    </w:p>
    <w:p w14:paraId="2FADE5E2" w14:textId="77777777" w:rsidR="00985CB2" w:rsidRDefault="00985CB2" w:rsidP="00985CB2">
      <w:pPr>
        <w:rPr>
          <w:rFonts w:eastAsia="Arial Unicode MS" w:cs="Arial Unicode MS"/>
          <w:bCs/>
        </w:rPr>
      </w:pP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985CB2" w14:paraId="4B23C6B3" w14:textId="77777777" w:rsidTr="00B60379">
        <w:trPr>
          <w:cantSplit/>
          <w:trHeight w:val="340"/>
          <w:tblHeader/>
          <w:jc w:val="center"/>
        </w:trPr>
        <w:tc>
          <w:tcPr>
            <w:tcW w:w="2127" w:type="dxa"/>
            <w:vAlign w:val="center"/>
          </w:tcPr>
          <w:p w14:paraId="3D58DCE1" w14:textId="77777777" w:rsidR="00985CB2" w:rsidRDefault="00985CB2" w:rsidP="00DE641C">
            <w:pPr>
              <w:pStyle w:val="Tablehead"/>
              <w:spacing w:before="0" w:after="0"/>
              <w:rPr>
                <w:lang w:val="en-US"/>
              </w:rPr>
            </w:pPr>
            <w:r>
              <w:rPr>
                <w:lang w:val="en-US"/>
              </w:rPr>
              <w:t>Rec. ITU-R</w:t>
            </w:r>
          </w:p>
        </w:tc>
        <w:tc>
          <w:tcPr>
            <w:tcW w:w="6945" w:type="dxa"/>
            <w:vAlign w:val="center"/>
          </w:tcPr>
          <w:p w14:paraId="151E6C0C" w14:textId="77777777" w:rsidR="00985CB2" w:rsidRDefault="00985CB2" w:rsidP="00DE641C">
            <w:pPr>
              <w:pStyle w:val="Tablehead"/>
              <w:spacing w:before="0" w:after="0"/>
            </w:pPr>
            <w:r>
              <w:t>Title</w:t>
            </w:r>
          </w:p>
        </w:tc>
      </w:tr>
      <w:tr w:rsidR="00985CB2" w14:paraId="703A842E" w14:textId="77777777" w:rsidTr="00DE641C">
        <w:trPr>
          <w:cantSplit/>
          <w:jc w:val="center"/>
        </w:trPr>
        <w:tc>
          <w:tcPr>
            <w:tcW w:w="2127" w:type="dxa"/>
            <w:vAlign w:val="center"/>
          </w:tcPr>
          <w:p w14:paraId="368A9FAA" w14:textId="7AAE5FF1" w:rsidR="00985CB2" w:rsidRDefault="00985CB2" w:rsidP="00B17AF7">
            <w:pPr>
              <w:pStyle w:val="Tabletext"/>
              <w:spacing w:before="0" w:after="0"/>
              <w:jc w:val="center"/>
            </w:pPr>
            <w:r w:rsidRPr="006F1632">
              <w:t>S.465</w:t>
            </w:r>
          </w:p>
        </w:tc>
        <w:tc>
          <w:tcPr>
            <w:tcW w:w="6945" w:type="dxa"/>
            <w:vAlign w:val="center"/>
          </w:tcPr>
          <w:p w14:paraId="7F1C000A" w14:textId="77777777" w:rsidR="00985CB2" w:rsidRDefault="00985CB2" w:rsidP="00DE641C">
            <w:pPr>
              <w:pStyle w:val="Tabletext"/>
              <w:spacing w:before="0" w:after="0"/>
            </w:pPr>
            <w:r>
              <w:t>Reference radiation pattern for earth station antennas in the fixed-satellite service for use in coordination and interference assessment in the frequency range from 2 to 31 GHz</w:t>
            </w:r>
          </w:p>
        </w:tc>
      </w:tr>
      <w:tr w:rsidR="00985CB2" w14:paraId="4E26604D" w14:textId="77777777" w:rsidTr="00DE641C">
        <w:trPr>
          <w:cantSplit/>
          <w:jc w:val="center"/>
        </w:trPr>
        <w:tc>
          <w:tcPr>
            <w:tcW w:w="2127" w:type="dxa"/>
            <w:vAlign w:val="center"/>
          </w:tcPr>
          <w:p w14:paraId="0FEDBEFE" w14:textId="36329FAC" w:rsidR="00985CB2" w:rsidRDefault="00985CB2" w:rsidP="00B17AF7">
            <w:pPr>
              <w:pStyle w:val="Tabletext"/>
              <w:spacing w:before="0" w:after="0"/>
              <w:jc w:val="center"/>
            </w:pPr>
            <w:r w:rsidRPr="006F1632">
              <w:rPr>
                <w:lang w:val="en-US"/>
              </w:rPr>
              <w:t>S.580</w:t>
            </w:r>
          </w:p>
        </w:tc>
        <w:tc>
          <w:tcPr>
            <w:tcW w:w="6945" w:type="dxa"/>
            <w:vAlign w:val="center"/>
          </w:tcPr>
          <w:p w14:paraId="2EC4C781" w14:textId="77777777" w:rsidR="00985CB2" w:rsidRDefault="00985CB2" w:rsidP="00DE641C">
            <w:pPr>
              <w:pStyle w:val="Tabletext"/>
              <w:spacing w:before="0" w:after="0"/>
            </w:pPr>
            <w:r>
              <w:t>Radiation diagrams for use as design objectives for antennas of earth stations operating with geostationary satellites</w:t>
            </w:r>
          </w:p>
        </w:tc>
      </w:tr>
      <w:tr w:rsidR="00985CB2" w14:paraId="4D500761" w14:textId="77777777" w:rsidTr="00DE641C">
        <w:trPr>
          <w:cantSplit/>
          <w:jc w:val="center"/>
        </w:trPr>
        <w:tc>
          <w:tcPr>
            <w:tcW w:w="2127" w:type="dxa"/>
            <w:vAlign w:val="center"/>
          </w:tcPr>
          <w:p w14:paraId="31494BE8" w14:textId="40232E6C" w:rsidR="00985CB2" w:rsidRDefault="00985CB2" w:rsidP="00B17AF7">
            <w:pPr>
              <w:pStyle w:val="Tabletext"/>
              <w:spacing w:before="0" w:after="0"/>
              <w:jc w:val="center"/>
            </w:pPr>
            <w:r w:rsidRPr="006F1632">
              <w:t>S.672</w:t>
            </w:r>
          </w:p>
        </w:tc>
        <w:tc>
          <w:tcPr>
            <w:tcW w:w="6945" w:type="dxa"/>
            <w:vAlign w:val="center"/>
          </w:tcPr>
          <w:p w14:paraId="63F1C644" w14:textId="77777777" w:rsidR="00985CB2" w:rsidRDefault="00985CB2" w:rsidP="00DE641C">
            <w:pPr>
              <w:pStyle w:val="Tabletext"/>
              <w:spacing w:before="0" w:after="0"/>
            </w:pPr>
            <w:r>
              <w:t>Satellite antenna radiation pattern for use as a design objective in the fixed-satellite service employing geostationary satellites</w:t>
            </w:r>
          </w:p>
        </w:tc>
      </w:tr>
      <w:tr w:rsidR="00985CB2" w14:paraId="3E80B677" w14:textId="77777777" w:rsidTr="00DE641C">
        <w:trPr>
          <w:cantSplit/>
          <w:jc w:val="center"/>
        </w:trPr>
        <w:tc>
          <w:tcPr>
            <w:tcW w:w="2127" w:type="dxa"/>
            <w:vAlign w:val="center"/>
          </w:tcPr>
          <w:p w14:paraId="1237E491" w14:textId="3B4A0ED6" w:rsidR="00985CB2" w:rsidRDefault="00985CB2" w:rsidP="00B17AF7">
            <w:pPr>
              <w:pStyle w:val="Tabletext"/>
              <w:spacing w:before="0" w:after="0"/>
              <w:jc w:val="center"/>
            </w:pPr>
            <w:r w:rsidRPr="00216646">
              <w:t>S.731</w:t>
            </w:r>
          </w:p>
        </w:tc>
        <w:tc>
          <w:tcPr>
            <w:tcW w:w="6945" w:type="dxa"/>
            <w:vAlign w:val="center"/>
          </w:tcPr>
          <w:p w14:paraId="0548375E" w14:textId="77777777" w:rsidR="00985CB2" w:rsidRDefault="00985CB2" w:rsidP="00DE641C">
            <w:pPr>
              <w:pStyle w:val="Tabletext"/>
              <w:spacing w:before="0" w:after="0"/>
            </w:pPr>
            <w:r>
              <w:t>Reference earth-station cross-polarized radiation pattern for use in frequency coordination and interference assessment in the frequency range from 2 to about 30 GHz</w:t>
            </w:r>
          </w:p>
        </w:tc>
      </w:tr>
      <w:tr w:rsidR="00985CB2" w14:paraId="48D6DC67" w14:textId="77777777" w:rsidTr="00DE641C">
        <w:trPr>
          <w:cantSplit/>
          <w:jc w:val="center"/>
        </w:trPr>
        <w:tc>
          <w:tcPr>
            <w:tcW w:w="2127" w:type="dxa"/>
            <w:vAlign w:val="center"/>
          </w:tcPr>
          <w:p w14:paraId="6AE4B83D" w14:textId="4F5613DF" w:rsidR="00985CB2" w:rsidRDefault="00985CB2" w:rsidP="00DE641C">
            <w:pPr>
              <w:pStyle w:val="Tabletext"/>
              <w:spacing w:before="0" w:after="0"/>
              <w:jc w:val="center"/>
              <w:rPr>
                <w:rFonts w:eastAsia="Arial Unicode MS"/>
                <w:lang w:val="en-US"/>
              </w:rPr>
            </w:pPr>
            <w:r w:rsidRPr="00216646">
              <w:t>S.1150</w:t>
            </w:r>
          </w:p>
        </w:tc>
        <w:tc>
          <w:tcPr>
            <w:tcW w:w="6945" w:type="dxa"/>
            <w:vAlign w:val="center"/>
          </w:tcPr>
          <w:p w14:paraId="637CE129" w14:textId="77777777" w:rsidR="00985CB2" w:rsidRDefault="00985CB2" w:rsidP="00DE641C">
            <w:pPr>
              <w:pStyle w:val="Tabletext"/>
              <w:spacing w:before="0" w:after="0"/>
              <w:rPr>
                <w:rFonts w:eastAsia="Arial Unicode MS"/>
              </w:rPr>
            </w:pPr>
            <w:r>
              <w:t>Technical criteria to be used in examinations relating to the probability of harmful interference between frequency assignments in the fixed-satellite service as required in No. 11.32A.1 of the Radio Regulations</w:t>
            </w:r>
          </w:p>
        </w:tc>
      </w:tr>
      <w:tr w:rsidR="00985CB2" w14:paraId="2EF65EC1" w14:textId="77777777" w:rsidTr="00DE641C">
        <w:trPr>
          <w:cantSplit/>
          <w:tblHeader/>
          <w:jc w:val="center"/>
        </w:trPr>
        <w:tc>
          <w:tcPr>
            <w:tcW w:w="2127" w:type="dxa"/>
            <w:vAlign w:val="center"/>
          </w:tcPr>
          <w:p w14:paraId="75D23494" w14:textId="5DA750BE" w:rsidR="00985CB2" w:rsidRDefault="00985CB2" w:rsidP="00B17AF7">
            <w:pPr>
              <w:pStyle w:val="Tabletext"/>
              <w:spacing w:before="0" w:after="0"/>
              <w:jc w:val="center"/>
            </w:pPr>
            <w:r w:rsidRPr="00216646">
              <w:t>S.1428</w:t>
            </w:r>
          </w:p>
        </w:tc>
        <w:tc>
          <w:tcPr>
            <w:tcW w:w="6945" w:type="dxa"/>
            <w:vAlign w:val="center"/>
          </w:tcPr>
          <w:p w14:paraId="1C3817D1" w14:textId="77777777" w:rsidR="00985CB2" w:rsidRDefault="00985CB2" w:rsidP="00DE641C">
            <w:pPr>
              <w:pStyle w:val="Tabletext"/>
              <w:spacing w:before="0" w:after="0"/>
            </w:pPr>
            <w:r>
              <w:t>Reference FSS earth-station radiation patterns for use in interference assessment involving non-GSO satellites in frequency bands between 10.7 GHz and 30 GHz</w:t>
            </w:r>
          </w:p>
        </w:tc>
      </w:tr>
      <w:tr w:rsidR="00985CB2" w14:paraId="3CA3B127" w14:textId="77777777" w:rsidTr="00DE641C">
        <w:trPr>
          <w:cantSplit/>
          <w:tblHeader/>
          <w:jc w:val="center"/>
        </w:trPr>
        <w:tc>
          <w:tcPr>
            <w:tcW w:w="2127" w:type="dxa"/>
            <w:vAlign w:val="center"/>
          </w:tcPr>
          <w:p w14:paraId="3C9DE3EF" w14:textId="5E1A584B" w:rsidR="00985CB2" w:rsidRDefault="00985CB2" w:rsidP="00B17AF7">
            <w:pPr>
              <w:pStyle w:val="Tabletext"/>
              <w:spacing w:before="0" w:after="0"/>
              <w:jc w:val="center"/>
              <w:rPr>
                <w:rStyle w:val="Strong"/>
                <w:b w:val="0"/>
                <w:bCs w:val="0"/>
              </w:rPr>
            </w:pPr>
            <w:r w:rsidRPr="00216646">
              <w:t>S.1503</w:t>
            </w:r>
          </w:p>
        </w:tc>
        <w:tc>
          <w:tcPr>
            <w:tcW w:w="6945" w:type="dxa"/>
            <w:vAlign w:val="center"/>
          </w:tcPr>
          <w:p w14:paraId="103E2F27" w14:textId="77777777" w:rsidR="00985CB2" w:rsidRDefault="00985CB2" w:rsidP="00DE641C">
            <w:pPr>
              <w:pStyle w:val="Tabletext"/>
              <w:spacing w:before="0" w:after="0"/>
            </w:pPr>
            <w:r>
              <w:t>Functional description to be used in developing software tools for determining conformity of non-</w:t>
            </w:r>
            <w:proofErr w:type="spellStart"/>
            <w:r>
              <w:t>geotationary</w:t>
            </w:r>
            <w:proofErr w:type="spellEnd"/>
            <w:r>
              <w:t>-satellite orbit fixed-satellite system networks with limits contained in Article 22 of the Radio Regulations</w:t>
            </w:r>
          </w:p>
        </w:tc>
      </w:tr>
      <w:tr w:rsidR="00985CB2" w14:paraId="05F09EE9" w14:textId="77777777" w:rsidTr="00DE641C">
        <w:trPr>
          <w:cantSplit/>
          <w:tblHeader/>
          <w:jc w:val="center"/>
        </w:trPr>
        <w:tc>
          <w:tcPr>
            <w:tcW w:w="2127" w:type="dxa"/>
            <w:vAlign w:val="center"/>
          </w:tcPr>
          <w:p w14:paraId="6ECFF1AB" w14:textId="0825DF86" w:rsidR="00985CB2" w:rsidRDefault="00985CB2" w:rsidP="00B17AF7">
            <w:pPr>
              <w:pStyle w:val="Tabletext"/>
              <w:spacing w:before="0" w:after="0"/>
              <w:jc w:val="center"/>
              <w:rPr>
                <w:rStyle w:val="Strong"/>
                <w:b w:val="0"/>
                <w:bCs w:val="0"/>
                <w:lang w:val="en-US"/>
              </w:rPr>
            </w:pPr>
            <w:r w:rsidRPr="00216646">
              <w:rPr>
                <w:lang w:val="en-US"/>
              </w:rPr>
              <w:t>S.1526</w:t>
            </w:r>
          </w:p>
        </w:tc>
        <w:tc>
          <w:tcPr>
            <w:tcW w:w="6945" w:type="dxa"/>
            <w:vAlign w:val="center"/>
          </w:tcPr>
          <w:p w14:paraId="3A77186B" w14:textId="77777777" w:rsidR="00985CB2" w:rsidRDefault="00985CB2" w:rsidP="00DE641C">
            <w:pPr>
              <w:pStyle w:val="Tabletext"/>
              <w:spacing w:before="0" w:after="0"/>
            </w:pPr>
            <w:r>
              <w:rPr>
                <w:lang w:val="en-US"/>
              </w:rPr>
              <w:t>Methodology to assess the interference environment in relation to Nos. 9.12, 9.12A and 9.13 of the Radio Regulations when non-geostationary-satellite orbit fixed-satellite service systems are involved</w:t>
            </w:r>
          </w:p>
        </w:tc>
      </w:tr>
      <w:tr w:rsidR="00985CB2" w14:paraId="3171FC96" w14:textId="77777777" w:rsidTr="00DE641C">
        <w:trPr>
          <w:cantSplit/>
          <w:tblHeader/>
          <w:jc w:val="center"/>
        </w:trPr>
        <w:tc>
          <w:tcPr>
            <w:tcW w:w="2127" w:type="dxa"/>
            <w:vAlign w:val="center"/>
          </w:tcPr>
          <w:p w14:paraId="7B0D028B" w14:textId="1101C416" w:rsidR="00985CB2" w:rsidRDefault="00985CB2" w:rsidP="00DE641C">
            <w:pPr>
              <w:pStyle w:val="Tabletext"/>
              <w:spacing w:before="0" w:after="0"/>
              <w:jc w:val="center"/>
            </w:pPr>
            <w:r w:rsidRPr="00216646">
              <w:t>S.1528</w:t>
            </w:r>
          </w:p>
        </w:tc>
        <w:tc>
          <w:tcPr>
            <w:tcW w:w="6945" w:type="dxa"/>
            <w:vAlign w:val="center"/>
          </w:tcPr>
          <w:p w14:paraId="3D278DA6" w14:textId="77777777" w:rsidR="00985CB2" w:rsidRDefault="00985CB2" w:rsidP="00DE641C">
            <w:pPr>
              <w:pStyle w:val="Tabletext"/>
              <w:spacing w:before="0" w:after="0"/>
            </w:pPr>
            <w:r>
              <w:t>Satellite antenna radiation patterns for non-geostationary orbit satellite antennas operating in the fixed-satellite service below 30 GHz</w:t>
            </w:r>
          </w:p>
        </w:tc>
      </w:tr>
      <w:tr w:rsidR="00B60379" w14:paraId="729F9111" w14:textId="77777777" w:rsidTr="006E6394">
        <w:trPr>
          <w:cantSplit/>
          <w:trHeight w:val="340"/>
          <w:tblHeader/>
          <w:jc w:val="center"/>
        </w:trPr>
        <w:tc>
          <w:tcPr>
            <w:tcW w:w="2127" w:type="dxa"/>
            <w:vAlign w:val="center"/>
          </w:tcPr>
          <w:p w14:paraId="62598FB5" w14:textId="77777777" w:rsidR="00B60379" w:rsidRDefault="00B60379" w:rsidP="006E6394">
            <w:pPr>
              <w:pStyle w:val="Tablehead"/>
              <w:spacing w:before="0" w:after="0"/>
              <w:rPr>
                <w:lang w:val="en-US"/>
              </w:rPr>
            </w:pPr>
            <w:r>
              <w:rPr>
                <w:lang w:val="en-US"/>
              </w:rPr>
              <w:lastRenderedPageBreak/>
              <w:t>Rec. ITU-R</w:t>
            </w:r>
          </w:p>
        </w:tc>
        <w:tc>
          <w:tcPr>
            <w:tcW w:w="6945" w:type="dxa"/>
            <w:vAlign w:val="center"/>
          </w:tcPr>
          <w:p w14:paraId="20EB015A" w14:textId="77777777" w:rsidR="00B60379" w:rsidRDefault="00B60379" w:rsidP="006E6394">
            <w:pPr>
              <w:pStyle w:val="Tablehead"/>
              <w:spacing w:before="0" w:after="0"/>
            </w:pPr>
            <w:r>
              <w:t>Title</w:t>
            </w:r>
          </w:p>
        </w:tc>
      </w:tr>
      <w:tr w:rsidR="00985CB2" w14:paraId="166A5CF3" w14:textId="77777777" w:rsidTr="00DE641C">
        <w:trPr>
          <w:cantSplit/>
          <w:tblHeader/>
          <w:jc w:val="center"/>
        </w:trPr>
        <w:tc>
          <w:tcPr>
            <w:tcW w:w="2127" w:type="dxa"/>
            <w:vAlign w:val="center"/>
          </w:tcPr>
          <w:p w14:paraId="7CF3D3D1" w14:textId="326F64D2" w:rsidR="00985CB2" w:rsidRDefault="00985CB2" w:rsidP="00DE641C">
            <w:pPr>
              <w:pStyle w:val="Tabletext"/>
              <w:spacing w:before="0" w:after="0"/>
              <w:jc w:val="center"/>
              <w:rPr>
                <w:rStyle w:val="Strong"/>
                <w:b w:val="0"/>
                <w:bCs w:val="0"/>
              </w:rPr>
            </w:pPr>
            <w:r w:rsidRPr="00216646">
              <w:t>S.1558</w:t>
            </w:r>
          </w:p>
        </w:tc>
        <w:tc>
          <w:tcPr>
            <w:tcW w:w="6945" w:type="dxa"/>
            <w:vAlign w:val="center"/>
          </w:tcPr>
          <w:p w14:paraId="3111E426" w14:textId="77777777" w:rsidR="00985CB2" w:rsidRDefault="00985CB2" w:rsidP="00DE641C">
            <w:pPr>
              <w:pStyle w:val="Tabletext"/>
              <w:spacing w:before="0" w:after="0"/>
            </w:pPr>
            <w:r>
              <w:t xml:space="preserve">Methodologies for measuring </w:t>
            </w:r>
            <w:proofErr w:type="spellStart"/>
            <w:r>
              <w:t>epfddown</w:t>
            </w:r>
            <w:proofErr w:type="spellEnd"/>
            <w:r>
              <w:t xml:space="preserve"> caused by a non</w:t>
            </w:r>
            <w:r>
              <w:noBreakHyphen/>
              <w:t xml:space="preserve">geostationary-satellite orbit space station to verify compliance with operational </w:t>
            </w:r>
            <w:proofErr w:type="spellStart"/>
            <w:r>
              <w:t>epfdown</w:t>
            </w:r>
            <w:proofErr w:type="spellEnd"/>
            <w:r>
              <w:t xml:space="preserve"> limits</w:t>
            </w:r>
          </w:p>
        </w:tc>
      </w:tr>
      <w:tr w:rsidR="00985CB2" w14:paraId="7B3DBA85" w14:textId="77777777" w:rsidTr="00DE641C">
        <w:trPr>
          <w:cantSplit/>
          <w:tblHeader/>
          <w:jc w:val="center"/>
        </w:trPr>
        <w:tc>
          <w:tcPr>
            <w:tcW w:w="2127" w:type="dxa"/>
            <w:vAlign w:val="center"/>
          </w:tcPr>
          <w:p w14:paraId="097C9346" w14:textId="7F1FE2FC" w:rsidR="00985CB2" w:rsidRDefault="00985CB2" w:rsidP="00DE641C">
            <w:pPr>
              <w:pStyle w:val="Tabletext"/>
              <w:spacing w:before="0" w:after="0"/>
              <w:jc w:val="center"/>
              <w:rPr>
                <w:rStyle w:val="Strong"/>
                <w:b w:val="0"/>
                <w:bCs w:val="0"/>
              </w:rPr>
            </w:pPr>
            <w:r w:rsidRPr="00216646">
              <w:t>S.1559</w:t>
            </w:r>
          </w:p>
        </w:tc>
        <w:tc>
          <w:tcPr>
            <w:tcW w:w="6945" w:type="dxa"/>
            <w:vAlign w:val="center"/>
          </w:tcPr>
          <w:p w14:paraId="0B2A925D" w14:textId="77777777" w:rsidR="00985CB2" w:rsidRDefault="00985CB2" w:rsidP="00DE641C">
            <w:pPr>
              <w:pStyle w:val="Tabletext"/>
              <w:spacing w:before="0" w:after="0"/>
            </w:pPr>
            <w:r>
              <w:t>Methodology for computing the geographical distribution of maximum downlink equivalent power flux-density levels generated by non-geostationary fixed-satellite service systems using circular orbits</w:t>
            </w:r>
          </w:p>
        </w:tc>
      </w:tr>
      <w:tr w:rsidR="00985CB2" w14:paraId="27BD49AC" w14:textId="77777777" w:rsidTr="00DE641C">
        <w:trPr>
          <w:cantSplit/>
          <w:tblHeader/>
          <w:jc w:val="center"/>
        </w:trPr>
        <w:tc>
          <w:tcPr>
            <w:tcW w:w="2127" w:type="dxa"/>
            <w:vAlign w:val="center"/>
          </w:tcPr>
          <w:p w14:paraId="0A297E20" w14:textId="7FA24725" w:rsidR="00985CB2" w:rsidRDefault="00985CB2" w:rsidP="00DE641C">
            <w:pPr>
              <w:pStyle w:val="Tabletext"/>
              <w:spacing w:before="0" w:after="0"/>
              <w:jc w:val="center"/>
              <w:rPr>
                <w:rStyle w:val="Strong"/>
                <w:b w:val="0"/>
                <w:bCs w:val="0"/>
              </w:rPr>
            </w:pPr>
            <w:r w:rsidRPr="00216646">
              <w:t>S.1589</w:t>
            </w:r>
          </w:p>
        </w:tc>
        <w:tc>
          <w:tcPr>
            <w:tcW w:w="6945" w:type="dxa"/>
            <w:vAlign w:val="center"/>
          </w:tcPr>
          <w:p w14:paraId="74D84433" w14:textId="77777777" w:rsidR="00985CB2" w:rsidRDefault="00985CB2" w:rsidP="00DE641C">
            <w:pPr>
              <w:pStyle w:val="Tabletext"/>
              <w:spacing w:before="0" w:after="0"/>
            </w:pPr>
            <w:r>
              <w:t xml:space="preserve">Continuous curves of </w:t>
            </w:r>
            <w:proofErr w:type="spellStart"/>
            <w:r>
              <w:t>epfd</w:t>
            </w:r>
            <w:proofErr w:type="spellEnd"/>
            <w:r>
              <w:rPr>
                <w:position w:val="-6"/>
                <w:sz w:val="24"/>
              </w:rPr>
              <w:sym w:font="Symbol" w:char="F0AF"/>
            </w:r>
            <w:r>
              <w:t xml:space="preserve"> versus geostationary fixed-satellite service earth station antenna diameter and </w:t>
            </w:r>
            <w:proofErr w:type="spellStart"/>
            <w:r>
              <w:t>epfd</w:t>
            </w:r>
            <w:proofErr w:type="spellEnd"/>
            <w:r>
              <w:rPr>
                <w:position w:val="-6"/>
                <w:sz w:val="24"/>
              </w:rPr>
              <w:sym w:font="Symbol" w:char="F0AD"/>
            </w:r>
            <w:r>
              <w:t xml:space="preserve"> versus geostationary fixed-satellite service space station antenna </w:t>
            </w:r>
            <w:proofErr w:type="spellStart"/>
            <w:r>
              <w:t>beamwidth</w:t>
            </w:r>
            <w:proofErr w:type="spellEnd"/>
            <w:r>
              <w:t xml:space="preserve"> to indicate the protection afforded by systems complying with the limits to antennas with diameters other than those in Article 22 of the Radio Regulations</w:t>
            </w:r>
          </w:p>
        </w:tc>
      </w:tr>
      <w:tr w:rsidR="00985CB2" w14:paraId="5968167F" w14:textId="77777777" w:rsidTr="00DE641C">
        <w:trPr>
          <w:cantSplit/>
          <w:tblHeader/>
          <w:jc w:val="center"/>
        </w:trPr>
        <w:tc>
          <w:tcPr>
            <w:tcW w:w="2127" w:type="dxa"/>
            <w:vAlign w:val="center"/>
          </w:tcPr>
          <w:p w14:paraId="23C0099A" w14:textId="30026222" w:rsidR="00985CB2" w:rsidRDefault="00985CB2" w:rsidP="00DE641C">
            <w:pPr>
              <w:pStyle w:val="Tabletext"/>
              <w:spacing w:before="0" w:after="0"/>
              <w:jc w:val="center"/>
              <w:rPr>
                <w:rStyle w:val="Strong"/>
                <w:b w:val="0"/>
                <w:bCs w:val="0"/>
              </w:rPr>
            </w:pPr>
            <w:r w:rsidRPr="00216646">
              <w:t>S.1592</w:t>
            </w:r>
          </w:p>
        </w:tc>
        <w:tc>
          <w:tcPr>
            <w:tcW w:w="6945" w:type="dxa"/>
            <w:vAlign w:val="center"/>
          </w:tcPr>
          <w:p w14:paraId="193D22AD" w14:textId="77777777" w:rsidR="00985CB2" w:rsidRPr="009941E7" w:rsidRDefault="00985CB2" w:rsidP="00DE641C">
            <w:pPr>
              <w:pStyle w:val="Tabletext"/>
              <w:spacing w:before="0" w:after="0"/>
              <w:rPr>
                <w:lang w:val="en-US"/>
              </w:rPr>
            </w:pPr>
            <w:r>
              <w:rPr>
                <w:lang w:val="en-US"/>
              </w:rPr>
              <w:t>Methodology to assess compliance of non-geostationary fixed-satellite service satellite systems in circular orbits with the additional operational limits on downlink equivalent power flux-density in Article 22 of the Radio Regulations</w:t>
            </w:r>
          </w:p>
        </w:tc>
      </w:tr>
      <w:tr w:rsidR="00985CB2" w14:paraId="59F7246D" w14:textId="77777777" w:rsidTr="00DE641C">
        <w:trPr>
          <w:cantSplit/>
          <w:tblHeader/>
          <w:jc w:val="center"/>
        </w:trPr>
        <w:tc>
          <w:tcPr>
            <w:tcW w:w="2127" w:type="dxa"/>
            <w:vAlign w:val="center"/>
          </w:tcPr>
          <w:p w14:paraId="6C0B6433" w14:textId="2CD22492" w:rsidR="00985CB2" w:rsidRDefault="00985CB2" w:rsidP="00DE641C">
            <w:pPr>
              <w:pStyle w:val="Tabletext"/>
              <w:spacing w:before="0" w:after="0"/>
              <w:jc w:val="center"/>
              <w:rPr>
                <w:rStyle w:val="Strong"/>
                <w:b w:val="0"/>
                <w:bCs w:val="0"/>
                <w:lang w:val="en-US"/>
              </w:rPr>
            </w:pPr>
            <w:r w:rsidRPr="00216646">
              <w:t>S.1656</w:t>
            </w:r>
          </w:p>
        </w:tc>
        <w:tc>
          <w:tcPr>
            <w:tcW w:w="6945" w:type="dxa"/>
            <w:vAlign w:val="center"/>
          </w:tcPr>
          <w:p w14:paraId="0C0FECAB" w14:textId="77777777" w:rsidR="00985CB2" w:rsidRDefault="00985CB2" w:rsidP="00DE641C">
            <w:pPr>
              <w:pStyle w:val="Tabletext"/>
              <w:spacing w:before="0" w:after="0"/>
              <w:rPr>
                <w:lang w:val="en-US"/>
              </w:rPr>
            </w:pPr>
            <w:r>
              <w:rPr>
                <w:lang w:val="en-US"/>
              </w:rPr>
              <w:t>Outline of a software specification for automating the examination of satellite network filings for compliance with Article 5 of the Radio Regulations</w:t>
            </w:r>
          </w:p>
        </w:tc>
      </w:tr>
      <w:tr w:rsidR="00985CB2" w14:paraId="382A2A09" w14:textId="77777777" w:rsidTr="00DE641C">
        <w:trPr>
          <w:cantSplit/>
          <w:tblHeader/>
          <w:jc w:val="center"/>
        </w:trPr>
        <w:tc>
          <w:tcPr>
            <w:tcW w:w="2127" w:type="dxa"/>
            <w:vAlign w:val="center"/>
          </w:tcPr>
          <w:p w14:paraId="793D4E4C" w14:textId="4B9671FA" w:rsidR="00985CB2" w:rsidRDefault="00985CB2" w:rsidP="00DE641C">
            <w:pPr>
              <w:pStyle w:val="Tabletext"/>
              <w:spacing w:before="0" w:after="0"/>
              <w:jc w:val="center"/>
              <w:rPr>
                <w:rStyle w:val="Strong"/>
                <w:b w:val="0"/>
                <w:bCs w:val="0"/>
                <w:lang w:val="fr-CH"/>
              </w:rPr>
            </w:pPr>
            <w:r w:rsidRPr="00216646">
              <w:rPr>
                <w:lang w:val="fr-CH"/>
              </w:rPr>
              <w:t>S.1672</w:t>
            </w:r>
          </w:p>
        </w:tc>
        <w:tc>
          <w:tcPr>
            <w:tcW w:w="6945" w:type="dxa"/>
            <w:vAlign w:val="center"/>
          </w:tcPr>
          <w:p w14:paraId="3FF1BE9C" w14:textId="77777777" w:rsidR="00985CB2" w:rsidRDefault="00985CB2" w:rsidP="00DE641C">
            <w:pPr>
              <w:pStyle w:val="Tabletext"/>
              <w:spacing w:before="0" w:after="0"/>
              <w:rPr>
                <w:lang w:val="en-US"/>
              </w:rPr>
            </w:pPr>
            <w:r>
              <w:rPr>
                <w:lang w:val="en-US"/>
              </w:rPr>
              <w:t>Guidelines to be used in the event of non-compliance with single-entry operational and/or additional operational limits in Section II of Article 22 of the Radio Regulations</w:t>
            </w:r>
          </w:p>
        </w:tc>
      </w:tr>
      <w:tr w:rsidR="00985CB2" w:rsidRPr="00644CB2" w14:paraId="63F1D954" w14:textId="77777777" w:rsidTr="00DE641C">
        <w:trPr>
          <w:cantSplit/>
          <w:tblHeader/>
          <w:jc w:val="center"/>
        </w:trPr>
        <w:tc>
          <w:tcPr>
            <w:tcW w:w="2127" w:type="dxa"/>
            <w:vAlign w:val="center"/>
          </w:tcPr>
          <w:p w14:paraId="449B5A0F" w14:textId="228FD107" w:rsidR="00985CB2" w:rsidRPr="00216646" w:rsidRDefault="00985CB2" w:rsidP="00DE641C">
            <w:pPr>
              <w:pStyle w:val="Tabletext"/>
              <w:spacing w:before="0" w:after="0"/>
              <w:jc w:val="center"/>
              <w:rPr>
                <w:rFonts w:ascii="Trebuchet MS" w:eastAsia="SimSun" w:hAnsi="Trebuchet MS"/>
                <w:b/>
                <w:bCs/>
                <w:color w:val="000000"/>
                <w:sz w:val="15"/>
                <w:szCs w:val="15"/>
                <w:lang w:val="en-US" w:eastAsia="zh-CN"/>
              </w:rPr>
            </w:pPr>
            <w:r w:rsidRPr="00216646">
              <w:rPr>
                <w:rStyle w:val="Strong"/>
                <w:b w:val="0"/>
                <w:bCs w:val="0"/>
              </w:rPr>
              <w:t>S.1714</w:t>
            </w:r>
          </w:p>
        </w:tc>
        <w:tc>
          <w:tcPr>
            <w:tcW w:w="6945" w:type="dxa"/>
            <w:vAlign w:val="center"/>
          </w:tcPr>
          <w:p w14:paraId="16DAD388" w14:textId="77777777" w:rsidR="00985CB2" w:rsidRPr="00644CB2" w:rsidRDefault="00985CB2" w:rsidP="00DE641C">
            <w:pPr>
              <w:pStyle w:val="Tabletext"/>
              <w:spacing w:before="0" w:after="0"/>
              <w:rPr>
                <w:rFonts w:ascii="Trebuchet MS" w:eastAsia="SimSun" w:hAnsi="Trebuchet MS"/>
                <w:color w:val="000000"/>
                <w:sz w:val="15"/>
                <w:szCs w:val="15"/>
                <w:lang w:val="en-US" w:eastAsia="zh-CN"/>
              </w:rPr>
            </w:pPr>
            <w:r w:rsidRPr="004B1F9D">
              <w:rPr>
                <w:lang w:val="en-US"/>
              </w:rPr>
              <w:t xml:space="preserve">Static methodology for calculating </w:t>
            </w:r>
            <w:proofErr w:type="spellStart"/>
            <w:r w:rsidRPr="004B1F9D">
              <w:rPr>
                <w:lang w:val="en-US"/>
              </w:rPr>
              <w:t>epfd</w:t>
            </w:r>
            <w:proofErr w:type="spellEnd"/>
            <w:r>
              <w:rPr>
                <w:vertAlign w:val="subscript"/>
              </w:rPr>
              <w:sym w:font="Symbol" w:char="F0AF"/>
            </w:r>
            <w:r>
              <w:rPr>
                <w:lang w:val="en-US"/>
              </w:rPr>
              <w:t xml:space="preserve"> </w:t>
            </w:r>
            <w:r w:rsidRPr="004B1F9D">
              <w:rPr>
                <w:lang w:val="en-US"/>
              </w:rPr>
              <w:t>to facilitate coordination</w:t>
            </w:r>
            <w:r>
              <w:rPr>
                <w:lang w:val="en-US"/>
              </w:rPr>
              <w:t xml:space="preserve"> </w:t>
            </w:r>
            <w:r w:rsidRPr="004B1F9D">
              <w:rPr>
                <w:lang w:val="en-US"/>
              </w:rPr>
              <w:t>of very large antennas under Nos. 9.7A and 9.7B</w:t>
            </w:r>
            <w:r>
              <w:rPr>
                <w:lang w:val="en-US"/>
              </w:rPr>
              <w:t xml:space="preserve"> of the Radio Regulations</w:t>
            </w:r>
            <w:r w:rsidRPr="004B1F9D">
              <w:rPr>
                <w:lang w:val="en-US"/>
              </w:rPr>
              <w:t xml:space="preserve"> </w:t>
            </w:r>
          </w:p>
        </w:tc>
      </w:tr>
      <w:tr w:rsidR="00985CB2" w:rsidRPr="00644CB2" w14:paraId="281B96B4" w14:textId="77777777" w:rsidTr="00DE641C">
        <w:trPr>
          <w:cantSplit/>
          <w:tblHeader/>
          <w:jc w:val="center"/>
        </w:trPr>
        <w:tc>
          <w:tcPr>
            <w:tcW w:w="2127" w:type="dxa"/>
            <w:vAlign w:val="center"/>
          </w:tcPr>
          <w:p w14:paraId="502B4BF3" w14:textId="1A2DB825" w:rsidR="00985CB2" w:rsidRPr="00216646" w:rsidRDefault="00985CB2" w:rsidP="00DE641C">
            <w:pPr>
              <w:pStyle w:val="Tabletext"/>
              <w:spacing w:before="0" w:after="0"/>
              <w:jc w:val="center"/>
              <w:rPr>
                <w:rFonts w:ascii="Trebuchet MS" w:eastAsia="SimSun" w:hAnsi="Trebuchet MS"/>
                <w:b/>
                <w:bCs/>
                <w:color w:val="000000"/>
                <w:sz w:val="15"/>
                <w:szCs w:val="15"/>
                <w:lang w:val="en-US" w:eastAsia="zh-CN"/>
              </w:rPr>
            </w:pPr>
            <w:r w:rsidRPr="00216646">
              <w:rPr>
                <w:rStyle w:val="Strong"/>
                <w:b w:val="0"/>
                <w:bCs w:val="0"/>
              </w:rPr>
              <w:t>S.1715</w:t>
            </w:r>
          </w:p>
        </w:tc>
        <w:tc>
          <w:tcPr>
            <w:tcW w:w="6945" w:type="dxa"/>
            <w:vAlign w:val="center"/>
          </w:tcPr>
          <w:p w14:paraId="280D7A5A" w14:textId="77777777" w:rsidR="00985CB2" w:rsidRPr="00644CB2" w:rsidRDefault="00985CB2" w:rsidP="00DE641C">
            <w:pPr>
              <w:pStyle w:val="Tabletext"/>
              <w:spacing w:before="0" w:after="0"/>
              <w:rPr>
                <w:rFonts w:ascii="Trebuchet MS" w:eastAsia="SimSun" w:hAnsi="Trebuchet MS"/>
                <w:color w:val="000000"/>
                <w:sz w:val="15"/>
                <w:szCs w:val="15"/>
                <w:lang w:val="en-US" w:eastAsia="zh-CN"/>
              </w:rPr>
            </w:pPr>
            <w:r w:rsidRPr="00644CB2">
              <w:rPr>
                <w:lang w:val="en-US"/>
              </w:rPr>
              <w:t>Guidelines developed in response to the studies requested in Resolution 140 (WRC-03)</w:t>
            </w:r>
          </w:p>
        </w:tc>
      </w:tr>
      <w:tr w:rsidR="00985CB2" w:rsidRPr="00644CB2" w14:paraId="7E5AFE04" w14:textId="77777777" w:rsidTr="00DE641C">
        <w:trPr>
          <w:cantSplit/>
          <w:tblHeader/>
          <w:jc w:val="center"/>
        </w:trPr>
        <w:tc>
          <w:tcPr>
            <w:tcW w:w="2127" w:type="dxa"/>
            <w:vAlign w:val="center"/>
          </w:tcPr>
          <w:p w14:paraId="45714039" w14:textId="3EFB2D70" w:rsidR="00985CB2" w:rsidRDefault="00985CB2" w:rsidP="00DE641C">
            <w:pPr>
              <w:pStyle w:val="Tabletext"/>
              <w:spacing w:before="0" w:after="0"/>
              <w:jc w:val="center"/>
            </w:pPr>
            <w:r w:rsidRPr="00216646">
              <w:rPr>
                <w:lang w:val="en-US"/>
              </w:rPr>
              <w:t>S.1844</w:t>
            </w:r>
          </w:p>
        </w:tc>
        <w:tc>
          <w:tcPr>
            <w:tcW w:w="6945" w:type="dxa"/>
            <w:vAlign w:val="center"/>
          </w:tcPr>
          <w:p w14:paraId="24B99377" w14:textId="77777777" w:rsidR="00985CB2" w:rsidRPr="00644CB2" w:rsidRDefault="00985CB2" w:rsidP="00DE641C">
            <w:pPr>
              <w:pStyle w:val="Tabletext"/>
              <w:spacing w:before="0" w:after="0"/>
              <w:rPr>
                <w:lang w:val="en-US"/>
              </w:rPr>
            </w:pPr>
            <w:r w:rsidRPr="00D77D55">
              <w:t>Cross-polarization reference gain pattern for linearly polarized very small aperture terminals (VSAT) for frequencies in the range 2 to 31 GHz</w:t>
            </w:r>
          </w:p>
        </w:tc>
      </w:tr>
      <w:tr w:rsidR="00985CB2" w:rsidRPr="00644CB2" w14:paraId="5D5B08BC" w14:textId="77777777" w:rsidTr="00DE641C">
        <w:trPr>
          <w:cantSplit/>
          <w:tblHeader/>
          <w:jc w:val="center"/>
        </w:trPr>
        <w:tc>
          <w:tcPr>
            <w:tcW w:w="2127" w:type="dxa"/>
            <w:vAlign w:val="center"/>
          </w:tcPr>
          <w:p w14:paraId="03CFCBBA" w14:textId="4FC24E56" w:rsidR="00985CB2" w:rsidRDefault="00985CB2" w:rsidP="00DE641C">
            <w:pPr>
              <w:pStyle w:val="Tabletext"/>
              <w:spacing w:before="0" w:after="0"/>
              <w:jc w:val="center"/>
            </w:pPr>
            <w:r w:rsidRPr="00216646">
              <w:rPr>
                <w:lang w:val="en-US"/>
              </w:rPr>
              <w:t>S.1855</w:t>
            </w:r>
          </w:p>
        </w:tc>
        <w:tc>
          <w:tcPr>
            <w:tcW w:w="6945" w:type="dxa"/>
            <w:vAlign w:val="center"/>
          </w:tcPr>
          <w:p w14:paraId="55C7642D" w14:textId="77777777" w:rsidR="00985CB2" w:rsidRPr="00644CB2" w:rsidRDefault="00985CB2" w:rsidP="00DE641C">
            <w:pPr>
              <w:pStyle w:val="Tabletext"/>
              <w:spacing w:before="0" w:after="0"/>
              <w:rPr>
                <w:lang w:val="en-US"/>
              </w:rPr>
            </w:pPr>
            <w:r w:rsidRPr="00DF1CD5">
              <w:t>Alternative reference radiation pattern for earth-station antennas used with satellites in the geostationary-satellite orbit for use in coordination and/or interference assessment in the frequency range from 2 to 31 GHz</w:t>
            </w:r>
          </w:p>
        </w:tc>
      </w:tr>
    </w:tbl>
    <w:p w14:paraId="086AEDD7" w14:textId="77777777" w:rsidR="00985CB2" w:rsidRPr="00EC45BC" w:rsidRDefault="00985CB2" w:rsidP="00985CB2"/>
    <w:p w14:paraId="093306E8" w14:textId="77777777" w:rsidR="00985CB2" w:rsidRPr="008A63EE" w:rsidRDefault="00985CB2" w:rsidP="00985CB2">
      <w:pPr>
        <w:outlineLvl w:val="0"/>
        <w:rPr>
          <w:b/>
          <w:bCs/>
        </w:rPr>
      </w:pPr>
      <w:r w:rsidRPr="008A63EE">
        <w:rPr>
          <w:b/>
          <w:bCs/>
        </w:rPr>
        <w:t>Frequency sharing between the fixed-satellite service and the fixed service</w:t>
      </w:r>
    </w:p>
    <w:p w14:paraId="059CB5CC" w14:textId="77777777" w:rsidR="00985CB2" w:rsidRPr="000B3677" w:rsidRDefault="00985CB2" w:rsidP="00985CB2"/>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946"/>
      </w:tblGrid>
      <w:tr w:rsidR="00985CB2" w14:paraId="4C6D13C8" w14:textId="77777777" w:rsidTr="00B60379">
        <w:trPr>
          <w:trHeight w:val="340"/>
          <w:tblHeader/>
        </w:trPr>
        <w:tc>
          <w:tcPr>
            <w:tcW w:w="2126" w:type="dxa"/>
            <w:vAlign w:val="center"/>
          </w:tcPr>
          <w:p w14:paraId="67F6F978" w14:textId="77777777" w:rsidR="00985CB2" w:rsidRDefault="00985CB2" w:rsidP="00DE641C">
            <w:pPr>
              <w:pStyle w:val="Tablehead"/>
              <w:spacing w:before="0" w:after="0"/>
              <w:rPr>
                <w:lang w:val="en-US"/>
              </w:rPr>
            </w:pPr>
            <w:r>
              <w:rPr>
                <w:lang w:val="en-US"/>
              </w:rPr>
              <w:t>Rec. ITU-R</w:t>
            </w:r>
          </w:p>
        </w:tc>
        <w:tc>
          <w:tcPr>
            <w:tcW w:w="6946" w:type="dxa"/>
            <w:vAlign w:val="center"/>
          </w:tcPr>
          <w:p w14:paraId="08CD70CD" w14:textId="77777777" w:rsidR="00985CB2" w:rsidRDefault="00985CB2" w:rsidP="00DE641C">
            <w:pPr>
              <w:pStyle w:val="Tablehead"/>
              <w:spacing w:before="0" w:after="0"/>
            </w:pPr>
            <w:r>
              <w:t>Title</w:t>
            </w:r>
          </w:p>
        </w:tc>
      </w:tr>
      <w:tr w:rsidR="00985CB2" w14:paraId="17EF793F" w14:textId="77777777" w:rsidTr="00DE641C">
        <w:tc>
          <w:tcPr>
            <w:tcW w:w="2126" w:type="dxa"/>
            <w:vAlign w:val="center"/>
          </w:tcPr>
          <w:p w14:paraId="0F9CB90D" w14:textId="0D3D800B" w:rsidR="00985CB2" w:rsidRPr="00207623" w:rsidRDefault="00985CB2" w:rsidP="00B17AF7">
            <w:pPr>
              <w:spacing w:before="0"/>
              <w:jc w:val="center"/>
              <w:rPr>
                <w:rFonts w:cs="Arial"/>
                <w:color w:val="000000"/>
                <w:sz w:val="22"/>
                <w:szCs w:val="22"/>
              </w:rPr>
            </w:pPr>
            <w:r w:rsidRPr="00216646">
              <w:rPr>
                <w:rFonts w:cs="Arial"/>
                <w:sz w:val="22"/>
                <w:szCs w:val="22"/>
              </w:rPr>
              <w:t>SF.675</w:t>
            </w:r>
          </w:p>
        </w:tc>
        <w:tc>
          <w:tcPr>
            <w:tcW w:w="6946" w:type="dxa"/>
          </w:tcPr>
          <w:p w14:paraId="0A73CF97" w14:textId="77777777" w:rsidR="00985CB2" w:rsidRPr="00207623" w:rsidRDefault="00985CB2" w:rsidP="00DE641C">
            <w:pPr>
              <w:spacing w:before="0"/>
              <w:rPr>
                <w:rFonts w:cs="Arial"/>
                <w:color w:val="000000"/>
                <w:sz w:val="22"/>
                <w:szCs w:val="22"/>
              </w:rPr>
            </w:pPr>
            <w:r w:rsidRPr="00207623">
              <w:rPr>
                <w:rFonts w:cs="Arial"/>
                <w:color w:val="000000"/>
                <w:sz w:val="22"/>
                <w:szCs w:val="22"/>
              </w:rPr>
              <w:t>Calculation of the maximum power density (averaged over 4 kHz or 1 MHz) of angle-modulated and digital carriers</w:t>
            </w:r>
          </w:p>
        </w:tc>
      </w:tr>
    </w:tbl>
    <w:p w14:paraId="590B31DD" w14:textId="77777777" w:rsidR="00985CB2" w:rsidRDefault="00985CB2" w:rsidP="00985CB2"/>
    <w:p w14:paraId="1D84CC2B" w14:textId="77777777" w:rsidR="00985CB2" w:rsidRDefault="00985CB2" w:rsidP="00985CB2">
      <w:pPr>
        <w:outlineLvl w:val="0"/>
        <w:rPr>
          <w:b/>
          <w:bCs/>
        </w:rPr>
      </w:pPr>
      <w:r>
        <w:rPr>
          <w:b/>
          <w:bCs/>
        </w:rPr>
        <w:t>Broadcasting</w:t>
      </w:r>
      <w:r w:rsidRPr="007433FB">
        <w:rPr>
          <w:b/>
          <w:bCs/>
        </w:rPr>
        <w:t>-satellite service</w:t>
      </w:r>
    </w:p>
    <w:p w14:paraId="0A996225" w14:textId="77777777" w:rsidR="00985CB2" w:rsidRDefault="00985CB2" w:rsidP="00985CB2"/>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946"/>
      </w:tblGrid>
      <w:tr w:rsidR="00985CB2" w14:paraId="48183282" w14:textId="77777777" w:rsidTr="00B60379">
        <w:trPr>
          <w:cantSplit/>
          <w:trHeight w:val="340"/>
          <w:tblHeader/>
        </w:trPr>
        <w:tc>
          <w:tcPr>
            <w:tcW w:w="2126" w:type="dxa"/>
            <w:vAlign w:val="center"/>
          </w:tcPr>
          <w:p w14:paraId="3956D4B9" w14:textId="77777777" w:rsidR="00985CB2" w:rsidRPr="00D259F5" w:rsidRDefault="00985CB2" w:rsidP="00DE641C">
            <w:pPr>
              <w:pStyle w:val="Tablehead"/>
              <w:spacing w:before="0" w:after="0"/>
            </w:pPr>
            <w:r w:rsidRPr="00D259F5">
              <w:t>Rec. ITU-R</w:t>
            </w:r>
          </w:p>
        </w:tc>
        <w:tc>
          <w:tcPr>
            <w:tcW w:w="6946" w:type="dxa"/>
            <w:vAlign w:val="center"/>
          </w:tcPr>
          <w:p w14:paraId="532B8849" w14:textId="77777777" w:rsidR="00985CB2" w:rsidRDefault="00985CB2" w:rsidP="00DE641C">
            <w:pPr>
              <w:pStyle w:val="Tablehead"/>
              <w:spacing w:before="0" w:after="0"/>
            </w:pPr>
            <w:r>
              <w:t>Title</w:t>
            </w:r>
          </w:p>
        </w:tc>
      </w:tr>
      <w:tr w:rsidR="00985CB2" w14:paraId="7E6AB7CD" w14:textId="77777777" w:rsidTr="00DE641C">
        <w:trPr>
          <w:cantSplit/>
        </w:trPr>
        <w:tc>
          <w:tcPr>
            <w:tcW w:w="2126" w:type="dxa"/>
            <w:vAlign w:val="center"/>
          </w:tcPr>
          <w:p w14:paraId="635684D5" w14:textId="5C7A5275" w:rsidR="00985CB2" w:rsidRPr="00AD1D00" w:rsidRDefault="00985CB2" w:rsidP="00DE641C">
            <w:pPr>
              <w:pStyle w:val="Tabletext"/>
              <w:spacing w:before="0" w:after="0"/>
              <w:jc w:val="center"/>
              <w:rPr>
                <w:rFonts w:eastAsia="Arial Unicode MS"/>
              </w:rPr>
            </w:pPr>
            <w:r w:rsidRPr="00AD1D00">
              <w:rPr>
                <w:rStyle w:val="Strong"/>
                <w:b w:val="0"/>
                <w:bCs w:val="0"/>
              </w:rPr>
              <w:t>BO.1212</w:t>
            </w:r>
          </w:p>
        </w:tc>
        <w:tc>
          <w:tcPr>
            <w:tcW w:w="6946" w:type="dxa"/>
            <w:vAlign w:val="center"/>
          </w:tcPr>
          <w:p w14:paraId="0932D6E5" w14:textId="77777777" w:rsidR="00985CB2" w:rsidRDefault="00985CB2" w:rsidP="00DE641C">
            <w:pPr>
              <w:pStyle w:val="Tabletext"/>
              <w:spacing w:before="0" w:after="0"/>
              <w:rPr>
                <w:rFonts w:eastAsia="Arial Unicode MS"/>
              </w:rPr>
            </w:pPr>
            <w:r>
              <w:t>Calculation of total interference between geostationary-satellite networks in the broadcasting-satellite service</w:t>
            </w:r>
          </w:p>
        </w:tc>
      </w:tr>
      <w:tr w:rsidR="00985CB2" w14:paraId="4F131369" w14:textId="77777777" w:rsidTr="00DE641C">
        <w:trPr>
          <w:cantSplit/>
        </w:trPr>
        <w:tc>
          <w:tcPr>
            <w:tcW w:w="2126" w:type="dxa"/>
            <w:vAlign w:val="center"/>
          </w:tcPr>
          <w:p w14:paraId="5F1A1E8B" w14:textId="1124338E" w:rsidR="00985CB2" w:rsidRPr="00AD1D00" w:rsidRDefault="00985CB2" w:rsidP="00B17AF7">
            <w:pPr>
              <w:pStyle w:val="Tabletext"/>
              <w:spacing w:before="0" w:after="0"/>
              <w:jc w:val="center"/>
              <w:rPr>
                <w:rFonts w:eastAsia="Arial Unicode MS"/>
              </w:rPr>
            </w:pPr>
            <w:r w:rsidRPr="00AD1D00">
              <w:t>BO.1213</w:t>
            </w:r>
          </w:p>
        </w:tc>
        <w:tc>
          <w:tcPr>
            <w:tcW w:w="6946" w:type="dxa"/>
            <w:vAlign w:val="center"/>
          </w:tcPr>
          <w:p w14:paraId="0812AA11" w14:textId="77777777" w:rsidR="00985CB2" w:rsidRPr="00D00EB3" w:rsidRDefault="00985CB2" w:rsidP="00DE641C">
            <w:pPr>
              <w:pStyle w:val="Tabletext"/>
              <w:spacing w:before="0" w:after="0"/>
              <w:rPr>
                <w:rFonts w:eastAsia="Arial Unicode MS"/>
                <w:szCs w:val="22"/>
              </w:rPr>
            </w:pPr>
            <w:r w:rsidRPr="00D00EB3">
              <w:rPr>
                <w:szCs w:val="22"/>
              </w:rPr>
              <w:t>Reference receiving Earth station antenna pattern for the broadcasting-satellite service in the 11.7-12.75 GHz band  </w:t>
            </w:r>
          </w:p>
        </w:tc>
      </w:tr>
      <w:tr w:rsidR="00985CB2" w14:paraId="7921FBEA" w14:textId="77777777" w:rsidTr="00DE641C">
        <w:trPr>
          <w:cantSplit/>
        </w:trPr>
        <w:tc>
          <w:tcPr>
            <w:tcW w:w="2126" w:type="dxa"/>
            <w:vAlign w:val="center"/>
          </w:tcPr>
          <w:p w14:paraId="29DC76B1" w14:textId="413D4923" w:rsidR="00985CB2" w:rsidRPr="00AD1D00" w:rsidRDefault="00985CB2" w:rsidP="00B17AF7">
            <w:pPr>
              <w:pStyle w:val="Tabletext"/>
              <w:spacing w:before="0" w:after="0"/>
              <w:jc w:val="center"/>
              <w:rPr>
                <w:rFonts w:eastAsia="Arial Unicode MS"/>
              </w:rPr>
            </w:pPr>
            <w:r w:rsidRPr="00AD1D00">
              <w:t>BO.1293</w:t>
            </w:r>
          </w:p>
        </w:tc>
        <w:tc>
          <w:tcPr>
            <w:tcW w:w="6946" w:type="dxa"/>
            <w:vAlign w:val="center"/>
          </w:tcPr>
          <w:p w14:paraId="09C22C16" w14:textId="77777777" w:rsidR="00985CB2" w:rsidRDefault="00985CB2" w:rsidP="00DE641C">
            <w:pPr>
              <w:pStyle w:val="Tabletext"/>
              <w:spacing w:before="0" w:after="0"/>
              <w:rPr>
                <w:rFonts w:eastAsia="Arial Unicode MS"/>
              </w:rPr>
            </w:pPr>
            <w:r>
              <w:t>Protection masks and associated calculation methods for interference into broadcast-satellite systems involving digital emissions</w:t>
            </w:r>
          </w:p>
        </w:tc>
      </w:tr>
      <w:tr w:rsidR="00985CB2" w14:paraId="37FEC629" w14:textId="77777777" w:rsidTr="00DE641C">
        <w:trPr>
          <w:cantSplit/>
        </w:trPr>
        <w:tc>
          <w:tcPr>
            <w:tcW w:w="2126" w:type="dxa"/>
            <w:vAlign w:val="center"/>
          </w:tcPr>
          <w:p w14:paraId="27CA3B7E" w14:textId="0C40052E" w:rsidR="00985CB2" w:rsidRPr="008453E7" w:rsidRDefault="00985CB2" w:rsidP="00DE641C">
            <w:pPr>
              <w:pStyle w:val="Tabletext"/>
              <w:spacing w:before="0" w:after="0"/>
              <w:jc w:val="center"/>
              <w:rPr>
                <w:rFonts w:eastAsia="Arial Unicode MS"/>
              </w:rPr>
            </w:pPr>
            <w:r w:rsidRPr="008453E7">
              <w:rPr>
                <w:rStyle w:val="Strong"/>
                <w:b w:val="0"/>
                <w:bCs w:val="0"/>
              </w:rPr>
              <w:lastRenderedPageBreak/>
              <w:t>BO.1295</w:t>
            </w:r>
          </w:p>
        </w:tc>
        <w:tc>
          <w:tcPr>
            <w:tcW w:w="6946" w:type="dxa"/>
            <w:vAlign w:val="center"/>
          </w:tcPr>
          <w:p w14:paraId="14591171" w14:textId="77777777" w:rsidR="00985CB2" w:rsidRDefault="00985CB2" w:rsidP="00DE641C">
            <w:pPr>
              <w:pStyle w:val="Tabletext"/>
              <w:spacing w:before="0" w:after="0"/>
              <w:rPr>
                <w:rFonts w:eastAsia="Arial Unicode MS"/>
              </w:rPr>
            </w:pPr>
            <w:r>
              <w:t xml:space="preserve">Reference transmit Earth station antenna off-axis </w:t>
            </w:r>
            <w:proofErr w:type="spellStart"/>
            <w:r>
              <w:t>e.i.r.p</w:t>
            </w:r>
            <w:proofErr w:type="spellEnd"/>
            <w:r>
              <w:t>. patterns for planning purposes to be used in the revision of the Appendix 30A (Orb-88) Plans of the Radio Regulations at 14 GHz and 17 GHz in Regions 1 and 3</w:t>
            </w:r>
          </w:p>
        </w:tc>
      </w:tr>
      <w:tr w:rsidR="00985CB2" w14:paraId="444A97E4" w14:textId="77777777" w:rsidTr="00DE641C">
        <w:trPr>
          <w:cantSplit/>
        </w:trPr>
        <w:tc>
          <w:tcPr>
            <w:tcW w:w="2126" w:type="dxa"/>
            <w:vAlign w:val="center"/>
          </w:tcPr>
          <w:p w14:paraId="4404EFE1" w14:textId="222C5B8A" w:rsidR="00985CB2" w:rsidRPr="008453E7" w:rsidRDefault="00985CB2" w:rsidP="00DE641C">
            <w:pPr>
              <w:pStyle w:val="Tabletext"/>
              <w:spacing w:before="0" w:after="0"/>
              <w:jc w:val="center"/>
              <w:rPr>
                <w:rFonts w:eastAsia="Arial Unicode MS"/>
              </w:rPr>
            </w:pPr>
            <w:r w:rsidRPr="008453E7">
              <w:rPr>
                <w:rStyle w:val="Strong"/>
                <w:b w:val="0"/>
                <w:bCs w:val="0"/>
              </w:rPr>
              <w:t>BO.1296</w:t>
            </w:r>
          </w:p>
        </w:tc>
        <w:tc>
          <w:tcPr>
            <w:tcW w:w="6946" w:type="dxa"/>
            <w:vAlign w:val="center"/>
          </w:tcPr>
          <w:p w14:paraId="0C73748A" w14:textId="77777777" w:rsidR="00985CB2" w:rsidRDefault="00985CB2" w:rsidP="00DE641C">
            <w:pPr>
              <w:pStyle w:val="Tabletext"/>
              <w:spacing w:before="0" w:after="0"/>
              <w:rPr>
                <w:rFonts w:eastAsia="Arial Unicode MS"/>
              </w:rPr>
            </w:pPr>
            <w:r>
              <w:t>Reference receive space station antenna patterns for planning purposes to be used for elliptical beams in the revision of the Appendix 30A (Orb-88) Plans of the Radio Regulations at 14 GHz and 17 GHz in Regions 1 and 3</w:t>
            </w:r>
          </w:p>
        </w:tc>
      </w:tr>
      <w:tr w:rsidR="00985CB2" w14:paraId="78542932" w14:textId="77777777" w:rsidTr="00DE641C">
        <w:trPr>
          <w:cantSplit/>
        </w:trPr>
        <w:tc>
          <w:tcPr>
            <w:tcW w:w="2126" w:type="dxa"/>
            <w:vAlign w:val="center"/>
          </w:tcPr>
          <w:p w14:paraId="7CB1E3C9" w14:textId="67BA93A8" w:rsidR="00985CB2" w:rsidRPr="008453E7" w:rsidRDefault="00985CB2" w:rsidP="00DE641C">
            <w:pPr>
              <w:pStyle w:val="Tabletext"/>
              <w:spacing w:before="0" w:after="0"/>
              <w:jc w:val="center"/>
              <w:rPr>
                <w:rFonts w:eastAsia="Arial Unicode MS"/>
              </w:rPr>
            </w:pPr>
            <w:r w:rsidRPr="008453E7">
              <w:rPr>
                <w:rStyle w:val="Strong"/>
                <w:b w:val="0"/>
                <w:bCs w:val="0"/>
              </w:rPr>
              <w:t>BO.1297</w:t>
            </w:r>
          </w:p>
        </w:tc>
        <w:tc>
          <w:tcPr>
            <w:tcW w:w="6946" w:type="dxa"/>
            <w:vAlign w:val="center"/>
          </w:tcPr>
          <w:p w14:paraId="4F7C8DAE" w14:textId="77777777" w:rsidR="00985CB2" w:rsidRDefault="00985CB2" w:rsidP="00DE641C">
            <w:pPr>
              <w:pStyle w:val="Tabletext"/>
              <w:spacing w:before="0" w:after="0"/>
              <w:rPr>
                <w:rFonts w:eastAsia="Arial Unicode MS"/>
              </w:rPr>
            </w:pPr>
            <w:r>
              <w:t>Protection ratios to be used for planning purposes in the revision of the Appendices 30 (Orb-85) and 30A (Orb-88) Plans of the Radio Regulations in Regions 1 and 3</w:t>
            </w:r>
          </w:p>
        </w:tc>
      </w:tr>
      <w:tr w:rsidR="00985CB2" w14:paraId="70C84A5E" w14:textId="77777777" w:rsidTr="00DE641C">
        <w:trPr>
          <w:cantSplit/>
        </w:trPr>
        <w:tc>
          <w:tcPr>
            <w:tcW w:w="2126" w:type="dxa"/>
            <w:vAlign w:val="center"/>
          </w:tcPr>
          <w:p w14:paraId="4FBD4CF6" w14:textId="7B1A67D8" w:rsidR="00985CB2" w:rsidRPr="008453E7" w:rsidRDefault="00985CB2" w:rsidP="00B17AF7">
            <w:pPr>
              <w:pStyle w:val="Tabletext"/>
              <w:spacing w:before="0" w:after="0"/>
              <w:jc w:val="center"/>
              <w:rPr>
                <w:rFonts w:eastAsia="Arial Unicode MS"/>
              </w:rPr>
            </w:pPr>
            <w:r w:rsidRPr="008453E7">
              <w:t>BO.1373</w:t>
            </w:r>
          </w:p>
        </w:tc>
        <w:tc>
          <w:tcPr>
            <w:tcW w:w="6946" w:type="dxa"/>
            <w:vAlign w:val="center"/>
          </w:tcPr>
          <w:p w14:paraId="2C3E657E" w14:textId="77777777" w:rsidR="00985CB2" w:rsidRPr="00D00EB3" w:rsidRDefault="00985CB2" w:rsidP="00DE641C">
            <w:pPr>
              <w:pStyle w:val="Tabletext"/>
              <w:spacing w:before="0" w:after="0"/>
              <w:rPr>
                <w:rFonts w:eastAsia="Arial Unicode MS"/>
              </w:rPr>
            </w:pPr>
            <w:r w:rsidRPr="00D00EB3">
              <w:t>Use of broadcasting-satellite service assignments and of the associated feeder link assignments for fixed-satellite service transmissions in bands subject to Appendices 30 and 30A of the Radio Regulations  </w:t>
            </w:r>
          </w:p>
        </w:tc>
      </w:tr>
      <w:tr w:rsidR="00985CB2" w14:paraId="1D20B5E0" w14:textId="77777777" w:rsidTr="00DE641C">
        <w:trPr>
          <w:cantSplit/>
        </w:trPr>
        <w:tc>
          <w:tcPr>
            <w:tcW w:w="2126" w:type="dxa"/>
            <w:vAlign w:val="center"/>
          </w:tcPr>
          <w:p w14:paraId="4ED9EFCF" w14:textId="3275FE99" w:rsidR="00985CB2" w:rsidRPr="008453E7" w:rsidRDefault="00985CB2" w:rsidP="00B17AF7">
            <w:pPr>
              <w:pStyle w:val="Tabletext"/>
              <w:spacing w:before="0" w:after="0"/>
              <w:jc w:val="center"/>
              <w:rPr>
                <w:rFonts w:eastAsia="Arial Unicode MS"/>
              </w:rPr>
            </w:pPr>
            <w:r w:rsidRPr="008453E7">
              <w:t>BO.1443</w:t>
            </w:r>
          </w:p>
        </w:tc>
        <w:tc>
          <w:tcPr>
            <w:tcW w:w="6946" w:type="dxa"/>
            <w:vAlign w:val="center"/>
          </w:tcPr>
          <w:p w14:paraId="19D1B530" w14:textId="77777777" w:rsidR="00985CB2" w:rsidRDefault="00985CB2" w:rsidP="00DE641C">
            <w:pPr>
              <w:pStyle w:val="Tabletext"/>
              <w:spacing w:before="0" w:after="0"/>
              <w:rPr>
                <w:rFonts w:eastAsia="Arial Unicode MS"/>
              </w:rPr>
            </w:pPr>
            <w:r w:rsidRPr="00D00EB3">
              <w:t>Reference BSS earth station antenna patterns for use in interference assessment involving non-GSO satellites in frequency bands covered by RR Appendix 30  </w:t>
            </w:r>
          </w:p>
        </w:tc>
      </w:tr>
      <w:tr w:rsidR="00985CB2" w14:paraId="5FCC045C" w14:textId="77777777" w:rsidTr="00DE641C">
        <w:trPr>
          <w:cantSplit/>
        </w:trPr>
        <w:tc>
          <w:tcPr>
            <w:tcW w:w="2126" w:type="dxa"/>
            <w:vAlign w:val="center"/>
          </w:tcPr>
          <w:p w14:paraId="0AEE1823" w14:textId="0327218A" w:rsidR="00985CB2" w:rsidRPr="008453E7" w:rsidRDefault="00985CB2" w:rsidP="00DE641C">
            <w:pPr>
              <w:pStyle w:val="Tabletext"/>
              <w:spacing w:before="0" w:after="0"/>
              <w:jc w:val="center"/>
              <w:rPr>
                <w:rFonts w:eastAsia="Arial Unicode MS"/>
              </w:rPr>
            </w:pPr>
            <w:r w:rsidRPr="008453E7">
              <w:rPr>
                <w:rStyle w:val="Strong"/>
                <w:b w:val="0"/>
                <w:bCs w:val="0"/>
              </w:rPr>
              <w:t>BO.1445</w:t>
            </w:r>
          </w:p>
        </w:tc>
        <w:tc>
          <w:tcPr>
            <w:tcW w:w="6946" w:type="dxa"/>
            <w:vAlign w:val="center"/>
          </w:tcPr>
          <w:p w14:paraId="6B20AE4F" w14:textId="77777777" w:rsidR="00985CB2" w:rsidRDefault="00985CB2" w:rsidP="00DE641C">
            <w:pPr>
              <w:pStyle w:val="Tabletext"/>
              <w:spacing w:before="0" w:after="0"/>
              <w:rPr>
                <w:rFonts w:eastAsia="Arial Unicode MS"/>
              </w:rPr>
            </w:pPr>
            <w:r w:rsidRPr="00D00EB3">
              <w:t>Improved patterns for fast roll-off satellite transmit antennas of the Regions 1 and 3 BSS plans of RR Appendix S30  </w:t>
            </w:r>
          </w:p>
        </w:tc>
      </w:tr>
      <w:tr w:rsidR="00985CB2" w14:paraId="0BEDA6E4" w14:textId="77777777" w:rsidTr="00DE641C">
        <w:trPr>
          <w:cantSplit/>
        </w:trPr>
        <w:tc>
          <w:tcPr>
            <w:tcW w:w="2126" w:type="dxa"/>
            <w:vAlign w:val="center"/>
          </w:tcPr>
          <w:p w14:paraId="30D01A69" w14:textId="68A3429E" w:rsidR="00985CB2" w:rsidRPr="00D259F5" w:rsidRDefault="00985CB2" w:rsidP="00DE641C">
            <w:pPr>
              <w:pStyle w:val="Tabletext"/>
              <w:spacing w:before="0" w:after="0"/>
              <w:jc w:val="center"/>
            </w:pPr>
            <w:r w:rsidRPr="00AD1D00">
              <w:t>BO.1658</w:t>
            </w:r>
          </w:p>
        </w:tc>
        <w:tc>
          <w:tcPr>
            <w:tcW w:w="6946" w:type="dxa"/>
            <w:vAlign w:val="center"/>
          </w:tcPr>
          <w:p w14:paraId="3A91F195" w14:textId="77777777" w:rsidR="00985CB2" w:rsidRPr="00F90937" w:rsidRDefault="00985CB2" w:rsidP="00DE641C">
            <w:pPr>
              <w:pStyle w:val="Tabletext"/>
              <w:spacing w:before="0" w:after="0"/>
            </w:pPr>
            <w:r w:rsidRPr="00F90937">
              <w:t xml:space="preserve">Continuous curves of </w:t>
            </w:r>
            <w:proofErr w:type="spellStart"/>
            <w:r w:rsidRPr="00F90937">
              <w:t>epfddown</w:t>
            </w:r>
            <w:proofErr w:type="spellEnd"/>
            <w:r w:rsidRPr="00F90937">
              <w:t xml:space="preserve"> versus the geostationary broadcasting-satellite service Earth station antenna diameter to indicate the protection afforded by systems complying with the limits of antennas with diameters other than those in Article 22 of the Radio Regulations  </w:t>
            </w:r>
          </w:p>
        </w:tc>
      </w:tr>
      <w:tr w:rsidR="00985CB2" w14:paraId="1267AC1B" w14:textId="77777777" w:rsidTr="00DE641C">
        <w:trPr>
          <w:cantSplit/>
        </w:trPr>
        <w:tc>
          <w:tcPr>
            <w:tcW w:w="2126" w:type="dxa"/>
            <w:vAlign w:val="center"/>
          </w:tcPr>
          <w:p w14:paraId="3728306D" w14:textId="546A0F02" w:rsidR="00985CB2" w:rsidRPr="00520262" w:rsidRDefault="00985CB2" w:rsidP="00B17AF7">
            <w:pPr>
              <w:pStyle w:val="Tabletext"/>
              <w:spacing w:before="0" w:after="0"/>
              <w:jc w:val="center"/>
            </w:pPr>
            <w:r w:rsidRPr="00AD1D00">
              <w:t>BO.1776</w:t>
            </w:r>
          </w:p>
        </w:tc>
        <w:tc>
          <w:tcPr>
            <w:tcW w:w="6946" w:type="dxa"/>
            <w:vAlign w:val="center"/>
          </w:tcPr>
          <w:p w14:paraId="1BD696E6" w14:textId="77777777" w:rsidR="00985CB2" w:rsidRPr="00520262" w:rsidRDefault="00985CB2" w:rsidP="00DE641C">
            <w:pPr>
              <w:pStyle w:val="Tabletext"/>
              <w:spacing w:before="0" w:after="0"/>
            </w:pPr>
            <w:r w:rsidRPr="00520262">
              <w:t>Maximum power flux-density for the broadcasting-satellite service in the band 21.4-22.0 GHz in Regions 1 and 3</w:t>
            </w:r>
          </w:p>
        </w:tc>
      </w:tr>
      <w:tr w:rsidR="00985CB2" w14:paraId="6712A111" w14:textId="77777777" w:rsidTr="00DE641C">
        <w:trPr>
          <w:cantSplit/>
        </w:trPr>
        <w:tc>
          <w:tcPr>
            <w:tcW w:w="2126" w:type="dxa"/>
            <w:vAlign w:val="center"/>
          </w:tcPr>
          <w:p w14:paraId="2E424447" w14:textId="293C31F6" w:rsidR="00985CB2" w:rsidRPr="00D259F5" w:rsidRDefault="00985CB2" w:rsidP="00DE641C">
            <w:pPr>
              <w:pStyle w:val="Tabletext"/>
              <w:spacing w:before="0" w:after="0"/>
              <w:jc w:val="center"/>
            </w:pPr>
            <w:r w:rsidRPr="00AD1D00">
              <w:t>BO.1785</w:t>
            </w:r>
          </w:p>
        </w:tc>
        <w:tc>
          <w:tcPr>
            <w:tcW w:w="6946" w:type="dxa"/>
            <w:vAlign w:val="center"/>
          </w:tcPr>
          <w:p w14:paraId="3F4221AC" w14:textId="77777777" w:rsidR="00985CB2" w:rsidRPr="00F90937" w:rsidRDefault="00985CB2" w:rsidP="00DE641C">
            <w:pPr>
              <w:pStyle w:val="Tabletext"/>
              <w:spacing w:before="0" w:after="0"/>
            </w:pPr>
            <w:r w:rsidRPr="00F90937">
              <w:t>Intra-service sharing criteria for GSO BSS systems in the band 21.4</w:t>
            </w:r>
            <w:r>
              <w:noBreakHyphen/>
            </w:r>
            <w:r w:rsidRPr="00F90937">
              <w:t>22.0</w:t>
            </w:r>
            <w:r>
              <w:t> </w:t>
            </w:r>
            <w:r w:rsidRPr="00F90937">
              <w:t>GHz in Regions 1 and 3</w:t>
            </w:r>
          </w:p>
        </w:tc>
      </w:tr>
      <w:tr w:rsidR="00985CB2" w:rsidRPr="007338FB" w14:paraId="18C3D05D" w14:textId="77777777" w:rsidTr="00DE641C">
        <w:trPr>
          <w:cantSplit/>
        </w:trPr>
        <w:tc>
          <w:tcPr>
            <w:tcW w:w="2126" w:type="dxa"/>
            <w:vAlign w:val="center"/>
          </w:tcPr>
          <w:p w14:paraId="50BA045B" w14:textId="382BCB90" w:rsidR="00985CB2" w:rsidRPr="00343913" w:rsidRDefault="00985CB2" w:rsidP="00DE641C">
            <w:pPr>
              <w:pStyle w:val="Tabletext"/>
              <w:spacing w:before="0" w:after="0"/>
              <w:jc w:val="center"/>
            </w:pPr>
            <w:r w:rsidRPr="00AD1D00">
              <w:t>BO.1898</w:t>
            </w:r>
          </w:p>
        </w:tc>
        <w:tc>
          <w:tcPr>
            <w:tcW w:w="6946" w:type="dxa"/>
            <w:vAlign w:val="center"/>
          </w:tcPr>
          <w:p w14:paraId="0B460894" w14:textId="77777777" w:rsidR="00985CB2" w:rsidRPr="00343913" w:rsidRDefault="00985CB2" w:rsidP="00DE641C">
            <w:pPr>
              <w:pStyle w:val="Tabletext"/>
              <w:spacing w:before="0" w:after="0"/>
            </w:pPr>
            <w:r w:rsidRPr="00343913">
              <w:t>Power flux-density value required for the protection of receiving earth stations in the broadcasting-satellite service in Regions 1 and 3 from emissions by a station in the fixed and/or mobile services in the band 21.4-22 GHz</w:t>
            </w:r>
          </w:p>
        </w:tc>
      </w:tr>
      <w:tr w:rsidR="00985CB2" w14:paraId="46A45D13" w14:textId="77777777" w:rsidTr="00DE641C">
        <w:trPr>
          <w:cantSplit/>
        </w:trPr>
        <w:tc>
          <w:tcPr>
            <w:tcW w:w="2126" w:type="dxa"/>
            <w:vAlign w:val="center"/>
          </w:tcPr>
          <w:p w14:paraId="2B1D34E9" w14:textId="757DB61B" w:rsidR="00985CB2" w:rsidRPr="00343913" w:rsidRDefault="00985CB2" w:rsidP="00DE641C">
            <w:pPr>
              <w:pStyle w:val="Tabletext"/>
              <w:spacing w:before="0" w:after="0"/>
              <w:jc w:val="center"/>
            </w:pPr>
            <w:r w:rsidRPr="00AD1D00">
              <w:t>BO.1900</w:t>
            </w:r>
          </w:p>
        </w:tc>
        <w:tc>
          <w:tcPr>
            <w:tcW w:w="6946" w:type="dxa"/>
            <w:vAlign w:val="center"/>
          </w:tcPr>
          <w:p w14:paraId="1A83A02B" w14:textId="77777777" w:rsidR="00985CB2" w:rsidRPr="00343913" w:rsidRDefault="00985CB2" w:rsidP="00DE641C">
            <w:pPr>
              <w:pStyle w:val="Tabletext"/>
              <w:spacing w:before="0" w:after="0"/>
            </w:pPr>
            <w:r w:rsidRPr="00343913">
              <w:t>Reference receive earth station antenna pattern for the broadcasting-satellite service in the band 21.4-22 GHz in Regions 1 and 3</w:t>
            </w:r>
          </w:p>
        </w:tc>
      </w:tr>
    </w:tbl>
    <w:p w14:paraId="2A93785F" w14:textId="77777777" w:rsidR="00985CB2" w:rsidRDefault="00985CB2" w:rsidP="00985CB2"/>
    <w:p w14:paraId="767D9F83" w14:textId="43C4B086" w:rsidR="00985CB2" w:rsidRDefault="00985CB2" w:rsidP="0001089E">
      <w:pPr>
        <w:outlineLvl w:val="0"/>
      </w:pPr>
      <w:r>
        <w:rPr>
          <w:b/>
          <w:bCs/>
        </w:rPr>
        <w:t>Mobile</w:t>
      </w:r>
      <w:r w:rsidRPr="007433FB">
        <w:rPr>
          <w:b/>
          <w:bCs/>
        </w:rPr>
        <w:t>-satellite</w:t>
      </w:r>
      <w:r w:rsidR="00E327F0">
        <w:rPr>
          <w:b/>
          <w:bCs/>
        </w:rPr>
        <w:t> </w:t>
      </w:r>
      <w:r w:rsidRPr="007433FB">
        <w:rPr>
          <w:b/>
          <w:bCs/>
        </w:rPr>
        <w:t>service</w:t>
      </w:r>
    </w:p>
    <w:p w14:paraId="4C5D5DF9" w14:textId="77777777" w:rsidR="00985CB2" w:rsidRDefault="00985CB2" w:rsidP="00985CB2">
      <w:bookmarkStart w:id="5" w:name="_GoBack"/>
      <w:bookmarkEnd w:id="5"/>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946"/>
      </w:tblGrid>
      <w:tr w:rsidR="00985CB2" w:rsidRPr="0035326B" w14:paraId="35EF491D" w14:textId="77777777" w:rsidTr="00772D27">
        <w:trPr>
          <w:cantSplit/>
          <w:trHeight w:val="340"/>
          <w:tblHeader/>
        </w:trPr>
        <w:tc>
          <w:tcPr>
            <w:tcW w:w="2126" w:type="dxa"/>
            <w:vAlign w:val="center"/>
          </w:tcPr>
          <w:p w14:paraId="34EAFD30" w14:textId="77777777" w:rsidR="00985CB2" w:rsidRPr="00ED0D51" w:rsidRDefault="00985CB2" w:rsidP="00DE641C">
            <w:pPr>
              <w:pStyle w:val="Tablehead"/>
              <w:spacing w:before="0" w:after="0"/>
            </w:pPr>
            <w:r w:rsidRPr="00ED0D51">
              <w:t>Rec. ITU-R</w:t>
            </w:r>
          </w:p>
        </w:tc>
        <w:tc>
          <w:tcPr>
            <w:tcW w:w="6946" w:type="dxa"/>
            <w:vAlign w:val="center"/>
          </w:tcPr>
          <w:p w14:paraId="35FFEB36" w14:textId="77777777" w:rsidR="00985CB2" w:rsidRPr="00ED0D51" w:rsidRDefault="00985CB2" w:rsidP="00DE641C">
            <w:pPr>
              <w:pStyle w:val="Tablehead"/>
              <w:spacing w:before="0" w:after="0"/>
            </w:pPr>
            <w:r w:rsidRPr="00ED0D51">
              <w:t>Title</w:t>
            </w:r>
          </w:p>
        </w:tc>
      </w:tr>
      <w:tr w:rsidR="00985CB2" w:rsidRPr="0035326B" w14:paraId="63ED8203" w14:textId="77777777" w:rsidTr="00DE641C">
        <w:trPr>
          <w:cantSplit/>
          <w:tblHeader/>
        </w:trPr>
        <w:tc>
          <w:tcPr>
            <w:tcW w:w="2126" w:type="dxa"/>
            <w:vAlign w:val="center"/>
          </w:tcPr>
          <w:p w14:paraId="37D4B6DA" w14:textId="507C60BC" w:rsidR="00985CB2" w:rsidRPr="0035326B" w:rsidRDefault="00985CB2" w:rsidP="00B17AF7">
            <w:pPr>
              <w:tabs>
                <w:tab w:val="clear" w:pos="794"/>
                <w:tab w:val="clear" w:pos="1191"/>
                <w:tab w:val="clear" w:pos="1588"/>
                <w:tab w:val="clear" w:pos="1985"/>
              </w:tabs>
              <w:spacing w:before="0"/>
              <w:jc w:val="center"/>
              <w:rPr>
                <w:sz w:val="22"/>
                <w:szCs w:val="22"/>
              </w:rPr>
            </w:pPr>
            <w:r w:rsidRPr="005E11EA">
              <w:rPr>
                <w:rFonts w:cs="Arial"/>
                <w:sz w:val="22"/>
                <w:szCs w:val="22"/>
              </w:rPr>
              <w:t>M.694</w:t>
            </w:r>
          </w:p>
        </w:tc>
        <w:tc>
          <w:tcPr>
            <w:tcW w:w="6946" w:type="dxa"/>
            <w:vAlign w:val="center"/>
          </w:tcPr>
          <w:p w14:paraId="76779073" w14:textId="77777777" w:rsidR="00985CB2" w:rsidRPr="0035326B" w:rsidRDefault="00985CB2" w:rsidP="00DE641C">
            <w:pPr>
              <w:tabs>
                <w:tab w:val="clear" w:pos="794"/>
                <w:tab w:val="clear" w:pos="1191"/>
                <w:tab w:val="clear" w:pos="1588"/>
                <w:tab w:val="clear" w:pos="1985"/>
              </w:tabs>
              <w:spacing w:before="0"/>
              <w:rPr>
                <w:sz w:val="22"/>
                <w:szCs w:val="22"/>
              </w:rPr>
            </w:pPr>
            <w:r w:rsidRPr="0035326B">
              <w:rPr>
                <w:rFonts w:cs="Arial"/>
                <w:color w:val="000000"/>
                <w:sz w:val="22"/>
                <w:szCs w:val="22"/>
              </w:rPr>
              <w:t>Reference radiation pattern for ship earth station antennas</w:t>
            </w:r>
          </w:p>
        </w:tc>
      </w:tr>
      <w:tr w:rsidR="00985CB2" w:rsidRPr="0035326B" w14:paraId="4C686489" w14:textId="77777777" w:rsidTr="00DE641C">
        <w:trPr>
          <w:cantSplit/>
          <w:tblHeader/>
        </w:trPr>
        <w:tc>
          <w:tcPr>
            <w:tcW w:w="2126" w:type="dxa"/>
            <w:vAlign w:val="center"/>
          </w:tcPr>
          <w:p w14:paraId="29A19F0F" w14:textId="37C2F797" w:rsidR="00985CB2" w:rsidRPr="0035326B" w:rsidRDefault="00985CB2" w:rsidP="00DE641C">
            <w:pPr>
              <w:tabs>
                <w:tab w:val="clear" w:pos="794"/>
                <w:tab w:val="clear" w:pos="1191"/>
                <w:tab w:val="clear" w:pos="1588"/>
                <w:tab w:val="clear" w:pos="1985"/>
              </w:tabs>
              <w:spacing w:before="0"/>
              <w:jc w:val="center"/>
              <w:rPr>
                <w:sz w:val="22"/>
                <w:szCs w:val="22"/>
              </w:rPr>
            </w:pPr>
            <w:r w:rsidRPr="005E11EA">
              <w:rPr>
                <w:rFonts w:cs="Arial"/>
                <w:sz w:val="22"/>
                <w:szCs w:val="22"/>
              </w:rPr>
              <w:t>M.1091</w:t>
            </w:r>
          </w:p>
        </w:tc>
        <w:tc>
          <w:tcPr>
            <w:tcW w:w="6946" w:type="dxa"/>
            <w:vAlign w:val="center"/>
          </w:tcPr>
          <w:p w14:paraId="385FC07E" w14:textId="77777777" w:rsidR="00985CB2" w:rsidRPr="0035326B" w:rsidRDefault="00985CB2" w:rsidP="00DE641C">
            <w:pPr>
              <w:tabs>
                <w:tab w:val="clear" w:pos="794"/>
                <w:tab w:val="clear" w:pos="1191"/>
                <w:tab w:val="clear" w:pos="1588"/>
                <w:tab w:val="clear" w:pos="1985"/>
              </w:tabs>
              <w:spacing w:before="0"/>
              <w:rPr>
                <w:sz w:val="22"/>
                <w:szCs w:val="22"/>
              </w:rPr>
            </w:pPr>
            <w:r w:rsidRPr="0035326B">
              <w:rPr>
                <w:rFonts w:cs="Arial"/>
                <w:color w:val="000000"/>
                <w:sz w:val="22"/>
                <w:szCs w:val="22"/>
              </w:rPr>
              <w:t>Reference off-axis radiation patterns for mobile earth station antennas operating in the land mobile-satellite service in the frequency range 1 to 3 GHz</w:t>
            </w:r>
          </w:p>
        </w:tc>
      </w:tr>
      <w:tr w:rsidR="00985CB2" w:rsidRPr="0035326B" w14:paraId="3B60CF37" w14:textId="77777777" w:rsidTr="00DE641C">
        <w:trPr>
          <w:cantSplit/>
          <w:tblHeader/>
        </w:trPr>
        <w:tc>
          <w:tcPr>
            <w:tcW w:w="2126" w:type="dxa"/>
            <w:vAlign w:val="center"/>
          </w:tcPr>
          <w:p w14:paraId="5BE5AF8A" w14:textId="3B370F1D" w:rsidR="00985CB2" w:rsidRPr="0035326B" w:rsidRDefault="00985CB2" w:rsidP="00B17AF7">
            <w:pPr>
              <w:tabs>
                <w:tab w:val="clear" w:pos="794"/>
                <w:tab w:val="clear" w:pos="1191"/>
                <w:tab w:val="clear" w:pos="1588"/>
                <w:tab w:val="clear" w:pos="1985"/>
              </w:tabs>
              <w:spacing w:before="0"/>
              <w:jc w:val="center"/>
              <w:rPr>
                <w:sz w:val="22"/>
                <w:szCs w:val="22"/>
              </w:rPr>
            </w:pPr>
            <w:r w:rsidRPr="005E11EA">
              <w:rPr>
                <w:rFonts w:cs="Arial"/>
                <w:sz w:val="22"/>
                <w:szCs w:val="22"/>
              </w:rPr>
              <w:t>M.1343</w:t>
            </w:r>
          </w:p>
        </w:tc>
        <w:tc>
          <w:tcPr>
            <w:tcW w:w="6946" w:type="dxa"/>
            <w:vAlign w:val="center"/>
          </w:tcPr>
          <w:p w14:paraId="158C1DD2" w14:textId="77777777" w:rsidR="00985CB2" w:rsidRPr="0035326B" w:rsidRDefault="00985CB2" w:rsidP="00DE641C">
            <w:pPr>
              <w:tabs>
                <w:tab w:val="clear" w:pos="794"/>
                <w:tab w:val="clear" w:pos="1191"/>
                <w:tab w:val="clear" w:pos="1588"/>
                <w:tab w:val="clear" w:pos="1985"/>
              </w:tabs>
              <w:spacing w:before="0"/>
              <w:rPr>
                <w:sz w:val="22"/>
                <w:szCs w:val="22"/>
              </w:rPr>
            </w:pPr>
            <w:r w:rsidRPr="0035326B">
              <w:rPr>
                <w:rFonts w:cs="Arial"/>
                <w:color w:val="000000"/>
                <w:sz w:val="22"/>
                <w:szCs w:val="22"/>
              </w:rPr>
              <w:t>Essential technical requirements of mobile earth stations for global non-geostationary mobile satellite service systems in the bands 1</w:t>
            </w:r>
            <w:r w:rsidRPr="0035326B">
              <w:rPr>
                <w:rFonts w:cs="Arial"/>
                <w:color w:val="000000"/>
                <w:sz w:val="22"/>
                <w:szCs w:val="22"/>
              </w:rPr>
              <w:noBreakHyphen/>
              <w:t>3 GHz</w:t>
            </w:r>
          </w:p>
        </w:tc>
      </w:tr>
      <w:tr w:rsidR="00985CB2" w:rsidRPr="0035326B" w14:paraId="46107B01" w14:textId="77777777" w:rsidTr="00DE641C">
        <w:trPr>
          <w:cantSplit/>
          <w:tblHeader/>
        </w:trPr>
        <w:tc>
          <w:tcPr>
            <w:tcW w:w="2126" w:type="dxa"/>
            <w:vAlign w:val="center"/>
          </w:tcPr>
          <w:p w14:paraId="0BFA473A" w14:textId="539E1F57" w:rsidR="00985CB2" w:rsidRPr="0035326B" w:rsidRDefault="00985CB2" w:rsidP="00DE641C">
            <w:pPr>
              <w:tabs>
                <w:tab w:val="clear" w:pos="794"/>
                <w:tab w:val="clear" w:pos="1191"/>
                <w:tab w:val="clear" w:pos="1588"/>
                <w:tab w:val="clear" w:pos="1985"/>
              </w:tabs>
              <w:spacing w:before="0"/>
              <w:jc w:val="center"/>
              <w:rPr>
                <w:sz w:val="22"/>
                <w:szCs w:val="22"/>
              </w:rPr>
            </w:pPr>
            <w:r w:rsidRPr="005E11EA">
              <w:rPr>
                <w:rFonts w:cs="Arial"/>
                <w:sz w:val="22"/>
                <w:szCs w:val="22"/>
              </w:rPr>
              <w:t>M.1480</w:t>
            </w:r>
          </w:p>
        </w:tc>
        <w:tc>
          <w:tcPr>
            <w:tcW w:w="6946" w:type="dxa"/>
            <w:vAlign w:val="center"/>
          </w:tcPr>
          <w:p w14:paraId="1B8B322C" w14:textId="77777777" w:rsidR="00985CB2" w:rsidRPr="0035326B" w:rsidRDefault="00985CB2" w:rsidP="00DE641C">
            <w:pPr>
              <w:tabs>
                <w:tab w:val="clear" w:pos="794"/>
                <w:tab w:val="clear" w:pos="1191"/>
                <w:tab w:val="clear" w:pos="1588"/>
                <w:tab w:val="clear" w:pos="1985"/>
              </w:tabs>
              <w:spacing w:before="0"/>
              <w:rPr>
                <w:sz w:val="22"/>
                <w:szCs w:val="22"/>
              </w:rPr>
            </w:pPr>
            <w:r w:rsidRPr="0035326B">
              <w:rPr>
                <w:rFonts w:cs="Arial"/>
                <w:color w:val="000000"/>
                <w:sz w:val="22"/>
                <w:szCs w:val="22"/>
              </w:rPr>
              <w:t>Essential technical requirements of mobile earth stations of geostationary mobile-satellite systems that are implementing the Global mobile personal communications by satellite (GMPCS) - Memorandum of understanding arrangements in parts of the frequency band 1-3 GHz</w:t>
            </w:r>
          </w:p>
        </w:tc>
      </w:tr>
      <w:tr w:rsidR="00985CB2" w:rsidRPr="0035326B" w14:paraId="5C94E5E9" w14:textId="77777777" w:rsidTr="00DE641C">
        <w:trPr>
          <w:cantSplit/>
          <w:tblHeader/>
        </w:trPr>
        <w:tc>
          <w:tcPr>
            <w:tcW w:w="2126" w:type="dxa"/>
            <w:vAlign w:val="center"/>
          </w:tcPr>
          <w:p w14:paraId="014BB7F9" w14:textId="4F498035" w:rsidR="00985CB2" w:rsidRPr="002252EB" w:rsidRDefault="00985CB2" w:rsidP="00DE641C">
            <w:pPr>
              <w:tabs>
                <w:tab w:val="clear" w:pos="794"/>
                <w:tab w:val="clear" w:pos="1191"/>
                <w:tab w:val="clear" w:pos="1588"/>
                <w:tab w:val="clear" w:pos="1985"/>
              </w:tabs>
              <w:spacing w:before="0"/>
              <w:jc w:val="center"/>
              <w:rPr>
                <w:lang w:val="en-US"/>
              </w:rPr>
            </w:pPr>
            <w:r w:rsidRPr="005E11EA">
              <w:rPr>
                <w:lang w:val="en-US"/>
              </w:rPr>
              <w:t>M.2014</w:t>
            </w:r>
          </w:p>
        </w:tc>
        <w:tc>
          <w:tcPr>
            <w:tcW w:w="6946" w:type="dxa"/>
          </w:tcPr>
          <w:p w14:paraId="50DD806E" w14:textId="77777777" w:rsidR="00985CB2" w:rsidRPr="00B23A17" w:rsidRDefault="00985CB2" w:rsidP="00DE641C">
            <w:pPr>
              <w:keepNext/>
              <w:keepLines/>
              <w:spacing w:before="40" w:after="40"/>
              <w:rPr>
                <w:sz w:val="22"/>
                <w:szCs w:val="22"/>
              </w:rPr>
            </w:pPr>
            <w:r w:rsidRPr="00B23A17">
              <w:rPr>
                <w:sz w:val="22"/>
                <w:szCs w:val="22"/>
              </w:rPr>
              <w:t xml:space="preserve">Global circulation of IMT-2000 satellite terminals </w:t>
            </w:r>
          </w:p>
        </w:tc>
      </w:tr>
    </w:tbl>
    <w:p w14:paraId="0C567E8A" w14:textId="77777777" w:rsidR="00985CB2" w:rsidRDefault="00985CB2" w:rsidP="00985CB2">
      <w:pPr>
        <w:tabs>
          <w:tab w:val="clear" w:pos="794"/>
          <w:tab w:val="clear" w:pos="1191"/>
          <w:tab w:val="clear" w:pos="1588"/>
          <w:tab w:val="clear" w:pos="1985"/>
        </w:tabs>
        <w:overflowPunct/>
        <w:autoSpaceDE/>
        <w:autoSpaceDN/>
        <w:adjustRightInd/>
        <w:spacing w:before="0"/>
        <w:textAlignment w:val="auto"/>
        <w:rPr>
          <w:b/>
          <w:sz w:val="28"/>
          <w:szCs w:val="28"/>
        </w:rPr>
      </w:pPr>
      <w:r>
        <w:rPr>
          <w:szCs w:val="28"/>
        </w:rPr>
        <w:br w:type="page"/>
      </w:r>
    </w:p>
    <w:p w14:paraId="6D413578" w14:textId="59F6BA73" w:rsidR="00985CB2" w:rsidRDefault="00985CB2" w:rsidP="00220745">
      <w:pPr>
        <w:pStyle w:val="AnnexNoTitle0"/>
        <w:spacing w:before="240" w:after="360"/>
        <w:outlineLvl w:val="0"/>
      </w:pPr>
      <w:r w:rsidRPr="0003590A">
        <w:rPr>
          <w:szCs w:val="28"/>
        </w:rPr>
        <w:lastRenderedPageBreak/>
        <w:t xml:space="preserve">WRC Resolutions </w:t>
      </w:r>
      <w:r>
        <w:t>for whi</w:t>
      </w:r>
      <w:r w:rsidRPr="0003590A">
        <w:t>c</w:t>
      </w:r>
      <w:r>
        <w:t>h software should be developed/regularly updated</w:t>
      </w:r>
    </w:p>
    <w:tbl>
      <w:tblPr>
        <w:tblW w:w="9045" w:type="dxa"/>
        <w:jc w:val="center"/>
        <w:tblCellSpacing w:w="0" w:type="dxa"/>
        <w:tblInd w:w="-174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73"/>
        <w:gridCol w:w="5372"/>
      </w:tblGrid>
      <w:tr w:rsidR="00985CB2" w:rsidRPr="002017C5" w14:paraId="25550EAD" w14:textId="77777777" w:rsidTr="00772D27">
        <w:trPr>
          <w:cantSplit/>
          <w:trHeight w:val="340"/>
          <w:tblHeader/>
          <w:tblCellSpacing w:w="0" w:type="dxa"/>
          <w:jc w:val="center"/>
        </w:trPr>
        <w:tc>
          <w:tcPr>
            <w:tcW w:w="367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9475233" w14:textId="3B137663" w:rsidR="00985CB2" w:rsidRPr="002017C5" w:rsidRDefault="00985CB2" w:rsidP="00DE641C">
            <w:pPr>
              <w:overflowPunct/>
              <w:autoSpaceDE/>
              <w:autoSpaceDN/>
              <w:adjustRightInd/>
              <w:spacing w:before="40" w:after="40"/>
              <w:jc w:val="center"/>
              <w:textAlignment w:val="auto"/>
              <w:rPr>
                <w:rFonts w:eastAsia="SimSun"/>
                <w:b/>
                <w:bCs/>
                <w:sz w:val="22"/>
                <w:szCs w:val="22"/>
                <w:lang w:val="en-US" w:eastAsia="zh-CN"/>
              </w:rPr>
            </w:pPr>
            <w:r>
              <w:br w:type="page"/>
            </w:r>
            <w:r w:rsidRPr="002017C5">
              <w:rPr>
                <w:rFonts w:eastAsia="SimSun"/>
                <w:b/>
                <w:bCs/>
                <w:color w:val="000000"/>
                <w:sz w:val="22"/>
                <w:szCs w:val="22"/>
                <w:lang w:val="en-US" w:eastAsia="zh-CN"/>
              </w:rPr>
              <w:t>WRC Resolution</w:t>
            </w:r>
          </w:p>
        </w:tc>
        <w:tc>
          <w:tcPr>
            <w:tcW w:w="537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02923F3" w14:textId="77777777" w:rsidR="00985CB2" w:rsidRPr="002017C5" w:rsidRDefault="00985CB2" w:rsidP="00DE641C">
            <w:pPr>
              <w:overflowPunct/>
              <w:autoSpaceDE/>
              <w:autoSpaceDN/>
              <w:adjustRightInd/>
              <w:spacing w:before="40" w:after="40"/>
              <w:jc w:val="center"/>
              <w:textAlignment w:val="auto"/>
              <w:rPr>
                <w:rFonts w:eastAsia="SimSun"/>
                <w:b/>
                <w:bCs/>
                <w:sz w:val="22"/>
                <w:szCs w:val="22"/>
                <w:lang w:val="en-US" w:eastAsia="zh-CN"/>
              </w:rPr>
            </w:pPr>
            <w:r w:rsidRPr="002017C5">
              <w:rPr>
                <w:rFonts w:eastAsia="SimSun"/>
                <w:b/>
                <w:bCs/>
                <w:color w:val="000000"/>
                <w:sz w:val="22"/>
                <w:szCs w:val="22"/>
                <w:lang w:val="en-US" w:eastAsia="zh-CN"/>
              </w:rPr>
              <w:t>Title</w:t>
            </w:r>
          </w:p>
        </w:tc>
      </w:tr>
      <w:tr w:rsidR="00985CB2" w:rsidRPr="009F0A77" w14:paraId="338D581C"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4B20BDD1"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val="en-US" w:eastAsia="zh-CN"/>
              </w:rPr>
              <w:t>33</w:t>
            </w:r>
            <w:r w:rsidRPr="002F424F">
              <w:rPr>
                <w:rFonts w:eastAsia="SimSun"/>
                <w:b/>
                <w:bCs/>
                <w:color w:val="000000"/>
                <w:sz w:val="20"/>
                <w:lang w:val="en-US" w:eastAsia="zh-CN"/>
              </w:rPr>
              <w:t xml:space="preserve"> (Rev.WRC-</w:t>
            </w:r>
            <w:r>
              <w:rPr>
                <w:rFonts w:eastAsia="SimSun"/>
                <w:b/>
                <w:bCs/>
                <w:color w:val="000000"/>
                <w:sz w:val="20"/>
                <w:lang w:val="en-US" w:eastAsia="zh-CN"/>
              </w:rPr>
              <w:t>03</w:t>
            </w:r>
            <w:r w:rsidRPr="002F424F">
              <w:rPr>
                <w:rFonts w:eastAsia="SimSun"/>
                <w:b/>
                <w:bCs/>
                <w:color w:val="000000"/>
                <w:sz w:val="20"/>
                <w:lang w:val="en-US" w:eastAsia="zh-CN"/>
              </w:rPr>
              <w:t>)</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421ED2E4" w14:textId="77777777" w:rsidR="00985CB2" w:rsidRPr="00A64B3E" w:rsidRDefault="00985CB2" w:rsidP="00DE641C">
            <w:pPr>
              <w:overflowPunct/>
              <w:autoSpaceDE/>
              <w:autoSpaceDN/>
              <w:adjustRightInd/>
              <w:spacing w:before="40" w:after="40"/>
              <w:textAlignment w:val="auto"/>
              <w:rPr>
                <w:rFonts w:eastAsia="SimSun"/>
                <w:color w:val="000000"/>
                <w:sz w:val="20"/>
                <w:lang w:val="en-US" w:eastAsia="zh-CN"/>
              </w:rPr>
            </w:pPr>
            <w:r w:rsidRPr="00A64B3E">
              <w:rPr>
                <w:rFonts w:eastAsia="SimSun"/>
                <w:color w:val="000000"/>
                <w:sz w:val="20"/>
                <w:lang w:val="en-US" w:eastAsia="zh-CN"/>
              </w:rPr>
              <w:t>Bringing into use of space stations in the broadcasting-satellite service,</w:t>
            </w:r>
            <w:r>
              <w:rPr>
                <w:rFonts w:eastAsia="SimSun"/>
                <w:color w:val="000000"/>
                <w:sz w:val="20"/>
                <w:lang w:val="en-US" w:eastAsia="zh-CN"/>
              </w:rPr>
              <w:t xml:space="preserve"> </w:t>
            </w:r>
            <w:r w:rsidRPr="00A64B3E">
              <w:rPr>
                <w:rFonts w:eastAsia="SimSun"/>
                <w:color w:val="000000"/>
                <w:sz w:val="20"/>
                <w:lang w:val="en-US" w:eastAsia="zh-CN"/>
              </w:rPr>
              <w:t>prior to the entry into force of agreements and associated plans for</w:t>
            </w:r>
            <w:r>
              <w:rPr>
                <w:rFonts w:eastAsia="SimSun"/>
                <w:color w:val="000000"/>
                <w:sz w:val="20"/>
                <w:lang w:val="en-US" w:eastAsia="zh-CN"/>
              </w:rPr>
              <w:t xml:space="preserve"> </w:t>
            </w:r>
            <w:r w:rsidRPr="00A64B3E">
              <w:rPr>
                <w:rFonts w:eastAsia="SimSun"/>
                <w:color w:val="000000"/>
                <w:sz w:val="20"/>
                <w:lang w:val="en-US" w:eastAsia="zh-CN"/>
              </w:rPr>
              <w:t>the broadcasting-satellite service</w:t>
            </w:r>
          </w:p>
        </w:tc>
      </w:tr>
      <w:tr w:rsidR="00985CB2" w:rsidRPr="009F0A77" w14:paraId="37E5D67D"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5079F77F"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val="en-US" w:eastAsia="zh-CN"/>
              </w:rPr>
              <w:t>42</w:t>
            </w:r>
            <w:r w:rsidRPr="002F424F">
              <w:rPr>
                <w:rFonts w:eastAsia="SimSun"/>
                <w:b/>
                <w:bCs/>
                <w:color w:val="000000"/>
                <w:sz w:val="20"/>
                <w:lang w:val="en-US" w:eastAsia="zh-CN"/>
              </w:rPr>
              <w:t xml:space="preserve"> (Rev.WRC-</w:t>
            </w:r>
            <w:r>
              <w:rPr>
                <w:rFonts w:eastAsia="SimSun"/>
                <w:b/>
                <w:bCs/>
                <w:color w:val="000000"/>
                <w:sz w:val="20"/>
                <w:lang w:val="en-US" w:eastAsia="zh-CN"/>
              </w:rPr>
              <w:t>12</w:t>
            </w:r>
            <w:r w:rsidRPr="002F424F">
              <w:rPr>
                <w:rFonts w:eastAsia="SimSun"/>
                <w:b/>
                <w:bCs/>
                <w:color w:val="000000"/>
                <w:sz w:val="20"/>
                <w:lang w:val="en-US" w:eastAsia="zh-CN"/>
              </w:rPr>
              <w:t>)</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7218AE5B" w14:textId="77777777" w:rsidR="00985CB2" w:rsidRPr="002A2DB6" w:rsidRDefault="00985CB2" w:rsidP="00DE641C">
            <w:pPr>
              <w:overflowPunct/>
              <w:autoSpaceDE/>
              <w:autoSpaceDN/>
              <w:adjustRightInd/>
              <w:spacing w:before="40" w:after="40"/>
              <w:textAlignment w:val="auto"/>
              <w:rPr>
                <w:rFonts w:eastAsia="SimSun"/>
                <w:color w:val="000000"/>
                <w:sz w:val="20"/>
                <w:lang w:eastAsia="zh-CN"/>
              </w:rPr>
            </w:pPr>
            <w:r w:rsidRPr="00AC6440">
              <w:rPr>
                <w:rFonts w:eastAsia="SimSun"/>
                <w:color w:val="000000"/>
                <w:sz w:val="20"/>
                <w:lang w:eastAsia="zh-CN"/>
              </w:rPr>
              <w:t>Use of interim systems in Region 2 in the broadcasting-satellite and</w:t>
            </w:r>
            <w:r>
              <w:rPr>
                <w:rFonts w:eastAsia="SimSun"/>
                <w:color w:val="000000"/>
                <w:sz w:val="20"/>
                <w:lang w:eastAsia="zh-CN"/>
              </w:rPr>
              <w:t xml:space="preserve"> </w:t>
            </w:r>
            <w:r w:rsidRPr="00AC6440">
              <w:rPr>
                <w:rFonts w:eastAsia="SimSun"/>
                <w:color w:val="000000"/>
                <w:sz w:val="20"/>
                <w:lang w:eastAsia="zh-CN"/>
              </w:rPr>
              <w:t>fixed-satellite (feeder-link) services in Region 2 for the bands</w:t>
            </w:r>
            <w:r>
              <w:rPr>
                <w:rFonts w:eastAsia="SimSun"/>
                <w:color w:val="000000"/>
                <w:sz w:val="20"/>
                <w:lang w:eastAsia="zh-CN"/>
              </w:rPr>
              <w:t xml:space="preserve"> </w:t>
            </w:r>
            <w:r w:rsidRPr="00AC6440">
              <w:rPr>
                <w:rFonts w:eastAsia="SimSun"/>
                <w:color w:val="000000"/>
                <w:sz w:val="20"/>
                <w:lang w:eastAsia="zh-CN"/>
              </w:rPr>
              <w:t>covered by Appendices 30 and 30A</w:t>
            </w:r>
          </w:p>
        </w:tc>
      </w:tr>
      <w:tr w:rsidR="00985CB2" w:rsidRPr="009F0A77" w14:paraId="3B983A68"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076255CD"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val="en-US" w:eastAsia="zh-CN"/>
              </w:rPr>
              <w:t>49</w:t>
            </w:r>
            <w:r w:rsidRPr="002F424F">
              <w:rPr>
                <w:rFonts w:eastAsia="SimSun"/>
                <w:b/>
                <w:bCs/>
                <w:color w:val="000000"/>
                <w:sz w:val="20"/>
                <w:lang w:val="en-US" w:eastAsia="zh-CN"/>
              </w:rPr>
              <w:t xml:space="preserve"> (Rev.WRC-</w:t>
            </w:r>
            <w:r>
              <w:rPr>
                <w:rFonts w:eastAsia="SimSun"/>
                <w:b/>
                <w:bCs/>
                <w:color w:val="000000"/>
                <w:sz w:val="20"/>
                <w:lang w:val="en-US" w:eastAsia="zh-CN"/>
              </w:rPr>
              <w:t>12</w:t>
            </w:r>
            <w:r w:rsidRPr="002F424F">
              <w:rPr>
                <w:rFonts w:eastAsia="SimSun"/>
                <w:b/>
                <w:bCs/>
                <w:color w:val="000000"/>
                <w:sz w:val="20"/>
                <w:lang w:val="en-US" w:eastAsia="zh-CN"/>
              </w:rPr>
              <w:t>)</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62824B86" w14:textId="77777777" w:rsidR="00985CB2" w:rsidRPr="00AC6440" w:rsidRDefault="00985CB2" w:rsidP="00DE641C">
            <w:pPr>
              <w:overflowPunct/>
              <w:autoSpaceDE/>
              <w:autoSpaceDN/>
              <w:adjustRightInd/>
              <w:spacing w:before="40" w:after="40"/>
              <w:textAlignment w:val="auto"/>
              <w:rPr>
                <w:rFonts w:eastAsia="SimSun"/>
                <w:color w:val="000000"/>
                <w:sz w:val="20"/>
                <w:lang w:eastAsia="zh-CN"/>
              </w:rPr>
            </w:pPr>
            <w:r w:rsidRPr="00574056">
              <w:rPr>
                <w:rFonts w:eastAsia="SimSun"/>
                <w:color w:val="000000"/>
                <w:sz w:val="20"/>
                <w:lang w:eastAsia="zh-CN"/>
              </w:rPr>
              <w:t>Administrative due diligence applicable to some</w:t>
            </w:r>
            <w:r>
              <w:rPr>
                <w:rFonts w:eastAsia="SimSun"/>
                <w:color w:val="000000"/>
                <w:sz w:val="20"/>
                <w:lang w:eastAsia="zh-CN"/>
              </w:rPr>
              <w:t xml:space="preserve"> </w:t>
            </w:r>
            <w:r w:rsidRPr="00574056">
              <w:rPr>
                <w:rFonts w:eastAsia="SimSun"/>
                <w:color w:val="000000"/>
                <w:sz w:val="20"/>
                <w:lang w:eastAsia="zh-CN"/>
              </w:rPr>
              <w:t xml:space="preserve">satellite </w:t>
            </w:r>
            <w:proofErr w:type="spellStart"/>
            <w:r w:rsidRPr="00574056">
              <w:rPr>
                <w:rFonts w:eastAsia="SimSun"/>
                <w:color w:val="000000"/>
                <w:sz w:val="20"/>
                <w:lang w:eastAsia="zh-CN"/>
              </w:rPr>
              <w:t>radiocommunication</w:t>
            </w:r>
            <w:proofErr w:type="spellEnd"/>
            <w:r w:rsidRPr="00574056">
              <w:rPr>
                <w:rFonts w:eastAsia="SimSun"/>
                <w:color w:val="000000"/>
                <w:sz w:val="20"/>
                <w:lang w:eastAsia="zh-CN"/>
              </w:rPr>
              <w:t xml:space="preserve"> services</w:t>
            </w:r>
          </w:p>
        </w:tc>
      </w:tr>
      <w:tr w:rsidR="00985CB2" w:rsidRPr="009F0A77" w14:paraId="5B9AEA12"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5A0582BE"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sidRPr="00A25CAC">
              <w:rPr>
                <w:rFonts w:eastAsia="SimSun"/>
                <w:b/>
                <w:bCs/>
                <w:color w:val="000000"/>
                <w:sz w:val="20"/>
                <w:lang w:val="en-US" w:eastAsia="zh-CN"/>
              </w:rPr>
              <w:t>55</w:t>
            </w:r>
            <w:r w:rsidRPr="002F424F">
              <w:rPr>
                <w:rFonts w:eastAsia="SimSun"/>
                <w:b/>
                <w:bCs/>
                <w:color w:val="000000"/>
                <w:sz w:val="20"/>
                <w:lang w:val="en-US" w:eastAsia="zh-CN"/>
              </w:rPr>
              <w:t xml:space="preserve"> (Rev.WRC-</w:t>
            </w:r>
            <w:r>
              <w:rPr>
                <w:rFonts w:eastAsia="SimSun"/>
                <w:b/>
                <w:bCs/>
                <w:color w:val="000000"/>
                <w:sz w:val="20"/>
                <w:lang w:val="en-US" w:eastAsia="zh-CN"/>
              </w:rPr>
              <w:t>12</w:t>
            </w:r>
            <w:r w:rsidRPr="002F424F">
              <w:rPr>
                <w:rFonts w:eastAsia="SimSun"/>
                <w:b/>
                <w:bCs/>
                <w:color w:val="000000"/>
                <w:sz w:val="20"/>
                <w:lang w:val="en-US" w:eastAsia="zh-CN"/>
              </w:rPr>
              <w:t>)</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2075A07F" w14:textId="77777777" w:rsidR="00985CB2" w:rsidRPr="002A2DB6" w:rsidRDefault="00985CB2" w:rsidP="00DE641C">
            <w:pPr>
              <w:overflowPunct/>
              <w:autoSpaceDE/>
              <w:autoSpaceDN/>
              <w:adjustRightInd/>
              <w:spacing w:before="40" w:after="40"/>
              <w:textAlignment w:val="auto"/>
              <w:rPr>
                <w:rFonts w:eastAsia="SimSun"/>
                <w:color w:val="000000"/>
                <w:sz w:val="20"/>
                <w:lang w:eastAsia="zh-CN"/>
              </w:rPr>
            </w:pPr>
            <w:r w:rsidRPr="00E631EE">
              <w:rPr>
                <w:rFonts w:eastAsia="SimSun"/>
                <w:color w:val="000000"/>
                <w:sz w:val="20"/>
                <w:lang w:eastAsia="zh-CN"/>
              </w:rPr>
              <w:t>Electronic submission of notice forms for satellite networks, earth stations and radio astronomy stations</w:t>
            </w:r>
          </w:p>
        </w:tc>
      </w:tr>
      <w:tr w:rsidR="00985CB2" w:rsidRPr="009F0A77" w14:paraId="6A734DBC"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7C1A707C" w14:textId="77777777" w:rsidR="00985CB2" w:rsidRPr="002A2FEF" w:rsidRDefault="00985CB2" w:rsidP="00985CB2">
            <w:pPr>
              <w:pStyle w:val="Tabletext"/>
              <w:keepNext/>
              <w:keepLines/>
              <w:rPr>
                <w:sz w:val="20"/>
              </w:rPr>
            </w:pPr>
            <w:r w:rsidRPr="002A2FEF">
              <w:rPr>
                <w:sz w:val="20"/>
              </w:rPr>
              <w:t>Resolution </w:t>
            </w:r>
            <w:r w:rsidRPr="002A2FEF">
              <w:rPr>
                <w:b/>
                <w:bCs/>
                <w:sz w:val="20"/>
              </w:rPr>
              <w:t>80</w:t>
            </w:r>
            <w:r w:rsidRPr="002A2FEF">
              <w:rPr>
                <w:bCs/>
                <w:sz w:val="20"/>
              </w:rPr>
              <w:t xml:space="preserve"> (</w:t>
            </w:r>
            <w:r w:rsidRPr="002A2FEF">
              <w:rPr>
                <w:b/>
                <w:sz w:val="20"/>
              </w:rPr>
              <w:t>Rev.WRC</w:t>
            </w:r>
            <w:r w:rsidRPr="002A2FEF">
              <w:rPr>
                <w:b/>
                <w:sz w:val="20"/>
              </w:rPr>
              <w:noBreakHyphen/>
              <w:t>07</w:t>
            </w:r>
            <w:r w:rsidRPr="002A2FEF">
              <w:rPr>
                <w:bCs/>
                <w:sz w:val="20"/>
              </w:rPr>
              <w:t>)</w:t>
            </w:r>
          </w:p>
          <w:p w14:paraId="053922F3" w14:textId="77777777" w:rsidR="00985CB2" w:rsidRPr="002A2FEF" w:rsidRDefault="00985CB2" w:rsidP="00985CB2">
            <w:pPr>
              <w:pStyle w:val="Tabletext"/>
              <w:rPr>
                <w:sz w:val="20"/>
              </w:rPr>
            </w:pP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7BFE6B9D" w14:textId="291CF113" w:rsidR="00985CB2" w:rsidRPr="002A2FEF" w:rsidRDefault="00985CB2" w:rsidP="00DE641C">
            <w:pPr>
              <w:overflowPunct/>
              <w:autoSpaceDE/>
              <w:autoSpaceDN/>
              <w:adjustRightInd/>
              <w:spacing w:before="40" w:after="40"/>
              <w:textAlignment w:val="auto"/>
              <w:rPr>
                <w:sz w:val="20"/>
              </w:rPr>
            </w:pPr>
            <w:r w:rsidRPr="002A2FEF">
              <w:rPr>
                <w:sz w:val="20"/>
              </w:rPr>
              <w:t>Due diligence in applying the principles embodied in the Constitution</w:t>
            </w:r>
          </w:p>
        </w:tc>
      </w:tr>
      <w:tr w:rsidR="00985CB2" w:rsidRPr="009F0A77" w14:paraId="228A2526"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2EA9EBFA" w14:textId="77777777" w:rsidR="00985CB2" w:rsidRPr="002A2FEF" w:rsidRDefault="00985CB2" w:rsidP="00985CB2">
            <w:pPr>
              <w:pStyle w:val="Tabletext"/>
              <w:rPr>
                <w:sz w:val="20"/>
              </w:rPr>
            </w:pPr>
            <w:r w:rsidRPr="002A2FEF">
              <w:rPr>
                <w:sz w:val="20"/>
              </w:rPr>
              <w:t>Resolution </w:t>
            </w:r>
            <w:r w:rsidRPr="002A2FEF">
              <w:rPr>
                <w:b/>
                <w:bCs/>
                <w:sz w:val="20"/>
              </w:rPr>
              <w:t>86</w:t>
            </w:r>
            <w:r w:rsidRPr="002A2FEF">
              <w:rPr>
                <w:sz w:val="20"/>
              </w:rPr>
              <w:t xml:space="preserve"> (</w:t>
            </w:r>
            <w:r w:rsidRPr="002A2FEF">
              <w:rPr>
                <w:b/>
                <w:bCs/>
                <w:sz w:val="20"/>
              </w:rPr>
              <w:t>Rev.WRC</w:t>
            </w:r>
            <w:r w:rsidRPr="002A2FEF">
              <w:rPr>
                <w:b/>
                <w:bCs/>
                <w:sz w:val="20"/>
              </w:rPr>
              <w:noBreakHyphen/>
              <w:t>07</w:t>
            </w:r>
            <w:r w:rsidRPr="002A2FEF">
              <w:rPr>
                <w:sz w:val="20"/>
              </w:rPr>
              <w:t>)</w:t>
            </w:r>
          </w:p>
          <w:p w14:paraId="05434466"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00A3AF56" w14:textId="5ADD4A1D" w:rsidR="00985CB2" w:rsidRPr="002A2DB6" w:rsidRDefault="00985CB2" w:rsidP="00DE641C">
            <w:pPr>
              <w:overflowPunct/>
              <w:autoSpaceDE/>
              <w:autoSpaceDN/>
              <w:adjustRightInd/>
              <w:spacing w:before="40" w:after="40"/>
              <w:textAlignment w:val="auto"/>
              <w:rPr>
                <w:rFonts w:eastAsia="SimSun"/>
                <w:color w:val="000000"/>
                <w:sz w:val="20"/>
                <w:lang w:eastAsia="zh-CN"/>
              </w:rPr>
            </w:pPr>
            <w:r w:rsidRPr="002A2FEF">
              <w:rPr>
                <w:sz w:val="20"/>
              </w:rPr>
              <w:t>Implementation of Resolution 86 (Rev. Marrakesh, 2002) of the Plenipotentiary Conference</w:t>
            </w:r>
          </w:p>
        </w:tc>
      </w:tr>
      <w:tr w:rsidR="00985CB2" w:rsidRPr="009F0A77" w14:paraId="76B5A4CC"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6112AEBF"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9F0A77">
              <w:rPr>
                <w:rFonts w:eastAsia="SimSun"/>
                <w:color w:val="000000"/>
                <w:sz w:val="20"/>
                <w:lang w:val="en-US" w:eastAsia="zh-CN"/>
              </w:rPr>
              <w:t xml:space="preserve">Resolution </w:t>
            </w:r>
            <w:r w:rsidRPr="002F424F">
              <w:rPr>
                <w:rFonts w:eastAsia="SimSun"/>
                <w:b/>
                <w:bCs/>
                <w:color w:val="000000"/>
                <w:sz w:val="20"/>
                <w:lang w:val="en-US" w:eastAsia="zh-CN"/>
              </w:rPr>
              <w:t>144 (Rev.WRC-07)</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24C6B90B"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2A2DB6">
              <w:rPr>
                <w:rFonts w:eastAsia="SimSun"/>
                <w:color w:val="000000"/>
                <w:sz w:val="20"/>
                <w:lang w:eastAsia="zh-CN"/>
              </w:rPr>
              <w:t>Special requirements of geographically small or narrow countries</w:t>
            </w:r>
            <w:r>
              <w:rPr>
                <w:rFonts w:eastAsia="SimSun"/>
                <w:color w:val="000000"/>
                <w:sz w:val="20"/>
                <w:lang w:eastAsia="zh-CN"/>
              </w:rPr>
              <w:t xml:space="preserve"> </w:t>
            </w:r>
            <w:r w:rsidRPr="002A2DB6">
              <w:rPr>
                <w:rFonts w:eastAsia="SimSun"/>
                <w:color w:val="000000"/>
                <w:sz w:val="20"/>
                <w:lang w:eastAsia="zh-CN"/>
              </w:rPr>
              <w:t>operating earth stations in the fixed-satellite service</w:t>
            </w:r>
            <w:r>
              <w:rPr>
                <w:rFonts w:eastAsia="SimSun"/>
                <w:color w:val="000000"/>
                <w:sz w:val="20"/>
                <w:lang w:eastAsia="zh-CN"/>
              </w:rPr>
              <w:t xml:space="preserve"> </w:t>
            </w:r>
            <w:r w:rsidRPr="002A2DB6">
              <w:rPr>
                <w:rFonts w:eastAsia="SimSun"/>
                <w:color w:val="000000"/>
                <w:sz w:val="20"/>
                <w:lang w:eastAsia="zh-CN"/>
              </w:rPr>
              <w:t>in the band 13.75-14 GHz</w:t>
            </w:r>
          </w:p>
        </w:tc>
      </w:tr>
      <w:tr w:rsidR="00985CB2" w:rsidRPr="009F0A77" w14:paraId="6F97E863"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31802317"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sidRPr="002F424F">
              <w:rPr>
                <w:rFonts w:eastAsia="SimSun"/>
                <w:b/>
                <w:bCs/>
                <w:color w:val="000000"/>
                <w:sz w:val="20"/>
                <w:lang w:val="en-US" w:eastAsia="zh-CN"/>
              </w:rPr>
              <w:t>14</w:t>
            </w:r>
            <w:r>
              <w:rPr>
                <w:rFonts w:eastAsia="SimSun"/>
                <w:b/>
                <w:bCs/>
                <w:color w:val="000000"/>
                <w:sz w:val="20"/>
                <w:lang w:val="en-US" w:eastAsia="zh-CN"/>
              </w:rPr>
              <w:t>9</w:t>
            </w:r>
            <w:r w:rsidRPr="002F424F">
              <w:rPr>
                <w:rFonts w:eastAsia="SimSun"/>
                <w:b/>
                <w:bCs/>
                <w:color w:val="000000"/>
                <w:sz w:val="20"/>
                <w:lang w:val="en-US" w:eastAsia="zh-CN"/>
              </w:rPr>
              <w:t xml:space="preserve"> (Rev.WRC-</w:t>
            </w:r>
            <w:r>
              <w:rPr>
                <w:rFonts w:eastAsia="SimSun"/>
                <w:b/>
                <w:bCs/>
                <w:color w:val="000000"/>
                <w:sz w:val="20"/>
                <w:lang w:val="en-US" w:eastAsia="zh-CN"/>
              </w:rPr>
              <w:t>12</w:t>
            </w:r>
            <w:r w:rsidRPr="002F424F">
              <w:rPr>
                <w:rFonts w:eastAsia="SimSun"/>
                <w:b/>
                <w:bCs/>
                <w:color w:val="000000"/>
                <w:sz w:val="20"/>
                <w:lang w:val="en-US" w:eastAsia="zh-CN"/>
              </w:rPr>
              <w:t>)</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1BCF024C" w14:textId="77777777" w:rsidR="00985CB2" w:rsidRPr="00810C73" w:rsidRDefault="00985CB2" w:rsidP="00DE641C">
            <w:pPr>
              <w:overflowPunct/>
              <w:autoSpaceDE/>
              <w:autoSpaceDN/>
              <w:adjustRightInd/>
              <w:spacing w:before="40" w:after="40"/>
              <w:textAlignment w:val="auto"/>
              <w:rPr>
                <w:rFonts w:eastAsia="SimSun"/>
                <w:color w:val="000000"/>
                <w:sz w:val="20"/>
                <w:lang w:eastAsia="zh-CN"/>
              </w:rPr>
            </w:pPr>
            <w:r w:rsidRPr="00FB1249">
              <w:rPr>
                <w:rFonts w:eastAsia="SimSun"/>
                <w:color w:val="000000"/>
                <w:sz w:val="20"/>
                <w:lang w:eastAsia="zh-CN"/>
              </w:rPr>
              <w:t>Submissions from new Member States of the Union relating</w:t>
            </w:r>
            <w:r>
              <w:rPr>
                <w:rFonts w:eastAsia="SimSun"/>
                <w:color w:val="000000"/>
                <w:sz w:val="20"/>
                <w:lang w:eastAsia="zh-CN"/>
              </w:rPr>
              <w:t xml:space="preserve"> </w:t>
            </w:r>
            <w:r w:rsidRPr="00FB1249">
              <w:rPr>
                <w:rFonts w:eastAsia="SimSun"/>
                <w:color w:val="000000"/>
                <w:sz w:val="20"/>
                <w:lang w:eastAsia="zh-CN"/>
              </w:rPr>
              <w:t>to Appendix 30B of the Radio Regulations</w:t>
            </w:r>
          </w:p>
        </w:tc>
      </w:tr>
      <w:tr w:rsidR="00985CB2" w:rsidRPr="009F0A77" w14:paraId="5E23EEF0"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3F931401" w14:textId="77777777" w:rsidR="00985CB2" w:rsidRPr="002A2FEF" w:rsidRDefault="00985CB2" w:rsidP="00985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eastAsia="SimSun" w:hAnsi="Times New Roman Bold" w:cs="Times New Roman Bold"/>
                <w:b/>
                <w:bCs/>
                <w:sz w:val="20"/>
              </w:rPr>
              <w:t xml:space="preserve">151 </w:t>
            </w:r>
            <w:r w:rsidRPr="002A2FEF">
              <w:rPr>
                <w:b/>
                <w:bCs/>
                <w:sz w:val="20"/>
              </w:rPr>
              <w:t>(WRC</w:t>
            </w:r>
            <w:r w:rsidRPr="002A2FEF">
              <w:rPr>
                <w:b/>
                <w:bCs/>
                <w:sz w:val="20"/>
              </w:rPr>
              <w:noBreakHyphen/>
              <w:t>12)</w:t>
            </w:r>
          </w:p>
          <w:p w14:paraId="65995FE5"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4800B4C6" w14:textId="2735B725" w:rsidR="00985CB2" w:rsidRPr="00810C73" w:rsidRDefault="00985CB2" w:rsidP="00DE641C">
            <w:pPr>
              <w:overflowPunct/>
              <w:autoSpaceDE/>
              <w:autoSpaceDN/>
              <w:adjustRightInd/>
              <w:spacing w:before="40" w:after="40"/>
              <w:textAlignment w:val="auto"/>
              <w:rPr>
                <w:rFonts w:eastAsia="SimSun"/>
                <w:color w:val="000000"/>
                <w:sz w:val="20"/>
                <w:lang w:eastAsia="zh-CN"/>
              </w:rPr>
            </w:pPr>
            <w:r w:rsidRPr="002A2FEF">
              <w:rPr>
                <w:sz w:val="20"/>
              </w:rPr>
              <w:t>Additional primary allocations to the fixed-satellite service in frequency bands between 10 and 17 GHz in Region 1</w:t>
            </w:r>
          </w:p>
        </w:tc>
      </w:tr>
      <w:tr w:rsidR="00985CB2" w:rsidRPr="009F0A77" w14:paraId="110531EB"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4B2E77FD" w14:textId="77777777" w:rsidR="00985CB2" w:rsidRPr="002A2FEF" w:rsidRDefault="00985CB2" w:rsidP="00985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rFonts w:ascii="Times New Roman Bold" w:eastAsia="SimSun" w:hAnsi="Times New Roman Bold" w:cs="Times New Roman Bold"/>
                <w:b/>
                <w:bCs/>
                <w:sz w:val="20"/>
              </w:rPr>
              <w:t xml:space="preserve">152 </w:t>
            </w:r>
            <w:r w:rsidRPr="002A2FEF">
              <w:rPr>
                <w:b/>
                <w:bCs/>
                <w:sz w:val="20"/>
              </w:rPr>
              <w:t>(WRC</w:t>
            </w:r>
            <w:r w:rsidRPr="002A2FEF">
              <w:rPr>
                <w:b/>
                <w:bCs/>
                <w:sz w:val="20"/>
              </w:rPr>
              <w:noBreakHyphen/>
              <w:t>12)</w:t>
            </w:r>
          </w:p>
          <w:p w14:paraId="4A7BF3F2"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104A64AE" w14:textId="5EE98EAB" w:rsidR="00985CB2" w:rsidRPr="00810C73" w:rsidRDefault="00985CB2" w:rsidP="00DE641C">
            <w:pPr>
              <w:overflowPunct/>
              <w:autoSpaceDE/>
              <w:autoSpaceDN/>
              <w:adjustRightInd/>
              <w:spacing w:before="40" w:after="40"/>
              <w:textAlignment w:val="auto"/>
              <w:rPr>
                <w:rFonts w:eastAsia="SimSun"/>
                <w:color w:val="000000"/>
                <w:sz w:val="20"/>
                <w:lang w:eastAsia="zh-CN"/>
              </w:rPr>
            </w:pPr>
            <w:r w:rsidRPr="002A2FEF">
              <w:rPr>
                <w:sz w:val="20"/>
              </w:rPr>
              <w:t>Additional primary allocations to the fixed-satellite service in the Earth</w:t>
            </w:r>
            <w:r w:rsidRPr="002A2FEF">
              <w:rPr>
                <w:sz w:val="20"/>
              </w:rPr>
              <w:noBreakHyphen/>
              <w:t>to</w:t>
            </w:r>
            <w:r w:rsidRPr="002A2FEF">
              <w:rPr>
                <w:sz w:val="20"/>
              </w:rPr>
              <w:noBreakHyphen/>
              <w:t>space direction in frequency bands between 13-17 GHz in Region 2 and Region 3</w:t>
            </w:r>
          </w:p>
        </w:tc>
      </w:tr>
      <w:tr w:rsidR="00985CB2" w:rsidRPr="009F0A77" w14:paraId="7E57CFF5"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31BB0272"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9F0A77">
              <w:rPr>
                <w:rFonts w:eastAsia="SimSun"/>
                <w:color w:val="000000"/>
                <w:sz w:val="20"/>
                <w:lang w:val="en-US" w:eastAsia="zh-CN"/>
              </w:rPr>
              <w:t xml:space="preserve">Resolution </w:t>
            </w:r>
            <w:r w:rsidRPr="002F424F">
              <w:rPr>
                <w:rFonts w:eastAsia="SimSun"/>
                <w:b/>
                <w:bCs/>
                <w:color w:val="000000"/>
                <w:sz w:val="20"/>
                <w:lang w:val="en-US" w:eastAsia="zh-CN"/>
              </w:rPr>
              <w:t>215 (Rev.WRC-12)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6E599937"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810C73">
              <w:rPr>
                <w:rFonts w:eastAsia="SimSun"/>
                <w:color w:val="000000"/>
                <w:sz w:val="20"/>
                <w:lang w:eastAsia="zh-CN"/>
              </w:rPr>
              <w:t>Coordination process among mobile-satellite systems and efficient use of the allocations to the mobile-satellite service in the 1-3 GHz range</w:t>
            </w:r>
          </w:p>
        </w:tc>
      </w:tr>
      <w:tr w:rsidR="00985CB2" w:rsidRPr="009F0A77" w14:paraId="20CF7AAC"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09D1E950"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val="en-US" w:eastAsia="zh-CN"/>
              </w:rPr>
              <w:t>548</w:t>
            </w:r>
            <w:r w:rsidRPr="002F424F">
              <w:rPr>
                <w:rFonts w:eastAsia="SimSun"/>
                <w:b/>
                <w:bCs/>
                <w:color w:val="000000"/>
                <w:sz w:val="20"/>
                <w:lang w:val="en-US" w:eastAsia="zh-CN"/>
              </w:rPr>
              <w:t xml:space="preserve"> (Rev.WRC-12)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54F0468D" w14:textId="77777777" w:rsidR="00985CB2" w:rsidRPr="00ED5168" w:rsidRDefault="00985CB2" w:rsidP="00DE641C">
            <w:pPr>
              <w:overflowPunct/>
              <w:autoSpaceDE/>
              <w:autoSpaceDN/>
              <w:adjustRightInd/>
              <w:spacing w:before="40" w:after="40"/>
              <w:textAlignment w:val="auto"/>
              <w:rPr>
                <w:rFonts w:eastAsia="SimSun"/>
                <w:color w:val="000000"/>
                <w:sz w:val="20"/>
                <w:lang w:eastAsia="zh-CN"/>
              </w:rPr>
            </w:pPr>
            <w:r w:rsidRPr="0064608C">
              <w:rPr>
                <w:rFonts w:eastAsia="SimSun"/>
                <w:color w:val="000000"/>
                <w:sz w:val="20"/>
                <w:lang w:eastAsia="zh-CN"/>
              </w:rPr>
              <w:t>Application of the grouping concept in Appendices 30 and </w:t>
            </w:r>
            <w:r w:rsidRPr="0064608C">
              <w:rPr>
                <w:rFonts w:eastAsia="SimSun"/>
                <w:bCs/>
                <w:color w:val="000000"/>
                <w:sz w:val="20"/>
                <w:lang w:eastAsia="zh-CN"/>
              </w:rPr>
              <w:t>30A</w:t>
            </w:r>
            <w:r>
              <w:rPr>
                <w:rFonts w:eastAsia="SimSun"/>
                <w:bCs/>
                <w:color w:val="000000"/>
                <w:sz w:val="20"/>
                <w:lang w:eastAsia="zh-CN"/>
              </w:rPr>
              <w:t xml:space="preserve"> </w:t>
            </w:r>
            <w:r w:rsidRPr="0064608C">
              <w:rPr>
                <w:rFonts w:eastAsia="SimSun"/>
                <w:color w:val="000000"/>
                <w:sz w:val="20"/>
                <w:lang w:eastAsia="zh-CN"/>
              </w:rPr>
              <w:t>in Regions 1 and 3</w:t>
            </w:r>
          </w:p>
        </w:tc>
      </w:tr>
      <w:tr w:rsidR="00985CB2" w:rsidRPr="009F0A77" w14:paraId="26532FA0"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03F29DC7" w14:textId="73C5C80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eastAsia="zh-CN"/>
              </w:rPr>
              <w:t>552</w:t>
            </w:r>
            <w:r w:rsidRPr="002F424F">
              <w:rPr>
                <w:rFonts w:eastAsia="SimSun"/>
                <w:b/>
                <w:bCs/>
                <w:color w:val="000000"/>
                <w:sz w:val="20"/>
                <w:lang w:val="en-US" w:eastAsia="zh-CN"/>
              </w:rPr>
              <w:t xml:space="preserve"> (WRC-12)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0D9B9FEE" w14:textId="32A61AAB" w:rsidR="00985CB2" w:rsidRPr="00ED5168" w:rsidRDefault="00985CB2" w:rsidP="00DE641C">
            <w:pPr>
              <w:overflowPunct/>
              <w:autoSpaceDE/>
              <w:autoSpaceDN/>
              <w:adjustRightInd/>
              <w:spacing w:before="40" w:after="40"/>
              <w:textAlignment w:val="auto"/>
              <w:rPr>
                <w:rFonts w:eastAsia="SimSun"/>
                <w:color w:val="000000"/>
                <w:sz w:val="20"/>
                <w:lang w:eastAsia="zh-CN"/>
              </w:rPr>
            </w:pPr>
            <w:r w:rsidRPr="004614FA">
              <w:rPr>
                <w:rFonts w:eastAsia="SimSun"/>
                <w:color w:val="000000"/>
                <w:sz w:val="20"/>
                <w:lang w:eastAsia="zh-CN"/>
              </w:rPr>
              <w:t>Long-term access to and development in the band 21.4-22 GHz in Regions 1 and 3</w:t>
            </w:r>
          </w:p>
        </w:tc>
      </w:tr>
      <w:tr w:rsidR="00985CB2" w:rsidRPr="009F0A77" w14:paraId="2448DE05"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3911DC08" w14:textId="0D4A3DD5"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eastAsia="zh-CN"/>
              </w:rPr>
              <w:t>553</w:t>
            </w:r>
            <w:r w:rsidRPr="002F424F">
              <w:rPr>
                <w:rFonts w:eastAsia="SimSun"/>
                <w:b/>
                <w:bCs/>
                <w:color w:val="000000"/>
                <w:sz w:val="20"/>
                <w:lang w:val="en-US" w:eastAsia="zh-CN"/>
              </w:rPr>
              <w:t xml:space="preserve"> (WRC-12)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7D32E35A" w14:textId="44471696" w:rsidR="00985CB2" w:rsidRPr="00ED5168" w:rsidRDefault="00985CB2" w:rsidP="00DE641C">
            <w:pPr>
              <w:overflowPunct/>
              <w:autoSpaceDE/>
              <w:autoSpaceDN/>
              <w:adjustRightInd/>
              <w:spacing w:before="40" w:after="40"/>
              <w:textAlignment w:val="auto"/>
              <w:rPr>
                <w:rFonts w:eastAsia="SimSun"/>
                <w:color w:val="000000"/>
                <w:sz w:val="20"/>
                <w:lang w:eastAsia="zh-CN"/>
              </w:rPr>
            </w:pPr>
            <w:r w:rsidRPr="003814E6">
              <w:rPr>
                <w:rFonts w:eastAsia="SimSun"/>
                <w:color w:val="000000"/>
                <w:sz w:val="20"/>
                <w:lang w:eastAsia="zh-CN"/>
              </w:rPr>
              <w:t>Additional regulatory measures for broadcasting-satellite networks in the band 21.4-22 GHz in Regions 1 and 3 for the enhancement of equitable access to this band</w:t>
            </w:r>
          </w:p>
        </w:tc>
      </w:tr>
      <w:tr w:rsidR="00985CB2" w:rsidRPr="009F0A77" w14:paraId="075C721C"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33602BD5" w14:textId="497D4E6A"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eastAsia="zh-CN"/>
              </w:rPr>
              <w:t>554</w:t>
            </w:r>
            <w:r w:rsidRPr="002F424F">
              <w:rPr>
                <w:rFonts w:eastAsia="SimSun"/>
                <w:b/>
                <w:bCs/>
                <w:color w:val="000000"/>
                <w:sz w:val="20"/>
                <w:lang w:val="en-US" w:eastAsia="zh-CN"/>
              </w:rPr>
              <w:t xml:space="preserve"> (WRC-12)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0B7E4CFE" w14:textId="15F78544" w:rsidR="00985CB2" w:rsidRPr="00ED5168" w:rsidRDefault="00985CB2" w:rsidP="00DE641C">
            <w:pPr>
              <w:overflowPunct/>
              <w:autoSpaceDE/>
              <w:autoSpaceDN/>
              <w:adjustRightInd/>
              <w:spacing w:before="40" w:after="40"/>
              <w:textAlignment w:val="auto"/>
              <w:rPr>
                <w:rFonts w:eastAsia="SimSun"/>
                <w:color w:val="000000"/>
                <w:sz w:val="20"/>
                <w:lang w:eastAsia="zh-CN"/>
              </w:rPr>
            </w:pPr>
            <w:r w:rsidRPr="0090305E">
              <w:rPr>
                <w:rFonts w:eastAsia="SimSun"/>
                <w:color w:val="000000"/>
                <w:sz w:val="20"/>
                <w:lang w:eastAsia="zh-CN"/>
              </w:rPr>
              <w:t xml:space="preserve">Application of </w:t>
            </w:r>
            <w:proofErr w:type="spellStart"/>
            <w:r w:rsidRPr="0090305E">
              <w:rPr>
                <w:rFonts w:eastAsia="SimSun"/>
                <w:color w:val="000000"/>
                <w:sz w:val="20"/>
                <w:lang w:eastAsia="zh-CN"/>
              </w:rPr>
              <w:t>pfd</w:t>
            </w:r>
            <w:proofErr w:type="spellEnd"/>
            <w:r w:rsidRPr="0090305E">
              <w:rPr>
                <w:rFonts w:eastAsia="SimSun"/>
                <w:color w:val="000000"/>
                <w:sz w:val="20"/>
                <w:lang w:eastAsia="zh-CN"/>
              </w:rPr>
              <w:t xml:space="preserve"> masks to coordination under No. 9.7 for broadcasting-satellite service networks in the band 21.4-22 GHz in Regions 1 and 3</w:t>
            </w:r>
          </w:p>
        </w:tc>
      </w:tr>
      <w:tr w:rsidR="00985CB2" w:rsidRPr="009F0A77" w14:paraId="638C6890"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52A1DE18"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9F0A77">
              <w:rPr>
                <w:rFonts w:eastAsia="SimSun"/>
                <w:color w:val="000000"/>
                <w:sz w:val="20"/>
                <w:lang w:val="en-US" w:eastAsia="zh-CN"/>
              </w:rPr>
              <w:t xml:space="preserve">Resolution </w:t>
            </w:r>
            <w:r w:rsidRPr="002F424F">
              <w:rPr>
                <w:rFonts w:eastAsia="SimSun"/>
                <w:b/>
                <w:bCs/>
                <w:color w:val="000000"/>
                <w:sz w:val="20"/>
                <w:lang w:val="en-US" w:eastAsia="zh-CN"/>
              </w:rPr>
              <w:t>716 (Rev.WRC-12)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26D20EBE"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ED5168">
              <w:rPr>
                <w:rFonts w:eastAsia="SimSun"/>
                <w:color w:val="000000"/>
                <w:sz w:val="20"/>
                <w:lang w:eastAsia="zh-CN"/>
              </w:rPr>
              <w:t>Use of the frequency bands 1 980-2 010 MHz and 2 170-2 200 MHz in all three Regions and 2 010-2 025 MHz and 2 160-2 170 MHz in Region 2 by the fixed and mobile-satellite services and associated transition arrangements</w:t>
            </w:r>
          </w:p>
        </w:tc>
      </w:tr>
      <w:tr w:rsidR="00985CB2" w:rsidRPr="009F0A77" w14:paraId="096CA5B0"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4B0F943C" w14:textId="574D27E0"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eastAsia="zh-CN"/>
              </w:rPr>
              <w:t>755</w:t>
            </w:r>
            <w:r w:rsidRPr="002F424F">
              <w:rPr>
                <w:rFonts w:eastAsia="SimSun"/>
                <w:b/>
                <w:bCs/>
                <w:color w:val="000000"/>
                <w:sz w:val="20"/>
                <w:lang w:val="en-US" w:eastAsia="zh-CN"/>
              </w:rPr>
              <w:t xml:space="preserve"> (WRC-12)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2FB68DDA" w14:textId="05745ED2" w:rsidR="00985CB2" w:rsidRPr="00BE06EF" w:rsidRDefault="00985CB2" w:rsidP="00DE641C">
            <w:pPr>
              <w:overflowPunct/>
              <w:autoSpaceDE/>
              <w:autoSpaceDN/>
              <w:adjustRightInd/>
              <w:spacing w:before="40" w:after="40"/>
              <w:textAlignment w:val="auto"/>
              <w:rPr>
                <w:rFonts w:eastAsia="SimSun"/>
                <w:color w:val="000000"/>
                <w:sz w:val="20"/>
                <w:lang w:eastAsia="zh-CN"/>
              </w:rPr>
            </w:pPr>
            <w:r w:rsidRPr="008F5842">
              <w:rPr>
                <w:rFonts w:eastAsia="SimSun"/>
                <w:bCs/>
                <w:color w:val="000000"/>
                <w:sz w:val="20"/>
                <w:lang w:eastAsia="zh-CN"/>
              </w:rPr>
              <w:t>Power flux-density limits for transmitting stations</w:t>
            </w:r>
            <w:r>
              <w:rPr>
                <w:rFonts w:eastAsia="SimSun"/>
                <w:bCs/>
                <w:color w:val="000000"/>
                <w:sz w:val="20"/>
                <w:lang w:eastAsia="zh-CN"/>
              </w:rPr>
              <w:t xml:space="preserve"> </w:t>
            </w:r>
            <w:r w:rsidRPr="008F5842">
              <w:rPr>
                <w:rFonts w:eastAsia="SimSun"/>
                <w:bCs/>
                <w:color w:val="000000"/>
                <w:sz w:val="20"/>
                <w:lang w:eastAsia="zh-CN"/>
              </w:rPr>
              <w:t>in the 21.4-22 GHz band</w:t>
            </w:r>
          </w:p>
        </w:tc>
      </w:tr>
      <w:tr w:rsidR="00985CB2" w:rsidRPr="009F0A77" w14:paraId="47156DD5"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292FA4AF" w14:textId="77777777" w:rsidR="00985CB2" w:rsidRPr="002A2FEF" w:rsidRDefault="00985CB2" w:rsidP="00985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lastRenderedPageBreak/>
              <w:t xml:space="preserve">Resolution </w:t>
            </w:r>
            <w:r w:rsidRPr="002A2FEF">
              <w:rPr>
                <w:rFonts w:ascii="Times New Roman Bold" w:hAnsi="Times New Roman Bold" w:cs="Times New Roman Bold"/>
                <w:b/>
                <w:bCs/>
                <w:sz w:val="20"/>
              </w:rPr>
              <w:t xml:space="preserve">756 </w:t>
            </w:r>
            <w:r w:rsidRPr="002A2FEF">
              <w:rPr>
                <w:b/>
                <w:bCs/>
                <w:sz w:val="20"/>
              </w:rPr>
              <w:t>(WRC-12)</w:t>
            </w:r>
          </w:p>
          <w:p w14:paraId="3BD18D5C"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7128D8E3" w14:textId="22910B36" w:rsidR="00985CB2" w:rsidRPr="00BE06EF" w:rsidRDefault="00985CB2" w:rsidP="00DE641C">
            <w:pPr>
              <w:overflowPunct/>
              <w:autoSpaceDE/>
              <w:autoSpaceDN/>
              <w:adjustRightInd/>
              <w:spacing w:before="40" w:after="40"/>
              <w:textAlignment w:val="auto"/>
              <w:rPr>
                <w:rFonts w:eastAsia="SimSun"/>
                <w:color w:val="000000"/>
                <w:sz w:val="20"/>
                <w:lang w:eastAsia="zh-CN"/>
              </w:rPr>
            </w:pPr>
            <w:r w:rsidRPr="002A2FEF">
              <w:rPr>
                <w:sz w:val="20"/>
              </w:rPr>
              <w:t>Studies on possible reduction of the coordination arc and technical criteria used in application of No. 9.41 in respect of coordination under No. 9.7</w:t>
            </w:r>
          </w:p>
        </w:tc>
      </w:tr>
      <w:tr w:rsidR="00985CB2" w:rsidRPr="009F0A77" w14:paraId="36CDAF1B"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1C94387A"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9F0A77">
              <w:rPr>
                <w:rFonts w:eastAsia="SimSun"/>
                <w:color w:val="000000"/>
                <w:sz w:val="20"/>
                <w:lang w:val="en-US" w:eastAsia="zh-CN"/>
              </w:rPr>
              <w:t xml:space="preserve">Resolution </w:t>
            </w:r>
            <w:r w:rsidRPr="002F424F">
              <w:rPr>
                <w:rFonts w:eastAsia="SimSun"/>
                <w:b/>
                <w:bCs/>
                <w:color w:val="000000"/>
                <w:sz w:val="20"/>
                <w:lang w:val="en-US" w:eastAsia="zh-CN"/>
              </w:rPr>
              <w:t>901 (Rev.WRC-07)</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7D4763D4"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BE06EF">
              <w:rPr>
                <w:rFonts w:eastAsia="SimSun"/>
                <w:color w:val="000000"/>
                <w:sz w:val="20"/>
                <w:lang w:eastAsia="zh-CN"/>
              </w:rPr>
              <w:t>Determination of the orbital arc separation for which coordination would be required between two satellite networks operating in a space</w:t>
            </w:r>
            <w:r>
              <w:rPr>
                <w:rFonts w:eastAsia="SimSun"/>
                <w:color w:val="000000"/>
                <w:sz w:val="20"/>
                <w:lang w:eastAsia="zh-CN"/>
              </w:rPr>
              <w:t xml:space="preserve"> s</w:t>
            </w:r>
            <w:r w:rsidRPr="00BE06EF">
              <w:rPr>
                <w:rFonts w:eastAsia="SimSun"/>
                <w:color w:val="000000"/>
                <w:sz w:val="20"/>
                <w:lang w:eastAsia="zh-CN"/>
              </w:rPr>
              <w:t>ervice not subject to a Plan</w:t>
            </w:r>
          </w:p>
        </w:tc>
      </w:tr>
      <w:tr w:rsidR="00985CB2" w:rsidRPr="009F0A77" w14:paraId="243AD536"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0BC378A7" w14:textId="77777777" w:rsidR="00985CB2" w:rsidRPr="009F0A77" w:rsidRDefault="00985CB2" w:rsidP="00DE641C">
            <w:pPr>
              <w:overflowPunct/>
              <w:autoSpaceDE/>
              <w:autoSpaceDN/>
              <w:adjustRightInd/>
              <w:spacing w:before="40" w:after="40"/>
              <w:textAlignment w:val="auto"/>
              <w:rPr>
                <w:rFonts w:eastAsia="SimSun"/>
                <w:sz w:val="20"/>
                <w:lang w:val="en-US" w:eastAsia="zh-CN"/>
              </w:rPr>
            </w:pPr>
            <w:r w:rsidRPr="009F0A77">
              <w:rPr>
                <w:rFonts w:eastAsia="SimSun"/>
                <w:color w:val="000000"/>
                <w:sz w:val="20"/>
                <w:lang w:val="en-US" w:eastAsia="zh-CN"/>
              </w:rPr>
              <w:t xml:space="preserve">Resolution </w:t>
            </w:r>
            <w:r>
              <w:rPr>
                <w:rFonts w:eastAsia="SimSun"/>
                <w:b/>
                <w:bCs/>
                <w:color w:val="000000"/>
                <w:sz w:val="20"/>
                <w:lang w:eastAsia="zh-CN"/>
              </w:rPr>
              <w:t>907</w:t>
            </w:r>
            <w:r w:rsidRPr="002F424F">
              <w:rPr>
                <w:rFonts w:eastAsia="SimSun"/>
                <w:b/>
                <w:bCs/>
                <w:color w:val="000000"/>
                <w:sz w:val="20"/>
                <w:lang w:val="en-US" w:eastAsia="zh-CN"/>
              </w:rPr>
              <w:t xml:space="preserve"> (WRC-12)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64F849F9" w14:textId="77777777" w:rsidR="00985CB2" w:rsidRPr="00024548" w:rsidRDefault="00985CB2" w:rsidP="00DE641C">
            <w:pPr>
              <w:overflowPunct/>
              <w:autoSpaceDE/>
              <w:autoSpaceDN/>
              <w:adjustRightInd/>
              <w:spacing w:before="40" w:after="40"/>
              <w:textAlignment w:val="auto"/>
              <w:rPr>
                <w:rFonts w:eastAsia="SimSun"/>
                <w:bCs/>
                <w:sz w:val="20"/>
                <w:lang w:val="en-US" w:eastAsia="zh-CN"/>
              </w:rPr>
            </w:pPr>
            <w:r w:rsidRPr="00024548">
              <w:rPr>
                <w:rFonts w:eastAsia="SimSun"/>
                <w:bCs/>
                <w:color w:val="000000"/>
                <w:sz w:val="20"/>
                <w:lang w:eastAsia="zh-CN"/>
              </w:rPr>
              <w:t xml:space="preserve">Use of modern electronic means of communication for administrative correspondence related to advance publication, coordination and notification of satellite networks including </w:t>
            </w:r>
            <w:r w:rsidRPr="00024548">
              <w:rPr>
                <w:rFonts w:eastAsia="SimSun"/>
                <w:bCs/>
                <w:iCs/>
                <w:color w:val="000000"/>
                <w:sz w:val="20"/>
                <w:lang w:eastAsia="zh-CN"/>
              </w:rPr>
              <w:t>that related to Appendices 30, 30A and 30B</w:t>
            </w:r>
            <w:r w:rsidRPr="00024548">
              <w:rPr>
                <w:rFonts w:eastAsia="SimSun"/>
                <w:bCs/>
                <w:color w:val="000000"/>
                <w:sz w:val="20"/>
                <w:lang w:eastAsia="zh-CN"/>
              </w:rPr>
              <w:t>, earth stations and radio astronomy stations</w:t>
            </w:r>
          </w:p>
        </w:tc>
      </w:tr>
      <w:tr w:rsidR="00985CB2" w:rsidRPr="009F0A77" w14:paraId="74C08EAF"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001246D9"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r w:rsidRPr="009F0A77">
              <w:rPr>
                <w:rFonts w:eastAsia="SimSun"/>
                <w:color w:val="000000"/>
                <w:sz w:val="20"/>
                <w:lang w:val="en-US" w:eastAsia="zh-CN"/>
              </w:rPr>
              <w:t xml:space="preserve">Resolution </w:t>
            </w:r>
            <w:r>
              <w:rPr>
                <w:rFonts w:eastAsia="SimSun"/>
                <w:b/>
                <w:bCs/>
                <w:color w:val="000000"/>
                <w:sz w:val="20"/>
                <w:lang w:eastAsia="zh-CN"/>
              </w:rPr>
              <w:t>908</w:t>
            </w:r>
            <w:r w:rsidRPr="002F424F">
              <w:rPr>
                <w:rFonts w:eastAsia="SimSun"/>
                <w:b/>
                <w:bCs/>
                <w:color w:val="000000"/>
                <w:sz w:val="20"/>
                <w:lang w:val="en-US" w:eastAsia="zh-CN"/>
              </w:rPr>
              <w:t xml:space="preserve"> (WRC-12)</w:t>
            </w: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58349838" w14:textId="77777777" w:rsidR="00985CB2" w:rsidRPr="00024548" w:rsidRDefault="00985CB2" w:rsidP="00DE641C">
            <w:pPr>
              <w:overflowPunct/>
              <w:autoSpaceDE/>
              <w:autoSpaceDN/>
              <w:adjustRightInd/>
              <w:spacing w:before="40" w:after="40"/>
              <w:textAlignment w:val="auto"/>
              <w:rPr>
                <w:rFonts w:eastAsia="SimSun"/>
                <w:bCs/>
                <w:color w:val="000000"/>
                <w:sz w:val="20"/>
                <w:lang w:eastAsia="zh-CN"/>
              </w:rPr>
            </w:pPr>
            <w:r w:rsidRPr="002F281D">
              <w:rPr>
                <w:rFonts w:eastAsia="SimSun"/>
                <w:bCs/>
                <w:color w:val="000000"/>
                <w:sz w:val="20"/>
                <w:lang w:eastAsia="zh-CN"/>
              </w:rPr>
              <w:t>Electronic submission and publication of advance publication information</w:t>
            </w:r>
          </w:p>
        </w:tc>
      </w:tr>
      <w:tr w:rsidR="00985CB2" w:rsidRPr="009F0A77" w14:paraId="27BD02F8" w14:textId="77777777" w:rsidTr="00DE641C">
        <w:trPr>
          <w:cantSplit/>
          <w:tblCellSpacing w:w="0" w:type="dxa"/>
          <w:jc w:val="center"/>
        </w:trPr>
        <w:tc>
          <w:tcPr>
            <w:tcW w:w="3673" w:type="dxa"/>
            <w:tcBorders>
              <w:top w:val="outset" w:sz="6" w:space="0" w:color="C0C0C0"/>
              <w:left w:val="outset" w:sz="6" w:space="0" w:color="C0C0C0"/>
              <w:bottom w:val="outset" w:sz="6" w:space="0" w:color="C0C0C0"/>
              <w:right w:val="outset" w:sz="6" w:space="0" w:color="C0C0C0"/>
            </w:tcBorders>
            <w:shd w:val="clear" w:color="auto" w:fill="FFFFFF"/>
          </w:tcPr>
          <w:p w14:paraId="19279B18" w14:textId="77777777" w:rsidR="00985CB2" w:rsidRPr="002A2FEF" w:rsidRDefault="00985CB2" w:rsidP="00985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hAnsi="Times New Roman Bold" w:cs="Times New Roman Bold"/>
                <w:b/>
                <w:sz w:val="20"/>
              </w:rPr>
              <w:t xml:space="preserve">909 </w:t>
            </w:r>
            <w:r w:rsidRPr="002A2FEF">
              <w:rPr>
                <w:b/>
                <w:bCs/>
                <w:sz w:val="20"/>
              </w:rPr>
              <w:t>(WRC</w:t>
            </w:r>
            <w:r w:rsidRPr="002A2FEF">
              <w:rPr>
                <w:b/>
                <w:bCs/>
                <w:sz w:val="20"/>
              </w:rPr>
              <w:noBreakHyphen/>
              <w:t>12)</w:t>
            </w:r>
          </w:p>
          <w:p w14:paraId="7E76B33B" w14:textId="77777777" w:rsidR="00985CB2" w:rsidRPr="009F0A77" w:rsidRDefault="00985CB2" w:rsidP="00DE641C">
            <w:pPr>
              <w:overflowPunct/>
              <w:autoSpaceDE/>
              <w:autoSpaceDN/>
              <w:adjustRightInd/>
              <w:spacing w:before="40" w:after="40"/>
              <w:textAlignment w:val="auto"/>
              <w:rPr>
                <w:rFonts w:eastAsia="SimSun"/>
                <w:color w:val="000000"/>
                <w:sz w:val="20"/>
                <w:lang w:val="en-US" w:eastAsia="zh-CN"/>
              </w:rPr>
            </w:pPr>
          </w:p>
        </w:tc>
        <w:tc>
          <w:tcPr>
            <w:tcW w:w="5372" w:type="dxa"/>
            <w:tcBorders>
              <w:top w:val="outset" w:sz="6" w:space="0" w:color="C0C0C0"/>
              <w:left w:val="outset" w:sz="6" w:space="0" w:color="C0C0C0"/>
              <w:bottom w:val="outset" w:sz="6" w:space="0" w:color="C0C0C0"/>
              <w:right w:val="outset" w:sz="6" w:space="0" w:color="C0C0C0"/>
            </w:tcBorders>
            <w:shd w:val="clear" w:color="auto" w:fill="FFFFFF"/>
          </w:tcPr>
          <w:p w14:paraId="2AC6CD41" w14:textId="7FACC95D" w:rsidR="00985CB2" w:rsidRPr="002F281D" w:rsidRDefault="00985CB2" w:rsidP="00DE641C">
            <w:pPr>
              <w:overflowPunct/>
              <w:autoSpaceDE/>
              <w:autoSpaceDN/>
              <w:adjustRightInd/>
              <w:spacing w:before="40" w:after="40"/>
              <w:textAlignment w:val="auto"/>
              <w:rPr>
                <w:rFonts w:eastAsia="SimSun"/>
                <w:bCs/>
                <w:color w:val="000000"/>
                <w:sz w:val="20"/>
                <w:lang w:eastAsia="zh-CN"/>
              </w:rPr>
            </w:pPr>
            <w:r w:rsidRPr="002A2FEF">
              <w:rPr>
                <w:sz w:val="20"/>
              </w:rPr>
              <w:t>Provisions relating to earth stations located on board vessels which operate in fixed-satellite service networks in the uplink bands 5 925</w:t>
            </w:r>
            <w:r w:rsidRPr="002A2FEF">
              <w:rPr>
                <w:sz w:val="20"/>
              </w:rPr>
              <w:noBreakHyphen/>
              <w:t>6 425 MHz and 14-14.5 GHz</w:t>
            </w:r>
          </w:p>
        </w:tc>
      </w:tr>
    </w:tbl>
    <w:p w14:paraId="17E03855" w14:textId="77777777" w:rsidR="00985CB2" w:rsidRDefault="00985CB2" w:rsidP="00E327F0">
      <w:pPr>
        <w:tabs>
          <w:tab w:val="clear" w:pos="794"/>
          <w:tab w:val="clear" w:pos="1191"/>
          <w:tab w:val="clear" w:pos="1588"/>
          <w:tab w:val="clear" w:pos="1985"/>
        </w:tabs>
        <w:spacing w:before="240"/>
        <w:ind w:left="1134" w:hanging="1134"/>
        <w:jc w:val="center"/>
        <w:rPr>
          <w:iCs/>
        </w:rPr>
      </w:pPr>
      <w:r>
        <w:t>______________</w:t>
      </w:r>
    </w:p>
    <w:p w14:paraId="6994F6CD" w14:textId="77777777" w:rsidR="00985CB2" w:rsidRDefault="00985CB2" w:rsidP="000B7B82"/>
    <w:sectPr w:rsidR="00985CB2" w:rsidSect="00D80829">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A328E" w14:textId="77777777" w:rsidR="00A10F0E" w:rsidRDefault="00A10F0E">
      <w:r>
        <w:separator/>
      </w:r>
    </w:p>
  </w:endnote>
  <w:endnote w:type="continuationSeparator" w:id="0">
    <w:p w14:paraId="5E1B54AE" w14:textId="77777777" w:rsidR="00A10F0E" w:rsidRDefault="00A1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5A5A8" w14:textId="77777777" w:rsidR="0045134C" w:rsidRDefault="00FA2160" w:rsidP="0045134C">
    <w:pPr>
      <w:pStyle w:val="Footer"/>
      <w:rPr>
        <w:lang w:val="en-US"/>
      </w:rPr>
    </w:pPr>
    <w:fldSimple w:instr=" FILENAME \p \* MERGEFORMAT ">
      <w:r w:rsidR="00462231" w:rsidRPr="00462231">
        <w:rPr>
          <w:lang w:val="en-US"/>
        </w:rPr>
        <w:t>M</w:t>
      </w:r>
      <w:r w:rsidR="00462231">
        <w:t>:\BRIAP\STAFF\Millet\RAG\RAG12\DOCS\005A1E.docx</w:t>
      </w:r>
    </w:fldSimple>
  </w:p>
  <w:p w14:paraId="50FAB966" w14:textId="77777777" w:rsidR="0045134C" w:rsidRPr="0045134C" w:rsidRDefault="0045134C">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9A69D" w14:textId="77777777" w:rsidR="0045134C" w:rsidRDefault="00FA2160" w:rsidP="0045134C">
    <w:pPr>
      <w:pStyle w:val="Footer"/>
      <w:rPr>
        <w:lang w:val="en-US"/>
      </w:rPr>
    </w:pPr>
    <w:fldSimple w:instr=" FILENAME \p \* MERGEFORMAT ">
      <w:r w:rsidR="00462231" w:rsidRPr="00462231">
        <w:rPr>
          <w:lang w:val="en-US"/>
        </w:rPr>
        <w:t>M</w:t>
      </w:r>
      <w:r w:rsidR="00462231">
        <w:t>:\BRIAP\STAFF\Millet\RAG\RAG12\DOCS\005A1E.docx</w:t>
      </w:r>
    </w:fldSimple>
  </w:p>
  <w:p w14:paraId="2B4F4141" w14:textId="72B8DA3F" w:rsidR="005C5DD3" w:rsidRPr="0045134C" w:rsidRDefault="005C5DD3" w:rsidP="0045134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BFAA9" w14:textId="77777777" w:rsidR="00A10F0E" w:rsidRDefault="00A10F0E">
      <w:r>
        <w:t>____________________</w:t>
      </w:r>
    </w:p>
  </w:footnote>
  <w:footnote w:type="continuationSeparator" w:id="0">
    <w:p w14:paraId="62C9F72E" w14:textId="77777777" w:rsidR="00A10F0E" w:rsidRDefault="00A10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43C6" w14:textId="77777777" w:rsidR="0045134C" w:rsidRPr="0045134C" w:rsidRDefault="0045134C" w:rsidP="0045134C">
    <w:pPr>
      <w:pStyle w:val="Header"/>
      <w:rPr>
        <w:lang w:val="en-US"/>
      </w:rPr>
    </w:pPr>
    <w:r>
      <w:rPr>
        <w:lang w:val="es-ES"/>
      </w:rPr>
      <w:t xml:space="preserve">- </w:t>
    </w:r>
    <w:r>
      <w:fldChar w:fldCharType="begin"/>
    </w:r>
    <w:r>
      <w:instrText xml:space="preserve"> PAGE </w:instrText>
    </w:r>
    <w:r>
      <w:fldChar w:fldCharType="separate"/>
    </w:r>
    <w:r w:rsidR="0001089E">
      <w:rPr>
        <w:noProof/>
      </w:rPr>
      <w:t>3</w:t>
    </w:r>
    <w:r>
      <w:rPr>
        <w:noProof/>
      </w:rPr>
      <w:fldChar w:fldCharType="end"/>
    </w:r>
    <w:r w:rsidRPr="0045134C">
      <w:rPr>
        <w:lang w:val="en-US"/>
      </w:rPr>
      <w:t xml:space="preserve"> -</w:t>
    </w:r>
  </w:p>
  <w:p w14:paraId="1982D3C8" w14:textId="598AB1AB" w:rsidR="0045134C" w:rsidRPr="0045134C" w:rsidRDefault="0045134C" w:rsidP="0045134C">
    <w:pPr>
      <w:pStyle w:val="Header"/>
      <w:rPr>
        <w:lang w:val="en-US"/>
      </w:rPr>
    </w:pPr>
    <w:r w:rsidRPr="0045134C">
      <w:rPr>
        <w:lang w:val="en-US"/>
      </w:rPr>
      <w:t>RAG12-1/5(Add.</w:t>
    </w:r>
    <w:r>
      <w:rPr>
        <w:lang w:val="en-US"/>
      </w:rPr>
      <w:t>1)</w:t>
    </w:r>
    <w:r w:rsidRPr="0045134C">
      <w:rPr>
        <w:lang w:val="en-US"/>
      </w:rPr>
      <w:t>-E</w:t>
    </w:r>
  </w:p>
  <w:p w14:paraId="059D890F" w14:textId="77777777" w:rsidR="005C5DD3" w:rsidRDefault="005C5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1"/>
  </w:num>
  <w:num w:numId="13">
    <w:abstractNumId w:val="33"/>
  </w:num>
  <w:num w:numId="14">
    <w:abstractNumId w:val="27"/>
  </w:num>
  <w:num w:numId="15">
    <w:abstractNumId w:val="24"/>
  </w:num>
  <w:num w:numId="16">
    <w:abstractNumId w:val="32"/>
  </w:num>
  <w:num w:numId="17">
    <w:abstractNumId w:val="23"/>
  </w:num>
  <w:num w:numId="18">
    <w:abstractNumId w:val="10"/>
  </w:num>
  <w:num w:numId="19">
    <w:abstractNumId w:val="15"/>
  </w:num>
  <w:num w:numId="20">
    <w:abstractNumId w:val="16"/>
  </w:num>
  <w:num w:numId="21">
    <w:abstractNumId w:val="21"/>
  </w:num>
  <w:num w:numId="22">
    <w:abstractNumId w:val="35"/>
  </w:num>
  <w:num w:numId="23">
    <w:abstractNumId w:val="25"/>
  </w:num>
  <w:num w:numId="24">
    <w:abstractNumId w:val="26"/>
  </w:num>
  <w:num w:numId="25">
    <w:abstractNumId w:val="12"/>
  </w:num>
  <w:num w:numId="26">
    <w:abstractNumId w:val="22"/>
  </w:num>
  <w:num w:numId="27">
    <w:abstractNumId w:val="14"/>
  </w:num>
  <w:num w:numId="28">
    <w:abstractNumId w:val="19"/>
  </w:num>
  <w:num w:numId="29">
    <w:abstractNumId w:val="29"/>
  </w:num>
  <w:num w:numId="30">
    <w:abstractNumId w:val="40"/>
  </w:num>
  <w:num w:numId="31">
    <w:abstractNumId w:val="34"/>
  </w:num>
  <w:num w:numId="32">
    <w:abstractNumId w:val="30"/>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8"/>
  </w:num>
  <w:num w:numId="38">
    <w:abstractNumId w:val="25"/>
  </w:num>
  <w:num w:numId="39">
    <w:abstractNumId w:val="26"/>
  </w:num>
  <w:num w:numId="40">
    <w:abstractNumId w:val="34"/>
  </w:num>
  <w:num w:numId="41">
    <w:abstractNumId w:val="37"/>
  </w:num>
  <w:num w:numId="42">
    <w:abstractNumId w:val="36"/>
  </w:num>
  <w:num w:numId="43">
    <w:abstractNumId w:val="39"/>
  </w:num>
  <w:num w:numId="44">
    <w:abstractNumId w:val="1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089E"/>
    <w:rsid w:val="000149CD"/>
    <w:rsid w:val="00020106"/>
    <w:rsid w:val="00021007"/>
    <w:rsid w:val="000232E6"/>
    <w:rsid w:val="0004059F"/>
    <w:rsid w:val="000447A6"/>
    <w:rsid w:val="00051F57"/>
    <w:rsid w:val="00057DAF"/>
    <w:rsid w:val="00062BB9"/>
    <w:rsid w:val="0006614B"/>
    <w:rsid w:val="00070157"/>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16646"/>
    <w:rsid w:val="00220745"/>
    <w:rsid w:val="00221986"/>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D3DA2"/>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134C"/>
    <w:rsid w:val="004520C3"/>
    <w:rsid w:val="0045496A"/>
    <w:rsid w:val="00455427"/>
    <w:rsid w:val="00462231"/>
    <w:rsid w:val="00462C3A"/>
    <w:rsid w:val="00466E55"/>
    <w:rsid w:val="00472494"/>
    <w:rsid w:val="0047494A"/>
    <w:rsid w:val="00474CCC"/>
    <w:rsid w:val="00475AE9"/>
    <w:rsid w:val="00476F39"/>
    <w:rsid w:val="004804EF"/>
    <w:rsid w:val="00484678"/>
    <w:rsid w:val="0048556B"/>
    <w:rsid w:val="00490C67"/>
    <w:rsid w:val="00492617"/>
    <w:rsid w:val="00494C18"/>
    <w:rsid w:val="004A3728"/>
    <w:rsid w:val="004A66E4"/>
    <w:rsid w:val="004B2ADF"/>
    <w:rsid w:val="004B4049"/>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792E"/>
    <w:rsid w:val="00576A0F"/>
    <w:rsid w:val="005803A5"/>
    <w:rsid w:val="0058124D"/>
    <w:rsid w:val="00585978"/>
    <w:rsid w:val="00587D68"/>
    <w:rsid w:val="00591E9F"/>
    <w:rsid w:val="005927C9"/>
    <w:rsid w:val="00593033"/>
    <w:rsid w:val="00594405"/>
    <w:rsid w:val="005A1189"/>
    <w:rsid w:val="005A4D54"/>
    <w:rsid w:val="005A59BA"/>
    <w:rsid w:val="005A6914"/>
    <w:rsid w:val="005C190E"/>
    <w:rsid w:val="005C1D8E"/>
    <w:rsid w:val="005C3FCB"/>
    <w:rsid w:val="005C528C"/>
    <w:rsid w:val="005C5DD3"/>
    <w:rsid w:val="005C6906"/>
    <w:rsid w:val="005D4564"/>
    <w:rsid w:val="005D6EC1"/>
    <w:rsid w:val="005E0B32"/>
    <w:rsid w:val="005E11EA"/>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42A5"/>
    <w:rsid w:val="00646F21"/>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496"/>
    <w:rsid w:val="006E6D69"/>
    <w:rsid w:val="006F1632"/>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72D27"/>
    <w:rsid w:val="00791B04"/>
    <w:rsid w:val="007945EA"/>
    <w:rsid w:val="007A064F"/>
    <w:rsid w:val="007A12CF"/>
    <w:rsid w:val="007A299C"/>
    <w:rsid w:val="007B0F50"/>
    <w:rsid w:val="007C4823"/>
    <w:rsid w:val="007C4F8B"/>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53E7"/>
    <w:rsid w:val="0084602B"/>
    <w:rsid w:val="008558A1"/>
    <w:rsid w:val="00855B4C"/>
    <w:rsid w:val="00861C2D"/>
    <w:rsid w:val="0087115D"/>
    <w:rsid w:val="0087161B"/>
    <w:rsid w:val="00886824"/>
    <w:rsid w:val="0088755C"/>
    <w:rsid w:val="008906DF"/>
    <w:rsid w:val="00890BC2"/>
    <w:rsid w:val="008954AA"/>
    <w:rsid w:val="00895B55"/>
    <w:rsid w:val="008A0623"/>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85CB2"/>
    <w:rsid w:val="00996229"/>
    <w:rsid w:val="009A137B"/>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0F0E"/>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3CD"/>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1D00"/>
    <w:rsid w:val="00AD21E9"/>
    <w:rsid w:val="00AD41BF"/>
    <w:rsid w:val="00AD5D1A"/>
    <w:rsid w:val="00AE40E0"/>
    <w:rsid w:val="00AE588C"/>
    <w:rsid w:val="00AE5B6C"/>
    <w:rsid w:val="00AE66ED"/>
    <w:rsid w:val="00B0050A"/>
    <w:rsid w:val="00B0425A"/>
    <w:rsid w:val="00B04373"/>
    <w:rsid w:val="00B05704"/>
    <w:rsid w:val="00B074A2"/>
    <w:rsid w:val="00B10E62"/>
    <w:rsid w:val="00B11BA5"/>
    <w:rsid w:val="00B1508A"/>
    <w:rsid w:val="00B16B4B"/>
    <w:rsid w:val="00B17AF7"/>
    <w:rsid w:val="00B25A3A"/>
    <w:rsid w:val="00B35251"/>
    <w:rsid w:val="00B35D47"/>
    <w:rsid w:val="00B473B5"/>
    <w:rsid w:val="00B5075D"/>
    <w:rsid w:val="00B52992"/>
    <w:rsid w:val="00B57898"/>
    <w:rsid w:val="00B60379"/>
    <w:rsid w:val="00B618EF"/>
    <w:rsid w:val="00B65E00"/>
    <w:rsid w:val="00B72B8A"/>
    <w:rsid w:val="00B75A60"/>
    <w:rsid w:val="00B90E72"/>
    <w:rsid w:val="00B90F36"/>
    <w:rsid w:val="00B9375D"/>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45CC"/>
    <w:rsid w:val="00C92A87"/>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769B3"/>
    <w:rsid w:val="00D80829"/>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F3D87"/>
    <w:rsid w:val="00E11865"/>
    <w:rsid w:val="00E169AC"/>
    <w:rsid w:val="00E22B52"/>
    <w:rsid w:val="00E27750"/>
    <w:rsid w:val="00E301FE"/>
    <w:rsid w:val="00E30921"/>
    <w:rsid w:val="00E3144D"/>
    <w:rsid w:val="00E327F0"/>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2160"/>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uiPriority w:val="99"/>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paragraph" w:customStyle="1" w:styleId="AnnexNoTitle0">
    <w:name w:val="Annex_NoTitle"/>
    <w:basedOn w:val="Normal"/>
    <w:next w:val="Normalaftertitle"/>
    <w:rsid w:val="00985CB2"/>
    <w:pPr>
      <w:keepNext/>
      <w:keepLines/>
      <w:spacing w:before="480"/>
      <w:jc w:val="center"/>
    </w:pPr>
    <w:rPr>
      <w:b/>
      <w:sz w:val="28"/>
    </w:rPr>
  </w:style>
  <w:style w:type="character" w:customStyle="1" w:styleId="HeaderChar">
    <w:name w:val="Header Char"/>
    <w:basedOn w:val="DefaultParagraphFont"/>
    <w:link w:val="Header"/>
    <w:rsid w:val="0045134C"/>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uiPriority w:val="99"/>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paragraph" w:customStyle="1" w:styleId="AnnexNoTitle0">
    <w:name w:val="Annex_NoTitle"/>
    <w:basedOn w:val="Normal"/>
    <w:next w:val="Normalaftertitle"/>
    <w:rsid w:val="00985CB2"/>
    <w:pPr>
      <w:keepNext/>
      <w:keepLines/>
      <w:spacing w:before="480"/>
      <w:jc w:val="center"/>
    </w:pPr>
    <w:rPr>
      <w:b/>
      <w:sz w:val="28"/>
    </w:rPr>
  </w:style>
  <w:style w:type="character" w:customStyle="1" w:styleId="HeaderChar">
    <w:name w:val="Header Char"/>
    <w:basedOn w:val="DefaultParagraphFont"/>
    <w:link w:val="Header"/>
    <w:rsid w:val="0045134C"/>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3.xml><?xml version="1.0" encoding="utf-8"?>
<ds:datastoreItem xmlns:ds="http://schemas.openxmlformats.org/officeDocument/2006/customXml" ds:itemID="{8C5CF0B2-7EF8-4B26-8A2C-E4AB6F5787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95D805-6840-414F-8E86-9181BCA7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PE_RAG07.DOT</Template>
  <TotalTime>18</TotalTime>
  <Pages>5</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10981</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Nelson Malaguti</cp:lastModifiedBy>
  <cp:revision>14</cp:revision>
  <cp:lastPrinted>2012-04-27T11:10:00Z</cp:lastPrinted>
  <dcterms:created xsi:type="dcterms:W3CDTF">2012-06-15T07:29:00Z</dcterms:created>
  <dcterms:modified xsi:type="dcterms:W3CDTF">2012-06-15T07:50:00Z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