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51782D" w:rsidRPr="00A808D1" w:rsidTr="00675D35">
        <w:trPr>
          <w:cantSplit/>
        </w:trPr>
        <w:tc>
          <w:tcPr>
            <w:tcW w:w="6771" w:type="dxa"/>
          </w:tcPr>
          <w:p w:rsidR="0051782D" w:rsidRPr="00A808D1" w:rsidRDefault="000E036E" w:rsidP="00FB6D5F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A808D1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="0051782D" w:rsidRPr="00A808D1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A808D1">
              <w:rPr>
                <w:rFonts w:ascii="Verdana" w:hAnsi="Verdana" w:cs="Times New Roman Bold"/>
                <w:b/>
                <w:sz w:val="18"/>
                <w:szCs w:val="18"/>
              </w:rPr>
              <w:t xml:space="preserve">Женева, </w:t>
            </w:r>
            <w:r w:rsidR="00FB6D5F" w:rsidRPr="00A808D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25</w:t>
            </w:r>
            <w:r w:rsidR="001B00F1" w:rsidRPr="00A808D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–</w:t>
            </w:r>
            <w:r w:rsidR="00FB6D5F" w:rsidRPr="00A808D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27</w:t>
            </w:r>
            <w:r w:rsidR="001B00F1" w:rsidRPr="00A808D1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июня</w:t>
            </w:r>
            <w:r w:rsidR="006262A3" w:rsidRPr="00A808D1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2</w:t>
            </w:r>
            <w:r w:rsidR="00E742EE" w:rsidRPr="00A808D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0</w:t>
            </w:r>
            <w:r w:rsidR="00B820B1" w:rsidRPr="00A808D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1</w:t>
            </w:r>
            <w:r w:rsidR="00FB6D5F" w:rsidRPr="00A808D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6262A3" w:rsidRPr="00A808D1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</w:t>
            </w:r>
            <w:r w:rsidR="008E282B" w:rsidRPr="00A808D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51782D" w:rsidRPr="00A808D1" w:rsidRDefault="009306FC" w:rsidP="00675D35">
            <w:pPr>
              <w:shd w:val="solid" w:color="FFFFFF" w:fill="FFFFFF"/>
              <w:spacing w:before="0"/>
            </w:pPr>
            <w:r w:rsidRPr="00A808D1">
              <w:rPr>
                <w:szCs w:val="22"/>
                <w:lang w:eastAsia="zh-CN"/>
              </w:rPr>
              <w:drawing>
                <wp:inline distT="0" distB="0" distL="0" distR="0" wp14:anchorId="61B3C0EB" wp14:editId="47FCD568">
                  <wp:extent cx="1319530" cy="698500"/>
                  <wp:effectExtent l="0" t="0" r="0" b="635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A808D1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A808D1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A808D1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A808D1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A808D1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A808D1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A808D1" w:rsidTr="00675D35">
        <w:trPr>
          <w:cantSplit/>
        </w:trPr>
        <w:tc>
          <w:tcPr>
            <w:tcW w:w="6771" w:type="dxa"/>
            <w:vMerge w:val="restart"/>
          </w:tcPr>
          <w:p w:rsidR="0051782D" w:rsidRPr="00A808D1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51782D" w:rsidRPr="00A808D1" w:rsidRDefault="006262A3" w:rsidP="002425E4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A808D1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A808D1">
              <w:rPr>
                <w:rFonts w:ascii="Verdana" w:hAnsi="Verdana"/>
                <w:b/>
                <w:sz w:val="18"/>
                <w:szCs w:val="18"/>
              </w:rPr>
              <w:t xml:space="preserve"> RAG</w:t>
            </w:r>
            <w:r w:rsidR="001B00F1" w:rsidRPr="00A808D1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FB6D5F" w:rsidRPr="00A808D1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BD7223" w:rsidRPr="00A808D1">
              <w:rPr>
                <w:rFonts w:ascii="Verdana" w:hAnsi="Verdana"/>
                <w:b/>
                <w:sz w:val="18"/>
                <w:szCs w:val="18"/>
              </w:rPr>
              <w:t>-1/</w:t>
            </w:r>
            <w:r w:rsidR="002425E4" w:rsidRPr="00A808D1">
              <w:rPr>
                <w:rFonts w:ascii="Verdana" w:hAnsi="Verdana"/>
                <w:b/>
                <w:sz w:val="18"/>
                <w:szCs w:val="18"/>
              </w:rPr>
              <w:t>3</w:t>
            </w:r>
            <w:r w:rsidR="00BD7223" w:rsidRPr="00A808D1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A808D1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A808D1" w:rsidTr="00675D35">
        <w:trPr>
          <w:cantSplit/>
        </w:trPr>
        <w:tc>
          <w:tcPr>
            <w:tcW w:w="6771" w:type="dxa"/>
            <w:vMerge/>
          </w:tcPr>
          <w:p w:rsidR="0051782D" w:rsidRPr="00A808D1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51782D" w:rsidRPr="00A808D1" w:rsidRDefault="002425E4" w:rsidP="00FB6D5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A808D1">
              <w:rPr>
                <w:rFonts w:ascii="Verdana" w:hAnsi="Verdana"/>
                <w:b/>
                <w:sz w:val="18"/>
                <w:szCs w:val="18"/>
              </w:rPr>
              <w:t xml:space="preserve">25 мая </w:t>
            </w:r>
            <w:r w:rsidR="001B00F1" w:rsidRPr="00A808D1">
              <w:rPr>
                <w:rFonts w:ascii="Verdana" w:hAnsi="Verdana"/>
                <w:b/>
                <w:sz w:val="18"/>
                <w:szCs w:val="18"/>
              </w:rPr>
              <w:t>201</w:t>
            </w:r>
            <w:r w:rsidR="00FB6D5F" w:rsidRPr="00A808D1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6262A3" w:rsidRPr="00A808D1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A808D1" w:rsidTr="00675D35">
        <w:trPr>
          <w:cantSplit/>
        </w:trPr>
        <w:tc>
          <w:tcPr>
            <w:tcW w:w="6771" w:type="dxa"/>
            <w:vMerge/>
          </w:tcPr>
          <w:p w:rsidR="0051782D" w:rsidRPr="00A808D1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51782D" w:rsidRPr="00A808D1" w:rsidRDefault="006262A3" w:rsidP="002425E4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A808D1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2425E4" w:rsidRPr="00A808D1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093C73" w:rsidRPr="00A808D1" w:rsidTr="00675D35">
        <w:trPr>
          <w:cantSplit/>
        </w:trPr>
        <w:tc>
          <w:tcPr>
            <w:tcW w:w="9889" w:type="dxa"/>
            <w:gridSpan w:val="2"/>
          </w:tcPr>
          <w:p w:rsidR="00093C73" w:rsidRPr="00A808D1" w:rsidRDefault="002425E4" w:rsidP="000252AA">
            <w:pPr>
              <w:pStyle w:val="Source"/>
            </w:pPr>
            <w:bookmarkStart w:id="3" w:name="dsource" w:colFirst="0" w:colLast="0"/>
            <w:bookmarkEnd w:id="2"/>
            <w:r w:rsidRPr="00A808D1">
              <w:t>Соединенные Штаты Америки</w:t>
            </w:r>
          </w:p>
        </w:tc>
      </w:tr>
      <w:tr w:rsidR="00093C73" w:rsidRPr="00A808D1" w:rsidTr="00675D35">
        <w:trPr>
          <w:cantSplit/>
        </w:trPr>
        <w:tc>
          <w:tcPr>
            <w:tcW w:w="9889" w:type="dxa"/>
            <w:gridSpan w:val="2"/>
          </w:tcPr>
          <w:p w:rsidR="00093C73" w:rsidRPr="00A808D1" w:rsidRDefault="002425E4" w:rsidP="000252AA">
            <w:pPr>
              <w:pStyle w:val="Title1"/>
            </w:pPr>
            <w:bookmarkStart w:id="4" w:name="dtitle1" w:colFirst="0" w:colLast="0"/>
            <w:bookmarkEnd w:id="3"/>
            <w:r w:rsidRPr="00A808D1">
              <w:t>принципы управления работой</w:t>
            </w:r>
            <w:r w:rsidRPr="00A808D1">
              <w:br/>
              <w:t>работающей по переписке группы по Резолюции МСЭ-R 1-6</w:t>
            </w:r>
          </w:p>
        </w:tc>
      </w:tr>
      <w:bookmarkEnd w:id="4"/>
    </w:tbl>
    <w:p w:rsidR="00A808D1" w:rsidRPr="00A808D1" w:rsidRDefault="00A808D1" w:rsidP="00A808D1">
      <w:pPr>
        <w:pStyle w:val="Normalaftertitle"/>
      </w:pPr>
    </w:p>
    <w:p w:rsidR="002425E4" w:rsidRPr="00A808D1" w:rsidRDefault="002425E4" w:rsidP="002C2AAB">
      <w:pPr>
        <w:pStyle w:val="Headingb"/>
        <w:rPr>
          <w:lang w:val="ru-RU"/>
        </w:rPr>
      </w:pPr>
      <w:r w:rsidRPr="00A808D1">
        <w:rPr>
          <w:lang w:val="ru-RU"/>
        </w:rPr>
        <w:t>Базовая информация</w:t>
      </w:r>
    </w:p>
    <w:p w:rsidR="002425E4" w:rsidRPr="00A808D1" w:rsidRDefault="002425E4" w:rsidP="00A0655E">
      <w:r w:rsidRPr="00A808D1">
        <w:t xml:space="preserve">Ассамблея радиосвязи 2012 года (АР-12) утвердила круг ведения работающей по переписке </w:t>
      </w:r>
      <w:r w:rsidR="00A808D1" w:rsidRPr="00A808D1">
        <w:t xml:space="preserve">Группы </w:t>
      </w:r>
      <w:r w:rsidRPr="00A808D1">
        <w:t xml:space="preserve">по Резолюции МСЭ-R 1-6. Круг ведения работающей по переписке </w:t>
      </w:r>
      <w:r w:rsidR="00A808D1" w:rsidRPr="00A808D1">
        <w:t xml:space="preserve">Группы </w:t>
      </w:r>
      <w:r w:rsidRPr="00A808D1">
        <w:t xml:space="preserve">(ГП), представленный в </w:t>
      </w:r>
      <w:hyperlink r:id="rId9" w:history="1">
        <w:r w:rsidRPr="00A808D1">
          <w:rPr>
            <w:rStyle w:val="Hyperlink"/>
            <w:szCs w:val="24"/>
          </w:rPr>
          <w:t>Документе RA12/PLEN/116</w:t>
        </w:r>
      </w:hyperlink>
      <w:r w:rsidRPr="00A808D1">
        <w:t>, заключается в следующем:</w:t>
      </w:r>
    </w:p>
    <w:p w:rsidR="002425E4" w:rsidRPr="00A808D1" w:rsidRDefault="002425E4" w:rsidP="00A0655E">
      <w:pPr>
        <w:pStyle w:val="enumlev1"/>
        <w:rPr>
          <w:i/>
          <w:szCs w:val="24"/>
        </w:rPr>
      </w:pPr>
      <w:r w:rsidRPr="00A808D1">
        <w:rPr>
          <w:i/>
          <w:szCs w:val="24"/>
        </w:rPr>
        <w:t>•</w:t>
      </w:r>
      <w:r w:rsidRPr="00A808D1">
        <w:rPr>
          <w:i/>
          <w:szCs w:val="24"/>
        </w:rPr>
        <w:tab/>
      </w:r>
      <w:r w:rsidRPr="00A808D1">
        <w:t>рассмотрение форматов, используемых несколькими исследовательскими комиссиями, для разработки Рекомендаций МСЭ-R</w:t>
      </w:r>
      <w:r w:rsidRPr="00A808D1">
        <w:rPr>
          <w:i/>
          <w:szCs w:val="24"/>
        </w:rPr>
        <w:t>;</w:t>
      </w:r>
    </w:p>
    <w:p w:rsidR="002425E4" w:rsidRPr="00A808D1" w:rsidRDefault="002425E4" w:rsidP="00A0655E">
      <w:pPr>
        <w:pStyle w:val="enumlev1"/>
        <w:rPr>
          <w:i/>
          <w:szCs w:val="24"/>
        </w:rPr>
      </w:pPr>
      <w:r w:rsidRPr="00A808D1">
        <w:rPr>
          <w:i/>
          <w:szCs w:val="24"/>
        </w:rPr>
        <w:t>•</w:t>
      </w:r>
      <w:r w:rsidRPr="00A808D1">
        <w:rPr>
          <w:i/>
          <w:szCs w:val="24"/>
        </w:rPr>
        <w:tab/>
      </w:r>
      <w:r w:rsidRPr="00A808D1">
        <w:t>определение неточностей и недостатков в этих форматах, когда они используются для рассмотрения сложных случаев</w:t>
      </w:r>
      <w:r w:rsidRPr="00A808D1">
        <w:rPr>
          <w:i/>
          <w:szCs w:val="24"/>
        </w:rPr>
        <w:t>;</w:t>
      </w:r>
    </w:p>
    <w:p w:rsidR="002425E4" w:rsidRPr="00A808D1" w:rsidRDefault="002425E4" w:rsidP="00A0655E">
      <w:pPr>
        <w:pStyle w:val="enumlev1"/>
        <w:rPr>
          <w:i/>
          <w:szCs w:val="24"/>
        </w:rPr>
      </w:pPr>
      <w:r w:rsidRPr="00A808D1">
        <w:rPr>
          <w:i/>
          <w:szCs w:val="24"/>
        </w:rPr>
        <w:t>•</w:t>
      </w:r>
      <w:r w:rsidRPr="00A808D1">
        <w:rPr>
          <w:i/>
          <w:szCs w:val="24"/>
        </w:rPr>
        <w:tab/>
      </w:r>
      <w:r w:rsidRPr="00A808D1">
        <w:t>взаимодействие с работающей по переписке группой, которую может создать КГР для рассмотрения изменений в структуре Резолюции МСЭ-R 1-6, в соответствии с положениями Документа PLEN/110</w:t>
      </w:r>
      <w:r w:rsidRPr="00A808D1">
        <w:rPr>
          <w:i/>
          <w:szCs w:val="24"/>
        </w:rPr>
        <w:t>.</w:t>
      </w:r>
    </w:p>
    <w:p w:rsidR="002425E4" w:rsidRPr="00A808D1" w:rsidRDefault="002425E4" w:rsidP="00A0655E">
      <w:pPr>
        <w:rPr>
          <w:b/>
        </w:rPr>
      </w:pPr>
      <w:r w:rsidRPr="00A808D1">
        <w:t xml:space="preserve">Соединенные Штаты предполагают, что работающая по переписке </w:t>
      </w:r>
      <w:r w:rsidR="00A808D1" w:rsidRPr="00A808D1">
        <w:t xml:space="preserve">Группа </w:t>
      </w:r>
      <w:r w:rsidRPr="00A808D1">
        <w:t>по Резолюции МСЭ-R 1-6 будет учреждена на девятнадцатом собрании Консультативной группы по радиосвязи (КГР). В настоящем вкладе Соединенные Штаты предлагают на рассмотрение КГР некоторые руководящие принципы, которые могут способствовать определению</w:t>
      </w:r>
      <w:r w:rsidR="00A0655E" w:rsidRPr="00A808D1">
        <w:t xml:space="preserve"> направления работе ГП.</w:t>
      </w:r>
    </w:p>
    <w:p w:rsidR="002425E4" w:rsidRPr="00A808D1" w:rsidRDefault="002425E4" w:rsidP="00A808D1">
      <w:pPr>
        <w:pStyle w:val="Headingb"/>
        <w:rPr>
          <w:lang w:val="ru-RU"/>
        </w:rPr>
      </w:pPr>
      <w:r w:rsidRPr="00A808D1">
        <w:rPr>
          <w:lang w:val="ru-RU"/>
        </w:rPr>
        <w:t>Обсуждение</w:t>
      </w:r>
    </w:p>
    <w:p w:rsidR="002425E4" w:rsidRPr="00A808D1" w:rsidRDefault="002425E4" w:rsidP="00A0655E">
      <w:pPr>
        <w:rPr>
          <w:szCs w:val="24"/>
        </w:rPr>
      </w:pPr>
      <w:r w:rsidRPr="00A808D1">
        <w:rPr>
          <w:szCs w:val="24"/>
        </w:rPr>
        <w:t xml:space="preserve">В настоящее время </w:t>
      </w:r>
      <w:r w:rsidRPr="00A808D1">
        <w:t xml:space="preserve">основные руководящие указания в отношении составления Рекомендаций МСЭ-R содержатся в </w:t>
      </w:r>
      <w:r w:rsidR="00A808D1" w:rsidRPr="00A808D1">
        <w:t>Приложении </w:t>
      </w:r>
      <w:r w:rsidRPr="00A808D1">
        <w:t>2 к "</w:t>
      </w:r>
      <w:r w:rsidRPr="00A808D1">
        <w:rPr>
          <w:color w:val="000000"/>
        </w:rPr>
        <w:t>Руководящим указаниям в отношении собраний и документации ассамблеи радиосвязи и исследовательских комиссий</w:t>
      </w:r>
      <w:r w:rsidRPr="00A808D1">
        <w:t>" (</w:t>
      </w:r>
      <w:hyperlink r:id="rId10" w:history="1">
        <w:r w:rsidRPr="00A808D1">
          <w:rPr>
            <w:rStyle w:val="Hyperlink"/>
            <w:szCs w:val="24"/>
          </w:rPr>
          <w:t>Административный циркуляр CA/13</w:t>
        </w:r>
      </w:hyperlink>
      <w:r w:rsidRPr="00A808D1">
        <w:rPr>
          <w:szCs w:val="24"/>
        </w:rPr>
        <w:t>). Эти руководящие указания допускают определенную гибкость при разработке Рекомендаций в отношении оптимальных разделов и альтернативного порядка обработки "более сложных Рекомендаций".</w:t>
      </w:r>
    </w:p>
    <w:p w:rsidR="002425E4" w:rsidRPr="00A808D1" w:rsidRDefault="002425E4" w:rsidP="00A808D1">
      <w:pPr>
        <w:rPr>
          <w:szCs w:val="24"/>
        </w:rPr>
      </w:pPr>
      <w:r w:rsidRPr="00A808D1">
        <w:rPr>
          <w:szCs w:val="24"/>
        </w:rPr>
        <w:t>В целом МСЭ-R с 1995 года функционирует нормально в рамках этих руководящих указаний. Соединенные Штаты не встречались с какими-либо существенными вопросами, возникающими вследствие неверного толкования Рекомендаций МСЭ-R, вызванного недостаточной ясностью или точностью.</w:t>
      </w:r>
    </w:p>
    <w:p w:rsidR="002425E4" w:rsidRPr="00A808D1" w:rsidRDefault="002425E4" w:rsidP="00A0655E">
      <w:pPr>
        <w:rPr>
          <w:szCs w:val="24"/>
        </w:rPr>
      </w:pPr>
      <w:r w:rsidRPr="00A808D1">
        <w:rPr>
          <w:szCs w:val="24"/>
        </w:rPr>
        <w:t>Вместе с тем всегда возможно улучшение. Наступило время рассмотреть, можно ли улучшить формат и процесс разработки Рекомендаций, с тем чтобы усовершенствовать итоговые документы рабочих групп и исследовательских комиссий. Соединенные Штаты отмечают, что вопрос формата вызывает задержку утверждения документов, притом что отсутствуют вопросы или возражения в отношении содержания этих Рекомендаций. Это, безусловно, снижает эффективность работы МСЭ</w:t>
      </w:r>
      <w:r w:rsidRPr="00A808D1">
        <w:rPr>
          <w:szCs w:val="24"/>
        </w:rPr>
        <w:noBreakHyphen/>
        <w:t>R.</w:t>
      </w:r>
    </w:p>
    <w:p w:rsidR="002425E4" w:rsidRPr="00A808D1" w:rsidRDefault="002425E4" w:rsidP="00A0655E">
      <w:pPr>
        <w:pStyle w:val="Headingb"/>
        <w:rPr>
          <w:lang w:val="ru-RU"/>
        </w:rPr>
      </w:pPr>
      <w:r w:rsidRPr="00A808D1">
        <w:rPr>
          <w:lang w:val="ru-RU"/>
        </w:rPr>
        <w:lastRenderedPageBreak/>
        <w:t>Предложение</w:t>
      </w:r>
    </w:p>
    <w:p w:rsidR="002425E4" w:rsidRPr="00A808D1" w:rsidRDefault="002425E4" w:rsidP="00A0655E">
      <w:r w:rsidRPr="00A808D1">
        <w:t>Соединенные Штаты рассмотрели вопрос формата и с точки зрения пользователя, и с точки зрения автора Рекомендации МСЭ-R и хотели бы предложить для рассмотрения на собрании следующие принципы управления работой ГП в этой области.</w:t>
      </w:r>
    </w:p>
    <w:p w:rsidR="002425E4" w:rsidRPr="00A808D1" w:rsidRDefault="00A0655E" w:rsidP="00A0655E">
      <w:pPr>
        <w:pStyle w:val="enumlev1"/>
        <w:rPr>
          <w:b/>
          <w:bCs/>
        </w:rPr>
      </w:pPr>
      <w:r w:rsidRPr="00A808D1">
        <w:rPr>
          <w:b/>
          <w:bCs/>
        </w:rPr>
        <w:t>–</w:t>
      </w:r>
      <w:r w:rsidRPr="00A808D1">
        <w:rPr>
          <w:b/>
          <w:bCs/>
        </w:rPr>
        <w:tab/>
      </w:r>
      <w:r w:rsidR="002425E4" w:rsidRPr="00A808D1">
        <w:rPr>
          <w:b/>
          <w:bCs/>
        </w:rPr>
        <w:t>Существующие руководящие указания могут служить основой для развития</w:t>
      </w:r>
    </w:p>
    <w:p w:rsidR="002425E4" w:rsidRPr="00A808D1" w:rsidRDefault="00A0655E" w:rsidP="00A0655E">
      <w:pPr>
        <w:pStyle w:val="enumlev2"/>
        <w:rPr>
          <w:bCs/>
          <w:szCs w:val="24"/>
        </w:rPr>
      </w:pPr>
      <w:r w:rsidRPr="00A808D1">
        <w:rPr>
          <w:bCs/>
          <w:szCs w:val="24"/>
        </w:rPr>
        <w:t>•</w:t>
      </w:r>
      <w:r w:rsidRPr="00A808D1">
        <w:rPr>
          <w:bCs/>
          <w:szCs w:val="24"/>
        </w:rPr>
        <w:tab/>
      </w:r>
      <w:r w:rsidR="002425E4" w:rsidRPr="00A808D1">
        <w:rPr>
          <w:bCs/>
          <w:szCs w:val="24"/>
        </w:rPr>
        <w:t xml:space="preserve">Руководящие указания, содержащиеся в Приложении 2 </w:t>
      </w:r>
      <w:r w:rsidR="002425E4" w:rsidRPr="00A808D1">
        <w:t>к "Руководящим указаниям в отношении собраний и документации ассамблеи радиосвязи и исследовательских комиссий"</w:t>
      </w:r>
      <w:r w:rsidR="00A808D1">
        <w:t>,</w:t>
      </w:r>
      <w:r w:rsidR="002425E4" w:rsidRPr="00A808D1">
        <w:t xml:space="preserve"> </w:t>
      </w:r>
      <w:r w:rsidR="002425E4" w:rsidRPr="00A808D1">
        <w:rPr>
          <w:bCs/>
          <w:szCs w:val="24"/>
        </w:rPr>
        <w:t>в большинстве сохраняют актуальность</w:t>
      </w:r>
      <w:r w:rsidR="002C2AAB" w:rsidRPr="00A808D1">
        <w:rPr>
          <w:bCs/>
          <w:szCs w:val="24"/>
        </w:rPr>
        <w:t>.</w:t>
      </w:r>
    </w:p>
    <w:p w:rsidR="002425E4" w:rsidRPr="00A808D1" w:rsidRDefault="00A0655E" w:rsidP="00A0655E">
      <w:pPr>
        <w:pStyle w:val="enumlev2"/>
        <w:rPr>
          <w:bCs/>
          <w:szCs w:val="24"/>
        </w:rPr>
      </w:pPr>
      <w:r w:rsidRPr="00A808D1">
        <w:rPr>
          <w:bCs/>
          <w:szCs w:val="24"/>
        </w:rPr>
        <w:t>•</w:t>
      </w:r>
      <w:r w:rsidRPr="00A808D1">
        <w:rPr>
          <w:bCs/>
          <w:szCs w:val="24"/>
        </w:rPr>
        <w:tab/>
      </w:r>
      <w:r w:rsidR="002425E4" w:rsidRPr="00A808D1">
        <w:rPr>
          <w:bCs/>
          <w:szCs w:val="24"/>
        </w:rPr>
        <w:t>ГП могла бы осуществить тщательное рассмотрение Приложения 2, с тем чтобы определить слабые стороны и возможности для улучшения.</w:t>
      </w:r>
    </w:p>
    <w:p w:rsidR="002425E4" w:rsidRPr="00A808D1" w:rsidRDefault="00A0655E" w:rsidP="00A0655E">
      <w:pPr>
        <w:pStyle w:val="enumlev1"/>
        <w:rPr>
          <w:b/>
          <w:bCs/>
        </w:rPr>
      </w:pPr>
      <w:r w:rsidRPr="00A808D1">
        <w:rPr>
          <w:b/>
          <w:bCs/>
        </w:rPr>
        <w:t>–</w:t>
      </w:r>
      <w:r w:rsidRPr="00A808D1">
        <w:rPr>
          <w:b/>
          <w:bCs/>
        </w:rPr>
        <w:tab/>
      </w:r>
      <w:r w:rsidR="002425E4" w:rsidRPr="00A808D1">
        <w:rPr>
          <w:b/>
          <w:bCs/>
        </w:rPr>
        <w:t xml:space="preserve">Нет необходимости изобретать колесо </w:t>
      </w:r>
    </w:p>
    <w:p w:rsidR="002425E4" w:rsidRPr="00A808D1" w:rsidRDefault="00A0655E" w:rsidP="00A0655E">
      <w:pPr>
        <w:pStyle w:val="enumlev2"/>
      </w:pPr>
      <w:r w:rsidRPr="00A808D1">
        <w:rPr>
          <w:bCs/>
          <w:szCs w:val="24"/>
        </w:rPr>
        <w:t>•</w:t>
      </w:r>
      <w:r w:rsidRPr="00A808D1">
        <w:rPr>
          <w:bCs/>
          <w:szCs w:val="24"/>
        </w:rPr>
        <w:tab/>
      </w:r>
      <w:r w:rsidR="002425E4" w:rsidRPr="00A808D1">
        <w:t xml:space="preserve">Представляется, что большая часть руководящих указаний Приложения 2 аналогична положениям, содержащимся в </w:t>
      </w:r>
      <w:hyperlink r:id="rId11" w:history="1">
        <w:r w:rsidR="002425E4" w:rsidRPr="00A808D1">
          <w:rPr>
            <w:rStyle w:val="Hyperlink"/>
            <w:bCs/>
            <w:szCs w:val="24"/>
          </w:rPr>
          <w:t>Руководстве для авторов МСЭ-Т</w:t>
        </w:r>
      </w:hyperlink>
      <w:r w:rsidR="002425E4" w:rsidRPr="00A808D1">
        <w:t>. Это должно служить в помощь, поскольку каждый Сектор может использовать опыт других. Притом что некоторые разделы могут быть неприемлемыми для руководящих указаний МСЭ-R (например, Приложение C "Схема наименования URI для идентификации области имен XML, определенной в Рекомендациях МСЭ-T"), многие разделы могут быть включены</w:t>
      </w:r>
      <w:r w:rsidR="002C2AAB" w:rsidRPr="00A808D1">
        <w:t>.</w:t>
      </w:r>
    </w:p>
    <w:p w:rsidR="002425E4" w:rsidRPr="00A808D1" w:rsidRDefault="00A0655E" w:rsidP="00A0655E">
      <w:pPr>
        <w:pStyle w:val="enumlev2"/>
      </w:pPr>
      <w:r w:rsidRPr="00A808D1">
        <w:rPr>
          <w:bCs/>
          <w:szCs w:val="24"/>
        </w:rPr>
        <w:t>•</w:t>
      </w:r>
      <w:r w:rsidRPr="00A808D1">
        <w:rPr>
          <w:bCs/>
          <w:szCs w:val="24"/>
        </w:rPr>
        <w:tab/>
      </w:r>
      <w:r w:rsidR="002425E4" w:rsidRPr="00A808D1">
        <w:t>ГП могла бы осуществить тщательное рассмотрение последней версии Руководства для авторов МСЭ-Т, с тем чтобы определить элементы, которые целесообразно было бы включить.</w:t>
      </w:r>
    </w:p>
    <w:p w:rsidR="002425E4" w:rsidRPr="00A808D1" w:rsidRDefault="00A0655E" w:rsidP="00A0655E">
      <w:pPr>
        <w:pStyle w:val="enumlev1"/>
        <w:rPr>
          <w:b/>
          <w:bCs/>
        </w:rPr>
      </w:pPr>
      <w:r w:rsidRPr="00A808D1">
        <w:rPr>
          <w:b/>
          <w:bCs/>
        </w:rPr>
        <w:t>–</w:t>
      </w:r>
      <w:r w:rsidRPr="00A808D1">
        <w:rPr>
          <w:b/>
          <w:bCs/>
        </w:rPr>
        <w:tab/>
      </w:r>
      <w:r w:rsidR="002425E4" w:rsidRPr="00A808D1">
        <w:rPr>
          <w:b/>
          <w:bCs/>
        </w:rPr>
        <w:t>Полезно иметь общее руководство по подготовке Рекомендаций МСЭ-R</w:t>
      </w:r>
    </w:p>
    <w:p w:rsidR="002425E4" w:rsidRPr="00A808D1" w:rsidRDefault="00A0655E" w:rsidP="00A0655E">
      <w:pPr>
        <w:pStyle w:val="enumlev2"/>
      </w:pPr>
      <w:r w:rsidRPr="00A808D1">
        <w:rPr>
          <w:bCs/>
          <w:szCs w:val="24"/>
        </w:rPr>
        <w:t>•</w:t>
      </w:r>
      <w:r w:rsidRPr="00A808D1">
        <w:rPr>
          <w:bCs/>
          <w:szCs w:val="24"/>
        </w:rPr>
        <w:tab/>
      </w:r>
      <w:r w:rsidR="002425E4" w:rsidRPr="00A808D1">
        <w:t>Существуют расхождения в представлении разделов, составляющих Рекомендации МСЭ-R, такие как местоположение элементов в рамках разделов "</w:t>
      </w:r>
      <w:r w:rsidR="002425E4" w:rsidRPr="00A808D1">
        <w:rPr>
          <w:i/>
          <w:iCs/>
        </w:rPr>
        <w:t>отмечая</w:t>
      </w:r>
      <w:r w:rsidR="002425E4" w:rsidRPr="00A808D1">
        <w:t>", "</w:t>
      </w:r>
      <w:r w:rsidR="002425E4" w:rsidRPr="00A808D1">
        <w:rPr>
          <w:i/>
          <w:iCs/>
        </w:rPr>
        <w:t>учитывая</w:t>
      </w:r>
      <w:r w:rsidR="002425E4" w:rsidRPr="00A808D1">
        <w:t>" и "</w:t>
      </w:r>
      <w:r w:rsidR="002425E4" w:rsidRPr="00A808D1">
        <w:rPr>
          <w:i/>
          <w:iCs/>
        </w:rPr>
        <w:t>признавая</w:t>
      </w:r>
      <w:r w:rsidR="002425E4" w:rsidRPr="00A808D1">
        <w:t>".</w:t>
      </w:r>
    </w:p>
    <w:p w:rsidR="002425E4" w:rsidRPr="00A808D1" w:rsidRDefault="00A0655E" w:rsidP="00A0655E">
      <w:pPr>
        <w:pStyle w:val="enumlev2"/>
      </w:pPr>
      <w:r w:rsidRPr="00A808D1">
        <w:rPr>
          <w:bCs/>
          <w:szCs w:val="24"/>
        </w:rPr>
        <w:t>•</w:t>
      </w:r>
      <w:r w:rsidRPr="00A808D1">
        <w:rPr>
          <w:bCs/>
          <w:szCs w:val="24"/>
        </w:rPr>
        <w:tab/>
      </w:r>
      <w:r w:rsidR="002425E4" w:rsidRPr="00A808D1">
        <w:t xml:space="preserve">Общие определения, общий порядок следования и т. д. будут способствовать пониманию документов и облегчат работу редакторов и </w:t>
      </w:r>
      <w:r w:rsidR="00A808D1" w:rsidRPr="00A808D1">
        <w:t>секретариата</w:t>
      </w:r>
      <w:r w:rsidR="002425E4" w:rsidRPr="00A808D1">
        <w:t>.</w:t>
      </w:r>
    </w:p>
    <w:p w:rsidR="002425E4" w:rsidRPr="00A808D1" w:rsidRDefault="00A0655E" w:rsidP="00A0655E">
      <w:pPr>
        <w:pStyle w:val="enumlev1"/>
        <w:rPr>
          <w:b/>
          <w:bCs/>
        </w:rPr>
      </w:pPr>
      <w:r w:rsidRPr="00A808D1">
        <w:rPr>
          <w:b/>
          <w:bCs/>
        </w:rPr>
        <w:t>–</w:t>
      </w:r>
      <w:r w:rsidRPr="00A808D1">
        <w:rPr>
          <w:b/>
          <w:bCs/>
        </w:rPr>
        <w:tab/>
      </w:r>
      <w:r w:rsidR="002425E4" w:rsidRPr="00A808D1">
        <w:rPr>
          <w:b/>
          <w:bCs/>
        </w:rPr>
        <w:t>Установление общего формата – лишь часть решения</w:t>
      </w:r>
    </w:p>
    <w:p w:rsidR="002425E4" w:rsidRPr="00A808D1" w:rsidRDefault="00A0655E" w:rsidP="00A0655E">
      <w:pPr>
        <w:pStyle w:val="enumlev2"/>
      </w:pPr>
      <w:r w:rsidRPr="00A808D1">
        <w:rPr>
          <w:bCs/>
          <w:szCs w:val="24"/>
        </w:rPr>
        <w:t>•</w:t>
      </w:r>
      <w:r w:rsidRPr="00A808D1">
        <w:rPr>
          <w:bCs/>
          <w:szCs w:val="24"/>
        </w:rPr>
        <w:tab/>
      </w:r>
      <w:r w:rsidR="002425E4" w:rsidRPr="00A808D1">
        <w:t>Введение формата в отсутствие пояснения порядка использования этого формата создаст проблемы, аналогичные существующим в настоящее время.</w:t>
      </w:r>
    </w:p>
    <w:p w:rsidR="002425E4" w:rsidRPr="00A808D1" w:rsidRDefault="00A0655E" w:rsidP="00A0655E">
      <w:pPr>
        <w:pStyle w:val="enumlev2"/>
      </w:pPr>
      <w:r w:rsidRPr="00A808D1">
        <w:rPr>
          <w:bCs/>
          <w:szCs w:val="24"/>
        </w:rPr>
        <w:t>•</w:t>
      </w:r>
      <w:r w:rsidRPr="00A808D1">
        <w:rPr>
          <w:bCs/>
          <w:szCs w:val="24"/>
        </w:rPr>
        <w:tab/>
      </w:r>
      <w:r w:rsidR="002425E4" w:rsidRPr="00A808D1">
        <w:t xml:space="preserve">Необходимо осуществить деятельность по обучению руководства и </w:t>
      </w:r>
      <w:r w:rsidR="00A808D1" w:rsidRPr="00A808D1">
        <w:t xml:space="preserve">Членов </w:t>
      </w:r>
      <w:r w:rsidR="002425E4" w:rsidRPr="00A808D1">
        <w:t>надлежащему использованию формата.</w:t>
      </w:r>
    </w:p>
    <w:p w:rsidR="002425E4" w:rsidRPr="00A808D1" w:rsidRDefault="00A0655E" w:rsidP="00A0655E">
      <w:pPr>
        <w:pStyle w:val="enumlev2"/>
      </w:pPr>
      <w:r w:rsidRPr="00A808D1">
        <w:rPr>
          <w:bCs/>
          <w:szCs w:val="24"/>
        </w:rPr>
        <w:t>•</w:t>
      </w:r>
      <w:r w:rsidRPr="00A808D1">
        <w:rPr>
          <w:bCs/>
          <w:szCs w:val="24"/>
        </w:rPr>
        <w:tab/>
      </w:r>
      <w:r w:rsidR="002425E4" w:rsidRPr="00A808D1">
        <w:t>ГП может рассмотреть вопрос о подготовке самостоятельного документа, подобного Руководству для авторов МСЭ-Т, который будет распространен между всеми председателями исследовательских комиссий, рабочих групп и т. д. и будет служить в качестве руководства их работой.</w:t>
      </w:r>
    </w:p>
    <w:p w:rsidR="002425E4" w:rsidRPr="00A808D1" w:rsidRDefault="00A0655E" w:rsidP="00A0655E">
      <w:pPr>
        <w:pStyle w:val="enumlev1"/>
        <w:rPr>
          <w:b/>
          <w:bCs/>
        </w:rPr>
      </w:pPr>
      <w:r w:rsidRPr="00A808D1">
        <w:rPr>
          <w:b/>
          <w:bCs/>
        </w:rPr>
        <w:t>–</w:t>
      </w:r>
      <w:r w:rsidRPr="00A808D1">
        <w:rPr>
          <w:b/>
          <w:bCs/>
        </w:rPr>
        <w:tab/>
      </w:r>
      <w:r w:rsidR="002425E4" w:rsidRPr="00A808D1">
        <w:rPr>
          <w:b/>
          <w:bCs/>
        </w:rPr>
        <w:t>Любое изменение формата не должно иметь обратной силы</w:t>
      </w:r>
    </w:p>
    <w:p w:rsidR="002425E4" w:rsidRPr="00A808D1" w:rsidRDefault="00A0655E" w:rsidP="00A0655E">
      <w:pPr>
        <w:pStyle w:val="enumlev2"/>
        <w:rPr>
          <w:b/>
        </w:rPr>
      </w:pPr>
      <w:r w:rsidRPr="00A808D1">
        <w:rPr>
          <w:bCs/>
          <w:szCs w:val="24"/>
        </w:rPr>
        <w:t>•</w:t>
      </w:r>
      <w:r w:rsidRPr="00A808D1">
        <w:rPr>
          <w:bCs/>
          <w:szCs w:val="24"/>
        </w:rPr>
        <w:tab/>
      </w:r>
      <w:r w:rsidR="002425E4" w:rsidRPr="00A808D1">
        <w:t>Некоторые Рекомендации столь широко известны и используются в своем текущем формате, что изменение их структуры может привести к большей путанице и ослабить основания для принятия общего формата – в целях простоты понимания.</w:t>
      </w:r>
    </w:p>
    <w:p w:rsidR="002425E4" w:rsidRPr="00A808D1" w:rsidRDefault="00A0655E" w:rsidP="00A0655E">
      <w:pPr>
        <w:pStyle w:val="enumlev2"/>
        <w:rPr>
          <w:b/>
        </w:rPr>
      </w:pPr>
      <w:r w:rsidRPr="00A808D1">
        <w:rPr>
          <w:bCs/>
          <w:szCs w:val="24"/>
        </w:rPr>
        <w:t>•</w:t>
      </w:r>
      <w:r w:rsidRPr="00A808D1">
        <w:rPr>
          <w:bCs/>
          <w:szCs w:val="24"/>
        </w:rPr>
        <w:tab/>
      </w:r>
      <w:r w:rsidR="002425E4" w:rsidRPr="00A808D1">
        <w:t xml:space="preserve">Вероятно, что изменение формата ряда Рекомендаций может создать – в силу их объема и сложности – слишком тяжелую нагрузку на </w:t>
      </w:r>
      <w:r w:rsidR="00A808D1" w:rsidRPr="00A808D1">
        <w:t>Член</w:t>
      </w:r>
      <w:bookmarkStart w:id="5" w:name="_GoBack"/>
      <w:bookmarkEnd w:id="5"/>
      <w:r w:rsidR="00A808D1" w:rsidRPr="00A808D1">
        <w:t xml:space="preserve">ов </w:t>
      </w:r>
      <w:r w:rsidR="002425E4" w:rsidRPr="00A808D1">
        <w:t xml:space="preserve">и </w:t>
      </w:r>
      <w:r w:rsidR="00A808D1" w:rsidRPr="00A808D1">
        <w:t>секретариат</w:t>
      </w:r>
      <w:r w:rsidR="002425E4" w:rsidRPr="00A808D1">
        <w:t>.</w:t>
      </w:r>
      <w:r w:rsidR="002425E4" w:rsidRPr="00A808D1">
        <w:rPr>
          <w:b/>
        </w:rPr>
        <w:t xml:space="preserve"> </w:t>
      </w:r>
    </w:p>
    <w:p w:rsidR="002425E4" w:rsidRPr="00A808D1" w:rsidRDefault="00A0655E" w:rsidP="00A0655E">
      <w:pPr>
        <w:pStyle w:val="enumlev2"/>
      </w:pPr>
      <w:r w:rsidRPr="00A808D1">
        <w:rPr>
          <w:bCs/>
          <w:szCs w:val="24"/>
        </w:rPr>
        <w:t>•</w:t>
      </w:r>
      <w:r w:rsidRPr="00A808D1">
        <w:rPr>
          <w:bCs/>
          <w:szCs w:val="24"/>
        </w:rPr>
        <w:tab/>
      </w:r>
      <w:r w:rsidR="002425E4" w:rsidRPr="00A808D1">
        <w:t>Решение вопроса о необходимости изменения формата Рекомендаций в ходе обычного процесса пересмотра и обновления должно быть оставлено на усмотрение рабочих групп и исследовательских комиссий.</w:t>
      </w:r>
    </w:p>
    <w:p w:rsidR="002425E4" w:rsidRPr="00A808D1" w:rsidRDefault="00A0655E" w:rsidP="00A0655E">
      <w:pPr>
        <w:pStyle w:val="enumlev1"/>
        <w:rPr>
          <w:b/>
          <w:bCs/>
        </w:rPr>
      </w:pPr>
      <w:r w:rsidRPr="00A808D1">
        <w:rPr>
          <w:b/>
          <w:bCs/>
        </w:rPr>
        <w:t>–</w:t>
      </w:r>
      <w:r w:rsidRPr="00A808D1">
        <w:rPr>
          <w:b/>
          <w:bCs/>
        </w:rPr>
        <w:tab/>
      </w:r>
      <w:r w:rsidR="002425E4" w:rsidRPr="00A808D1">
        <w:rPr>
          <w:b/>
          <w:bCs/>
        </w:rPr>
        <w:t xml:space="preserve">Гибкость должна поддерживаться </w:t>
      </w:r>
      <w:r w:rsidR="00A808D1" w:rsidRPr="00A808D1">
        <w:rPr>
          <w:b/>
          <w:bCs/>
        </w:rPr>
        <w:t>Членами</w:t>
      </w:r>
    </w:p>
    <w:p w:rsidR="002425E4" w:rsidRPr="00A808D1" w:rsidRDefault="00A0655E" w:rsidP="00A0655E">
      <w:pPr>
        <w:pStyle w:val="enumlev2"/>
      </w:pPr>
      <w:r w:rsidRPr="00A808D1">
        <w:rPr>
          <w:bCs/>
          <w:szCs w:val="24"/>
        </w:rPr>
        <w:t>•</w:t>
      </w:r>
      <w:r w:rsidRPr="00A808D1">
        <w:rPr>
          <w:bCs/>
          <w:szCs w:val="24"/>
        </w:rPr>
        <w:tab/>
      </w:r>
      <w:r w:rsidR="002425E4" w:rsidRPr="00A808D1">
        <w:t>Вероятно, что определенные темы или вопросы могут не соответствовать точно формату МСЭ-R.</w:t>
      </w:r>
    </w:p>
    <w:p w:rsidR="002425E4" w:rsidRPr="00A808D1" w:rsidRDefault="00A0655E" w:rsidP="00A0655E">
      <w:pPr>
        <w:pStyle w:val="enumlev2"/>
      </w:pPr>
      <w:r w:rsidRPr="00A808D1">
        <w:rPr>
          <w:bCs/>
          <w:szCs w:val="24"/>
        </w:rPr>
        <w:lastRenderedPageBreak/>
        <w:t>•</w:t>
      </w:r>
      <w:r w:rsidRPr="00A808D1">
        <w:rPr>
          <w:bCs/>
          <w:szCs w:val="24"/>
        </w:rPr>
        <w:tab/>
      </w:r>
      <w:r w:rsidR="002425E4" w:rsidRPr="00A808D1">
        <w:t>МСЭ-R должен доверять входящим в его состав группам в отношении обоснованной оценки того, соответствует ли данная Рекомендация формату МСЭ-R.</w:t>
      </w:r>
    </w:p>
    <w:p w:rsidR="002425E4" w:rsidRPr="00A808D1" w:rsidRDefault="00A0655E" w:rsidP="00A0655E">
      <w:pPr>
        <w:pStyle w:val="enumlev2"/>
      </w:pPr>
      <w:r w:rsidRPr="00A808D1">
        <w:rPr>
          <w:bCs/>
          <w:szCs w:val="24"/>
        </w:rPr>
        <w:t>•</w:t>
      </w:r>
      <w:r w:rsidRPr="00A808D1">
        <w:rPr>
          <w:bCs/>
          <w:szCs w:val="24"/>
        </w:rPr>
        <w:tab/>
      </w:r>
      <w:r w:rsidR="002425E4" w:rsidRPr="00A808D1">
        <w:t xml:space="preserve">Если представляются необходимыми исключения, учрежденная группа МСЭ-R, направляя Рекомендацию на утверждение, должна представить обоснования этого несоответствия; и эту процедуру необходимо отразить в руководящих указаниях относительно формата Рекомендаций МСЭ-R </w:t>
      </w:r>
    </w:p>
    <w:p w:rsidR="002425E4" w:rsidRPr="00A808D1" w:rsidRDefault="002425E4" w:rsidP="002C2AAB">
      <w:pPr>
        <w:spacing w:before="720"/>
        <w:jc w:val="center"/>
      </w:pPr>
      <w:r w:rsidRPr="00A808D1">
        <w:t>___________</w:t>
      </w:r>
    </w:p>
    <w:sectPr w:rsidR="002425E4" w:rsidRPr="00A808D1" w:rsidSect="005409F7">
      <w:headerReference w:type="default" r:id="rId12"/>
      <w:footerReference w:type="default" r:id="rId13"/>
      <w:footerReference w:type="first" r:id="rId14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5E4" w:rsidRDefault="002425E4">
      <w:r>
        <w:separator/>
      </w:r>
    </w:p>
  </w:endnote>
  <w:endnote w:type="continuationSeparator" w:id="0">
    <w:p w:rsidR="002425E4" w:rsidRDefault="0024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D6D" w:rsidRPr="00675D35" w:rsidRDefault="00633D6D" w:rsidP="002C2AAB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A808D1">
      <w:rPr>
        <w:lang w:val="sv-SE"/>
      </w:rPr>
      <w:t>P:\RUS\ITU-R\AG\RAG12\RAG-1\000\003R.docx</w:t>
    </w:r>
    <w:r>
      <w:fldChar w:fldCharType="end"/>
    </w:r>
    <w:r w:rsidRPr="00254F06">
      <w:rPr>
        <w:lang w:val="en-US"/>
      </w:rPr>
      <w:t xml:space="preserve"> (</w:t>
    </w:r>
    <w:r w:rsidR="002C2AAB" w:rsidRPr="00A808D1">
      <w:rPr>
        <w:lang w:val="en-US"/>
      </w:rPr>
      <w:t>327177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A808D1">
      <w:t>19.06.2012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A808D1">
      <w:t>21.06.2012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D6D" w:rsidRPr="00F36FFF" w:rsidRDefault="00633D6D" w:rsidP="002C2AAB">
    <w:pPr>
      <w:pStyle w:val="Footer"/>
      <w:rPr>
        <w:lang w:val="sv-SE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A808D1">
      <w:rPr>
        <w:lang w:val="sv-SE"/>
      </w:rPr>
      <w:t>P:\RUS\ITU-R\AG\RAG12\RAG-1\000\003R.docx</w:t>
    </w:r>
    <w:r>
      <w:fldChar w:fldCharType="end"/>
    </w:r>
    <w:r w:rsidRPr="00254F06">
      <w:rPr>
        <w:lang w:val="en-US"/>
      </w:rPr>
      <w:t xml:space="preserve"> (</w:t>
    </w:r>
    <w:r w:rsidR="002C2AAB" w:rsidRPr="00A808D1">
      <w:rPr>
        <w:lang w:val="en-US"/>
      </w:rPr>
      <w:t>327177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A808D1">
      <w:t>19.06.2012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A808D1">
      <w:t>21.06.2012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5E4" w:rsidRDefault="002425E4">
      <w:r>
        <w:t>____________________</w:t>
      </w:r>
    </w:p>
  </w:footnote>
  <w:footnote w:type="continuationSeparator" w:id="0">
    <w:p w:rsidR="002425E4" w:rsidRDefault="00242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D6D" w:rsidRDefault="00633D6D" w:rsidP="002C2AAB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A808D1">
      <w:rPr>
        <w:noProof/>
      </w:rPr>
      <w:t>3</w:t>
    </w:r>
    <w:r>
      <w:fldChar w:fldCharType="end"/>
    </w:r>
    <w:r>
      <w:rPr>
        <w:lang w:val="es-ES"/>
      </w:rPr>
      <w:br/>
      <w:t>RAG</w:t>
    </w:r>
    <w:r>
      <w:t>1</w:t>
    </w:r>
    <w:r w:rsidR="00FB6D5F">
      <w:rPr>
        <w:lang w:val="en-US"/>
      </w:rPr>
      <w:t>2</w:t>
    </w:r>
    <w:r>
      <w:rPr>
        <w:lang w:val="es-ES"/>
      </w:rPr>
      <w:t>-1/</w:t>
    </w:r>
    <w:r w:rsidR="002C2AAB">
      <w:rPr>
        <w:lang w:val="ru-RU"/>
      </w:rPr>
      <w:t>3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B8033C"/>
    <w:multiLevelType w:val="hybridMultilevel"/>
    <w:tmpl w:val="E8CEEBF0"/>
    <w:lvl w:ilvl="0" w:tplc="03763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0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333650D4"/>
    <w:multiLevelType w:val="hybridMultilevel"/>
    <w:tmpl w:val="194A6D8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35"/>
  </w:num>
  <w:num w:numId="13">
    <w:abstractNumId w:val="37"/>
  </w:num>
  <w:num w:numId="14">
    <w:abstractNumId w:val="30"/>
  </w:num>
  <w:num w:numId="15">
    <w:abstractNumId w:val="27"/>
  </w:num>
  <w:num w:numId="16">
    <w:abstractNumId w:val="36"/>
  </w:num>
  <w:num w:numId="17">
    <w:abstractNumId w:val="26"/>
  </w:num>
  <w:num w:numId="18">
    <w:abstractNumId w:val="10"/>
  </w:num>
  <w:num w:numId="19">
    <w:abstractNumId w:val="16"/>
  </w:num>
  <w:num w:numId="20">
    <w:abstractNumId w:val="17"/>
  </w:num>
  <w:num w:numId="21">
    <w:abstractNumId w:val="23"/>
  </w:num>
  <w:num w:numId="22">
    <w:abstractNumId w:val="39"/>
  </w:num>
  <w:num w:numId="23">
    <w:abstractNumId w:val="28"/>
  </w:num>
  <w:num w:numId="24">
    <w:abstractNumId w:val="29"/>
  </w:num>
  <w:num w:numId="25">
    <w:abstractNumId w:val="12"/>
  </w:num>
  <w:num w:numId="26">
    <w:abstractNumId w:val="25"/>
  </w:num>
  <w:num w:numId="27">
    <w:abstractNumId w:val="15"/>
  </w:num>
  <w:num w:numId="28">
    <w:abstractNumId w:val="42"/>
  </w:num>
  <w:num w:numId="29">
    <w:abstractNumId w:val="21"/>
  </w:num>
  <w:num w:numId="30">
    <w:abstractNumId w:val="33"/>
  </w:num>
  <w:num w:numId="31">
    <w:abstractNumId w:val="38"/>
  </w:num>
  <w:num w:numId="32">
    <w:abstractNumId w:val="22"/>
  </w:num>
  <w:num w:numId="33">
    <w:abstractNumId w:val="20"/>
  </w:num>
  <w:num w:numId="34">
    <w:abstractNumId w:val="41"/>
  </w:num>
  <w:num w:numId="35">
    <w:abstractNumId w:val="34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40"/>
  </w:num>
  <w:num w:numId="40">
    <w:abstractNumId w:val="11"/>
  </w:num>
  <w:num w:numId="41">
    <w:abstractNumId w:val="32"/>
  </w:num>
  <w:num w:numId="42">
    <w:abstractNumId w:val="24"/>
  </w:num>
  <w:num w:numId="4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1" w:dllVersion="512" w:checkStyle="1"/>
  <w:activeWritingStyle w:appName="MSWord" w:lang="sv-SE" w:vendorID="22" w:dllVersion="513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E4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252AA"/>
    <w:rsid w:val="000311CF"/>
    <w:rsid w:val="000365C9"/>
    <w:rsid w:val="00047081"/>
    <w:rsid w:val="00050979"/>
    <w:rsid w:val="00055FEE"/>
    <w:rsid w:val="00060A29"/>
    <w:rsid w:val="000653E0"/>
    <w:rsid w:val="0006614B"/>
    <w:rsid w:val="00066577"/>
    <w:rsid w:val="000736F4"/>
    <w:rsid w:val="0007689D"/>
    <w:rsid w:val="00083135"/>
    <w:rsid w:val="00083378"/>
    <w:rsid w:val="00083ACC"/>
    <w:rsid w:val="00084871"/>
    <w:rsid w:val="00084C05"/>
    <w:rsid w:val="000850DA"/>
    <w:rsid w:val="00086DD7"/>
    <w:rsid w:val="00093C73"/>
    <w:rsid w:val="00096A5C"/>
    <w:rsid w:val="00097E01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D738C"/>
    <w:rsid w:val="000E036E"/>
    <w:rsid w:val="000E2292"/>
    <w:rsid w:val="000E2C05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473D"/>
    <w:rsid w:val="00135FF1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722B2"/>
    <w:rsid w:val="00173D75"/>
    <w:rsid w:val="00180A3A"/>
    <w:rsid w:val="001842A5"/>
    <w:rsid w:val="00184DF4"/>
    <w:rsid w:val="00185093"/>
    <w:rsid w:val="00185346"/>
    <w:rsid w:val="0019463F"/>
    <w:rsid w:val="00194AD3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20FB"/>
    <w:rsid w:val="001F6CBE"/>
    <w:rsid w:val="00200E65"/>
    <w:rsid w:val="00203844"/>
    <w:rsid w:val="002052B1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25E4"/>
    <w:rsid w:val="0024623E"/>
    <w:rsid w:val="002511AD"/>
    <w:rsid w:val="00252B08"/>
    <w:rsid w:val="00254F06"/>
    <w:rsid w:val="00255BE1"/>
    <w:rsid w:val="002605E6"/>
    <w:rsid w:val="002644F7"/>
    <w:rsid w:val="00265AF2"/>
    <w:rsid w:val="002679FD"/>
    <w:rsid w:val="00272B41"/>
    <w:rsid w:val="00274F95"/>
    <w:rsid w:val="00276ED4"/>
    <w:rsid w:val="0028191B"/>
    <w:rsid w:val="002864D7"/>
    <w:rsid w:val="002963EF"/>
    <w:rsid w:val="002A0B6D"/>
    <w:rsid w:val="002A42BA"/>
    <w:rsid w:val="002A6FC3"/>
    <w:rsid w:val="002A7323"/>
    <w:rsid w:val="002A78EC"/>
    <w:rsid w:val="002B09B0"/>
    <w:rsid w:val="002B224F"/>
    <w:rsid w:val="002C2AAB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11633"/>
    <w:rsid w:val="00312735"/>
    <w:rsid w:val="003140E9"/>
    <w:rsid w:val="00314CF7"/>
    <w:rsid w:val="00315AF9"/>
    <w:rsid w:val="0032058C"/>
    <w:rsid w:val="0032086D"/>
    <w:rsid w:val="0032204B"/>
    <w:rsid w:val="003221F3"/>
    <w:rsid w:val="0033041D"/>
    <w:rsid w:val="003317CB"/>
    <w:rsid w:val="00333270"/>
    <w:rsid w:val="00333A04"/>
    <w:rsid w:val="003346E4"/>
    <w:rsid w:val="003365BF"/>
    <w:rsid w:val="00342659"/>
    <w:rsid w:val="0034529C"/>
    <w:rsid w:val="003459B1"/>
    <w:rsid w:val="003522D4"/>
    <w:rsid w:val="00355F7A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B317F"/>
    <w:rsid w:val="003B31B7"/>
    <w:rsid w:val="003B55F3"/>
    <w:rsid w:val="003B6621"/>
    <w:rsid w:val="003C5141"/>
    <w:rsid w:val="003D0AB2"/>
    <w:rsid w:val="003D2EFD"/>
    <w:rsid w:val="003E056B"/>
    <w:rsid w:val="003E4819"/>
    <w:rsid w:val="003E4E3F"/>
    <w:rsid w:val="003E578C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1081"/>
    <w:rsid w:val="00434B89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4CCC"/>
    <w:rsid w:val="00475F29"/>
    <w:rsid w:val="0048197F"/>
    <w:rsid w:val="00483763"/>
    <w:rsid w:val="0048584C"/>
    <w:rsid w:val="004B358C"/>
    <w:rsid w:val="004B468C"/>
    <w:rsid w:val="004B5692"/>
    <w:rsid w:val="004C01AA"/>
    <w:rsid w:val="004C1CE6"/>
    <w:rsid w:val="004C6851"/>
    <w:rsid w:val="004C6B2A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407A6"/>
    <w:rsid w:val="005409F7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4B91"/>
    <w:rsid w:val="00585978"/>
    <w:rsid w:val="00587134"/>
    <w:rsid w:val="00587219"/>
    <w:rsid w:val="00587D68"/>
    <w:rsid w:val="005916ED"/>
    <w:rsid w:val="00591E9F"/>
    <w:rsid w:val="00595966"/>
    <w:rsid w:val="00597414"/>
    <w:rsid w:val="005A2C08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6E04"/>
    <w:rsid w:val="0060773B"/>
    <w:rsid w:val="00611199"/>
    <w:rsid w:val="00616C43"/>
    <w:rsid w:val="0061785E"/>
    <w:rsid w:val="00620255"/>
    <w:rsid w:val="006202DD"/>
    <w:rsid w:val="00624E06"/>
    <w:rsid w:val="006262A3"/>
    <w:rsid w:val="00632DDD"/>
    <w:rsid w:val="00633D6D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C0595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10EB4"/>
    <w:rsid w:val="00712E3F"/>
    <w:rsid w:val="00717B14"/>
    <w:rsid w:val="00723977"/>
    <w:rsid w:val="00725BEA"/>
    <w:rsid w:val="0073010A"/>
    <w:rsid w:val="007331B2"/>
    <w:rsid w:val="00743DFA"/>
    <w:rsid w:val="007459BF"/>
    <w:rsid w:val="00745BF9"/>
    <w:rsid w:val="00747DE4"/>
    <w:rsid w:val="0075704C"/>
    <w:rsid w:val="0076044E"/>
    <w:rsid w:val="00763088"/>
    <w:rsid w:val="007712F8"/>
    <w:rsid w:val="00772533"/>
    <w:rsid w:val="00776BF6"/>
    <w:rsid w:val="00782996"/>
    <w:rsid w:val="00782AEA"/>
    <w:rsid w:val="007873EB"/>
    <w:rsid w:val="007955F2"/>
    <w:rsid w:val="007A0A02"/>
    <w:rsid w:val="007A299C"/>
    <w:rsid w:val="007C1EBA"/>
    <w:rsid w:val="007C3994"/>
    <w:rsid w:val="007C4F8B"/>
    <w:rsid w:val="007D1EFB"/>
    <w:rsid w:val="007E206B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36D8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4565A"/>
    <w:rsid w:val="0084602B"/>
    <w:rsid w:val="00846404"/>
    <w:rsid w:val="00846490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8755C"/>
    <w:rsid w:val="00891006"/>
    <w:rsid w:val="0089511D"/>
    <w:rsid w:val="008954AA"/>
    <w:rsid w:val="008960A0"/>
    <w:rsid w:val="008A0906"/>
    <w:rsid w:val="008A29F6"/>
    <w:rsid w:val="008A56A5"/>
    <w:rsid w:val="008B06FC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916CD0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06FC"/>
    <w:rsid w:val="0093297F"/>
    <w:rsid w:val="009456BE"/>
    <w:rsid w:val="00950560"/>
    <w:rsid w:val="00951324"/>
    <w:rsid w:val="0095144B"/>
    <w:rsid w:val="00953AF7"/>
    <w:rsid w:val="009540C3"/>
    <w:rsid w:val="0095722A"/>
    <w:rsid w:val="009650D7"/>
    <w:rsid w:val="009670B0"/>
    <w:rsid w:val="0098015B"/>
    <w:rsid w:val="00981E62"/>
    <w:rsid w:val="00982915"/>
    <w:rsid w:val="0098698E"/>
    <w:rsid w:val="00990B31"/>
    <w:rsid w:val="009B0131"/>
    <w:rsid w:val="009B113A"/>
    <w:rsid w:val="009B33EA"/>
    <w:rsid w:val="009C0DC9"/>
    <w:rsid w:val="009C16F8"/>
    <w:rsid w:val="009C29B2"/>
    <w:rsid w:val="009C521B"/>
    <w:rsid w:val="009C5EEF"/>
    <w:rsid w:val="009C7F84"/>
    <w:rsid w:val="009D10D0"/>
    <w:rsid w:val="009D1E49"/>
    <w:rsid w:val="009D36FD"/>
    <w:rsid w:val="009D79B4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E32"/>
    <w:rsid w:val="00A05F52"/>
    <w:rsid w:val="00A0606D"/>
    <w:rsid w:val="00A0632E"/>
    <w:rsid w:val="00A0655E"/>
    <w:rsid w:val="00A06654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2DAF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808D1"/>
    <w:rsid w:val="00A84AEC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A2D"/>
    <w:rsid w:val="00AD5D1A"/>
    <w:rsid w:val="00AD6EBC"/>
    <w:rsid w:val="00AE40E0"/>
    <w:rsid w:val="00AF0307"/>
    <w:rsid w:val="00AF35CB"/>
    <w:rsid w:val="00AF575D"/>
    <w:rsid w:val="00AF6B02"/>
    <w:rsid w:val="00AF7953"/>
    <w:rsid w:val="00B11BA5"/>
    <w:rsid w:val="00B13131"/>
    <w:rsid w:val="00B14F67"/>
    <w:rsid w:val="00B1508A"/>
    <w:rsid w:val="00B16424"/>
    <w:rsid w:val="00B207FF"/>
    <w:rsid w:val="00B25A3A"/>
    <w:rsid w:val="00B277C7"/>
    <w:rsid w:val="00B326CB"/>
    <w:rsid w:val="00B40AB3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2EF3"/>
    <w:rsid w:val="00B820B1"/>
    <w:rsid w:val="00B82BEC"/>
    <w:rsid w:val="00B8548B"/>
    <w:rsid w:val="00B87B3E"/>
    <w:rsid w:val="00B912A0"/>
    <w:rsid w:val="00B958A7"/>
    <w:rsid w:val="00BB4ADA"/>
    <w:rsid w:val="00BC2E16"/>
    <w:rsid w:val="00BC3C0F"/>
    <w:rsid w:val="00BC72C9"/>
    <w:rsid w:val="00BD4758"/>
    <w:rsid w:val="00BD7223"/>
    <w:rsid w:val="00BD7C73"/>
    <w:rsid w:val="00BE1F57"/>
    <w:rsid w:val="00BE3942"/>
    <w:rsid w:val="00BE5431"/>
    <w:rsid w:val="00BF4ECD"/>
    <w:rsid w:val="00BF5D79"/>
    <w:rsid w:val="00C06656"/>
    <w:rsid w:val="00C07CB6"/>
    <w:rsid w:val="00C102CC"/>
    <w:rsid w:val="00C226F4"/>
    <w:rsid w:val="00C23957"/>
    <w:rsid w:val="00C25047"/>
    <w:rsid w:val="00C251DA"/>
    <w:rsid w:val="00C30A3C"/>
    <w:rsid w:val="00C3184E"/>
    <w:rsid w:val="00C53997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93772"/>
    <w:rsid w:val="00C96AC3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4247"/>
    <w:rsid w:val="00D16119"/>
    <w:rsid w:val="00D20CD4"/>
    <w:rsid w:val="00D22D5C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6FB"/>
    <w:rsid w:val="00D510CA"/>
    <w:rsid w:val="00D57D8C"/>
    <w:rsid w:val="00D63CD7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593F"/>
    <w:rsid w:val="00DA6EFE"/>
    <w:rsid w:val="00DB489B"/>
    <w:rsid w:val="00DC5051"/>
    <w:rsid w:val="00DE27E2"/>
    <w:rsid w:val="00DE6419"/>
    <w:rsid w:val="00DF3182"/>
    <w:rsid w:val="00DF3D87"/>
    <w:rsid w:val="00E04D9B"/>
    <w:rsid w:val="00E123C0"/>
    <w:rsid w:val="00E13D80"/>
    <w:rsid w:val="00E1699D"/>
    <w:rsid w:val="00E17DF4"/>
    <w:rsid w:val="00E218B9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528E0"/>
    <w:rsid w:val="00E5332A"/>
    <w:rsid w:val="00E57B2A"/>
    <w:rsid w:val="00E742EE"/>
    <w:rsid w:val="00E75D79"/>
    <w:rsid w:val="00E91301"/>
    <w:rsid w:val="00E916B2"/>
    <w:rsid w:val="00E91B8F"/>
    <w:rsid w:val="00E935D6"/>
    <w:rsid w:val="00E96988"/>
    <w:rsid w:val="00EA3A88"/>
    <w:rsid w:val="00EA45CD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44D4"/>
    <w:rsid w:val="00EF5D90"/>
    <w:rsid w:val="00EF6791"/>
    <w:rsid w:val="00EF6E54"/>
    <w:rsid w:val="00F07E56"/>
    <w:rsid w:val="00F10CEC"/>
    <w:rsid w:val="00F12444"/>
    <w:rsid w:val="00F13BA3"/>
    <w:rsid w:val="00F15FFB"/>
    <w:rsid w:val="00F17801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BE0"/>
    <w:rsid w:val="00F5795F"/>
    <w:rsid w:val="00F6788A"/>
    <w:rsid w:val="00F818E8"/>
    <w:rsid w:val="00F84FB7"/>
    <w:rsid w:val="00F85331"/>
    <w:rsid w:val="00F90561"/>
    <w:rsid w:val="00F9582A"/>
    <w:rsid w:val="00F95A2A"/>
    <w:rsid w:val="00F97513"/>
    <w:rsid w:val="00FA433B"/>
    <w:rsid w:val="00FB0B89"/>
    <w:rsid w:val="00FB1E59"/>
    <w:rsid w:val="00FB62A3"/>
    <w:rsid w:val="00FB6D5F"/>
    <w:rsid w:val="00FC3D94"/>
    <w:rsid w:val="00FC42B3"/>
    <w:rsid w:val="00FD6111"/>
    <w:rsid w:val="00FE0B76"/>
    <w:rsid w:val="00FE43AB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uiPriority="11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5E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254F06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rsid w:val="00254F06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254F06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A808D1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link w:val="Headingb"/>
    <w:locked/>
    <w:rsid w:val="00A808D1"/>
    <w:rPr>
      <w:rFonts w:ascii="Times New Roman" w:hAnsi="Times New Roman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254F06"/>
    <w:rPr>
      <w:lang w:val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character" w:styleId="Hyperlink">
    <w:name w:val="Hyperlink"/>
    <w:rsid w:val="002425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uiPriority="11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5E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254F06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rsid w:val="00254F06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254F06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A808D1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link w:val="Headingb"/>
    <w:locked/>
    <w:rsid w:val="00A808D1"/>
    <w:rPr>
      <w:rFonts w:ascii="Times New Roman" w:hAnsi="Times New Roman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254F06"/>
    <w:rPr>
      <w:lang w:val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character" w:styleId="Hyperlink">
    <w:name w:val="Hyperlink"/>
    <w:rsid w:val="002425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dms_pub/itu-t/oth/0A/0F/T0A0F0000040003MSWE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R00-CA-CIR-013/en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2-RA12-C-0116/en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ikova\Application%20Data\Microsoft\Templates\POOL%20R%20-%20ITU\PR_RAG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PR_RAG12.dotx</Template>
  <TotalTime>27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6082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Gribkova, Anna</dc:creator>
  <cp:keywords>RAG03-1</cp:keywords>
  <dc:description>Document RAG08-1/1-E  For: _x000d_Document date: 12 December 2007_x000d_Saved by JJF44233 at 15:38:46 on 18/12/2007</dc:description>
  <cp:lastModifiedBy>Maloletkova, Svetlana</cp:lastModifiedBy>
  <cp:revision>5</cp:revision>
  <cp:lastPrinted>2012-06-21T14:10:00Z</cp:lastPrinted>
  <dcterms:created xsi:type="dcterms:W3CDTF">2012-06-19T13:36:00Z</dcterms:created>
  <dcterms:modified xsi:type="dcterms:W3CDTF">2012-06-21T14:10:00Z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