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9D77A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9D77AD">
              <w:rPr>
                <w:rFonts w:ascii="Verdana" w:hAnsi="Verdana"/>
                <w:b/>
                <w:bCs/>
                <w:sz w:val="20"/>
              </w:rPr>
              <w:t>25-27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9D77AD"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213D10E1" wp14:editId="3EBD484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9D77AD" w:rsidRDefault="009D77AD" w:rsidP="009D77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RAG12-1/1-F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9D77AD" w:rsidRDefault="009D77AD" w:rsidP="009D77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 avril 2012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9D77AD" w:rsidRDefault="009D77AD" w:rsidP="009D77A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9D77AD" w:rsidP="00C91310">
            <w:pPr>
              <w:pStyle w:val="Source"/>
            </w:pPr>
            <w:bookmarkStart w:id="3" w:name="dsource" w:colFirst="0" w:colLast="0"/>
            <w:bookmarkEnd w:id="2"/>
            <w:r>
              <w:t>Directeur du Bureau des radiocommunications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9D77AD" w:rsidP="00C91310">
            <w:pPr>
              <w:pStyle w:val="Title1"/>
            </w:pPr>
            <w:bookmarkStart w:id="4" w:name="dtitle1" w:colFirst="0" w:colLast="0"/>
            <w:bookmarkEnd w:id="3"/>
            <w:r>
              <w:t>rapport à la dix-neuvième réunion du groupe consultatif des radiocommunications</w:t>
            </w:r>
          </w:p>
        </w:tc>
      </w:tr>
    </w:tbl>
    <w:bookmarkEnd w:id="4"/>
    <w:p w:rsidR="00F03F83" w:rsidRPr="00035DCD" w:rsidRDefault="00F03F83" w:rsidP="00C91310">
      <w:pPr>
        <w:pStyle w:val="Heading1"/>
        <w:rPr>
          <w:lang w:val="fr-CH"/>
        </w:rPr>
      </w:pPr>
      <w:r w:rsidRPr="00035DCD">
        <w:rPr>
          <w:lang w:val="fr-CH"/>
        </w:rPr>
        <w:t>1</w:t>
      </w:r>
      <w:r w:rsidRPr="00035DCD">
        <w:rPr>
          <w:lang w:val="fr-CH"/>
        </w:rPr>
        <w:tab/>
        <w:t>Introduction</w:t>
      </w:r>
    </w:p>
    <w:p w:rsidR="00F03F83" w:rsidRPr="002B237C" w:rsidRDefault="00F03F83" w:rsidP="00C91310">
      <w:pPr>
        <w:rPr>
          <w:lang w:val="fr-CH"/>
        </w:rPr>
      </w:pPr>
      <w:r w:rsidRPr="002B237C">
        <w:rPr>
          <w:lang w:val="fr-CH"/>
        </w:rPr>
        <w:t>Le présent rapport vise à faire le point et à donner des informations générales sur certaines questions inscrites à l</w:t>
      </w:r>
      <w:r w:rsidR="007A68A3">
        <w:rPr>
          <w:lang w:val="fr-CH"/>
        </w:rPr>
        <w:t>'</w:t>
      </w:r>
      <w:r w:rsidRPr="002B237C">
        <w:rPr>
          <w:lang w:val="fr-CH"/>
        </w:rPr>
        <w:t>o</w:t>
      </w:r>
      <w:r>
        <w:rPr>
          <w:lang w:val="fr-CH"/>
        </w:rPr>
        <w:t>rdre du jour provisoire de la 19</w:t>
      </w:r>
      <w:r w:rsidRPr="002B237C">
        <w:rPr>
          <w:lang w:val="fr-CH"/>
        </w:rPr>
        <w:t>ème réunion du GCR</w:t>
      </w:r>
      <w:r>
        <w:rPr>
          <w:lang w:val="fr-CH"/>
        </w:rPr>
        <w:t xml:space="preserve"> (voir la Circulaire </w:t>
      </w:r>
      <w:hyperlink r:id="rId10" w:history="1">
        <w:r w:rsidRPr="0053004A">
          <w:rPr>
            <w:rStyle w:val="Hyperlink"/>
            <w:rFonts w:eastAsia="SimSun"/>
            <w:lang w:val="fr-CH"/>
          </w:rPr>
          <w:t>CA/202</w:t>
        </w:r>
      </w:hyperlink>
      <w:r>
        <w:rPr>
          <w:lang w:val="fr-CH"/>
        </w:rPr>
        <w:t xml:space="preserve"> du 12 mars 2012),</w:t>
      </w:r>
      <w:r w:rsidRPr="002B237C">
        <w:rPr>
          <w:lang w:val="fr-CH"/>
        </w:rPr>
        <w:t xml:space="preserve"> afin d</w:t>
      </w:r>
      <w:r w:rsidR="007A68A3">
        <w:rPr>
          <w:lang w:val="fr-CH"/>
        </w:rPr>
        <w:t>'</w:t>
      </w:r>
      <w:r w:rsidRPr="002B237C">
        <w:rPr>
          <w:lang w:val="fr-CH"/>
        </w:rPr>
        <w:t>aider les participants lorsqu</w:t>
      </w:r>
      <w:r w:rsidR="007A68A3">
        <w:rPr>
          <w:lang w:val="fr-CH"/>
        </w:rPr>
        <w:t>'</w:t>
      </w:r>
      <w:r w:rsidRPr="002B237C">
        <w:rPr>
          <w:lang w:val="fr-CH"/>
        </w:rPr>
        <w:t>ils examineront les points correspondants de l</w:t>
      </w:r>
      <w:r w:rsidR="007A68A3">
        <w:rPr>
          <w:lang w:val="fr-CH"/>
        </w:rPr>
        <w:t>'</w:t>
      </w:r>
      <w:r w:rsidRPr="002B237C">
        <w:rPr>
          <w:lang w:val="fr-CH"/>
        </w:rPr>
        <w:t>ordre du jour.</w:t>
      </w:r>
    </w:p>
    <w:p w:rsidR="00F03F83" w:rsidRPr="00F55714" w:rsidRDefault="00F03F83" w:rsidP="00C91310">
      <w:pPr>
        <w:rPr>
          <w:lang w:val="fr-CH"/>
        </w:rPr>
      </w:pPr>
      <w:r w:rsidRPr="002B237C">
        <w:rPr>
          <w:lang w:val="fr-CH"/>
        </w:rPr>
        <w:t>Des rapports distincts seront soumis pour certains points de l</w:t>
      </w:r>
      <w:r w:rsidR="007A68A3">
        <w:rPr>
          <w:lang w:val="fr-CH"/>
        </w:rPr>
        <w:t>'</w:t>
      </w:r>
      <w:r w:rsidRPr="002B237C">
        <w:rPr>
          <w:lang w:val="fr-CH"/>
        </w:rPr>
        <w:t xml:space="preserve">ordre du jour. </w:t>
      </w:r>
    </w:p>
    <w:p w:rsidR="00F03F83" w:rsidRDefault="00F03F83" w:rsidP="00C91310">
      <w:pPr>
        <w:pStyle w:val="Heading1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Questions relatives au</w:t>
      </w:r>
      <w:r w:rsidRPr="002B237C">
        <w:rPr>
          <w:lang w:val="fr-CH"/>
        </w:rPr>
        <w:t xml:space="preserve"> Conseil</w:t>
      </w:r>
      <w:r>
        <w:rPr>
          <w:lang w:val="fr-CH"/>
        </w:rPr>
        <w:t xml:space="preserve"> </w:t>
      </w:r>
    </w:p>
    <w:p w:rsidR="00F03F83" w:rsidRPr="00AC68B6" w:rsidRDefault="00F03F83" w:rsidP="00C91310">
      <w:pPr>
        <w:rPr>
          <w:lang w:val="fr-CH"/>
        </w:rPr>
      </w:pPr>
      <w:r>
        <w:rPr>
          <w:lang w:val="fr-CH"/>
        </w:rPr>
        <w:t xml:space="preserve">La présente section traite des questions pertinentes examinées par le Conseil à sa session de 2011 (voir le lien: </w:t>
      </w:r>
      <w:hyperlink r:id="rId11" w:history="1">
        <w:r w:rsidRPr="00AC68B6">
          <w:rPr>
            <w:rStyle w:val="Hyperlink"/>
            <w:lang w:val="fr-CH"/>
          </w:rPr>
          <w:t>http://www.itu.int/council/C2011/</w:t>
        </w:r>
      </w:hyperlink>
      <w:r w:rsidRPr="00AC68B6">
        <w:rPr>
          <w:rStyle w:val="Hyperlink"/>
          <w:lang w:val="fr-CH"/>
        </w:rPr>
        <w:t>)</w:t>
      </w:r>
      <w:r w:rsidRPr="00AC68B6">
        <w:rPr>
          <w:lang w:val="fr-CH"/>
        </w:rPr>
        <w:t>.</w:t>
      </w:r>
    </w:p>
    <w:p w:rsidR="00F03F83" w:rsidRPr="009B7EA3" w:rsidRDefault="00F03F83" w:rsidP="00C91310">
      <w:pPr>
        <w:pStyle w:val="Heading2"/>
        <w:rPr>
          <w:lang w:val="fr-CH"/>
        </w:rPr>
      </w:pPr>
      <w:r w:rsidRPr="009B7EA3">
        <w:rPr>
          <w:lang w:val="fr-CH"/>
        </w:rPr>
        <w:t>2.1</w:t>
      </w:r>
      <w:r w:rsidRPr="009B7EA3">
        <w:rPr>
          <w:lang w:val="fr-CH"/>
        </w:rPr>
        <w:tab/>
        <w:t>Calendrier des conférences futures</w:t>
      </w:r>
    </w:p>
    <w:p w:rsidR="00F03F83" w:rsidRDefault="00F03F83" w:rsidP="00C91310">
      <w:pPr>
        <w:rPr>
          <w:lang w:val="fr-CH"/>
        </w:rPr>
      </w:pPr>
      <w:r w:rsidRPr="009B7EA3">
        <w:rPr>
          <w:lang w:val="fr-CH"/>
        </w:rPr>
        <w:t>Le Conseil a décidé d</w:t>
      </w:r>
      <w:r w:rsidR="007A68A3">
        <w:rPr>
          <w:lang w:val="fr-CH"/>
        </w:rPr>
        <w:t>'</w:t>
      </w:r>
      <w:r w:rsidRPr="009B7EA3">
        <w:rPr>
          <w:lang w:val="fr-CH"/>
        </w:rPr>
        <w:t xml:space="preserve">organiser une Conférence mondiale des radiocommunications en 2015 (CMR-15). La CMR-12 </w:t>
      </w:r>
      <w:r w:rsidR="00C91310" w:rsidRPr="009B7EA3">
        <w:rPr>
          <w:lang w:val="fr-CH"/>
        </w:rPr>
        <w:t>a</w:t>
      </w:r>
      <w:r w:rsidRPr="009B7EA3">
        <w:rPr>
          <w:lang w:val="fr-CH"/>
        </w:rPr>
        <w:t xml:space="preserve"> adopt</w:t>
      </w:r>
      <w:r>
        <w:rPr>
          <w:lang w:val="fr-CH"/>
        </w:rPr>
        <w:t>é</w:t>
      </w:r>
      <w:r w:rsidRPr="009B7EA3">
        <w:rPr>
          <w:lang w:val="fr-CH"/>
        </w:rPr>
        <w:t xml:space="preserve"> la Résolution 807 (CMR-12), qui établit le projet </w:t>
      </w:r>
      <w:r>
        <w:rPr>
          <w:lang w:val="fr-CH"/>
        </w:rPr>
        <w:t>«d</w:t>
      </w:r>
      <w:r w:rsidR="007A68A3">
        <w:rPr>
          <w:lang w:val="fr-CH"/>
        </w:rPr>
        <w:t>'</w:t>
      </w:r>
      <w:r>
        <w:rPr>
          <w:lang w:val="fr-CH"/>
        </w:rPr>
        <w:t>ordre du jour de la Conférence mondiale des radiocommunications de 2015». Le Conseil a décidé de convoquer la CMR-15 au quatrième trimestre de 2015. Les dates précises et le lieu proposés devraient être examinés par le Conseil à sa prochaine session.</w:t>
      </w:r>
    </w:p>
    <w:p w:rsidR="00F03F83" w:rsidRPr="00035DCD" w:rsidRDefault="00F03F83" w:rsidP="00C91310">
      <w:pPr>
        <w:pStyle w:val="Heading2"/>
        <w:rPr>
          <w:lang w:val="fr-CH"/>
        </w:rPr>
      </w:pPr>
      <w:r w:rsidRPr="00035DCD">
        <w:rPr>
          <w:lang w:val="fr-CH"/>
        </w:rPr>
        <w:t>2.2</w:t>
      </w:r>
      <w:r w:rsidRPr="00035DCD">
        <w:rPr>
          <w:lang w:val="fr-CH"/>
        </w:rPr>
        <w:tab/>
        <w:t>Budget pour</w:t>
      </w:r>
      <w:r>
        <w:rPr>
          <w:lang w:val="fr-CH"/>
        </w:rPr>
        <w:t xml:space="preserve"> </w:t>
      </w:r>
      <w:r w:rsidRPr="00035DCD">
        <w:rPr>
          <w:lang w:val="fr-CH"/>
        </w:rPr>
        <w:t>2012-2013</w:t>
      </w:r>
    </w:p>
    <w:p w:rsidR="00F03F83" w:rsidRPr="005C78DE" w:rsidRDefault="00F03F83" w:rsidP="00F50533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 w:eastAsia="zh-CN"/>
        </w:rPr>
      </w:pPr>
      <w:r w:rsidRPr="005C78DE">
        <w:rPr>
          <w:rFonts w:asciiTheme="majorBidi" w:hAnsiTheme="majorBidi" w:cstheme="majorBidi"/>
          <w:szCs w:val="24"/>
          <w:lang w:val="fr-CH" w:eastAsia="zh-CN"/>
        </w:rPr>
        <w:t>Le Conseil a approuvé le budget de l</w:t>
      </w:r>
      <w:r w:rsidR="007A68A3">
        <w:rPr>
          <w:rFonts w:asciiTheme="majorBidi" w:hAnsiTheme="majorBidi" w:cstheme="majorBidi"/>
          <w:szCs w:val="24"/>
          <w:lang w:val="fr-CH" w:eastAsia="zh-CN"/>
        </w:rPr>
        <w:t>'</w:t>
      </w:r>
      <w:r w:rsidRPr="005C78DE">
        <w:rPr>
          <w:rFonts w:asciiTheme="majorBidi" w:hAnsiTheme="majorBidi" w:cstheme="majorBidi"/>
          <w:szCs w:val="24"/>
          <w:lang w:val="fr-CH" w:eastAsia="zh-CN"/>
        </w:rPr>
        <w:t>UIT (Résolution 1337), qui s</w:t>
      </w:r>
      <w:r w:rsidR="007A68A3">
        <w:rPr>
          <w:rFonts w:asciiTheme="majorBidi" w:hAnsiTheme="majorBidi" w:cstheme="majorBidi"/>
          <w:szCs w:val="24"/>
          <w:lang w:val="fr-CH" w:eastAsia="zh-CN"/>
        </w:rPr>
        <w:t>'</w:t>
      </w:r>
      <w:r w:rsidRPr="005C78DE">
        <w:rPr>
          <w:rFonts w:asciiTheme="majorBidi" w:hAnsiTheme="majorBidi" w:cstheme="majorBidi"/>
          <w:szCs w:val="24"/>
          <w:lang w:val="fr-CH" w:eastAsia="zh-CN"/>
        </w:rPr>
        <w:t>établit à</w:t>
      </w:r>
      <w:r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Pr="005C78DE">
        <w:rPr>
          <w:rFonts w:asciiTheme="majorBidi" w:hAnsiTheme="majorBidi" w:cstheme="majorBidi"/>
          <w:szCs w:val="24"/>
          <w:lang w:val="fr-CH" w:eastAsia="zh-CN"/>
        </w:rPr>
        <w:t>323</w:t>
      </w:r>
      <w:r w:rsidR="007A68A3">
        <w:rPr>
          <w:rFonts w:asciiTheme="majorBidi" w:hAnsiTheme="majorBidi" w:cstheme="majorBidi"/>
          <w:szCs w:val="24"/>
          <w:lang w:val="fr-CH" w:eastAsia="zh-CN"/>
        </w:rPr>
        <w:t> </w:t>
      </w:r>
      <w:r w:rsidRPr="005C78DE">
        <w:rPr>
          <w:rFonts w:asciiTheme="majorBidi" w:hAnsiTheme="majorBidi" w:cstheme="majorBidi"/>
          <w:szCs w:val="24"/>
          <w:lang w:val="fr-CH" w:eastAsia="zh-CN"/>
        </w:rPr>
        <w:t xml:space="preserve">834,000 </w:t>
      </w:r>
      <w:r w:rsidR="00F50533" w:rsidRPr="005C78DE">
        <w:rPr>
          <w:rFonts w:asciiTheme="majorBidi" w:hAnsiTheme="majorBidi" w:cstheme="majorBidi"/>
          <w:szCs w:val="24"/>
          <w:lang w:val="fr-CH" w:eastAsia="zh-CN"/>
        </w:rPr>
        <w:t xml:space="preserve">CHF </w:t>
      </w:r>
      <w:r w:rsidR="00F50533">
        <w:rPr>
          <w:rFonts w:asciiTheme="majorBidi" w:hAnsiTheme="majorBidi" w:cstheme="majorBidi"/>
          <w:szCs w:val="24"/>
          <w:lang w:val="fr-CH" w:eastAsia="zh-CN"/>
        </w:rPr>
        <w:t>pour </w:t>
      </w:r>
      <w:r w:rsidRPr="005C78DE">
        <w:rPr>
          <w:rFonts w:asciiTheme="majorBidi" w:hAnsiTheme="majorBidi" w:cstheme="majorBidi"/>
          <w:szCs w:val="24"/>
          <w:lang w:val="fr-CH" w:eastAsia="zh-CN"/>
        </w:rPr>
        <w:t>l</w:t>
      </w:r>
      <w:r>
        <w:rPr>
          <w:rFonts w:asciiTheme="majorBidi" w:hAnsiTheme="majorBidi" w:cstheme="majorBidi"/>
          <w:szCs w:val="24"/>
          <w:lang w:val="fr-CH" w:eastAsia="zh-CN"/>
        </w:rPr>
        <w:t>'</w:t>
      </w:r>
      <w:r w:rsidRPr="005C78DE">
        <w:rPr>
          <w:rFonts w:asciiTheme="majorBidi" w:hAnsiTheme="majorBidi" w:cstheme="majorBidi"/>
          <w:szCs w:val="24"/>
          <w:lang w:val="fr-CH" w:eastAsia="zh-CN"/>
        </w:rPr>
        <w:t xml:space="preserve">exercice biennal </w:t>
      </w:r>
      <w:r>
        <w:rPr>
          <w:rFonts w:asciiTheme="majorBidi" w:hAnsiTheme="majorBidi" w:cstheme="majorBidi"/>
          <w:szCs w:val="24"/>
          <w:lang w:val="fr-CH" w:eastAsia="zh-CN"/>
        </w:rPr>
        <w:t>2012-2013, équilibré par un prélève</w:t>
      </w:r>
      <w:r w:rsidR="00F50533">
        <w:rPr>
          <w:rFonts w:asciiTheme="majorBidi" w:hAnsiTheme="majorBidi" w:cstheme="majorBidi"/>
          <w:szCs w:val="24"/>
          <w:lang w:val="fr-CH" w:eastAsia="zh-CN"/>
        </w:rPr>
        <w:t>ment sur le Fonds de réserve de </w:t>
      </w:r>
      <w:r w:rsidR="007A68A3">
        <w:rPr>
          <w:rFonts w:asciiTheme="majorBidi" w:hAnsiTheme="majorBidi" w:cstheme="majorBidi"/>
          <w:szCs w:val="24"/>
          <w:lang w:val="fr-CH" w:eastAsia="zh-CN"/>
        </w:rPr>
        <w:t>6,614 </w:t>
      </w:r>
      <w:r w:rsidRPr="005C78DE">
        <w:rPr>
          <w:rFonts w:asciiTheme="majorBidi" w:hAnsiTheme="majorBidi" w:cstheme="majorBidi"/>
          <w:szCs w:val="24"/>
          <w:lang w:val="fr-CH" w:eastAsia="zh-CN"/>
        </w:rPr>
        <w:t>million</w:t>
      </w:r>
      <w:r w:rsidR="007A68A3">
        <w:rPr>
          <w:rFonts w:asciiTheme="majorBidi" w:hAnsiTheme="majorBidi" w:cstheme="majorBidi"/>
          <w:szCs w:val="24"/>
          <w:lang w:val="fr-CH" w:eastAsia="zh-CN"/>
        </w:rPr>
        <w:t>s</w:t>
      </w:r>
      <w:r w:rsidR="00F50533" w:rsidRPr="00F50533"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="00F50533">
        <w:rPr>
          <w:rFonts w:asciiTheme="majorBidi" w:hAnsiTheme="majorBidi" w:cstheme="majorBidi"/>
          <w:szCs w:val="24"/>
          <w:lang w:val="fr-CH" w:eastAsia="zh-CN"/>
        </w:rPr>
        <w:t>CHF</w:t>
      </w:r>
      <w:r w:rsidRPr="005C78DE">
        <w:rPr>
          <w:rFonts w:asciiTheme="majorBidi" w:hAnsiTheme="majorBidi" w:cstheme="majorBidi"/>
          <w:szCs w:val="24"/>
          <w:lang w:val="fr-CH" w:eastAsia="zh-CN"/>
        </w:rPr>
        <w:t>. Les parties correspondantes du budget 2012-2013 pour l</w:t>
      </w:r>
      <w:r w:rsidR="007A68A3">
        <w:rPr>
          <w:rFonts w:asciiTheme="majorBidi" w:hAnsiTheme="majorBidi" w:cstheme="majorBidi"/>
          <w:szCs w:val="24"/>
          <w:lang w:val="fr-CH" w:eastAsia="zh-CN"/>
        </w:rPr>
        <w:t>'</w:t>
      </w:r>
      <w:r w:rsidRPr="005C78DE">
        <w:rPr>
          <w:rFonts w:asciiTheme="majorBidi" w:hAnsiTheme="majorBidi" w:cstheme="majorBidi"/>
          <w:szCs w:val="24"/>
          <w:lang w:val="fr-CH" w:eastAsia="zh-CN"/>
        </w:rPr>
        <w:t>UIT</w:t>
      </w:r>
      <w:r w:rsidR="007A68A3">
        <w:rPr>
          <w:rFonts w:asciiTheme="majorBidi" w:hAnsiTheme="majorBidi" w:cstheme="majorBidi"/>
          <w:szCs w:val="24"/>
          <w:lang w:val="fr-CH" w:eastAsia="zh-CN"/>
        </w:rPr>
        <w:noBreakHyphen/>
      </w:r>
      <w:r w:rsidRPr="005C78DE">
        <w:rPr>
          <w:rFonts w:asciiTheme="majorBidi" w:hAnsiTheme="majorBidi" w:cstheme="majorBidi"/>
          <w:szCs w:val="24"/>
          <w:lang w:val="fr-CH" w:eastAsia="zh-CN"/>
        </w:rPr>
        <w:t xml:space="preserve">R sont reproduites en </w:t>
      </w:r>
      <w:r w:rsidR="007A68A3" w:rsidRPr="005C78DE">
        <w:rPr>
          <w:rFonts w:asciiTheme="majorBidi" w:hAnsiTheme="majorBidi" w:cstheme="majorBidi"/>
          <w:szCs w:val="24"/>
          <w:lang w:val="fr-CH" w:eastAsia="zh-CN"/>
        </w:rPr>
        <w:t xml:space="preserve">Annexe </w:t>
      </w:r>
      <w:r w:rsidRPr="005C78DE">
        <w:rPr>
          <w:rFonts w:asciiTheme="majorBidi" w:hAnsiTheme="majorBidi" w:cstheme="majorBidi"/>
          <w:szCs w:val="24"/>
          <w:lang w:val="fr-CH" w:eastAsia="zh-CN"/>
        </w:rPr>
        <w:t>à titre d</w:t>
      </w:r>
      <w:r w:rsidR="007A68A3">
        <w:rPr>
          <w:rFonts w:asciiTheme="majorBidi" w:hAnsiTheme="majorBidi" w:cstheme="majorBidi"/>
          <w:szCs w:val="24"/>
          <w:lang w:val="fr-CH" w:eastAsia="zh-CN"/>
        </w:rPr>
        <w:t>'</w:t>
      </w:r>
      <w:r w:rsidRPr="005C78DE">
        <w:rPr>
          <w:rFonts w:asciiTheme="majorBidi" w:hAnsiTheme="majorBidi" w:cstheme="majorBidi"/>
          <w:szCs w:val="24"/>
          <w:lang w:val="fr-CH" w:eastAsia="zh-CN"/>
        </w:rPr>
        <w:t>information.</w:t>
      </w:r>
    </w:p>
    <w:p w:rsidR="00F03F83" w:rsidRDefault="00F03F83" w:rsidP="00C91310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 w:eastAsia="zh-CN"/>
        </w:rPr>
      </w:pPr>
      <w:r w:rsidRPr="005C78DE">
        <w:rPr>
          <w:rFonts w:asciiTheme="majorBidi" w:hAnsiTheme="majorBidi" w:cstheme="majorBidi"/>
          <w:szCs w:val="24"/>
          <w:lang w:val="fr-CH" w:eastAsia="zh-CN"/>
        </w:rPr>
        <w:t xml:space="preserve">Il convient de noter </w:t>
      </w:r>
      <w:r w:rsidR="007A68A3">
        <w:rPr>
          <w:rFonts w:asciiTheme="majorBidi" w:hAnsiTheme="majorBidi" w:cstheme="majorBidi"/>
          <w:szCs w:val="24"/>
          <w:lang w:val="fr-CH" w:eastAsia="zh-CN"/>
        </w:rPr>
        <w:t>qu'aucune provision pour les</w:t>
      </w:r>
      <w:r>
        <w:rPr>
          <w:rFonts w:asciiTheme="majorBidi" w:hAnsiTheme="majorBidi" w:cstheme="majorBidi"/>
          <w:szCs w:val="24"/>
          <w:lang w:val="fr-CH" w:eastAsia="zh-CN"/>
        </w:rPr>
        <w:t xml:space="preserve"> activités post-</w:t>
      </w:r>
      <w:r w:rsidR="007A68A3">
        <w:rPr>
          <w:rFonts w:asciiTheme="majorBidi" w:hAnsiTheme="majorBidi" w:cstheme="majorBidi"/>
          <w:szCs w:val="24"/>
          <w:lang w:val="fr-CH" w:eastAsia="zh-CN"/>
        </w:rPr>
        <w:t>conférence de la CMR</w:t>
      </w:r>
      <w:r w:rsidR="007A68A3">
        <w:rPr>
          <w:rFonts w:asciiTheme="majorBidi" w:hAnsiTheme="majorBidi" w:cstheme="majorBidi"/>
          <w:szCs w:val="24"/>
          <w:lang w:val="fr-CH" w:eastAsia="zh-CN"/>
        </w:rPr>
        <w:noBreakHyphen/>
      </w:r>
      <w:r w:rsidRPr="005C78DE">
        <w:rPr>
          <w:rFonts w:asciiTheme="majorBidi" w:hAnsiTheme="majorBidi" w:cstheme="majorBidi"/>
          <w:szCs w:val="24"/>
          <w:lang w:val="fr-CH" w:eastAsia="zh-CN"/>
        </w:rPr>
        <w:t>12 n</w:t>
      </w:r>
      <w:r>
        <w:rPr>
          <w:rFonts w:asciiTheme="majorBidi" w:hAnsiTheme="majorBidi" w:cstheme="majorBidi"/>
          <w:szCs w:val="24"/>
          <w:lang w:val="fr-CH" w:eastAsia="zh-CN"/>
        </w:rPr>
        <w:t>'</w:t>
      </w:r>
      <w:r w:rsidR="007A68A3">
        <w:rPr>
          <w:rFonts w:asciiTheme="majorBidi" w:hAnsiTheme="majorBidi" w:cstheme="majorBidi"/>
          <w:szCs w:val="24"/>
          <w:lang w:val="fr-CH" w:eastAsia="zh-CN"/>
        </w:rPr>
        <w:t>a</w:t>
      </w:r>
      <w:r w:rsidRPr="005C78DE">
        <w:rPr>
          <w:rFonts w:asciiTheme="majorBidi" w:hAnsiTheme="majorBidi" w:cstheme="majorBidi"/>
          <w:szCs w:val="24"/>
          <w:lang w:val="fr-CH" w:eastAsia="zh-CN"/>
        </w:rPr>
        <w:t xml:space="preserve"> été </w:t>
      </w:r>
      <w:r w:rsidR="007A68A3">
        <w:rPr>
          <w:rFonts w:asciiTheme="majorBidi" w:hAnsiTheme="majorBidi" w:cstheme="majorBidi"/>
          <w:szCs w:val="24"/>
          <w:lang w:val="fr-CH" w:eastAsia="zh-CN"/>
        </w:rPr>
        <w:t>prévue dans le</w:t>
      </w:r>
      <w:r>
        <w:rPr>
          <w:rFonts w:asciiTheme="majorBidi" w:hAnsiTheme="majorBidi" w:cstheme="majorBidi"/>
          <w:szCs w:val="24"/>
          <w:lang w:val="fr-CH" w:eastAsia="zh-CN"/>
        </w:rPr>
        <w:t xml:space="preserve"> budget.</w:t>
      </w:r>
    </w:p>
    <w:p w:rsidR="00F03F83" w:rsidRPr="00035DCD" w:rsidRDefault="00F03F83" w:rsidP="00C91310">
      <w:pPr>
        <w:pStyle w:val="Heading2"/>
        <w:rPr>
          <w:lang w:val="fr-CH"/>
        </w:rPr>
      </w:pPr>
      <w:r w:rsidRPr="00035DCD">
        <w:rPr>
          <w:lang w:val="fr-CH"/>
        </w:rPr>
        <w:t>2.3</w:t>
      </w:r>
      <w:r w:rsidRPr="00035DCD">
        <w:rPr>
          <w:lang w:val="fr-CH"/>
        </w:rPr>
        <w:tab/>
        <w:t>Questions relatives aux Membres</w:t>
      </w:r>
    </w:p>
    <w:p w:rsidR="00F50533" w:rsidRDefault="00F03F83" w:rsidP="00C91310">
      <w:pPr>
        <w:pStyle w:val="Body"/>
        <w:adjustRightInd w:val="0"/>
        <w:snapToGrid w:val="0"/>
        <w:spacing w:before="120" w:after="120"/>
        <w:rPr>
          <w:rFonts w:asciiTheme="majorBidi" w:hAnsiTheme="majorBidi" w:cstheme="majorBidi"/>
          <w:lang w:val="fr-CH"/>
        </w:rPr>
      </w:pPr>
      <w:r w:rsidRPr="003D0BA0">
        <w:rPr>
          <w:rFonts w:asciiTheme="majorBidi" w:hAnsiTheme="majorBidi" w:cstheme="majorBidi"/>
          <w:lang w:val="fr-CH"/>
        </w:rPr>
        <w:t xml:space="preserve">Le Conseil a examiné des propositions visant à retenir les Membres de Secteur, les Associés et les établissements universitaires actuels et à en attirer de nouveaux et </w:t>
      </w:r>
      <w:r>
        <w:rPr>
          <w:rFonts w:asciiTheme="majorBidi" w:hAnsiTheme="majorBidi" w:cstheme="majorBidi"/>
          <w:lang w:val="fr-CH"/>
        </w:rPr>
        <w:t xml:space="preserve">a </w:t>
      </w:r>
      <w:r w:rsidRPr="003D0BA0">
        <w:rPr>
          <w:rFonts w:asciiTheme="majorBidi" w:hAnsiTheme="majorBidi" w:cstheme="majorBidi"/>
          <w:lang w:val="fr-CH"/>
        </w:rPr>
        <w:t>décidé</w:t>
      </w:r>
      <w:r>
        <w:rPr>
          <w:rFonts w:asciiTheme="majorBidi" w:hAnsiTheme="majorBidi" w:cstheme="majorBidi"/>
          <w:lang w:val="fr-CH"/>
        </w:rPr>
        <w:t xml:space="preserve"> </w:t>
      </w:r>
      <w:r w:rsidRPr="003D0BA0">
        <w:rPr>
          <w:rFonts w:asciiTheme="majorBidi" w:hAnsiTheme="majorBidi" w:cstheme="majorBidi"/>
          <w:lang w:val="fr-CH"/>
        </w:rPr>
        <w:t>d</w:t>
      </w:r>
      <w:r w:rsidR="007A68A3">
        <w:rPr>
          <w:rFonts w:asciiTheme="majorBidi" w:hAnsiTheme="majorBidi" w:cstheme="majorBidi"/>
          <w:lang w:val="fr-CH"/>
        </w:rPr>
        <w:t>'</w:t>
      </w:r>
      <w:r w:rsidRPr="003D0BA0">
        <w:rPr>
          <w:rFonts w:asciiTheme="majorBidi" w:hAnsiTheme="majorBidi" w:cstheme="majorBidi"/>
          <w:lang w:val="fr-CH"/>
        </w:rPr>
        <w:t xml:space="preserve">ajouter au mandat du Groupe de travail du Conseil sur les ressources financières et </w:t>
      </w:r>
      <w:r w:rsidR="007A68A3">
        <w:rPr>
          <w:rFonts w:asciiTheme="majorBidi" w:hAnsiTheme="majorBidi" w:cstheme="majorBidi"/>
          <w:lang w:val="fr-CH"/>
        </w:rPr>
        <w:t xml:space="preserve">les ressources </w:t>
      </w:r>
      <w:r w:rsidRPr="003D0BA0">
        <w:rPr>
          <w:rFonts w:asciiTheme="majorBidi" w:hAnsiTheme="majorBidi" w:cstheme="majorBidi"/>
          <w:lang w:val="fr-CH"/>
        </w:rPr>
        <w:t xml:space="preserve">humaines </w:t>
      </w:r>
      <w:r w:rsidR="007A68A3">
        <w:rPr>
          <w:rFonts w:asciiTheme="majorBidi" w:hAnsiTheme="majorBidi" w:cstheme="majorBidi"/>
          <w:lang w:val="fr-CH"/>
        </w:rPr>
        <w:t xml:space="preserve">le suivi des </w:t>
      </w:r>
      <w:r w:rsidR="00F50533">
        <w:rPr>
          <w:rFonts w:asciiTheme="majorBidi" w:hAnsiTheme="majorBidi" w:cstheme="majorBidi"/>
          <w:lang w:val="fr-CH"/>
        </w:rPr>
        <w:br w:type="page"/>
      </w:r>
    </w:p>
    <w:p w:rsidR="00F03F83" w:rsidRPr="00035DCD" w:rsidRDefault="007A68A3" w:rsidP="00C91310">
      <w:pPr>
        <w:pStyle w:val="Body"/>
        <w:adjustRightInd w:val="0"/>
        <w:snapToGrid w:val="0"/>
        <w:spacing w:before="120" w:after="120"/>
        <w:rPr>
          <w:rFonts w:asciiTheme="majorBidi" w:hAnsiTheme="majorBidi" w:cstheme="majorBidi"/>
          <w:szCs w:val="24"/>
          <w:lang w:val="fr-CH"/>
        </w:rPr>
      </w:pPr>
      <w:proofErr w:type="gramStart"/>
      <w:r>
        <w:rPr>
          <w:rFonts w:asciiTheme="majorBidi" w:hAnsiTheme="majorBidi" w:cstheme="majorBidi"/>
          <w:lang w:val="fr-CH"/>
        </w:rPr>
        <w:lastRenderedPageBreak/>
        <w:t>décisions</w:t>
      </w:r>
      <w:proofErr w:type="gramEnd"/>
      <w:r>
        <w:rPr>
          <w:rFonts w:asciiTheme="majorBidi" w:hAnsiTheme="majorBidi" w:cstheme="majorBidi"/>
          <w:lang w:val="fr-CH"/>
        </w:rPr>
        <w:t xml:space="preserve"> de la PP</w:t>
      </w:r>
      <w:r>
        <w:rPr>
          <w:rFonts w:asciiTheme="majorBidi" w:hAnsiTheme="majorBidi" w:cstheme="majorBidi"/>
          <w:lang w:val="fr-CH"/>
        </w:rPr>
        <w:noBreakHyphen/>
      </w:r>
      <w:r w:rsidR="00F03F83" w:rsidRPr="003D0BA0">
        <w:rPr>
          <w:rFonts w:asciiTheme="majorBidi" w:hAnsiTheme="majorBidi" w:cstheme="majorBidi"/>
          <w:lang w:val="fr-CH"/>
        </w:rPr>
        <w:t xml:space="preserve">10 relatives aux </w:t>
      </w:r>
      <w:r w:rsidRPr="003D0BA0">
        <w:rPr>
          <w:rFonts w:asciiTheme="majorBidi" w:hAnsiTheme="majorBidi" w:cstheme="majorBidi"/>
          <w:lang w:val="fr-CH"/>
        </w:rPr>
        <w:t xml:space="preserve">Membres </w:t>
      </w:r>
      <w:r w:rsidR="00F03F83" w:rsidRPr="003D0BA0">
        <w:rPr>
          <w:rFonts w:asciiTheme="majorBidi" w:hAnsiTheme="majorBidi" w:cstheme="majorBidi"/>
          <w:lang w:val="fr-CH"/>
        </w:rPr>
        <w:t>de Secteur.</w:t>
      </w:r>
      <w:r w:rsidR="00F03F83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>Le mandat de ce Groupe a été modifié «</w:t>
      </w:r>
      <w:r w:rsidR="00F03F83" w:rsidRPr="003D0BA0">
        <w:rPr>
          <w:rFonts w:asciiTheme="majorBidi" w:hAnsiTheme="majorBidi" w:cstheme="majorBidi"/>
          <w:lang w:val="fr-CH"/>
        </w:rPr>
        <w:t xml:space="preserve">pour </w:t>
      </w:r>
      <w:r w:rsidR="00F03F83">
        <w:rPr>
          <w:rFonts w:asciiTheme="majorBidi" w:hAnsiTheme="majorBidi" w:cstheme="majorBidi"/>
          <w:lang w:val="fr-CH"/>
        </w:rPr>
        <w:t>r</w:t>
      </w:r>
      <w:r w:rsidR="00F03F83" w:rsidRPr="003D0BA0">
        <w:rPr>
          <w:rFonts w:asciiTheme="majorBidi" w:hAnsiTheme="majorBidi" w:cstheme="majorBidi"/>
          <w:lang w:val="fr-CH"/>
        </w:rPr>
        <w:t xml:space="preserve">égler tous les problèmes soumis par le Conseil et/ou la Conférence de plénipotentiaires sur un vaste éventail de questions, par exemple celles indiquées </w:t>
      </w:r>
      <w:r>
        <w:rPr>
          <w:rFonts w:asciiTheme="majorBidi" w:hAnsiTheme="majorBidi" w:cstheme="majorBidi"/>
          <w:lang w:val="fr-CH"/>
        </w:rPr>
        <w:t xml:space="preserve">sous </w:t>
      </w:r>
      <w:r w:rsidR="00F03F83" w:rsidRPr="00F50533">
        <w:rPr>
          <w:rFonts w:asciiTheme="majorBidi" w:hAnsiTheme="majorBidi" w:cstheme="majorBidi"/>
          <w:i/>
          <w:iCs/>
          <w:lang w:val="fr-CH"/>
        </w:rPr>
        <w:t>décide de charger le Conseil</w:t>
      </w:r>
      <w:r w:rsidR="00F03F83" w:rsidRPr="003D0BA0">
        <w:rPr>
          <w:rFonts w:asciiTheme="majorBidi" w:hAnsiTheme="majorBidi" w:cstheme="majorBidi"/>
          <w:lang w:val="fr-CH"/>
        </w:rPr>
        <w:t xml:space="preserve"> d</w:t>
      </w:r>
      <w:r>
        <w:rPr>
          <w:rFonts w:asciiTheme="majorBidi" w:hAnsiTheme="majorBidi" w:cstheme="majorBidi"/>
          <w:lang w:val="fr-CH"/>
        </w:rPr>
        <w:t>ans</w:t>
      </w:r>
      <w:r w:rsidR="00F03F83" w:rsidRPr="003D0BA0">
        <w:rPr>
          <w:rFonts w:asciiTheme="majorBidi" w:hAnsiTheme="majorBidi" w:cstheme="majorBidi"/>
          <w:lang w:val="fr-CH"/>
        </w:rPr>
        <w:t xml:space="preserve"> la Résolution 158 (</w:t>
      </w:r>
      <w:proofErr w:type="spellStart"/>
      <w:r w:rsidR="00F03F83" w:rsidRPr="003D0BA0">
        <w:rPr>
          <w:rFonts w:asciiTheme="majorBidi" w:hAnsiTheme="majorBidi" w:cstheme="majorBidi"/>
          <w:lang w:val="fr-CH"/>
        </w:rPr>
        <w:t>Rév</w:t>
      </w:r>
      <w:proofErr w:type="spellEnd"/>
      <w:r w:rsidR="00F03F83" w:rsidRPr="003D0BA0">
        <w:rPr>
          <w:rFonts w:asciiTheme="majorBidi" w:hAnsiTheme="majorBidi" w:cstheme="majorBidi"/>
          <w:lang w:val="fr-CH"/>
        </w:rPr>
        <w:t xml:space="preserve">. </w:t>
      </w:r>
      <w:r w:rsidR="00F03F83" w:rsidRPr="00035DCD">
        <w:rPr>
          <w:rFonts w:asciiTheme="majorBidi" w:hAnsiTheme="majorBidi" w:cstheme="majorBidi"/>
          <w:lang w:val="fr-CH"/>
        </w:rPr>
        <w:t>Guadalajara 2010)</w:t>
      </w:r>
      <w:r>
        <w:rPr>
          <w:rFonts w:asciiTheme="majorBidi" w:hAnsiTheme="majorBidi" w:cstheme="majorBidi"/>
          <w:lang w:val="fr-CH"/>
        </w:rPr>
        <w:t>».</w:t>
      </w:r>
    </w:p>
    <w:p w:rsidR="00F03F83" w:rsidRPr="00035DCD" w:rsidRDefault="00F03F83" w:rsidP="00C91310">
      <w:pPr>
        <w:pStyle w:val="Heading2"/>
        <w:rPr>
          <w:lang w:val="fr-CH"/>
        </w:rPr>
      </w:pPr>
      <w:r w:rsidRPr="00035DCD">
        <w:rPr>
          <w:lang w:val="fr-CH"/>
        </w:rPr>
        <w:t>2.4</w:t>
      </w:r>
      <w:r w:rsidRPr="00035DCD">
        <w:rPr>
          <w:lang w:val="fr-CH"/>
        </w:rPr>
        <w:tab/>
        <w:t>Publications</w:t>
      </w:r>
    </w:p>
    <w:p w:rsidR="00F03F83" w:rsidRDefault="00F03F83" w:rsidP="00C91310">
      <w:pPr>
        <w:snapToGrid w:val="0"/>
        <w:spacing w:after="120"/>
        <w:rPr>
          <w:rFonts w:asciiTheme="majorBidi" w:hAnsiTheme="majorBidi" w:cstheme="majorBidi"/>
          <w:lang w:val="fr-CH"/>
        </w:rPr>
      </w:pPr>
      <w:r w:rsidRPr="00551C6C">
        <w:rPr>
          <w:rFonts w:asciiTheme="majorBidi" w:hAnsiTheme="majorBidi" w:cstheme="majorBidi"/>
          <w:lang w:val="fr-CH"/>
        </w:rPr>
        <w:t>Plusieurs conseillers se</w:t>
      </w:r>
      <w:r>
        <w:rPr>
          <w:rFonts w:asciiTheme="majorBidi" w:hAnsiTheme="majorBidi" w:cstheme="majorBidi"/>
          <w:lang w:val="fr-CH"/>
        </w:rPr>
        <w:t xml:space="preserve"> sont </w:t>
      </w:r>
      <w:r w:rsidRPr="00551C6C">
        <w:rPr>
          <w:rFonts w:asciiTheme="majorBidi" w:hAnsiTheme="majorBidi" w:cstheme="majorBidi"/>
          <w:lang w:val="fr-CH"/>
        </w:rPr>
        <w:t>félicit</w:t>
      </w:r>
      <w:r>
        <w:rPr>
          <w:rFonts w:asciiTheme="majorBidi" w:hAnsiTheme="majorBidi" w:cstheme="majorBidi"/>
          <w:lang w:val="fr-CH"/>
        </w:rPr>
        <w:t xml:space="preserve">és </w:t>
      </w:r>
      <w:r w:rsidRPr="00551C6C">
        <w:rPr>
          <w:rFonts w:asciiTheme="majorBidi" w:hAnsiTheme="majorBidi" w:cstheme="majorBidi"/>
          <w:lang w:val="fr-CH"/>
        </w:rPr>
        <w:t>de la politique de l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>accès en ligne gratuit, qui contribue à accroître la visibilité de l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>UIT et de ses activités, en particulier dans les pays en développement et parmi les jeunes professionnels. Les effets bénéfiques d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>une telle politique sur l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>environnement</w:t>
      </w:r>
      <w:r>
        <w:rPr>
          <w:rFonts w:asciiTheme="majorBidi" w:hAnsiTheme="majorBidi" w:cstheme="majorBidi"/>
          <w:lang w:val="fr-CH"/>
        </w:rPr>
        <w:t xml:space="preserve"> </w:t>
      </w:r>
      <w:r w:rsidRPr="00551C6C">
        <w:rPr>
          <w:rFonts w:asciiTheme="majorBidi" w:hAnsiTheme="majorBidi" w:cstheme="majorBidi"/>
          <w:lang w:val="fr-CH"/>
        </w:rPr>
        <w:t xml:space="preserve">ont aussi </w:t>
      </w:r>
      <w:r>
        <w:rPr>
          <w:rFonts w:asciiTheme="majorBidi" w:hAnsiTheme="majorBidi" w:cstheme="majorBidi"/>
          <w:lang w:val="fr-CH"/>
        </w:rPr>
        <w:t xml:space="preserve">été </w:t>
      </w:r>
      <w:r w:rsidRPr="00551C6C">
        <w:rPr>
          <w:rFonts w:asciiTheme="majorBidi" w:hAnsiTheme="majorBidi" w:cstheme="majorBidi"/>
          <w:lang w:val="fr-CH"/>
        </w:rPr>
        <w:t>salués. L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>extension de la politique de l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 xml:space="preserve">accès en ligne gratuit, notamment au Règlement des radiocommunications, </w:t>
      </w:r>
      <w:r>
        <w:rPr>
          <w:rFonts w:asciiTheme="majorBidi" w:hAnsiTheme="majorBidi" w:cstheme="majorBidi"/>
          <w:lang w:val="fr-CH"/>
        </w:rPr>
        <w:t xml:space="preserve">a été </w:t>
      </w:r>
      <w:r w:rsidRPr="00551C6C">
        <w:rPr>
          <w:rFonts w:asciiTheme="majorBidi" w:hAnsiTheme="majorBidi" w:cstheme="majorBidi"/>
          <w:lang w:val="fr-CH"/>
        </w:rPr>
        <w:t xml:space="preserve">jugée souhaitable et certains conseillers </w:t>
      </w:r>
      <w:r>
        <w:rPr>
          <w:rFonts w:asciiTheme="majorBidi" w:hAnsiTheme="majorBidi" w:cstheme="majorBidi"/>
          <w:lang w:val="fr-CH"/>
        </w:rPr>
        <w:t xml:space="preserve">ont </w:t>
      </w:r>
      <w:r w:rsidRPr="00551C6C">
        <w:rPr>
          <w:rFonts w:asciiTheme="majorBidi" w:hAnsiTheme="majorBidi" w:cstheme="majorBidi"/>
          <w:lang w:val="fr-CH"/>
        </w:rPr>
        <w:t>demand</w:t>
      </w:r>
      <w:r>
        <w:rPr>
          <w:rFonts w:asciiTheme="majorBidi" w:hAnsiTheme="majorBidi" w:cstheme="majorBidi"/>
          <w:lang w:val="fr-CH"/>
        </w:rPr>
        <w:t>é</w:t>
      </w:r>
      <w:r w:rsidRPr="00551C6C">
        <w:rPr>
          <w:rFonts w:asciiTheme="majorBidi" w:hAnsiTheme="majorBidi" w:cstheme="majorBidi"/>
          <w:lang w:val="fr-CH"/>
        </w:rPr>
        <w:t xml:space="preserve"> quelles seraient les éventuelles incidences financières d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 xml:space="preserve">une telle décision. La nécessité de trouver un équilibre entre publications gratuites et publications payantes </w:t>
      </w:r>
      <w:r>
        <w:rPr>
          <w:rFonts w:asciiTheme="majorBidi" w:hAnsiTheme="majorBidi" w:cstheme="majorBidi"/>
          <w:lang w:val="fr-CH"/>
        </w:rPr>
        <w:t xml:space="preserve">a été </w:t>
      </w:r>
      <w:r w:rsidRPr="00551C6C">
        <w:rPr>
          <w:rFonts w:asciiTheme="majorBidi" w:hAnsiTheme="majorBidi" w:cstheme="majorBidi"/>
          <w:lang w:val="fr-CH"/>
        </w:rPr>
        <w:t>soulignée et un conseiller</w:t>
      </w:r>
      <w:r>
        <w:rPr>
          <w:rFonts w:asciiTheme="majorBidi" w:hAnsiTheme="majorBidi" w:cstheme="majorBidi"/>
          <w:lang w:val="fr-CH"/>
        </w:rPr>
        <w:t xml:space="preserve"> a</w:t>
      </w:r>
      <w:r w:rsidRPr="00551C6C">
        <w:rPr>
          <w:rFonts w:asciiTheme="majorBidi" w:hAnsiTheme="majorBidi" w:cstheme="majorBidi"/>
          <w:lang w:val="fr-CH"/>
        </w:rPr>
        <w:t xml:space="preserve"> </w:t>
      </w:r>
      <w:r w:rsidR="00C91310" w:rsidRPr="00551C6C">
        <w:rPr>
          <w:rFonts w:asciiTheme="majorBidi" w:hAnsiTheme="majorBidi" w:cstheme="majorBidi"/>
          <w:lang w:val="fr-CH"/>
        </w:rPr>
        <w:t>suggér</w:t>
      </w:r>
      <w:r w:rsidR="00C91310">
        <w:rPr>
          <w:rFonts w:asciiTheme="majorBidi" w:hAnsiTheme="majorBidi" w:cstheme="majorBidi"/>
          <w:lang w:val="fr-CH"/>
        </w:rPr>
        <w:t>é</w:t>
      </w:r>
      <w:r w:rsidRPr="00551C6C">
        <w:rPr>
          <w:rFonts w:asciiTheme="majorBidi" w:hAnsiTheme="majorBidi" w:cstheme="majorBidi"/>
          <w:lang w:val="fr-CH"/>
        </w:rPr>
        <w:t xml:space="preserve"> d</w:t>
      </w:r>
      <w:r w:rsidR="007A68A3">
        <w:rPr>
          <w:rFonts w:asciiTheme="majorBidi" w:hAnsiTheme="majorBidi" w:cstheme="majorBidi"/>
          <w:lang w:val="fr-CH"/>
        </w:rPr>
        <w:t>'</w:t>
      </w:r>
      <w:r w:rsidRPr="00551C6C">
        <w:rPr>
          <w:rFonts w:asciiTheme="majorBidi" w:hAnsiTheme="majorBidi" w:cstheme="majorBidi"/>
          <w:lang w:val="fr-CH"/>
        </w:rPr>
        <w:t xml:space="preserve">envisager de faire des éditions à bas coût, </w:t>
      </w:r>
      <w:r w:rsidR="007A68A3">
        <w:rPr>
          <w:rFonts w:asciiTheme="majorBidi" w:hAnsiTheme="majorBidi" w:cstheme="majorBidi"/>
          <w:lang w:val="fr-CH"/>
        </w:rPr>
        <w:t xml:space="preserve">en particulier </w:t>
      </w:r>
      <w:r w:rsidRPr="00551C6C">
        <w:rPr>
          <w:rFonts w:asciiTheme="majorBidi" w:hAnsiTheme="majorBidi" w:cstheme="majorBidi"/>
          <w:lang w:val="fr-CH"/>
        </w:rPr>
        <w:t>pour les pays en développement</w:t>
      </w:r>
      <w:r w:rsidR="00D172D6">
        <w:rPr>
          <w:rFonts w:asciiTheme="majorBidi" w:hAnsiTheme="majorBidi" w:cstheme="majorBidi"/>
          <w:lang w:val="fr-CH"/>
        </w:rPr>
        <w:t>.</w:t>
      </w:r>
      <w:r w:rsidRPr="00551C6C">
        <w:rPr>
          <w:rFonts w:asciiTheme="majorBidi" w:hAnsiTheme="majorBidi" w:cstheme="majorBidi"/>
          <w:lang w:val="fr-CH"/>
        </w:rPr>
        <w:t xml:space="preserve"> </w:t>
      </w:r>
    </w:p>
    <w:p w:rsidR="00F03F83" w:rsidRDefault="00F03F83" w:rsidP="00C91310">
      <w:pPr>
        <w:rPr>
          <w:lang w:val="fr-CH" w:eastAsia="ar-SA"/>
        </w:rPr>
      </w:pPr>
      <w:r w:rsidRPr="001617A1">
        <w:rPr>
          <w:lang w:val="fr-CH"/>
        </w:rPr>
        <w:t>Le Conseil a demandé au Secrétaire général de publier le rapport sur les ventes de publication</w:t>
      </w:r>
      <w:r w:rsidR="007A68A3">
        <w:rPr>
          <w:lang w:val="fr-CH"/>
        </w:rPr>
        <w:t>s</w:t>
      </w:r>
      <w:r w:rsidRPr="001617A1">
        <w:rPr>
          <w:lang w:val="fr-CH"/>
        </w:rPr>
        <w:t xml:space="preserve"> de l</w:t>
      </w:r>
      <w:r w:rsidR="007A68A3">
        <w:rPr>
          <w:lang w:val="fr-CH"/>
        </w:rPr>
        <w:t>'</w:t>
      </w:r>
      <w:r w:rsidRPr="001617A1">
        <w:rPr>
          <w:lang w:val="fr-CH"/>
        </w:rPr>
        <w:t xml:space="preserve">UIT </w:t>
      </w:r>
      <w:r>
        <w:rPr>
          <w:lang w:val="fr-CH"/>
        </w:rPr>
        <w:t>demandé conformément à la Décision 12 de la PP-10</w:t>
      </w:r>
      <w:r w:rsidRPr="001617A1">
        <w:rPr>
          <w:szCs w:val="22"/>
          <w:lang w:val="fr-CH" w:eastAsia="ar-SA"/>
        </w:rPr>
        <w:t xml:space="preserve"> </w:t>
      </w:r>
      <w:r w:rsidRPr="001617A1">
        <w:rPr>
          <w:lang w:val="fr-CH" w:eastAsia="ar-SA"/>
        </w:rPr>
        <w:t>au plus tard 45 jours avant les sessions annuelles du Conseil</w:t>
      </w:r>
      <w:r w:rsidR="007A68A3">
        <w:rPr>
          <w:lang w:val="fr-CH" w:eastAsia="ar-SA"/>
        </w:rPr>
        <w:t xml:space="preserve"> de l'UIT</w:t>
      </w:r>
      <w:r>
        <w:rPr>
          <w:lang w:val="fr-CH" w:eastAsia="ar-SA"/>
        </w:rPr>
        <w:t xml:space="preserve">, </w:t>
      </w:r>
      <w:r w:rsidR="007A68A3">
        <w:rPr>
          <w:lang w:val="fr-CH" w:eastAsia="ar-SA"/>
        </w:rPr>
        <w:t>afin</w:t>
      </w:r>
      <w:r>
        <w:rPr>
          <w:lang w:val="fr-CH" w:eastAsia="ar-SA"/>
        </w:rPr>
        <w:t xml:space="preserve"> de permettre aux </w:t>
      </w:r>
      <w:proofErr w:type="spellStart"/>
      <w:r w:rsidR="007A68A3">
        <w:rPr>
          <w:lang w:val="fr-CH" w:eastAsia="ar-SA"/>
        </w:rPr>
        <w:t>E</w:t>
      </w:r>
      <w:r>
        <w:rPr>
          <w:lang w:val="fr-CH" w:eastAsia="ar-SA"/>
        </w:rPr>
        <w:t>tat</w:t>
      </w:r>
      <w:r w:rsidR="00C91310">
        <w:rPr>
          <w:lang w:val="fr-CH" w:eastAsia="ar-SA"/>
        </w:rPr>
        <w:t>s</w:t>
      </w:r>
      <w:proofErr w:type="spellEnd"/>
      <w:r>
        <w:rPr>
          <w:lang w:val="fr-CH" w:eastAsia="ar-SA"/>
        </w:rPr>
        <w:t xml:space="preserve"> Membres de procéder à une analyse et d</w:t>
      </w:r>
      <w:r w:rsidR="007A68A3">
        <w:rPr>
          <w:lang w:val="fr-CH" w:eastAsia="ar-SA"/>
        </w:rPr>
        <w:t>'</w:t>
      </w:r>
      <w:r>
        <w:rPr>
          <w:lang w:val="fr-CH" w:eastAsia="ar-SA"/>
        </w:rPr>
        <w:t>élaborer</w:t>
      </w:r>
      <w:r w:rsidR="007A68A3">
        <w:rPr>
          <w:lang w:val="fr-CH" w:eastAsia="ar-SA"/>
        </w:rPr>
        <w:t>,</w:t>
      </w:r>
      <w:r>
        <w:rPr>
          <w:lang w:val="fr-CH" w:eastAsia="ar-SA"/>
        </w:rPr>
        <w:t xml:space="preserve"> </w:t>
      </w:r>
      <w:r w:rsidR="007A68A3">
        <w:rPr>
          <w:lang w:val="fr-CH" w:eastAsia="ar-SA"/>
        </w:rPr>
        <w:t xml:space="preserve">dans les meilleurs délais, </w:t>
      </w:r>
      <w:r>
        <w:rPr>
          <w:lang w:val="fr-CH" w:eastAsia="ar-SA"/>
        </w:rPr>
        <w:t>des contributions à l</w:t>
      </w:r>
      <w:r w:rsidR="007A68A3">
        <w:rPr>
          <w:lang w:val="fr-CH" w:eastAsia="ar-SA"/>
        </w:rPr>
        <w:t>'</w:t>
      </w:r>
      <w:r>
        <w:rPr>
          <w:lang w:val="fr-CH" w:eastAsia="ar-SA"/>
        </w:rPr>
        <w:t xml:space="preserve">intention du Conseil </w:t>
      </w:r>
      <w:r w:rsidR="007A68A3">
        <w:rPr>
          <w:lang w:val="fr-CH" w:eastAsia="ar-SA"/>
        </w:rPr>
        <w:t>sur</w:t>
      </w:r>
      <w:r>
        <w:rPr>
          <w:lang w:val="fr-CH" w:eastAsia="ar-SA"/>
        </w:rPr>
        <w:t xml:space="preserve"> l</w:t>
      </w:r>
      <w:r w:rsidR="007A68A3">
        <w:rPr>
          <w:lang w:val="fr-CH" w:eastAsia="ar-SA"/>
        </w:rPr>
        <w:t>'</w:t>
      </w:r>
      <w:r>
        <w:rPr>
          <w:lang w:val="fr-CH" w:eastAsia="ar-SA"/>
        </w:rPr>
        <w:t>accès en ligne gratuit aux publications de l</w:t>
      </w:r>
      <w:r w:rsidR="007A68A3">
        <w:rPr>
          <w:lang w:val="fr-CH" w:eastAsia="ar-SA"/>
        </w:rPr>
        <w:t>'</w:t>
      </w:r>
      <w:r>
        <w:rPr>
          <w:lang w:val="fr-CH" w:eastAsia="ar-SA"/>
        </w:rPr>
        <w:t xml:space="preserve">UIT et </w:t>
      </w:r>
      <w:r w:rsidR="007A68A3">
        <w:rPr>
          <w:lang w:val="fr-CH" w:eastAsia="ar-SA"/>
        </w:rPr>
        <w:t>de faire figurer</w:t>
      </w:r>
      <w:r>
        <w:rPr>
          <w:lang w:val="fr-CH" w:eastAsia="ar-SA"/>
        </w:rPr>
        <w:t xml:space="preserve"> dans </w:t>
      </w:r>
      <w:r w:rsidR="007A68A3">
        <w:rPr>
          <w:lang w:val="fr-CH" w:eastAsia="ar-SA"/>
        </w:rPr>
        <w:t>ce</w:t>
      </w:r>
      <w:r>
        <w:rPr>
          <w:lang w:val="fr-CH" w:eastAsia="ar-SA"/>
        </w:rPr>
        <w:t xml:space="preserve"> rapport des informations sur toutes les publications et, en particulier, sur le Règlement des radiocommunications.</w:t>
      </w:r>
    </w:p>
    <w:p w:rsidR="00F03F83" w:rsidRPr="00DB7B94" w:rsidRDefault="00F03F83" w:rsidP="00C91310">
      <w:pPr>
        <w:pStyle w:val="Heading2"/>
        <w:rPr>
          <w:rFonts w:asciiTheme="majorBidi" w:hAnsiTheme="majorBidi" w:cstheme="majorBidi"/>
          <w:szCs w:val="24"/>
          <w:lang w:val="fr-CH"/>
        </w:rPr>
      </w:pPr>
      <w:r w:rsidRPr="007A68A3">
        <w:t>2.5</w:t>
      </w:r>
      <w:r w:rsidRPr="007A68A3">
        <w:tab/>
      </w:r>
      <w:r w:rsidR="00DD553C" w:rsidRPr="007A68A3">
        <w:t>Recouvrement des coûts pour le traitement des fiches de</w:t>
      </w:r>
      <w:r w:rsidR="00F50533">
        <w:rPr>
          <w:rFonts w:asciiTheme="majorBidi" w:hAnsiTheme="majorBidi" w:cstheme="majorBidi"/>
          <w:szCs w:val="24"/>
          <w:lang w:val="fr-CH"/>
        </w:rPr>
        <w:t xml:space="preserve"> notification des réseaux à </w:t>
      </w:r>
      <w:r w:rsidR="00DD553C" w:rsidRPr="00DB7B94">
        <w:rPr>
          <w:rFonts w:asciiTheme="majorBidi" w:hAnsiTheme="majorBidi" w:cstheme="majorBidi"/>
          <w:szCs w:val="24"/>
          <w:lang w:val="fr-CH"/>
        </w:rPr>
        <w:t>satellite</w:t>
      </w:r>
    </w:p>
    <w:p w:rsidR="00F03F83" w:rsidRDefault="00F03F83" w:rsidP="00C91310">
      <w:pPr>
        <w:rPr>
          <w:lang w:val="fr-CH"/>
        </w:rPr>
      </w:pPr>
      <w:r w:rsidRPr="00DB7B94">
        <w:rPr>
          <w:lang w:val="fr-CH"/>
        </w:rPr>
        <w:t>Le Conseil a examiné une proposition visant à envisager</w:t>
      </w:r>
      <w:r>
        <w:rPr>
          <w:lang w:val="fr-CH"/>
        </w:rPr>
        <w:t xml:space="preserve"> un </w:t>
      </w:r>
      <w:r w:rsidRPr="00DB7B94">
        <w:rPr>
          <w:lang w:val="fr-CH"/>
        </w:rPr>
        <w:t>réexam</w:t>
      </w:r>
      <w:r>
        <w:rPr>
          <w:lang w:val="fr-CH"/>
        </w:rPr>
        <w:t xml:space="preserve">en de </w:t>
      </w:r>
      <w:r w:rsidRPr="00DB7B94">
        <w:rPr>
          <w:lang w:val="fr-CH"/>
        </w:rPr>
        <w:t xml:space="preserve">la Décision 482, </w:t>
      </w:r>
      <w:r>
        <w:rPr>
          <w:lang w:val="fr-CH"/>
        </w:rPr>
        <w:t>en vue d</w:t>
      </w:r>
      <w:r w:rsidR="007A68A3">
        <w:rPr>
          <w:lang w:val="fr-CH"/>
        </w:rPr>
        <w:t>'</w:t>
      </w:r>
      <w:r w:rsidRPr="00DB7B94">
        <w:rPr>
          <w:lang w:val="fr-CH"/>
        </w:rPr>
        <w:t xml:space="preserve">élargir la méthode actuelle de recouvrement des coûts </w:t>
      </w:r>
      <w:r w:rsidR="007A68A3">
        <w:rPr>
          <w:lang w:val="fr-CH"/>
        </w:rPr>
        <w:t>pour qu'elle englobe</w:t>
      </w:r>
      <w:r w:rsidRPr="00DB7B94">
        <w:rPr>
          <w:lang w:val="fr-CH"/>
        </w:rPr>
        <w:t xml:space="preserve"> les coûts </w:t>
      </w:r>
      <w:r w:rsidR="007A68A3">
        <w:rPr>
          <w:lang w:val="fr-CH"/>
        </w:rPr>
        <w:t>afférents</w:t>
      </w:r>
      <w:r w:rsidRPr="00DB7B94">
        <w:rPr>
          <w:lang w:val="fr-CH"/>
        </w:rPr>
        <w:t xml:space="preserve"> à la tenue à jour du Fichier de référence international</w:t>
      </w:r>
      <w:r>
        <w:rPr>
          <w:lang w:val="fr-CH"/>
        </w:rPr>
        <w:t xml:space="preserve"> </w:t>
      </w:r>
      <w:r w:rsidRPr="00DB7B94">
        <w:rPr>
          <w:lang w:val="fr-CH"/>
        </w:rPr>
        <w:t xml:space="preserve">des fréquences, et </w:t>
      </w:r>
      <w:r w:rsidR="007A68A3">
        <w:rPr>
          <w:lang w:val="fr-CH"/>
        </w:rPr>
        <w:t>à examiner</w:t>
      </w:r>
      <w:r w:rsidRPr="00DB7B94">
        <w:rPr>
          <w:lang w:val="fr-CH"/>
        </w:rPr>
        <w:t xml:space="preserve"> la possibilité d</w:t>
      </w:r>
      <w:r w:rsidR="007A68A3">
        <w:rPr>
          <w:lang w:val="fr-CH"/>
        </w:rPr>
        <w:t>'</w:t>
      </w:r>
      <w:r w:rsidRPr="00DB7B94">
        <w:rPr>
          <w:lang w:val="fr-CH"/>
        </w:rPr>
        <w:t>instituer des droits annuels pour l</w:t>
      </w:r>
      <w:r w:rsidR="007A68A3">
        <w:rPr>
          <w:lang w:val="fr-CH"/>
        </w:rPr>
        <w:t>'</w:t>
      </w:r>
      <w:r w:rsidRPr="00DB7B94">
        <w:rPr>
          <w:lang w:val="fr-CH"/>
        </w:rPr>
        <w:t xml:space="preserve">utilisation </w:t>
      </w:r>
      <w:r>
        <w:rPr>
          <w:lang w:val="fr-CH"/>
        </w:rPr>
        <w:t>du spectre/des orbites par les réseaux à satellite, l</w:t>
      </w:r>
      <w:r w:rsidR="007A68A3">
        <w:rPr>
          <w:lang w:val="fr-CH"/>
        </w:rPr>
        <w:t>'</w:t>
      </w:r>
      <w:r>
        <w:rPr>
          <w:lang w:val="fr-CH"/>
        </w:rPr>
        <w:t>objectif étant d</w:t>
      </w:r>
      <w:r w:rsidR="007A68A3">
        <w:rPr>
          <w:lang w:val="fr-CH"/>
        </w:rPr>
        <w:t>'</w:t>
      </w:r>
      <w:r>
        <w:rPr>
          <w:lang w:val="fr-CH"/>
        </w:rPr>
        <w:t>encourager l</w:t>
      </w:r>
      <w:r w:rsidR="007A68A3">
        <w:rPr>
          <w:lang w:val="fr-CH"/>
        </w:rPr>
        <w:t>'</w:t>
      </w:r>
      <w:r>
        <w:rPr>
          <w:lang w:val="fr-CH"/>
        </w:rPr>
        <w:t>utilisation efficace et rationnelle de cette ressource.</w:t>
      </w:r>
    </w:p>
    <w:p w:rsidR="00F03F83" w:rsidRDefault="007A68A3" w:rsidP="00C91310">
      <w:pPr>
        <w:rPr>
          <w:szCs w:val="24"/>
          <w:lang w:val="fr-CH"/>
        </w:rPr>
      </w:pPr>
      <w:r>
        <w:rPr>
          <w:szCs w:val="24"/>
          <w:lang w:val="fr-CH"/>
        </w:rPr>
        <w:t>L</w:t>
      </w:r>
      <w:r w:rsidR="00F03F83" w:rsidRPr="001617A1">
        <w:rPr>
          <w:szCs w:val="24"/>
          <w:lang w:val="fr-CH"/>
        </w:rPr>
        <w:t xml:space="preserve">e Conseil a noté que la question </w:t>
      </w:r>
      <w:r>
        <w:rPr>
          <w:szCs w:val="24"/>
          <w:lang w:val="fr-CH"/>
        </w:rPr>
        <w:t>de</w:t>
      </w:r>
      <w:r w:rsidR="00F03F83" w:rsidRPr="001617A1">
        <w:rPr>
          <w:szCs w:val="24"/>
          <w:lang w:val="fr-CH"/>
        </w:rPr>
        <w:t xml:space="preserve"> l</w:t>
      </w:r>
      <w:r>
        <w:rPr>
          <w:szCs w:val="24"/>
          <w:lang w:val="fr-CH"/>
        </w:rPr>
        <w:t>'</w:t>
      </w:r>
      <w:r w:rsidR="00F03F83" w:rsidRPr="001617A1">
        <w:rPr>
          <w:szCs w:val="24"/>
          <w:lang w:val="fr-CH"/>
        </w:rPr>
        <w:t>accès aux ressources spectre/orbite</w:t>
      </w:r>
      <w:r>
        <w:rPr>
          <w:szCs w:val="24"/>
          <w:lang w:val="fr-CH"/>
        </w:rPr>
        <w:t>s</w:t>
      </w:r>
      <w:r w:rsidR="00F03F83" w:rsidRPr="001617A1">
        <w:rPr>
          <w:szCs w:val="24"/>
          <w:lang w:val="fr-CH"/>
        </w:rPr>
        <w:t xml:space="preserve"> était une question complexe qui relevait pleinement de la compétence et du mandat de la CMR. </w:t>
      </w:r>
      <w:r w:rsidR="00F03F83" w:rsidRPr="0080299C">
        <w:rPr>
          <w:szCs w:val="24"/>
          <w:lang w:val="fr-CH"/>
        </w:rPr>
        <w:t>La question de l</w:t>
      </w:r>
      <w:r>
        <w:rPr>
          <w:szCs w:val="24"/>
          <w:lang w:val="fr-CH"/>
        </w:rPr>
        <w:t>'</w:t>
      </w:r>
      <w:r w:rsidR="00F03F83" w:rsidRPr="0080299C">
        <w:rPr>
          <w:szCs w:val="24"/>
          <w:lang w:val="fr-CH"/>
        </w:rPr>
        <w:t>établissement ou non d</w:t>
      </w:r>
      <w:r>
        <w:rPr>
          <w:szCs w:val="24"/>
          <w:lang w:val="fr-CH"/>
        </w:rPr>
        <w:t>'</w:t>
      </w:r>
      <w:r w:rsidR="00F03F83" w:rsidRPr="0080299C">
        <w:rPr>
          <w:szCs w:val="24"/>
          <w:lang w:val="fr-CH"/>
        </w:rPr>
        <w:t xml:space="preserve">un droit annuel au titre du recouvrement des coûts </w:t>
      </w:r>
      <w:r w:rsidR="00DE2CF5">
        <w:rPr>
          <w:szCs w:val="24"/>
          <w:lang w:val="fr-CH"/>
        </w:rPr>
        <w:t>pour les</w:t>
      </w:r>
      <w:r w:rsidR="00F03F83" w:rsidRPr="0080299C">
        <w:rPr>
          <w:szCs w:val="24"/>
          <w:lang w:val="fr-CH"/>
        </w:rPr>
        <w:t xml:space="preserve"> assignations figurant dans le Fichier de référence international des fréquences </w:t>
      </w:r>
      <w:r w:rsidR="00DE2CF5">
        <w:rPr>
          <w:szCs w:val="24"/>
          <w:lang w:val="fr-CH"/>
        </w:rPr>
        <w:t>relève</w:t>
      </w:r>
      <w:r w:rsidR="00F03F83" w:rsidRPr="0080299C">
        <w:rPr>
          <w:szCs w:val="24"/>
          <w:lang w:val="fr-CH"/>
        </w:rPr>
        <w:t xml:space="preserve"> de la compétence et du mandat du Conseil, compte tenu des résultats des discussions de la CMR présentés dans le rapport du Directeur du BR. </w:t>
      </w:r>
      <w:r w:rsidR="00F03F83" w:rsidRPr="002E0C34">
        <w:rPr>
          <w:szCs w:val="24"/>
          <w:lang w:val="fr-CH"/>
        </w:rPr>
        <w:t>Il a été souligné que le mécanisme actuel de recouvrement des coûts décrit dans la Décision 482 a fonctionné de manière très satisfaisante, tant pour les membres que pour le Bureau, comme indiqué dans le rapport du Directeur du Bureau des radiocommunications à l</w:t>
      </w:r>
      <w:r>
        <w:rPr>
          <w:szCs w:val="24"/>
          <w:lang w:val="fr-CH"/>
        </w:rPr>
        <w:t>'</w:t>
      </w:r>
      <w:r w:rsidR="00F03F83" w:rsidRPr="002E0C34">
        <w:rPr>
          <w:szCs w:val="24"/>
          <w:lang w:val="fr-CH"/>
        </w:rPr>
        <w:t xml:space="preserve">intention du Conseil à sa session de 2011. </w:t>
      </w:r>
    </w:p>
    <w:p w:rsidR="00F03F83" w:rsidRPr="00035DCD" w:rsidRDefault="00DE2CF5" w:rsidP="00C91310">
      <w:pPr>
        <w:rPr>
          <w:szCs w:val="24"/>
          <w:lang w:val="fr-CH"/>
        </w:rPr>
      </w:pPr>
      <w:r w:rsidRPr="002E0C34">
        <w:rPr>
          <w:szCs w:val="24"/>
          <w:lang w:val="fr-CH"/>
        </w:rPr>
        <w:t xml:space="preserve">Le </w:t>
      </w:r>
      <w:r w:rsidR="00F03F83" w:rsidRPr="002E0C34">
        <w:rPr>
          <w:szCs w:val="24"/>
          <w:lang w:val="fr-CH"/>
        </w:rPr>
        <w:t>Conseil a conclu qu</w:t>
      </w:r>
      <w:r w:rsidR="007A68A3">
        <w:rPr>
          <w:szCs w:val="24"/>
          <w:lang w:val="fr-CH"/>
        </w:rPr>
        <w:t>'</w:t>
      </w:r>
      <w:r w:rsidR="00F03F83" w:rsidRPr="002E0C34">
        <w:rPr>
          <w:szCs w:val="24"/>
          <w:lang w:val="fr-CH"/>
        </w:rPr>
        <w:t xml:space="preserve">il était impératif de maintenir la version actuelle de la Décision 482 (modifiée </w:t>
      </w:r>
      <w:r>
        <w:rPr>
          <w:szCs w:val="24"/>
          <w:lang w:val="fr-CH"/>
        </w:rPr>
        <w:t xml:space="preserve">en </w:t>
      </w:r>
      <w:r w:rsidR="00F03F83" w:rsidRPr="002E0C34">
        <w:rPr>
          <w:szCs w:val="24"/>
          <w:lang w:val="fr-CH"/>
        </w:rPr>
        <w:t xml:space="preserve">2008) sans aucune modification, sauf si des études approfondies susceptibles de conclure à la nécessité de </w:t>
      </w:r>
      <w:r>
        <w:rPr>
          <w:szCs w:val="24"/>
          <w:lang w:val="fr-CH"/>
        </w:rPr>
        <w:t>revoir</w:t>
      </w:r>
      <w:r w:rsidR="00F03F83" w:rsidRPr="002E0C34">
        <w:rPr>
          <w:szCs w:val="24"/>
          <w:lang w:val="fr-CH"/>
        </w:rPr>
        <w:t xml:space="preserve"> cette Décision, sur la base d</w:t>
      </w:r>
      <w:r w:rsidR="007A68A3">
        <w:rPr>
          <w:szCs w:val="24"/>
          <w:lang w:val="fr-CH"/>
        </w:rPr>
        <w:t>'</w:t>
      </w:r>
      <w:r>
        <w:rPr>
          <w:szCs w:val="24"/>
          <w:lang w:val="fr-CH"/>
        </w:rPr>
        <w:t xml:space="preserve">arguments ou </w:t>
      </w:r>
      <w:r w:rsidR="00F03F83" w:rsidRPr="002E0C34">
        <w:rPr>
          <w:szCs w:val="24"/>
          <w:lang w:val="fr-CH"/>
        </w:rPr>
        <w:t xml:space="preserve">de justifications solides et valables, sont effectuées. </w:t>
      </w:r>
      <w:r w:rsidRPr="002E0C34">
        <w:rPr>
          <w:szCs w:val="24"/>
          <w:lang w:val="fr-CH"/>
        </w:rPr>
        <w:t xml:space="preserve">Le </w:t>
      </w:r>
      <w:r w:rsidR="00F03F83" w:rsidRPr="002E0C34">
        <w:rPr>
          <w:szCs w:val="24"/>
          <w:lang w:val="fr-CH"/>
        </w:rPr>
        <w:t>Conseil a chargé le Directeur de trans</w:t>
      </w:r>
      <w:r>
        <w:rPr>
          <w:szCs w:val="24"/>
          <w:lang w:val="fr-CH"/>
        </w:rPr>
        <w:t>mettre à la CMR-12 le résumé ci</w:t>
      </w:r>
      <w:r>
        <w:rPr>
          <w:szCs w:val="24"/>
          <w:lang w:val="fr-CH"/>
        </w:rPr>
        <w:noBreakHyphen/>
      </w:r>
      <w:r w:rsidR="00F03F83" w:rsidRPr="002E0C34">
        <w:rPr>
          <w:szCs w:val="24"/>
          <w:lang w:val="fr-CH"/>
        </w:rPr>
        <w:t>dessus des discussions tenues lors de la session de 2011 du Conseil et de présenter un rapport au Conseil à sa session de 2012. En fonction des mesures que prendra la CMR-12, le Conseil réexaminera la question et prendra les mesures nécessaires, selon qu</w:t>
      </w:r>
      <w:r w:rsidR="007A68A3">
        <w:rPr>
          <w:szCs w:val="24"/>
          <w:lang w:val="fr-CH"/>
        </w:rPr>
        <w:t>'</w:t>
      </w:r>
      <w:r w:rsidR="00F03F83" w:rsidRPr="002E0C34">
        <w:rPr>
          <w:szCs w:val="24"/>
          <w:lang w:val="fr-CH"/>
        </w:rPr>
        <w:t xml:space="preserve">il conviendra, en tenant compte des objectifs du recouvrement des coûts énoncés dans la Résolution 91 (Rév. </w:t>
      </w:r>
      <w:r>
        <w:rPr>
          <w:szCs w:val="24"/>
          <w:lang w:val="fr-CH"/>
        </w:rPr>
        <w:t>Guadalajara, 2010).</w:t>
      </w:r>
    </w:p>
    <w:p w:rsidR="00F50533" w:rsidRDefault="00F50533" w:rsidP="00C91310">
      <w:pPr>
        <w:rPr>
          <w:lang w:val="fr-CH"/>
        </w:rPr>
      </w:pPr>
      <w:r>
        <w:rPr>
          <w:lang w:val="fr-CH"/>
        </w:rPr>
        <w:br w:type="page"/>
      </w:r>
    </w:p>
    <w:p w:rsidR="00F03F83" w:rsidRPr="00035DCD" w:rsidRDefault="00F03F83" w:rsidP="00C91310">
      <w:pPr>
        <w:rPr>
          <w:lang w:val="fr-CH"/>
        </w:rPr>
      </w:pPr>
      <w:r w:rsidRPr="00DB7B94">
        <w:rPr>
          <w:lang w:val="fr-CH"/>
        </w:rPr>
        <w:t>Ainsi qu</w:t>
      </w:r>
      <w:r w:rsidR="007A68A3">
        <w:rPr>
          <w:lang w:val="fr-CH"/>
        </w:rPr>
        <w:t>'</w:t>
      </w:r>
      <w:r w:rsidRPr="00DB7B94">
        <w:rPr>
          <w:lang w:val="fr-CH"/>
        </w:rPr>
        <w:t xml:space="preserve">il en avait été chargé par le Conseil à sa session de 2011, le Secrétaire général </w:t>
      </w:r>
      <w:r>
        <w:rPr>
          <w:lang w:val="fr-CH"/>
        </w:rPr>
        <w:t>a</w:t>
      </w:r>
      <w:r w:rsidRPr="00DB7B94">
        <w:rPr>
          <w:lang w:val="fr-CH"/>
        </w:rPr>
        <w:t xml:space="preserve"> port</w:t>
      </w:r>
      <w:r>
        <w:rPr>
          <w:lang w:val="fr-CH"/>
        </w:rPr>
        <w:t>é</w:t>
      </w:r>
      <w:r w:rsidRPr="00DB7B94">
        <w:rPr>
          <w:lang w:val="fr-CH"/>
        </w:rPr>
        <w:t xml:space="preserve"> à l</w:t>
      </w:r>
      <w:r w:rsidR="007A68A3">
        <w:rPr>
          <w:lang w:val="fr-CH"/>
        </w:rPr>
        <w:t>'</w:t>
      </w:r>
      <w:r w:rsidRPr="00DB7B94">
        <w:rPr>
          <w:lang w:val="fr-CH"/>
        </w:rPr>
        <w:t xml:space="preserve">attention de la CMR-12, dans le </w:t>
      </w:r>
      <w:hyperlink r:id="rId12" w:history="1">
        <w:r w:rsidRPr="00DB7B94">
          <w:rPr>
            <w:rStyle w:val="Hyperlink"/>
            <w:rFonts w:asciiTheme="majorBidi" w:hAnsiTheme="majorBidi" w:cstheme="majorBidi"/>
            <w:bCs/>
            <w:lang w:val="fr-CH"/>
          </w:rPr>
          <w:t>Document CMR12/33</w:t>
        </w:r>
      </w:hyperlink>
      <w:r w:rsidRPr="00DB7B94">
        <w:rPr>
          <w:lang w:val="fr-CH"/>
        </w:rPr>
        <w:t xml:space="preserve">, le résumé des </w:t>
      </w:r>
      <w:r w:rsidR="00DE2CF5">
        <w:rPr>
          <w:lang w:val="fr-CH"/>
        </w:rPr>
        <w:t>discussions</w:t>
      </w:r>
      <w:r w:rsidRPr="00DB7B94">
        <w:rPr>
          <w:lang w:val="fr-CH"/>
        </w:rPr>
        <w:t xml:space="preserve"> </w:t>
      </w:r>
      <w:r w:rsidR="00DE2CF5">
        <w:rPr>
          <w:lang w:val="fr-CH"/>
        </w:rPr>
        <w:t>sur le recouvrement des coûts</w:t>
      </w:r>
      <w:r w:rsidRPr="00DB7B94">
        <w:rPr>
          <w:lang w:val="fr-CH"/>
        </w:rPr>
        <w:t xml:space="preserve"> </w:t>
      </w:r>
      <w:r>
        <w:rPr>
          <w:lang w:val="fr-CH"/>
        </w:rPr>
        <w:t xml:space="preserve">afférents au </w:t>
      </w:r>
      <w:r w:rsidRPr="00DB7B94">
        <w:rPr>
          <w:lang w:val="fr-CH"/>
        </w:rPr>
        <w:t>traitement des fiches de notification relative</w:t>
      </w:r>
      <w:r>
        <w:rPr>
          <w:lang w:val="fr-CH"/>
        </w:rPr>
        <w:t>s</w:t>
      </w:r>
      <w:r w:rsidRPr="00DB7B94">
        <w:rPr>
          <w:lang w:val="fr-CH"/>
        </w:rPr>
        <w:t xml:space="preserve"> au</w:t>
      </w:r>
      <w:r>
        <w:rPr>
          <w:lang w:val="fr-CH"/>
        </w:rPr>
        <w:t>x</w:t>
      </w:r>
      <w:r w:rsidRPr="00DB7B94">
        <w:rPr>
          <w:lang w:val="fr-CH"/>
        </w:rPr>
        <w:t xml:space="preserve"> réseau</w:t>
      </w:r>
      <w:r>
        <w:rPr>
          <w:lang w:val="fr-CH"/>
        </w:rPr>
        <w:t>x</w:t>
      </w:r>
      <w:r w:rsidRPr="00DB7B94">
        <w:rPr>
          <w:lang w:val="fr-CH"/>
        </w:rPr>
        <w:t xml:space="preserve"> à satellite, tel qu</w:t>
      </w:r>
      <w:r w:rsidR="007A68A3">
        <w:rPr>
          <w:lang w:val="fr-CH"/>
        </w:rPr>
        <w:t>'</w:t>
      </w:r>
      <w:r w:rsidRPr="00DB7B94">
        <w:rPr>
          <w:lang w:val="fr-CH"/>
        </w:rPr>
        <w:t>il figure dans l</w:t>
      </w:r>
      <w:r w:rsidR="007A68A3">
        <w:rPr>
          <w:lang w:val="fr-CH"/>
        </w:rPr>
        <w:t>'</w:t>
      </w:r>
      <w:r w:rsidR="00DE2CF5">
        <w:rPr>
          <w:lang w:val="fr-CH"/>
        </w:rPr>
        <w:t>A</w:t>
      </w:r>
      <w:r w:rsidR="00F50533">
        <w:rPr>
          <w:lang w:val="fr-CH"/>
        </w:rPr>
        <w:t>nnexe J du r</w:t>
      </w:r>
      <w:r w:rsidRPr="00DB7B94">
        <w:rPr>
          <w:lang w:val="fr-CH"/>
        </w:rPr>
        <w:t xml:space="preserve">apport du Président de la Commission </w:t>
      </w:r>
      <w:r>
        <w:rPr>
          <w:lang w:val="fr-CH"/>
        </w:rPr>
        <w:t>permanente de l</w:t>
      </w:r>
      <w:r w:rsidR="007A68A3">
        <w:rPr>
          <w:lang w:val="fr-CH"/>
        </w:rPr>
        <w:t>'</w:t>
      </w:r>
      <w:r>
        <w:rPr>
          <w:lang w:val="fr-CH"/>
        </w:rPr>
        <w:t>administration et de la gestion</w:t>
      </w:r>
      <w:r w:rsidR="00F50533">
        <w:rPr>
          <w:lang w:val="fr-CH"/>
        </w:rPr>
        <w:t xml:space="preserve"> </w:t>
      </w:r>
      <w:r w:rsidRPr="00DB7B94">
        <w:rPr>
          <w:lang w:val="fr-CH"/>
        </w:rPr>
        <w:t>(</w:t>
      </w:r>
      <w:hyperlink r:id="rId13" w:history="1">
        <w:r w:rsidR="00F50533">
          <w:rPr>
            <w:rStyle w:val="Hyperlink"/>
            <w:rFonts w:asciiTheme="majorBidi" w:hAnsiTheme="majorBidi" w:cstheme="majorBidi"/>
            <w:bCs/>
            <w:lang w:val="fr-CH"/>
          </w:rPr>
          <w:t>Document C11/89</w:t>
        </w:r>
        <w:r w:rsidR="00DE2CF5">
          <w:rPr>
            <w:rStyle w:val="Hyperlink"/>
            <w:rFonts w:asciiTheme="majorBidi" w:hAnsiTheme="majorBidi" w:cstheme="majorBidi"/>
            <w:bCs/>
            <w:lang w:val="fr-CH"/>
          </w:rPr>
          <w:t>(Ré</w:t>
        </w:r>
        <w:r w:rsidRPr="00DB7B94">
          <w:rPr>
            <w:rStyle w:val="Hyperlink"/>
            <w:rFonts w:asciiTheme="majorBidi" w:hAnsiTheme="majorBidi" w:cstheme="majorBidi"/>
            <w:bCs/>
            <w:lang w:val="fr-CH"/>
          </w:rPr>
          <w:t>v.1)</w:t>
        </w:r>
      </w:hyperlink>
      <w:r w:rsidR="00D172D6">
        <w:rPr>
          <w:lang w:val="fr-CH"/>
        </w:rPr>
        <w:t>).</w:t>
      </w:r>
      <w:r>
        <w:rPr>
          <w:lang w:val="fr-CH"/>
        </w:rPr>
        <w:t xml:space="preserve"> </w:t>
      </w:r>
      <w:r w:rsidRPr="00035DCD">
        <w:rPr>
          <w:lang w:val="fr-CH"/>
        </w:rPr>
        <w:t xml:space="preserve">Le </w:t>
      </w:r>
      <w:r w:rsidR="00DE2CF5" w:rsidRPr="00035DCD">
        <w:rPr>
          <w:lang w:val="fr-CH"/>
        </w:rPr>
        <w:t xml:space="preserve">Document </w:t>
      </w:r>
      <w:r w:rsidRPr="00035DCD">
        <w:rPr>
          <w:lang w:val="fr-CH"/>
        </w:rPr>
        <w:t>CMR12/33</w:t>
      </w:r>
      <w:r>
        <w:rPr>
          <w:lang w:val="fr-CH"/>
        </w:rPr>
        <w:t xml:space="preserve"> </w:t>
      </w:r>
      <w:r w:rsidR="00F50533">
        <w:rPr>
          <w:lang w:val="fr-CH"/>
        </w:rPr>
        <w:t>a été présenté au G</w:t>
      </w:r>
      <w:r w:rsidRPr="00035DCD">
        <w:rPr>
          <w:lang w:val="fr-CH"/>
        </w:rPr>
        <w:t xml:space="preserve">roupe de travail 5B de la </w:t>
      </w:r>
      <w:r w:rsidR="00DE2CF5">
        <w:rPr>
          <w:lang w:val="fr-CH"/>
        </w:rPr>
        <w:t>CMR-12 et examiné</w:t>
      </w:r>
      <w:r>
        <w:rPr>
          <w:lang w:val="fr-CH"/>
        </w:rPr>
        <w:t xml:space="preserve"> </w:t>
      </w:r>
      <w:r w:rsidRPr="00035DCD">
        <w:rPr>
          <w:lang w:val="fr-CH"/>
        </w:rPr>
        <w:t xml:space="preserve">plus </w:t>
      </w:r>
      <w:r w:rsidR="00DE2CF5">
        <w:rPr>
          <w:lang w:val="fr-CH"/>
        </w:rPr>
        <w:t>en détail</w:t>
      </w:r>
      <w:r w:rsidRPr="00035DCD">
        <w:rPr>
          <w:lang w:val="fr-CH"/>
        </w:rPr>
        <w:t xml:space="preserve"> </w:t>
      </w:r>
      <w:r w:rsidR="00DE2CF5">
        <w:rPr>
          <w:lang w:val="fr-CH"/>
        </w:rPr>
        <w:t>par le</w:t>
      </w:r>
      <w:r w:rsidRPr="00035DCD">
        <w:rPr>
          <w:lang w:val="fr-CH"/>
        </w:rPr>
        <w:t xml:space="preserve"> </w:t>
      </w:r>
      <w:r w:rsidR="00DE2CF5" w:rsidRPr="00035DCD">
        <w:rPr>
          <w:lang w:val="fr-CH"/>
        </w:rPr>
        <w:t>Sous</w:t>
      </w:r>
      <w:r w:rsidRPr="00035DCD">
        <w:rPr>
          <w:lang w:val="fr-CH"/>
        </w:rPr>
        <w:t>-</w:t>
      </w:r>
      <w:r w:rsidR="00DE2CF5" w:rsidRPr="00035DCD">
        <w:rPr>
          <w:lang w:val="fr-CH"/>
        </w:rPr>
        <w:t xml:space="preserve">Groupe </w:t>
      </w:r>
      <w:r w:rsidR="00DE2CF5">
        <w:rPr>
          <w:lang w:val="fr-CH"/>
        </w:rPr>
        <w:t>de travail </w:t>
      </w:r>
      <w:r w:rsidRPr="00035DCD">
        <w:rPr>
          <w:lang w:val="fr-CH"/>
        </w:rPr>
        <w:t>5B4, qui en a pris note.</w:t>
      </w:r>
    </w:p>
    <w:p w:rsidR="00F03F83" w:rsidRPr="00457778" w:rsidRDefault="00F03F83" w:rsidP="00C91310">
      <w:pPr>
        <w:pStyle w:val="Heading2"/>
        <w:rPr>
          <w:lang w:val="fr-CH"/>
        </w:rPr>
      </w:pPr>
      <w:r w:rsidRPr="00457778">
        <w:rPr>
          <w:lang w:val="fr-CH"/>
        </w:rPr>
        <w:t>2.6</w:t>
      </w:r>
      <w:r w:rsidRPr="00457778">
        <w:rPr>
          <w:lang w:val="fr-CH"/>
        </w:rPr>
        <w:tab/>
        <w:t>Rôle de l</w:t>
      </w:r>
      <w:r w:rsidR="007A68A3">
        <w:rPr>
          <w:lang w:val="fr-CH"/>
        </w:rPr>
        <w:t>'</w:t>
      </w:r>
      <w:r w:rsidR="00C91310" w:rsidRPr="00457778">
        <w:rPr>
          <w:lang w:val="fr-CH"/>
        </w:rPr>
        <w:t>UIT</w:t>
      </w:r>
      <w:r w:rsidRPr="00457778">
        <w:rPr>
          <w:lang w:val="fr-CH"/>
        </w:rPr>
        <w:t xml:space="preserve"> en tant qu</w:t>
      </w:r>
      <w:r w:rsidR="007A68A3">
        <w:rPr>
          <w:lang w:val="fr-CH"/>
        </w:rPr>
        <w:t>'</w:t>
      </w:r>
      <w:r w:rsidRPr="00457778">
        <w:rPr>
          <w:lang w:val="fr-CH"/>
        </w:rPr>
        <w:t>Autorité de surveillance du futur système international d</w:t>
      </w:r>
      <w:r w:rsidR="007A68A3">
        <w:rPr>
          <w:lang w:val="fr-CH"/>
        </w:rPr>
        <w:t>'</w:t>
      </w:r>
      <w:r w:rsidRPr="00457778">
        <w:rPr>
          <w:lang w:val="fr-CH"/>
        </w:rPr>
        <w:t xml:space="preserve">inscription pour les biens spatiaux conformément </w:t>
      </w:r>
      <w:r w:rsidR="00DE2CF5">
        <w:rPr>
          <w:lang w:val="fr-CH"/>
        </w:rPr>
        <w:t>au projet de protocole portant sur les biens spatiaux</w:t>
      </w:r>
    </w:p>
    <w:p w:rsidR="00F03F83" w:rsidRDefault="00F03F83" w:rsidP="00C91310">
      <w:pPr>
        <w:rPr>
          <w:lang w:val="fr-CH"/>
        </w:rPr>
      </w:pPr>
      <w:r>
        <w:rPr>
          <w:lang w:val="fr-CH"/>
        </w:rPr>
        <w:t xml:space="preserve">Le Conseil a examiné les </w:t>
      </w:r>
      <w:r w:rsidRPr="00457778">
        <w:rPr>
          <w:lang w:val="fr-CH"/>
        </w:rPr>
        <w:t>renseignements sur le rôle que pourrait jouer l</w:t>
      </w:r>
      <w:r w:rsidR="007A68A3">
        <w:rPr>
          <w:lang w:val="fr-CH"/>
        </w:rPr>
        <w:t>'</w:t>
      </w:r>
      <w:r w:rsidRPr="00457778">
        <w:rPr>
          <w:lang w:val="fr-CH"/>
        </w:rPr>
        <w:t>UIT en tant qu</w:t>
      </w:r>
      <w:r w:rsidR="007A68A3">
        <w:rPr>
          <w:lang w:val="fr-CH"/>
        </w:rPr>
        <w:t>'</w:t>
      </w:r>
      <w:r w:rsidRPr="00457778">
        <w:rPr>
          <w:lang w:val="fr-CH"/>
        </w:rPr>
        <w:t>Autorité de surveillance du futur système international d</w:t>
      </w:r>
      <w:r w:rsidR="007A68A3">
        <w:rPr>
          <w:lang w:val="fr-CH"/>
        </w:rPr>
        <w:t>'</w:t>
      </w:r>
      <w:r w:rsidRPr="00457778">
        <w:rPr>
          <w:lang w:val="fr-CH"/>
        </w:rPr>
        <w:t>inscription pour les biens spatiaux, conformément au Protocole portant sur les questions spécifiques aux biens spatiaux à la Convention relative aux garanties internationales portant sur des matériels d</w:t>
      </w:r>
      <w:r w:rsidR="007A68A3">
        <w:rPr>
          <w:lang w:val="fr-CH"/>
        </w:rPr>
        <w:t>'</w:t>
      </w:r>
      <w:r w:rsidRPr="00457778">
        <w:rPr>
          <w:lang w:val="fr-CH"/>
        </w:rPr>
        <w:t>équipement mobiles</w:t>
      </w:r>
      <w:r>
        <w:rPr>
          <w:lang w:val="fr-CH"/>
        </w:rPr>
        <w:t xml:space="preserve"> </w:t>
      </w:r>
      <w:r w:rsidRPr="00457778">
        <w:rPr>
          <w:lang w:val="fr-CH"/>
        </w:rPr>
        <w:t>en cours d</w:t>
      </w:r>
      <w:r w:rsidR="007A68A3">
        <w:rPr>
          <w:lang w:val="fr-CH"/>
        </w:rPr>
        <w:t>'</w:t>
      </w:r>
      <w:r w:rsidRPr="00457778">
        <w:rPr>
          <w:lang w:val="fr-CH"/>
        </w:rPr>
        <w:t>élaboration par</w:t>
      </w:r>
      <w:r w:rsidR="00F50533">
        <w:rPr>
          <w:lang w:val="fr-CH"/>
        </w:rPr>
        <w:t> </w:t>
      </w:r>
      <w:r w:rsidRPr="00457778">
        <w:rPr>
          <w:lang w:val="fr-CH"/>
        </w:rPr>
        <w:t xml:space="preserve">UNIDROIT. </w:t>
      </w:r>
      <w:r w:rsidRPr="007F0793">
        <w:rPr>
          <w:lang w:val="fr-CH"/>
        </w:rPr>
        <w:t>L</w:t>
      </w:r>
      <w:r w:rsidR="007A68A3">
        <w:rPr>
          <w:lang w:val="fr-CH"/>
        </w:rPr>
        <w:t>'</w:t>
      </w:r>
      <w:r w:rsidRPr="007F0793">
        <w:rPr>
          <w:lang w:val="fr-CH"/>
        </w:rPr>
        <w:t>initiative prise par UNIDROIT vise à faciliter le développement des services par satellite, en créant un nouveau régime international pour le financement des activités spatiales commerciales.</w:t>
      </w:r>
      <w:r>
        <w:rPr>
          <w:lang w:val="fr-CH"/>
        </w:rPr>
        <w:t xml:space="preserve"> C</w:t>
      </w:r>
      <w:r w:rsidRPr="007F0793">
        <w:rPr>
          <w:lang w:val="fr-CH"/>
        </w:rPr>
        <w:t>ette activité viendrait compléter les activités menées par l</w:t>
      </w:r>
      <w:r w:rsidR="007A68A3">
        <w:rPr>
          <w:lang w:val="fr-CH"/>
        </w:rPr>
        <w:t>'</w:t>
      </w:r>
      <w:r w:rsidRPr="007F0793">
        <w:rPr>
          <w:lang w:val="fr-CH"/>
        </w:rPr>
        <w:t>Union dans le domaine de la gestion des ressources spectre/orbit</w:t>
      </w:r>
      <w:r w:rsidR="00DE2CF5">
        <w:rPr>
          <w:lang w:val="fr-CH"/>
        </w:rPr>
        <w:t>es pour les réseaux à satellite et ne ferait pas double emploi avec celles</w:t>
      </w:r>
      <w:r w:rsidR="00DE2CF5">
        <w:rPr>
          <w:lang w:val="fr-CH"/>
        </w:rPr>
        <w:noBreakHyphen/>
        <w:t>ci</w:t>
      </w:r>
      <w:r w:rsidR="00F50533">
        <w:rPr>
          <w:lang w:val="fr-CH"/>
        </w:rPr>
        <w:t>.</w:t>
      </w:r>
    </w:p>
    <w:p w:rsidR="00F03F83" w:rsidRPr="00035DCD" w:rsidRDefault="00F03F83" w:rsidP="00C91310">
      <w:pPr>
        <w:snapToGrid w:val="0"/>
        <w:rPr>
          <w:iCs/>
          <w:szCs w:val="24"/>
          <w:lang w:val="fr-CH"/>
        </w:rPr>
      </w:pPr>
      <w:r>
        <w:rPr>
          <w:lang w:val="fr-CH"/>
        </w:rPr>
        <w:t xml:space="preserve">Le Conseil </w:t>
      </w:r>
      <w:r w:rsidRPr="00C15B4B">
        <w:rPr>
          <w:lang w:val="fr-CH"/>
        </w:rPr>
        <w:t>a décidé d</w:t>
      </w:r>
      <w:r w:rsidR="007A68A3">
        <w:rPr>
          <w:lang w:val="fr-CH"/>
        </w:rPr>
        <w:t>'</w:t>
      </w:r>
      <w:r w:rsidRPr="00C15B4B">
        <w:rPr>
          <w:iCs/>
          <w:szCs w:val="24"/>
          <w:lang w:val="fr-CH"/>
        </w:rPr>
        <w:t>autoris</w:t>
      </w:r>
      <w:r>
        <w:rPr>
          <w:iCs/>
          <w:szCs w:val="24"/>
          <w:lang w:val="fr-CH"/>
        </w:rPr>
        <w:t>er</w:t>
      </w:r>
      <w:r w:rsidRPr="00457778">
        <w:rPr>
          <w:iCs/>
          <w:szCs w:val="24"/>
          <w:lang w:val="fr-CH"/>
        </w:rPr>
        <w:t xml:space="preserve"> le Secrétaire général à participer, en qualité d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 xml:space="preserve">observateur, à la Conférence diplomatique </w:t>
      </w:r>
      <w:r w:rsidR="00C91310">
        <w:rPr>
          <w:iCs/>
          <w:szCs w:val="24"/>
          <w:lang w:val="fr-CH"/>
        </w:rPr>
        <w:t>prévue</w:t>
      </w:r>
      <w:r w:rsidRPr="00457778">
        <w:rPr>
          <w:iCs/>
          <w:szCs w:val="24"/>
          <w:lang w:val="fr-CH"/>
        </w:rPr>
        <w:t xml:space="preserve"> à Berlin</w:t>
      </w:r>
      <w:r w:rsidR="00F50533">
        <w:rPr>
          <w:iCs/>
          <w:szCs w:val="24"/>
          <w:lang w:val="fr-CH"/>
        </w:rPr>
        <w:t xml:space="preserve"> </w:t>
      </w:r>
      <w:r>
        <w:rPr>
          <w:iCs/>
          <w:szCs w:val="24"/>
          <w:lang w:val="fr-CH"/>
        </w:rPr>
        <w:t>(Allemagne) du 27 février au 9 mars 2012. Il a également décidé</w:t>
      </w:r>
      <w:r w:rsidRPr="00C15B4B">
        <w:rPr>
          <w:iCs/>
          <w:szCs w:val="24"/>
          <w:lang w:val="fr-CH"/>
        </w:rPr>
        <w:t xml:space="preserve"> </w:t>
      </w:r>
      <w:r w:rsidRPr="00457778">
        <w:rPr>
          <w:iCs/>
          <w:szCs w:val="24"/>
          <w:lang w:val="fr-CH"/>
        </w:rPr>
        <w:t>qu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>il n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>y avait pas lieu de préjuger</w:t>
      </w:r>
      <w:r>
        <w:rPr>
          <w:iCs/>
          <w:szCs w:val="24"/>
          <w:lang w:val="fr-CH"/>
        </w:rPr>
        <w:t xml:space="preserve"> </w:t>
      </w:r>
      <w:r w:rsidRPr="00457778">
        <w:rPr>
          <w:iCs/>
          <w:szCs w:val="24"/>
          <w:lang w:val="fr-CH"/>
        </w:rPr>
        <w:t>la question de savoir si l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>UIT pourrait ou non être l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>Autorité de surveillance,</w:t>
      </w:r>
      <w:r>
        <w:rPr>
          <w:iCs/>
          <w:szCs w:val="24"/>
          <w:lang w:val="fr-CH"/>
        </w:rPr>
        <w:t xml:space="preserve"> </w:t>
      </w:r>
      <w:r w:rsidRPr="00457778">
        <w:rPr>
          <w:iCs/>
          <w:szCs w:val="24"/>
          <w:lang w:val="fr-CH"/>
        </w:rPr>
        <w:t>et que</w:t>
      </w:r>
      <w:r>
        <w:rPr>
          <w:iCs/>
          <w:szCs w:val="24"/>
          <w:lang w:val="fr-CH"/>
        </w:rPr>
        <w:t xml:space="preserve"> nonobstant ce qui précède</w:t>
      </w:r>
      <w:r w:rsidR="00DE2CF5">
        <w:rPr>
          <w:iCs/>
          <w:szCs w:val="24"/>
          <w:lang w:val="fr-CH"/>
        </w:rPr>
        <w:t>,</w:t>
      </w:r>
      <w:r w:rsidRPr="00457778">
        <w:rPr>
          <w:iCs/>
          <w:szCs w:val="24"/>
          <w:lang w:val="fr-CH"/>
        </w:rPr>
        <w:t xml:space="preserve"> le Secrétaire général de l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>UIT pourrait continuer d</w:t>
      </w:r>
      <w:r w:rsidR="007A68A3">
        <w:rPr>
          <w:iCs/>
          <w:szCs w:val="24"/>
          <w:lang w:val="fr-CH"/>
        </w:rPr>
        <w:t>'</w:t>
      </w:r>
      <w:r w:rsidRPr="00457778">
        <w:rPr>
          <w:iCs/>
          <w:szCs w:val="24"/>
          <w:lang w:val="fr-CH"/>
        </w:rPr>
        <w:t>exprimer son intérêt</w:t>
      </w:r>
      <w:r>
        <w:rPr>
          <w:rFonts w:ascii="Segoe UI" w:hAnsi="Segoe UI" w:cs="Segoe UI"/>
          <w:color w:val="000000"/>
          <w:sz w:val="20"/>
          <w:lang w:val="fr-CH"/>
        </w:rPr>
        <w:t xml:space="preserve">. </w:t>
      </w:r>
      <w:r w:rsidRPr="00DE2CF5">
        <w:rPr>
          <w:color w:val="000000"/>
          <w:szCs w:val="24"/>
          <w:lang w:val="fr-CH"/>
        </w:rPr>
        <w:t xml:space="preserve">Enfin, </w:t>
      </w:r>
      <w:r w:rsidR="00DE2CF5">
        <w:rPr>
          <w:color w:val="000000"/>
          <w:szCs w:val="24"/>
          <w:lang w:val="fr-CH"/>
        </w:rPr>
        <w:t>le Conseil</w:t>
      </w:r>
      <w:r w:rsidR="00DE2CF5" w:rsidRPr="00DE2CF5">
        <w:rPr>
          <w:color w:val="000000"/>
          <w:szCs w:val="24"/>
          <w:lang w:val="fr-CH"/>
        </w:rPr>
        <w:t xml:space="preserve"> </w:t>
      </w:r>
      <w:r w:rsidRPr="00DE2CF5">
        <w:rPr>
          <w:color w:val="000000"/>
          <w:szCs w:val="24"/>
          <w:lang w:val="fr-CH"/>
        </w:rPr>
        <w:t>a décidé que le</w:t>
      </w:r>
      <w:r>
        <w:rPr>
          <w:rFonts w:ascii="Segoe UI" w:hAnsi="Segoe UI" w:cs="Segoe UI"/>
          <w:color w:val="000000"/>
          <w:sz w:val="20"/>
          <w:lang w:val="fr-CH"/>
        </w:rPr>
        <w:t xml:space="preserve"> </w:t>
      </w:r>
      <w:r w:rsidRPr="00035DCD">
        <w:rPr>
          <w:iCs/>
          <w:szCs w:val="24"/>
          <w:lang w:val="fr-CH"/>
        </w:rPr>
        <w:t>Secrétaire général dev</w:t>
      </w:r>
      <w:r w:rsidR="00DE2CF5">
        <w:rPr>
          <w:iCs/>
          <w:szCs w:val="24"/>
          <w:lang w:val="fr-CH"/>
        </w:rPr>
        <w:t>r</w:t>
      </w:r>
      <w:r w:rsidRPr="00035DCD">
        <w:rPr>
          <w:iCs/>
          <w:szCs w:val="24"/>
          <w:lang w:val="fr-CH"/>
        </w:rPr>
        <w:t>ait lui soumettre, à sa session de 2012, un rapport dans lequel la question serait examinée plus avant, à la lumière des résultats de la Conférence diplomatique, compte tenu des incidences financières, juridiques et techniques.</w:t>
      </w:r>
    </w:p>
    <w:p w:rsidR="00F03F83" w:rsidRDefault="00F03F83" w:rsidP="00D172D6">
      <w:pPr>
        <w:snapToGrid w:val="0"/>
        <w:rPr>
          <w:rFonts w:cstheme="minorHAnsi"/>
          <w:color w:val="000000"/>
          <w:szCs w:val="24"/>
          <w:lang w:val="fr-CH"/>
        </w:rPr>
      </w:pPr>
      <w:r>
        <w:rPr>
          <w:iCs/>
          <w:szCs w:val="24"/>
          <w:lang w:val="fr-CH"/>
        </w:rPr>
        <w:t>L</w:t>
      </w:r>
      <w:r w:rsidRPr="006A0825">
        <w:rPr>
          <w:rFonts w:cstheme="minorHAnsi"/>
          <w:szCs w:val="24"/>
          <w:lang w:val="fr-CH"/>
        </w:rPr>
        <w:t xml:space="preserve">a Conférence </w:t>
      </w:r>
      <w:r>
        <w:rPr>
          <w:rFonts w:cstheme="minorHAnsi"/>
          <w:szCs w:val="24"/>
          <w:lang w:val="fr-CH"/>
        </w:rPr>
        <w:t xml:space="preserve">diplomatique </w:t>
      </w:r>
      <w:r w:rsidRPr="006A0825">
        <w:rPr>
          <w:rFonts w:cstheme="minorHAnsi"/>
          <w:szCs w:val="24"/>
          <w:lang w:val="fr-CH"/>
        </w:rPr>
        <w:t>a adopté le texte du Protocole portant sur les questions spécifiques aux biens spatiaux à la Convention relative aux garanties internationales portant sur des matériels d</w:t>
      </w:r>
      <w:r w:rsidR="007A68A3">
        <w:rPr>
          <w:rFonts w:cstheme="minorHAnsi"/>
          <w:szCs w:val="24"/>
          <w:lang w:val="fr-CH"/>
        </w:rPr>
        <w:t>'</w:t>
      </w:r>
      <w:r w:rsidRPr="006A0825">
        <w:rPr>
          <w:rFonts w:cstheme="minorHAnsi"/>
          <w:szCs w:val="24"/>
          <w:lang w:val="fr-CH"/>
        </w:rPr>
        <w:t>équipement mobiles (</w:t>
      </w:r>
      <w:hyperlink r:id="rId14" w:history="1">
        <w:r w:rsidR="00D172D6">
          <w:rPr>
            <w:rStyle w:val="Hyperlink"/>
            <w:rFonts w:cstheme="minorHAnsi"/>
            <w:szCs w:val="24"/>
          </w:rPr>
          <w:t>Protocole portant sur les biens spatiaux</w:t>
        </w:r>
      </w:hyperlink>
      <w:r w:rsidRPr="006A0825">
        <w:rPr>
          <w:rFonts w:cstheme="minorHAnsi"/>
          <w:szCs w:val="24"/>
          <w:lang w:val="fr-CH"/>
        </w:rPr>
        <w:t>), qui a été ouvert à la signature à Rome le lendemain de la clôture de la Conférence (9 mars 2012) jusqu</w:t>
      </w:r>
      <w:r w:rsidR="007A68A3">
        <w:rPr>
          <w:rFonts w:cstheme="minorHAnsi"/>
          <w:szCs w:val="24"/>
          <w:lang w:val="fr-CH"/>
        </w:rPr>
        <w:t>'</w:t>
      </w:r>
      <w:r w:rsidRPr="006A0825">
        <w:rPr>
          <w:rFonts w:cstheme="minorHAnsi"/>
          <w:szCs w:val="24"/>
          <w:lang w:val="fr-CH"/>
        </w:rPr>
        <w:t>à ce qu</w:t>
      </w:r>
      <w:r w:rsidR="007A68A3">
        <w:rPr>
          <w:rFonts w:cstheme="minorHAnsi"/>
          <w:szCs w:val="24"/>
          <w:lang w:val="fr-CH"/>
        </w:rPr>
        <w:t>'</w:t>
      </w:r>
      <w:r w:rsidRPr="006A0825">
        <w:rPr>
          <w:rFonts w:cstheme="minorHAnsi"/>
          <w:szCs w:val="24"/>
          <w:lang w:val="fr-CH"/>
        </w:rPr>
        <w:t>il entre en vigueur</w:t>
      </w:r>
      <w:r w:rsidR="00D172D6">
        <w:rPr>
          <w:rFonts w:cstheme="minorHAnsi"/>
          <w:szCs w:val="24"/>
          <w:lang w:val="fr-CH"/>
        </w:rPr>
        <w:t>.</w:t>
      </w:r>
      <w:r w:rsidRPr="006A0825">
        <w:rPr>
          <w:rFonts w:cstheme="minorHAnsi"/>
          <w:szCs w:val="24"/>
          <w:lang w:val="fr-CH"/>
        </w:rPr>
        <w:t xml:space="preserve"> </w:t>
      </w:r>
      <w:r w:rsidRPr="006A0825">
        <w:rPr>
          <w:rFonts w:cstheme="minorHAnsi"/>
          <w:color w:val="000000"/>
          <w:szCs w:val="24"/>
          <w:lang w:val="fr-CH"/>
        </w:rPr>
        <w:t>Ainsi qu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il en avait été chargé par le Conseil à sa session de 2011,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observateur représentant le Secrétaire général de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UIT a exprimé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intérêt de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 xml:space="preserve">Union pour que </w:t>
      </w:r>
      <w:r w:rsidR="00DE2CF5">
        <w:rPr>
          <w:rFonts w:cstheme="minorHAnsi"/>
          <w:color w:val="000000"/>
          <w:szCs w:val="24"/>
          <w:lang w:val="fr-CH"/>
        </w:rPr>
        <w:t>celle</w:t>
      </w:r>
      <w:r w:rsidR="00DE2CF5">
        <w:rPr>
          <w:rFonts w:cstheme="minorHAnsi"/>
          <w:color w:val="000000"/>
          <w:szCs w:val="24"/>
          <w:lang w:val="fr-CH"/>
        </w:rPr>
        <w:noBreakHyphen/>
        <w:t>ci</w:t>
      </w:r>
      <w:r w:rsidRPr="006A0825">
        <w:rPr>
          <w:rFonts w:cstheme="minorHAnsi"/>
          <w:color w:val="000000"/>
          <w:szCs w:val="24"/>
          <w:lang w:val="fr-CH"/>
        </w:rPr>
        <w:t xml:space="preserve"> envisage de devenir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Autorité de surveillance du Registre international pour les biens spatiaux, sous réserve de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examen de la question par les organes directeurs de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UIT et sans préjudice de la décision qu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>ils prendront à cet égard, à la lumière des résultats de la Conférence, compte tenu des incidences financières, juridiques et techniques d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6A0825">
        <w:rPr>
          <w:rFonts w:cstheme="minorHAnsi"/>
          <w:color w:val="000000"/>
          <w:szCs w:val="24"/>
          <w:lang w:val="fr-CH"/>
        </w:rPr>
        <w:t xml:space="preserve">une telle décision. </w:t>
      </w:r>
    </w:p>
    <w:p w:rsidR="00F03F83" w:rsidRPr="00CE6B74" w:rsidRDefault="00F03F83" w:rsidP="00C91310">
      <w:pPr>
        <w:snapToGrid w:val="0"/>
        <w:rPr>
          <w:rFonts w:cstheme="minorHAnsi"/>
          <w:szCs w:val="24"/>
          <w:lang w:val="fr-CH"/>
        </w:rPr>
      </w:pPr>
      <w:r w:rsidRPr="00CE6B74">
        <w:rPr>
          <w:rFonts w:cstheme="minorHAnsi"/>
          <w:color w:val="000000"/>
          <w:szCs w:val="24"/>
          <w:lang w:val="fr-CH"/>
        </w:rPr>
        <w:t xml:space="preserve">La Conférence </w:t>
      </w:r>
      <w:r>
        <w:rPr>
          <w:rFonts w:cstheme="minorHAnsi"/>
          <w:color w:val="000000"/>
          <w:szCs w:val="24"/>
          <w:lang w:val="fr-CH"/>
        </w:rPr>
        <w:t xml:space="preserve">diplomatique </w:t>
      </w:r>
      <w:r w:rsidRPr="00CE6B74">
        <w:rPr>
          <w:rFonts w:cstheme="minorHAnsi"/>
          <w:color w:val="000000"/>
          <w:szCs w:val="24"/>
          <w:lang w:val="fr-CH"/>
        </w:rPr>
        <w:t xml:space="preserve">a adopté </w:t>
      </w:r>
      <w:r>
        <w:rPr>
          <w:rFonts w:cstheme="minorHAnsi"/>
          <w:color w:val="000000"/>
          <w:szCs w:val="24"/>
          <w:lang w:val="fr-CH"/>
        </w:rPr>
        <w:t>une Résolution</w:t>
      </w:r>
      <w:r w:rsidRPr="00CE6B74">
        <w:rPr>
          <w:rFonts w:cstheme="minorHAnsi"/>
          <w:color w:val="000000"/>
          <w:szCs w:val="24"/>
          <w:lang w:val="fr-CH"/>
        </w:rPr>
        <w:t xml:space="preserve"> concernant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CE6B74">
        <w:rPr>
          <w:rFonts w:cstheme="minorHAnsi"/>
          <w:color w:val="000000"/>
          <w:szCs w:val="24"/>
          <w:lang w:val="fr-CH"/>
        </w:rPr>
        <w:t>établissement de la Commission préparatoire et du Registre international pour les biens spatiaux, par laquelle il a été décidé</w:t>
      </w:r>
      <w:r>
        <w:rPr>
          <w:rFonts w:cstheme="minorHAnsi"/>
          <w:color w:val="000000"/>
          <w:szCs w:val="24"/>
          <w:lang w:val="fr-CH"/>
        </w:rPr>
        <w:t xml:space="preserve"> </w:t>
      </w:r>
      <w:r w:rsidRPr="00CE6B74">
        <w:rPr>
          <w:rFonts w:cstheme="minorHAnsi"/>
          <w:color w:val="000000"/>
          <w:szCs w:val="24"/>
          <w:lang w:val="fr-CH"/>
        </w:rPr>
        <w:t>d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CE6B74">
        <w:rPr>
          <w:rFonts w:cstheme="minorHAnsi"/>
          <w:color w:val="000000"/>
          <w:szCs w:val="24"/>
          <w:lang w:val="fr-CH"/>
        </w:rPr>
        <w:t>établir</w:t>
      </w:r>
      <w:r>
        <w:rPr>
          <w:rFonts w:cstheme="minorHAnsi"/>
          <w:color w:val="000000"/>
          <w:szCs w:val="24"/>
          <w:lang w:val="fr-CH"/>
        </w:rPr>
        <w:t xml:space="preserve"> </w:t>
      </w:r>
      <w:r w:rsidRPr="00CE6B74">
        <w:rPr>
          <w:rFonts w:cstheme="minorHAnsi"/>
          <w:color w:val="000000"/>
          <w:szCs w:val="24"/>
          <w:lang w:val="fr-CH"/>
        </w:rPr>
        <w:t>une Commission préparatoire investie de tous les pouvoirs nécessaires pour faire fonction d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CE6B74">
        <w:rPr>
          <w:rFonts w:cstheme="minorHAnsi"/>
          <w:color w:val="000000"/>
          <w:szCs w:val="24"/>
          <w:lang w:val="fr-CH"/>
        </w:rPr>
        <w:t>Autorité provisoire de surveillance pour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CE6B74">
        <w:rPr>
          <w:rFonts w:cstheme="minorHAnsi"/>
          <w:color w:val="000000"/>
          <w:szCs w:val="24"/>
          <w:lang w:val="fr-CH"/>
        </w:rPr>
        <w:t>établissement du Registre international pour les biens spatiaux</w:t>
      </w:r>
      <w:r>
        <w:rPr>
          <w:rFonts w:cstheme="minorHAnsi"/>
          <w:color w:val="000000"/>
          <w:szCs w:val="24"/>
          <w:lang w:val="fr-CH"/>
        </w:rPr>
        <w:t>.</w:t>
      </w:r>
      <w:r w:rsidRPr="00CE6B74">
        <w:rPr>
          <w:rFonts w:ascii="Segoe UI" w:hAnsi="Segoe UI" w:cs="Segoe UI"/>
          <w:color w:val="000000"/>
          <w:sz w:val="20"/>
          <w:lang w:val="fr-CH"/>
        </w:rPr>
        <w:t xml:space="preserve"> </w:t>
      </w:r>
      <w:r w:rsidRPr="00CE6B74">
        <w:rPr>
          <w:rFonts w:cstheme="minorHAnsi"/>
          <w:color w:val="000000"/>
          <w:szCs w:val="24"/>
          <w:lang w:val="fr-CH"/>
        </w:rPr>
        <w:t>Cette Commission préparatoire sera composée de personnes possédant les qualifications et l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CE6B74">
        <w:rPr>
          <w:rFonts w:cstheme="minorHAnsi"/>
          <w:color w:val="000000"/>
          <w:szCs w:val="24"/>
          <w:lang w:val="fr-CH"/>
        </w:rPr>
        <w:t>expérience nécessaires</w:t>
      </w:r>
      <w:r w:rsidR="00DE2CF5">
        <w:rPr>
          <w:rFonts w:cstheme="minorHAnsi"/>
          <w:color w:val="000000"/>
          <w:szCs w:val="24"/>
          <w:lang w:val="fr-CH"/>
        </w:rPr>
        <w:t>,</w:t>
      </w:r>
      <w:r w:rsidRPr="00CE6B74">
        <w:rPr>
          <w:rFonts w:cstheme="minorHAnsi"/>
          <w:color w:val="000000"/>
          <w:szCs w:val="24"/>
          <w:lang w:val="fr-CH"/>
        </w:rPr>
        <w:t xml:space="preserve"> proposées par un tiers des </w:t>
      </w:r>
      <w:proofErr w:type="spellStart"/>
      <w:r w:rsidRPr="00CE6B74">
        <w:rPr>
          <w:rFonts w:cstheme="minorHAnsi"/>
          <w:color w:val="000000"/>
          <w:szCs w:val="24"/>
          <w:lang w:val="fr-CH"/>
        </w:rPr>
        <w:t>Etats</w:t>
      </w:r>
      <w:proofErr w:type="spellEnd"/>
      <w:r w:rsidRPr="00CE6B74">
        <w:rPr>
          <w:rFonts w:cstheme="minorHAnsi"/>
          <w:color w:val="000000"/>
          <w:szCs w:val="24"/>
          <w:lang w:val="fr-CH"/>
        </w:rPr>
        <w:t xml:space="preserve"> ayant participé à la négociation</w:t>
      </w:r>
      <w:r w:rsidR="00DE2CF5" w:rsidRPr="00DE2CF5">
        <w:rPr>
          <w:color w:val="000000"/>
          <w:szCs w:val="24"/>
          <w:lang w:val="fr-CH"/>
        </w:rPr>
        <w:t>, et</w:t>
      </w:r>
      <w:r w:rsidRPr="00CE6B74">
        <w:rPr>
          <w:rFonts w:cstheme="minorHAnsi"/>
          <w:color w:val="000000"/>
          <w:szCs w:val="24"/>
          <w:lang w:val="fr-CH"/>
        </w:rPr>
        <w:t xml:space="preserve"> d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CE6B74">
        <w:rPr>
          <w:rFonts w:cstheme="minorHAnsi"/>
          <w:color w:val="000000"/>
          <w:szCs w:val="24"/>
          <w:lang w:val="fr-CH"/>
        </w:rPr>
        <w:t>observateurs</w:t>
      </w:r>
      <w:r>
        <w:rPr>
          <w:rFonts w:cstheme="minorHAnsi"/>
          <w:color w:val="000000"/>
          <w:szCs w:val="24"/>
          <w:lang w:val="fr-CH"/>
        </w:rPr>
        <w:t>, dont l</w:t>
      </w:r>
      <w:r w:rsidR="007A68A3">
        <w:rPr>
          <w:rFonts w:cstheme="minorHAnsi"/>
          <w:color w:val="000000"/>
          <w:szCs w:val="24"/>
          <w:lang w:val="fr-CH"/>
        </w:rPr>
        <w:t>'</w:t>
      </w:r>
      <w:r>
        <w:rPr>
          <w:rFonts w:cstheme="minorHAnsi"/>
          <w:color w:val="000000"/>
          <w:szCs w:val="24"/>
          <w:lang w:val="fr-CH"/>
        </w:rPr>
        <w:t>UIT.</w:t>
      </w:r>
      <w:r w:rsidRPr="007F0793">
        <w:rPr>
          <w:rFonts w:ascii="Segoe UI" w:hAnsi="Segoe UI" w:cs="Segoe UI"/>
          <w:color w:val="000000"/>
          <w:sz w:val="20"/>
          <w:lang w:val="fr-CH"/>
        </w:rPr>
        <w:t xml:space="preserve"> </w:t>
      </w:r>
      <w:r w:rsidRPr="007F0793">
        <w:rPr>
          <w:rFonts w:cstheme="minorHAnsi"/>
          <w:color w:val="000000"/>
          <w:szCs w:val="24"/>
          <w:lang w:val="fr-CH"/>
        </w:rPr>
        <w:t>Une réunion sous les auspices d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7F0793">
        <w:rPr>
          <w:rFonts w:cstheme="minorHAnsi"/>
          <w:color w:val="000000"/>
          <w:szCs w:val="24"/>
          <w:lang w:val="fr-CH"/>
        </w:rPr>
        <w:t>UNIDROI</w:t>
      </w:r>
      <w:r w:rsidR="00F50533">
        <w:rPr>
          <w:rFonts w:cstheme="minorHAnsi"/>
          <w:color w:val="000000"/>
          <w:szCs w:val="24"/>
          <w:lang w:val="fr-CH"/>
        </w:rPr>
        <w:t>T doit se tenir avant la fin de </w:t>
      </w:r>
      <w:r w:rsidRPr="007F0793">
        <w:rPr>
          <w:rFonts w:cstheme="minorHAnsi"/>
          <w:color w:val="000000"/>
          <w:szCs w:val="24"/>
          <w:lang w:val="fr-CH"/>
        </w:rPr>
        <w:t>2012 en vue d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7F0793">
        <w:rPr>
          <w:rFonts w:cstheme="minorHAnsi"/>
          <w:color w:val="000000"/>
          <w:szCs w:val="24"/>
          <w:lang w:val="fr-CH"/>
        </w:rPr>
        <w:t>éta</w:t>
      </w:r>
      <w:r w:rsidR="00DE2CF5">
        <w:rPr>
          <w:rFonts w:cstheme="minorHAnsi"/>
          <w:color w:val="000000"/>
          <w:szCs w:val="24"/>
          <w:lang w:val="fr-CH"/>
        </w:rPr>
        <w:t>blir la Commission préparatoire</w:t>
      </w:r>
      <w:r w:rsidRPr="00CE6B74">
        <w:rPr>
          <w:rFonts w:cstheme="minorHAnsi"/>
          <w:color w:val="000000"/>
          <w:szCs w:val="24"/>
          <w:lang w:val="fr-CH"/>
        </w:rPr>
        <w:t>.</w:t>
      </w:r>
    </w:p>
    <w:p w:rsidR="00F50533" w:rsidRDefault="00F50533" w:rsidP="00C91310">
      <w:pPr>
        <w:tabs>
          <w:tab w:val="left" w:pos="851"/>
          <w:tab w:val="left" w:pos="1418"/>
        </w:tabs>
        <w:spacing w:after="120"/>
        <w:rPr>
          <w:rFonts w:cstheme="minorHAnsi"/>
          <w:lang w:val="fr-CH"/>
        </w:rPr>
      </w:pPr>
      <w:r>
        <w:rPr>
          <w:rFonts w:cstheme="minorHAnsi"/>
          <w:lang w:val="fr-CH"/>
        </w:rPr>
        <w:br w:type="page"/>
      </w:r>
    </w:p>
    <w:p w:rsidR="00F03F83" w:rsidRDefault="00F03F83" w:rsidP="00C91310">
      <w:pPr>
        <w:tabs>
          <w:tab w:val="left" w:pos="851"/>
          <w:tab w:val="left" w:pos="1418"/>
        </w:tabs>
        <w:spacing w:after="120"/>
        <w:rPr>
          <w:rFonts w:cstheme="minorHAnsi"/>
          <w:lang w:val="fr-CH"/>
        </w:rPr>
      </w:pPr>
      <w:r w:rsidRPr="007F0793">
        <w:rPr>
          <w:rFonts w:cstheme="minorHAnsi"/>
          <w:lang w:val="fr-CH"/>
        </w:rPr>
        <w:t>Les résultats de la</w:t>
      </w:r>
      <w:r>
        <w:rPr>
          <w:rFonts w:cstheme="minorHAnsi"/>
          <w:lang w:val="fr-CH"/>
        </w:rPr>
        <w:t xml:space="preserve"> </w:t>
      </w:r>
      <w:r w:rsidRPr="007F0793">
        <w:rPr>
          <w:rFonts w:cstheme="minorHAnsi"/>
          <w:color w:val="000000"/>
          <w:szCs w:val="24"/>
          <w:lang w:val="fr-CH"/>
        </w:rPr>
        <w:t>Conférence diplomatique, ainsi qu</w:t>
      </w:r>
      <w:r w:rsidR="007A68A3">
        <w:rPr>
          <w:rFonts w:cstheme="minorHAnsi"/>
          <w:color w:val="000000"/>
          <w:szCs w:val="24"/>
          <w:lang w:val="fr-CH"/>
        </w:rPr>
        <w:t>'</w:t>
      </w:r>
      <w:r w:rsidRPr="007F0793">
        <w:rPr>
          <w:rFonts w:cstheme="minorHAnsi"/>
          <w:color w:val="000000"/>
          <w:szCs w:val="24"/>
          <w:lang w:val="fr-CH"/>
        </w:rPr>
        <w:t>une demande visant à</w:t>
      </w:r>
      <w:r>
        <w:rPr>
          <w:rFonts w:cstheme="minorHAnsi"/>
          <w:lang w:val="fr-CH"/>
        </w:rPr>
        <w:t xml:space="preserve"> </w:t>
      </w:r>
      <w:r w:rsidRPr="007F0793">
        <w:rPr>
          <w:rFonts w:cstheme="minorHAnsi"/>
          <w:lang w:val="fr-CH"/>
        </w:rPr>
        <w:t>autoriser le Secrétaire général à continuer d</w:t>
      </w:r>
      <w:r w:rsidR="007A68A3">
        <w:rPr>
          <w:rFonts w:cstheme="minorHAnsi"/>
          <w:lang w:val="fr-CH"/>
        </w:rPr>
        <w:t>'</w:t>
      </w:r>
      <w:r w:rsidRPr="007F0793">
        <w:rPr>
          <w:rFonts w:cstheme="minorHAnsi"/>
          <w:lang w:val="fr-CH"/>
        </w:rPr>
        <w:t>exprimer l</w:t>
      </w:r>
      <w:r w:rsidR="007A68A3">
        <w:rPr>
          <w:rFonts w:cstheme="minorHAnsi"/>
          <w:lang w:val="fr-CH"/>
        </w:rPr>
        <w:t>'</w:t>
      </w:r>
      <w:r w:rsidRPr="007F0793">
        <w:rPr>
          <w:rFonts w:cstheme="minorHAnsi"/>
          <w:lang w:val="fr-CH"/>
        </w:rPr>
        <w:t>intérêt de l</w:t>
      </w:r>
      <w:r w:rsidR="007A68A3">
        <w:rPr>
          <w:rFonts w:cstheme="minorHAnsi"/>
          <w:lang w:val="fr-CH"/>
        </w:rPr>
        <w:t>'</w:t>
      </w:r>
      <w:r w:rsidRPr="007F0793">
        <w:rPr>
          <w:rFonts w:cstheme="minorHAnsi"/>
          <w:lang w:val="fr-CH"/>
        </w:rPr>
        <w:t>Union pour que l</w:t>
      </w:r>
      <w:r w:rsidR="007A68A3">
        <w:rPr>
          <w:rFonts w:cstheme="minorHAnsi"/>
          <w:lang w:val="fr-CH"/>
        </w:rPr>
        <w:t>'</w:t>
      </w:r>
      <w:r w:rsidRPr="007F0793">
        <w:rPr>
          <w:rFonts w:cstheme="minorHAnsi"/>
          <w:lang w:val="fr-CH"/>
        </w:rPr>
        <w:t>UIT envisage de devenir l</w:t>
      </w:r>
      <w:r w:rsidR="007A68A3">
        <w:rPr>
          <w:rFonts w:cstheme="minorHAnsi"/>
          <w:lang w:val="fr-CH"/>
        </w:rPr>
        <w:t>'</w:t>
      </w:r>
      <w:r w:rsidRPr="007F0793">
        <w:rPr>
          <w:rFonts w:cstheme="minorHAnsi"/>
          <w:lang w:val="fr-CH"/>
        </w:rPr>
        <w:t>Autorité de surveillance</w:t>
      </w:r>
      <w:r w:rsidRPr="007F0793">
        <w:rPr>
          <w:rFonts w:ascii="Segoe UI" w:hAnsi="Segoe UI" w:cs="Segoe UI"/>
          <w:color w:val="000000"/>
          <w:sz w:val="20"/>
          <w:lang w:val="fr-CH"/>
        </w:rPr>
        <w:t xml:space="preserve"> et </w:t>
      </w:r>
      <w:r w:rsidRPr="007F0793">
        <w:rPr>
          <w:rFonts w:cstheme="minorHAnsi"/>
          <w:lang w:val="fr-CH"/>
        </w:rPr>
        <w:t>à participer en tant qu</w:t>
      </w:r>
      <w:r w:rsidR="007A68A3">
        <w:rPr>
          <w:rFonts w:cstheme="minorHAnsi"/>
          <w:lang w:val="fr-CH"/>
        </w:rPr>
        <w:t>'</w:t>
      </w:r>
      <w:r w:rsidRPr="007F0793">
        <w:rPr>
          <w:rFonts w:cstheme="minorHAnsi"/>
          <w:lang w:val="fr-CH"/>
        </w:rPr>
        <w:t>observateur aux travaux de la Commission préparatoire, une fois que cette Commission aura été établie</w:t>
      </w:r>
      <w:r>
        <w:rPr>
          <w:rFonts w:cstheme="minorHAnsi"/>
          <w:lang w:val="fr-CH"/>
        </w:rPr>
        <w:t>, seront présentés au Conseil à sa prochaine session.</w:t>
      </w:r>
    </w:p>
    <w:p w:rsidR="00F03F83" w:rsidRPr="007E191B" w:rsidRDefault="00F03F83" w:rsidP="00C91310">
      <w:pPr>
        <w:pStyle w:val="Heading1"/>
        <w:rPr>
          <w:rFonts w:eastAsia="SimSun"/>
          <w:lang w:val="fr-CH" w:eastAsia="zh-CN"/>
        </w:rPr>
      </w:pPr>
      <w:r w:rsidRPr="007E191B">
        <w:rPr>
          <w:rFonts w:eastAsia="SimSun"/>
          <w:lang w:val="fr-CH" w:eastAsia="zh-CN"/>
        </w:rPr>
        <w:t>3</w:t>
      </w:r>
      <w:r w:rsidRPr="007E191B">
        <w:rPr>
          <w:rFonts w:eastAsia="SimSun"/>
          <w:lang w:val="fr-CH" w:eastAsia="zh-CN"/>
        </w:rPr>
        <w:tab/>
        <w:t>Résultats de</w:t>
      </w:r>
      <w:r>
        <w:rPr>
          <w:rFonts w:eastAsia="SimSun"/>
          <w:lang w:val="fr-CH" w:eastAsia="zh-CN"/>
        </w:rPr>
        <w:t xml:space="preserve"> l</w:t>
      </w:r>
      <w:r w:rsidR="007A68A3">
        <w:rPr>
          <w:rFonts w:eastAsia="SimSun"/>
          <w:lang w:val="fr-CH" w:eastAsia="zh-CN"/>
        </w:rPr>
        <w:t>'</w:t>
      </w:r>
      <w:r w:rsidR="00DE2CF5">
        <w:rPr>
          <w:rFonts w:eastAsia="SimSun"/>
          <w:lang w:val="fr-CH" w:eastAsia="zh-CN"/>
        </w:rPr>
        <w:t>AR-</w:t>
      </w:r>
      <w:r>
        <w:rPr>
          <w:rFonts w:eastAsia="SimSun"/>
          <w:lang w:val="fr-CH" w:eastAsia="zh-CN"/>
        </w:rPr>
        <w:t xml:space="preserve">12 </w:t>
      </w:r>
      <w:r w:rsidRPr="007E191B">
        <w:rPr>
          <w:rFonts w:eastAsia="SimSun"/>
          <w:lang w:val="fr-CH" w:eastAsia="zh-CN"/>
        </w:rPr>
        <w:t>et de la CMR-12</w:t>
      </w:r>
    </w:p>
    <w:p w:rsidR="00F03F83" w:rsidRPr="007E191B" w:rsidRDefault="00DD553C" w:rsidP="00C91310">
      <w:pPr>
        <w:pStyle w:val="Heading2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t>3.</w:t>
      </w:r>
      <w:r w:rsidR="000A4EA0">
        <w:rPr>
          <w:rFonts w:eastAsia="SimSun"/>
          <w:lang w:val="fr-CH" w:eastAsia="zh-CN"/>
        </w:rPr>
        <w:t>1</w:t>
      </w:r>
      <w:r w:rsidR="000A4EA0">
        <w:rPr>
          <w:rFonts w:eastAsia="SimSun"/>
          <w:lang w:val="fr-CH" w:eastAsia="zh-CN"/>
        </w:rPr>
        <w:tab/>
      </w:r>
      <w:r w:rsidR="00F03F83">
        <w:rPr>
          <w:rFonts w:eastAsia="SimSun"/>
          <w:lang w:val="fr-CH" w:eastAsia="zh-CN"/>
        </w:rPr>
        <w:t>Résultats de l</w:t>
      </w:r>
      <w:r w:rsidR="007A68A3">
        <w:rPr>
          <w:rFonts w:eastAsia="SimSun"/>
          <w:lang w:val="fr-CH" w:eastAsia="zh-CN"/>
        </w:rPr>
        <w:t>'</w:t>
      </w:r>
      <w:r w:rsidR="000A4EA0">
        <w:rPr>
          <w:rFonts w:eastAsia="SimSun"/>
          <w:lang w:val="fr-CH" w:eastAsia="zh-CN"/>
        </w:rPr>
        <w:t>AR</w:t>
      </w:r>
      <w:r w:rsidR="000A4EA0">
        <w:rPr>
          <w:rFonts w:eastAsia="SimSun"/>
          <w:lang w:val="fr-CH" w:eastAsia="zh-CN"/>
        </w:rPr>
        <w:noBreakHyphen/>
      </w:r>
      <w:r w:rsidR="00F03F83">
        <w:rPr>
          <w:rFonts w:eastAsia="SimSun"/>
          <w:lang w:val="fr-CH" w:eastAsia="zh-CN"/>
        </w:rPr>
        <w:t xml:space="preserve">12 </w:t>
      </w:r>
    </w:p>
    <w:p w:rsidR="00F03F83" w:rsidRPr="007E191B" w:rsidRDefault="00F03F83" w:rsidP="00C91310">
      <w:pPr>
        <w:rPr>
          <w:lang w:val="fr-CH"/>
        </w:rPr>
      </w:pPr>
      <w:r w:rsidRPr="007E191B">
        <w:rPr>
          <w:lang w:val="fr-CH"/>
        </w:rPr>
        <w:t>L</w:t>
      </w:r>
      <w:r w:rsidR="007A68A3">
        <w:rPr>
          <w:lang w:val="fr-CH"/>
        </w:rPr>
        <w:t>'</w:t>
      </w:r>
      <w:r w:rsidR="000A4EA0" w:rsidRPr="007E191B">
        <w:rPr>
          <w:lang w:val="fr-CH"/>
        </w:rPr>
        <w:t>A</w:t>
      </w:r>
      <w:r w:rsidRPr="007E191B">
        <w:rPr>
          <w:lang w:val="fr-CH"/>
        </w:rPr>
        <w:t>ssemblée des radiocommunications de 2012 (AR-12) s</w:t>
      </w:r>
      <w:r w:rsidR="007A68A3">
        <w:rPr>
          <w:lang w:val="fr-CH"/>
        </w:rPr>
        <w:t>'</w:t>
      </w:r>
      <w:r w:rsidRPr="007E191B">
        <w:rPr>
          <w:lang w:val="fr-CH"/>
        </w:rPr>
        <w:t xml:space="preserve">est tenue du 16 au 20 janvier 2012 à Genève, juste avant la CMR-12, sous la présidence de </w:t>
      </w:r>
      <w:r w:rsidR="000A4EA0">
        <w:rPr>
          <w:lang w:val="fr-CH"/>
        </w:rPr>
        <w:t>M</w:t>
      </w:r>
      <w:r w:rsidRPr="007E191B">
        <w:rPr>
          <w:lang w:val="fr-CH"/>
        </w:rPr>
        <w:t>. Alan Jamieson (</w:t>
      </w:r>
      <w:r w:rsidR="000A4EA0">
        <w:rPr>
          <w:lang w:val="fr-CH"/>
        </w:rPr>
        <w:t>Nouvelle</w:t>
      </w:r>
      <w:r w:rsidR="000A4EA0">
        <w:rPr>
          <w:lang w:val="fr-CH"/>
        </w:rPr>
        <w:noBreakHyphen/>
        <w:t>Zé</w:t>
      </w:r>
      <w:r>
        <w:rPr>
          <w:lang w:val="fr-CH"/>
        </w:rPr>
        <w:t>land</w:t>
      </w:r>
      <w:r w:rsidR="000A4EA0">
        <w:rPr>
          <w:lang w:val="fr-CH"/>
        </w:rPr>
        <w:t>e</w:t>
      </w:r>
      <w:r w:rsidRPr="007E191B">
        <w:rPr>
          <w:lang w:val="fr-CH"/>
        </w:rPr>
        <w:t xml:space="preserve">). </w:t>
      </w:r>
    </w:p>
    <w:p w:rsidR="00F03F83" w:rsidRPr="009D596B" w:rsidRDefault="00F03F83" w:rsidP="00C91310">
      <w:pPr>
        <w:rPr>
          <w:lang w:val="fr-CH"/>
        </w:rPr>
      </w:pPr>
      <w:r w:rsidRPr="005A1FE9">
        <w:rPr>
          <w:lang w:val="fr-CH"/>
        </w:rPr>
        <w:t>Ainsi qu</w:t>
      </w:r>
      <w:r w:rsidR="007A68A3">
        <w:rPr>
          <w:lang w:val="fr-CH"/>
        </w:rPr>
        <w:t>'</w:t>
      </w:r>
      <w:r w:rsidRPr="005A1FE9">
        <w:rPr>
          <w:lang w:val="fr-CH"/>
        </w:rPr>
        <w:t>il en avait été</w:t>
      </w:r>
      <w:r w:rsidR="000A4EA0">
        <w:rPr>
          <w:lang w:val="fr-CH"/>
        </w:rPr>
        <w:t xml:space="preserve"> décidé</w:t>
      </w:r>
      <w:r>
        <w:rPr>
          <w:lang w:val="fr-CH"/>
        </w:rPr>
        <w:t xml:space="preserve"> par le G</w:t>
      </w:r>
      <w:r w:rsidRPr="005A1FE9">
        <w:rPr>
          <w:lang w:val="fr-CH"/>
        </w:rPr>
        <w:t xml:space="preserve">CR à sa </w:t>
      </w:r>
      <w:r w:rsidR="000A4EA0">
        <w:rPr>
          <w:lang w:val="fr-CH"/>
        </w:rPr>
        <w:t>réunion</w:t>
      </w:r>
      <w:r w:rsidRPr="005A1FE9">
        <w:rPr>
          <w:lang w:val="fr-CH"/>
        </w:rPr>
        <w:t xml:space="preserve"> de 2011, le Livre des Résolutions de l</w:t>
      </w:r>
      <w:r w:rsidR="007A68A3">
        <w:rPr>
          <w:lang w:val="fr-CH"/>
        </w:rPr>
        <w:t>'</w:t>
      </w:r>
      <w:r w:rsidR="000A4EA0">
        <w:rPr>
          <w:lang w:val="fr-CH"/>
        </w:rPr>
        <w:t>UIT-R</w:t>
      </w:r>
      <w:r w:rsidRPr="005A1FE9">
        <w:rPr>
          <w:lang w:val="fr-CH"/>
        </w:rPr>
        <w:t xml:space="preserve"> </w:t>
      </w:r>
      <w:proofErr w:type="gramStart"/>
      <w:r w:rsidRPr="005A1FE9">
        <w:rPr>
          <w:lang w:val="fr-CH"/>
        </w:rPr>
        <w:t>a</w:t>
      </w:r>
      <w:proofErr w:type="gramEnd"/>
      <w:r w:rsidRPr="005A1FE9">
        <w:rPr>
          <w:lang w:val="fr-CH"/>
        </w:rPr>
        <w:t xml:space="preserve"> été élaboré et distribué sur support électronique seulement, dans les six langues, immédiatement après le dernier jour de l</w:t>
      </w:r>
      <w:r w:rsidR="007A68A3">
        <w:rPr>
          <w:lang w:val="fr-CH"/>
        </w:rPr>
        <w:t>'</w:t>
      </w:r>
      <w:r w:rsidR="000A4EA0">
        <w:rPr>
          <w:lang w:val="fr-CH"/>
        </w:rPr>
        <w:t>A</w:t>
      </w:r>
      <w:r w:rsidRPr="005A1FE9">
        <w:rPr>
          <w:lang w:val="fr-CH"/>
        </w:rPr>
        <w:t>ssemblée, après l</w:t>
      </w:r>
      <w:r w:rsidR="007A68A3">
        <w:rPr>
          <w:lang w:val="fr-CH"/>
        </w:rPr>
        <w:t>'</w:t>
      </w:r>
      <w:r w:rsidRPr="005A1FE9">
        <w:rPr>
          <w:lang w:val="fr-CH"/>
        </w:rPr>
        <w:t xml:space="preserve">approbation de 32 </w:t>
      </w:r>
      <w:r w:rsidR="000A4EA0">
        <w:rPr>
          <w:lang w:val="fr-CH"/>
        </w:rPr>
        <w:t>Résolutions UIT-R nouvelles ou modifiées.</w:t>
      </w:r>
      <w:r>
        <w:rPr>
          <w:lang w:val="fr-CH"/>
        </w:rPr>
        <w:t xml:space="preserve"> </w:t>
      </w:r>
      <w:r w:rsidRPr="005A1FE9">
        <w:rPr>
          <w:lang w:val="fr-CH"/>
        </w:rPr>
        <w:t xml:space="preserve">Parmi les </w:t>
      </w:r>
      <w:r>
        <w:rPr>
          <w:lang w:val="fr-CH"/>
        </w:rPr>
        <w:t>modi</w:t>
      </w:r>
      <w:r w:rsidRPr="005A1FE9">
        <w:rPr>
          <w:lang w:val="fr-CH"/>
        </w:rPr>
        <w:t xml:space="preserve">fications les plus notables, il y a lieu de citer les </w:t>
      </w:r>
      <w:r w:rsidR="000A4EA0" w:rsidRPr="005A1FE9">
        <w:rPr>
          <w:lang w:val="fr-CH"/>
        </w:rPr>
        <w:t xml:space="preserve">Résolutions </w:t>
      </w:r>
      <w:r w:rsidRPr="005A1FE9">
        <w:rPr>
          <w:lang w:val="fr-CH"/>
        </w:rPr>
        <w:t xml:space="preserve">relatives aux méthodes et procédures de travail, qui ont consisté à </w:t>
      </w:r>
      <w:r>
        <w:rPr>
          <w:lang w:val="fr-CH"/>
        </w:rPr>
        <w:t xml:space="preserve">regrouper </w:t>
      </w:r>
      <w:r w:rsidR="000A4EA0">
        <w:rPr>
          <w:lang w:val="fr-CH"/>
        </w:rPr>
        <w:t>les</w:t>
      </w:r>
      <w:r w:rsidRPr="005A1FE9">
        <w:rPr>
          <w:lang w:val="fr-CH"/>
        </w:rPr>
        <w:t xml:space="preserve"> textes </w:t>
      </w:r>
      <w:r>
        <w:rPr>
          <w:lang w:val="fr-CH"/>
        </w:rPr>
        <w:t xml:space="preserve">relatifs à des </w:t>
      </w:r>
      <w:r w:rsidR="000A4EA0" w:rsidRPr="005A1FE9">
        <w:rPr>
          <w:lang w:val="fr-CH"/>
        </w:rPr>
        <w:t>Question</w:t>
      </w:r>
      <w:r w:rsidR="000A4EA0">
        <w:rPr>
          <w:lang w:val="fr-CH"/>
        </w:rPr>
        <w:t xml:space="preserve">s </w:t>
      </w:r>
      <w:r>
        <w:rPr>
          <w:lang w:val="fr-CH"/>
        </w:rPr>
        <w:t>de l</w:t>
      </w:r>
      <w:r w:rsidR="007A68A3">
        <w:rPr>
          <w:lang w:val="fr-CH"/>
        </w:rPr>
        <w:t>'</w:t>
      </w:r>
      <w:r w:rsidR="000A4EA0">
        <w:rPr>
          <w:lang w:val="fr-CH"/>
        </w:rPr>
        <w:t>UIT-R</w:t>
      </w:r>
      <w:r>
        <w:rPr>
          <w:lang w:val="fr-CH"/>
        </w:rPr>
        <w:t xml:space="preserve"> qui avaient été distribués entre les </w:t>
      </w:r>
      <w:r w:rsidR="000A4EA0">
        <w:rPr>
          <w:lang w:val="fr-CH"/>
        </w:rPr>
        <w:t>Résolutions UIT-R</w:t>
      </w:r>
      <w:r>
        <w:rPr>
          <w:lang w:val="fr-CH"/>
        </w:rPr>
        <w:t xml:space="preserve"> 1 et </w:t>
      </w:r>
      <w:r w:rsidR="000A4EA0">
        <w:rPr>
          <w:lang w:val="fr-CH"/>
        </w:rPr>
        <w:t>UIT-R</w:t>
      </w:r>
      <w:r>
        <w:rPr>
          <w:lang w:val="fr-CH"/>
        </w:rPr>
        <w:t xml:space="preserve"> 5 et la suppression de la Résolution </w:t>
      </w:r>
      <w:r w:rsidR="000A4EA0">
        <w:rPr>
          <w:lang w:val="fr-CH"/>
        </w:rPr>
        <w:t>UIT-R</w:t>
      </w:r>
      <w:r>
        <w:rPr>
          <w:lang w:val="fr-CH"/>
        </w:rPr>
        <w:t xml:space="preserve"> 45. </w:t>
      </w:r>
      <w:r w:rsidRPr="005A1FE9">
        <w:rPr>
          <w:lang w:val="fr-CH"/>
        </w:rPr>
        <w:t>Le texte relatif à l</w:t>
      </w:r>
      <w:r w:rsidR="007A68A3">
        <w:rPr>
          <w:lang w:val="fr-CH"/>
        </w:rPr>
        <w:t>'</w:t>
      </w:r>
      <w:r w:rsidRPr="005A1FE9">
        <w:rPr>
          <w:lang w:val="fr-CH"/>
        </w:rPr>
        <w:t>adoption et à l</w:t>
      </w:r>
      <w:r w:rsidR="007A68A3">
        <w:rPr>
          <w:lang w:val="fr-CH"/>
        </w:rPr>
        <w:t>'</w:t>
      </w:r>
      <w:r w:rsidRPr="005A1FE9">
        <w:rPr>
          <w:lang w:val="fr-CH"/>
        </w:rPr>
        <w:t xml:space="preserve">approbation des Recommandations </w:t>
      </w:r>
      <w:r>
        <w:rPr>
          <w:lang w:val="fr-CH"/>
        </w:rPr>
        <w:t xml:space="preserve">a été </w:t>
      </w:r>
      <w:r w:rsidRPr="005A1FE9">
        <w:rPr>
          <w:lang w:val="fr-CH"/>
        </w:rPr>
        <w:t>simplifi</w:t>
      </w:r>
      <w:r>
        <w:rPr>
          <w:lang w:val="fr-CH"/>
        </w:rPr>
        <w:t>é</w:t>
      </w:r>
      <w:r w:rsidRPr="005A1FE9">
        <w:rPr>
          <w:lang w:val="fr-CH"/>
        </w:rPr>
        <w:t>, la procédure d</w:t>
      </w:r>
      <w:r w:rsidR="007A68A3">
        <w:rPr>
          <w:lang w:val="fr-CH"/>
        </w:rPr>
        <w:t>'</w:t>
      </w:r>
      <w:r w:rsidRPr="005A1FE9">
        <w:rPr>
          <w:lang w:val="fr-CH"/>
        </w:rPr>
        <w:t>adoption et approbation simultanée</w:t>
      </w:r>
      <w:r w:rsidR="000A4EA0">
        <w:rPr>
          <w:lang w:val="fr-CH"/>
        </w:rPr>
        <w:t>s</w:t>
      </w:r>
      <w:r w:rsidRPr="00642691">
        <w:rPr>
          <w:lang w:val="fr-CH"/>
        </w:rPr>
        <w:t xml:space="preserve"> </w:t>
      </w:r>
      <w:r>
        <w:rPr>
          <w:lang w:val="fr-CH"/>
        </w:rPr>
        <w:t>(</w:t>
      </w:r>
      <w:r w:rsidRPr="00642691">
        <w:rPr>
          <w:lang w:val="fr-CH"/>
        </w:rPr>
        <w:t>PSAA)</w:t>
      </w:r>
      <w:r w:rsidRPr="005A1FE9">
        <w:rPr>
          <w:lang w:val="fr-CH"/>
        </w:rPr>
        <w:t xml:space="preserve"> ayant été désignée </w:t>
      </w:r>
      <w:r>
        <w:rPr>
          <w:lang w:val="fr-CH"/>
        </w:rPr>
        <w:t xml:space="preserve">comme </w:t>
      </w:r>
      <w:r w:rsidRPr="005A1FE9">
        <w:rPr>
          <w:lang w:val="fr-CH"/>
        </w:rPr>
        <w:t>procédure</w:t>
      </w:r>
      <w:r>
        <w:rPr>
          <w:lang w:val="fr-CH"/>
        </w:rPr>
        <w:t xml:space="preserve"> </w:t>
      </w:r>
      <w:r w:rsidR="000A4EA0">
        <w:rPr>
          <w:lang w:val="fr-CH"/>
        </w:rPr>
        <w:t>«</w:t>
      </w:r>
      <w:r w:rsidRPr="005A1FE9">
        <w:rPr>
          <w:lang w:val="fr-CH"/>
        </w:rPr>
        <w:t>par défaut</w:t>
      </w:r>
      <w:r w:rsidR="000A4EA0">
        <w:rPr>
          <w:lang w:val="fr-CH"/>
        </w:rPr>
        <w:t>»</w:t>
      </w:r>
      <w:r w:rsidRPr="005A1FE9">
        <w:rPr>
          <w:lang w:val="fr-CH"/>
        </w:rPr>
        <w:t>.</w:t>
      </w:r>
      <w:r w:rsidRPr="00642691">
        <w:rPr>
          <w:lang w:val="fr-CH"/>
        </w:rPr>
        <w:t xml:space="preserve"> </w:t>
      </w:r>
      <w:r>
        <w:rPr>
          <w:lang w:val="fr-CH"/>
        </w:rPr>
        <w:t>Tous les délais de consultation par correspondance ont été harmonisés et ramenés à deux mois. La date limite de soumission des contributions a été examinée de manière approfondie et la solution de compromis a consisté à encourager les soumissions 12 jours civils avant l</w:t>
      </w:r>
      <w:r w:rsidR="007A68A3">
        <w:rPr>
          <w:lang w:val="fr-CH"/>
        </w:rPr>
        <w:t>'</w:t>
      </w:r>
      <w:r>
        <w:rPr>
          <w:lang w:val="fr-CH"/>
        </w:rPr>
        <w:t xml:space="preserve">ouverture de la réunion, le Secrétariat étant chargé de poster </w:t>
      </w:r>
      <w:r w:rsidR="000A4EA0">
        <w:rPr>
          <w:lang w:val="fr-CH"/>
        </w:rPr>
        <w:t xml:space="preserve">les contributions </w:t>
      </w:r>
      <w:r>
        <w:rPr>
          <w:lang w:val="fr-CH"/>
        </w:rPr>
        <w:t>«telles qu</w:t>
      </w:r>
      <w:r w:rsidR="007A68A3">
        <w:rPr>
          <w:lang w:val="fr-CH"/>
        </w:rPr>
        <w:t>'</w:t>
      </w:r>
      <w:r>
        <w:rPr>
          <w:lang w:val="fr-CH"/>
        </w:rPr>
        <w:t xml:space="preserve">elles ont été reçues» sur une page </w:t>
      </w:r>
      <w:r w:rsidR="000A4EA0">
        <w:rPr>
          <w:lang w:val="fr-CH"/>
        </w:rPr>
        <w:t>web</w:t>
      </w:r>
      <w:r>
        <w:rPr>
          <w:lang w:val="fr-CH"/>
        </w:rPr>
        <w:t xml:space="preserve"> spécialement conçue à cette fin. </w:t>
      </w:r>
      <w:r w:rsidRPr="009D596B">
        <w:rPr>
          <w:lang w:val="fr-CH"/>
        </w:rPr>
        <w:t>La date limite est toujours fixée à sept jours civils avant l</w:t>
      </w:r>
      <w:r w:rsidR="007A68A3">
        <w:rPr>
          <w:lang w:val="fr-CH"/>
        </w:rPr>
        <w:t>'</w:t>
      </w:r>
      <w:r w:rsidRPr="009D596B">
        <w:rPr>
          <w:lang w:val="fr-CH"/>
        </w:rPr>
        <w:t>ouverture de la réunion. Cette procédure a été mise en place pour les blocs de réunions commençant en avril 2012.</w:t>
      </w:r>
    </w:p>
    <w:p w:rsidR="00F03F83" w:rsidRDefault="00F03F83" w:rsidP="00093AF6">
      <w:pPr>
        <w:rPr>
          <w:lang w:val="fr-CH"/>
        </w:rPr>
      </w:pPr>
      <w:r w:rsidRPr="009D596B">
        <w:rPr>
          <w:lang w:val="fr-CH"/>
        </w:rPr>
        <w:t xml:space="preserve">La </w:t>
      </w:r>
      <w:r>
        <w:rPr>
          <w:lang w:val="fr-CH"/>
        </w:rPr>
        <w:t>Résolution</w:t>
      </w:r>
      <w:r w:rsidRPr="009D596B">
        <w:rPr>
          <w:lang w:val="fr-CH"/>
        </w:rPr>
        <w:t xml:space="preserve"> </w:t>
      </w:r>
      <w:r>
        <w:rPr>
          <w:lang w:val="fr-CH"/>
        </w:rPr>
        <w:t>UIT</w:t>
      </w:r>
      <w:r w:rsidRPr="009D596B">
        <w:rPr>
          <w:lang w:val="fr-CH"/>
        </w:rPr>
        <w:t xml:space="preserve">-R 2 </w:t>
      </w:r>
      <w:r>
        <w:rPr>
          <w:lang w:val="fr-CH"/>
        </w:rPr>
        <w:t xml:space="preserve">a </w:t>
      </w:r>
      <w:r w:rsidRPr="009D596B">
        <w:rPr>
          <w:lang w:val="fr-CH"/>
        </w:rPr>
        <w:t>été</w:t>
      </w:r>
      <w:r>
        <w:rPr>
          <w:lang w:val="fr-CH"/>
        </w:rPr>
        <w:t xml:space="preserve"> </w:t>
      </w:r>
      <w:r w:rsidRPr="009D596B">
        <w:rPr>
          <w:lang w:val="fr-CH"/>
        </w:rPr>
        <w:t>modifié</w:t>
      </w:r>
      <w:r>
        <w:rPr>
          <w:lang w:val="fr-CH"/>
        </w:rPr>
        <w:t>e</w:t>
      </w:r>
      <w:r w:rsidRPr="009D596B">
        <w:rPr>
          <w:lang w:val="fr-CH"/>
        </w:rPr>
        <w:t xml:space="preserve"> pour ajouter une nouvelle Annexe</w:t>
      </w:r>
      <w:r>
        <w:rPr>
          <w:lang w:val="fr-CH"/>
        </w:rPr>
        <w:t xml:space="preserve"> </w:t>
      </w:r>
      <w:r w:rsidRPr="009D596B">
        <w:rPr>
          <w:lang w:val="fr-CH"/>
        </w:rPr>
        <w:t>donnant les lignes directrices applicables à l</w:t>
      </w:r>
      <w:r w:rsidR="007A68A3">
        <w:rPr>
          <w:lang w:val="fr-CH"/>
        </w:rPr>
        <w:t>'</w:t>
      </w:r>
      <w:r w:rsidRPr="009D596B">
        <w:rPr>
          <w:lang w:val="fr-CH"/>
        </w:rPr>
        <w:t xml:space="preserve">élaboration du projet de </w:t>
      </w:r>
      <w:r w:rsidR="00093AF6">
        <w:rPr>
          <w:lang w:val="fr-CH"/>
        </w:rPr>
        <w:t>R</w:t>
      </w:r>
      <w:r w:rsidRPr="009D596B">
        <w:rPr>
          <w:lang w:val="fr-CH"/>
        </w:rPr>
        <w:t>apport de la RPC, information</w:t>
      </w:r>
      <w:r>
        <w:rPr>
          <w:lang w:val="fr-CH"/>
        </w:rPr>
        <w:t>s</w:t>
      </w:r>
      <w:r w:rsidRPr="009D596B">
        <w:rPr>
          <w:lang w:val="fr-CH"/>
        </w:rPr>
        <w:t xml:space="preserve"> qui étaie</w:t>
      </w:r>
      <w:r>
        <w:rPr>
          <w:lang w:val="fr-CH"/>
        </w:rPr>
        <w:t>nt</w:t>
      </w:r>
      <w:r w:rsidRPr="009D596B">
        <w:rPr>
          <w:lang w:val="fr-CH"/>
        </w:rPr>
        <w:t xml:space="preserve"> habituellement fourni</w:t>
      </w:r>
      <w:r>
        <w:rPr>
          <w:lang w:val="fr-CH"/>
        </w:rPr>
        <w:t xml:space="preserve">es </w:t>
      </w:r>
      <w:r w:rsidRPr="009D596B">
        <w:rPr>
          <w:lang w:val="fr-CH"/>
        </w:rPr>
        <w:t xml:space="preserve">dans des documents du Président </w:t>
      </w:r>
      <w:r>
        <w:rPr>
          <w:lang w:val="fr-CH"/>
        </w:rPr>
        <w:t>à l</w:t>
      </w:r>
      <w:r w:rsidR="007A68A3">
        <w:rPr>
          <w:lang w:val="fr-CH"/>
        </w:rPr>
        <w:t>'</w:t>
      </w:r>
      <w:r>
        <w:rPr>
          <w:lang w:val="fr-CH"/>
        </w:rPr>
        <w:t xml:space="preserve">intention des groupes responsables ou via des </w:t>
      </w:r>
      <w:r w:rsidR="000A4EA0">
        <w:rPr>
          <w:lang w:val="fr-CH"/>
        </w:rPr>
        <w:t xml:space="preserve">Circulaires </w:t>
      </w:r>
      <w:r>
        <w:rPr>
          <w:lang w:val="fr-CH"/>
        </w:rPr>
        <w:t>administratives.</w:t>
      </w:r>
    </w:p>
    <w:p w:rsidR="00F03F83" w:rsidRPr="006131C4" w:rsidRDefault="00F03F83" w:rsidP="00C91310">
      <w:pPr>
        <w:rPr>
          <w:lang w:val="fr-CH"/>
        </w:rPr>
      </w:pPr>
      <w:r w:rsidRPr="006131C4">
        <w:rPr>
          <w:lang w:val="fr-CH"/>
        </w:rPr>
        <w:t xml:space="preserve">Compte tenu de la </w:t>
      </w:r>
      <w:r>
        <w:rPr>
          <w:lang w:val="fr-CH"/>
        </w:rPr>
        <w:t>Résolution</w:t>
      </w:r>
      <w:r w:rsidRPr="006131C4">
        <w:rPr>
          <w:lang w:val="fr-CH"/>
        </w:rPr>
        <w:t xml:space="preserve"> 166 (PP-10), la </w:t>
      </w:r>
      <w:r>
        <w:rPr>
          <w:lang w:val="fr-CH"/>
        </w:rPr>
        <w:t>Résolution</w:t>
      </w:r>
      <w:r w:rsidRPr="006131C4">
        <w:rPr>
          <w:lang w:val="fr-CH"/>
        </w:rPr>
        <w:t xml:space="preserve"> </w:t>
      </w:r>
      <w:r>
        <w:rPr>
          <w:lang w:val="fr-CH"/>
        </w:rPr>
        <w:t>UIT</w:t>
      </w:r>
      <w:r w:rsidRPr="006131C4">
        <w:rPr>
          <w:lang w:val="fr-CH"/>
        </w:rPr>
        <w:t>-R 15 a été modifié</w:t>
      </w:r>
      <w:r>
        <w:rPr>
          <w:lang w:val="fr-CH"/>
        </w:rPr>
        <w:t>e</w:t>
      </w:r>
      <w:r w:rsidRPr="006131C4">
        <w:rPr>
          <w:lang w:val="fr-CH"/>
        </w:rPr>
        <w:t xml:space="preserve"> en vue d</w:t>
      </w:r>
      <w:r w:rsidR="007A68A3">
        <w:rPr>
          <w:lang w:val="fr-CH"/>
        </w:rPr>
        <w:t>'</w:t>
      </w:r>
      <w:r w:rsidRPr="006131C4">
        <w:rPr>
          <w:lang w:val="fr-CH"/>
        </w:rPr>
        <w:t xml:space="preserve">ajouter une nouvelle annexe </w:t>
      </w:r>
      <w:r>
        <w:rPr>
          <w:lang w:val="fr-CH"/>
        </w:rPr>
        <w:t xml:space="preserve">donnant </w:t>
      </w:r>
      <w:r w:rsidRPr="006131C4">
        <w:rPr>
          <w:lang w:val="fr-CH"/>
        </w:rPr>
        <w:t>des lignes directrices sur le nombre optimal de Vice-Président</w:t>
      </w:r>
      <w:r>
        <w:rPr>
          <w:lang w:val="fr-CH"/>
        </w:rPr>
        <w:t>s</w:t>
      </w:r>
      <w:r w:rsidRPr="006131C4">
        <w:rPr>
          <w:lang w:val="fr-CH"/>
        </w:rPr>
        <w:t>.</w:t>
      </w:r>
    </w:p>
    <w:p w:rsidR="00F03F83" w:rsidRDefault="00F03F83" w:rsidP="00C91310">
      <w:pPr>
        <w:rPr>
          <w:lang w:val="fr-CH"/>
        </w:rPr>
      </w:pPr>
      <w:r w:rsidRPr="006131C4">
        <w:rPr>
          <w:lang w:val="fr-CH"/>
        </w:rPr>
        <w:t>Reconnaissant que les établissements universitaires, les universités et les établissements de recherche</w:t>
      </w:r>
      <w:r w:rsidR="000A4EA0">
        <w:rPr>
          <w:lang w:val="fr-CH"/>
        </w:rPr>
        <w:t xml:space="preserve"> qui leur sont associé</w:t>
      </w:r>
      <w:r w:rsidRPr="006131C4">
        <w:rPr>
          <w:lang w:val="fr-CH"/>
        </w:rPr>
        <w:t xml:space="preserve">s </w:t>
      </w:r>
      <w:proofErr w:type="gramStart"/>
      <w:r w:rsidRPr="006131C4">
        <w:rPr>
          <w:lang w:val="fr-CH"/>
        </w:rPr>
        <w:t>ont</w:t>
      </w:r>
      <w:proofErr w:type="gramEnd"/>
      <w:r w:rsidRPr="006131C4">
        <w:rPr>
          <w:lang w:val="fr-CH"/>
        </w:rPr>
        <w:t xml:space="preserve"> été admis </w:t>
      </w:r>
      <w:r>
        <w:rPr>
          <w:lang w:val="fr-CH"/>
        </w:rPr>
        <w:t>à participer aux travaux de l</w:t>
      </w:r>
      <w:r w:rsidR="007A68A3">
        <w:rPr>
          <w:lang w:val="fr-CH"/>
        </w:rPr>
        <w:t>'</w:t>
      </w:r>
      <w:r>
        <w:rPr>
          <w:lang w:val="fr-CH"/>
        </w:rPr>
        <w:t>UIT en vertu de la Résolution</w:t>
      </w:r>
      <w:r w:rsidRPr="006131C4">
        <w:rPr>
          <w:lang w:val="fr-CH"/>
        </w:rPr>
        <w:t xml:space="preserve"> 169 (PP-10),</w:t>
      </w:r>
      <w:r>
        <w:rPr>
          <w:lang w:val="fr-CH"/>
        </w:rPr>
        <w:t xml:space="preserve"> l</w:t>
      </w:r>
      <w:r w:rsidR="007A68A3">
        <w:rPr>
          <w:lang w:val="fr-CH"/>
        </w:rPr>
        <w:t>'</w:t>
      </w:r>
      <w:r>
        <w:rPr>
          <w:lang w:val="fr-CH"/>
        </w:rPr>
        <w:t>AR-12 a approuvé la Résolution UIT</w:t>
      </w:r>
      <w:r w:rsidRPr="006131C4">
        <w:rPr>
          <w:lang w:val="fr-CH"/>
        </w:rPr>
        <w:t xml:space="preserve">-R </w:t>
      </w:r>
      <w:r>
        <w:rPr>
          <w:lang w:val="fr-CH"/>
        </w:rPr>
        <w:t>63, qui traite des conditions applicables à leur participation aux activités de l</w:t>
      </w:r>
      <w:r w:rsidR="007A68A3">
        <w:rPr>
          <w:lang w:val="fr-CH"/>
        </w:rPr>
        <w:t>'</w:t>
      </w:r>
      <w:r w:rsidR="000A4EA0">
        <w:rPr>
          <w:lang w:val="fr-CH"/>
        </w:rPr>
        <w:t>UIT-R</w:t>
      </w:r>
      <w:r>
        <w:rPr>
          <w:lang w:val="fr-CH"/>
        </w:rPr>
        <w:t>.</w:t>
      </w:r>
    </w:p>
    <w:p w:rsidR="00F03F83" w:rsidRPr="00D346F1" w:rsidRDefault="00F03F83" w:rsidP="00C91310">
      <w:pPr>
        <w:rPr>
          <w:szCs w:val="24"/>
          <w:lang w:val="fr-CH"/>
        </w:rPr>
      </w:pPr>
      <w:r w:rsidRPr="00D346F1">
        <w:rPr>
          <w:lang w:val="fr-CH"/>
        </w:rPr>
        <w:t xml:space="preserve">Dans le domaine </w:t>
      </w:r>
      <w:r>
        <w:rPr>
          <w:lang w:val="fr-CH"/>
        </w:rPr>
        <w:t>particulier</w:t>
      </w:r>
      <w:r w:rsidRPr="00D346F1">
        <w:rPr>
          <w:lang w:val="fr-CH"/>
        </w:rPr>
        <w:t xml:space="preserve"> de</w:t>
      </w:r>
      <w:r w:rsidR="00093AF6">
        <w:rPr>
          <w:lang w:val="fr-CH"/>
        </w:rPr>
        <w:t>s techniques IMT, une nouvelle R</w:t>
      </w:r>
      <w:r w:rsidRPr="00D346F1">
        <w:rPr>
          <w:lang w:val="fr-CH"/>
        </w:rPr>
        <w:t>ecommandation</w:t>
      </w:r>
      <w:r w:rsidR="00093AF6">
        <w:rPr>
          <w:lang w:val="fr-CH"/>
        </w:rPr>
        <w:t xml:space="preserve"> </w:t>
      </w:r>
      <w:r w:rsidRPr="00D346F1">
        <w:rPr>
          <w:lang w:val="fr-CH"/>
        </w:rPr>
        <w:t>(</w:t>
      </w:r>
      <w:r>
        <w:rPr>
          <w:lang w:val="fr-CH"/>
        </w:rPr>
        <w:t>UIT</w:t>
      </w:r>
      <w:r w:rsidRPr="00D346F1">
        <w:rPr>
          <w:lang w:val="fr-CH"/>
        </w:rPr>
        <w:t>-R M.2012)</w:t>
      </w:r>
      <w:r>
        <w:rPr>
          <w:lang w:val="fr-CH"/>
        </w:rPr>
        <w:t xml:space="preserve"> </w:t>
      </w:r>
      <w:r w:rsidR="000A4EA0">
        <w:rPr>
          <w:lang w:val="fr-CH"/>
        </w:rPr>
        <w:t>a</w:t>
      </w:r>
      <w:r w:rsidRPr="00D346F1">
        <w:rPr>
          <w:lang w:val="fr-CH"/>
        </w:rPr>
        <w:t xml:space="preserve"> été approuvé</w:t>
      </w:r>
      <w:r>
        <w:rPr>
          <w:lang w:val="fr-CH"/>
        </w:rPr>
        <w:t>e</w:t>
      </w:r>
      <w:r w:rsidRPr="00D346F1">
        <w:rPr>
          <w:lang w:val="fr-CH"/>
        </w:rPr>
        <w:t xml:space="preserve"> et des modifications ont été apportées au</w:t>
      </w:r>
      <w:r>
        <w:rPr>
          <w:lang w:val="fr-CH"/>
        </w:rPr>
        <w:t>x</w:t>
      </w:r>
      <w:r w:rsidRPr="00D346F1">
        <w:rPr>
          <w:lang w:val="fr-CH"/>
        </w:rPr>
        <w:t xml:space="preserve"> </w:t>
      </w:r>
      <w:r>
        <w:rPr>
          <w:lang w:val="fr-CH"/>
        </w:rPr>
        <w:t>Résolution</w:t>
      </w:r>
      <w:r w:rsidRPr="00D346F1">
        <w:rPr>
          <w:lang w:val="fr-CH"/>
        </w:rPr>
        <w:t xml:space="preserve">s </w:t>
      </w:r>
      <w:r>
        <w:rPr>
          <w:lang w:val="fr-CH"/>
        </w:rPr>
        <w:t>UIT</w:t>
      </w:r>
      <w:r w:rsidRPr="00D346F1">
        <w:rPr>
          <w:lang w:val="fr-CH"/>
        </w:rPr>
        <w:t xml:space="preserve">-R 17, 47, 56 </w:t>
      </w:r>
      <w:r>
        <w:rPr>
          <w:lang w:val="fr-CH"/>
        </w:rPr>
        <w:t>et</w:t>
      </w:r>
      <w:r w:rsidRPr="00D346F1">
        <w:rPr>
          <w:lang w:val="fr-CH"/>
        </w:rPr>
        <w:t xml:space="preserve"> 57. S</w:t>
      </w:r>
      <w:r w:rsidR="007A68A3">
        <w:rPr>
          <w:lang w:val="fr-CH"/>
        </w:rPr>
        <w:t>'</w:t>
      </w:r>
      <w:r w:rsidRPr="00D346F1">
        <w:rPr>
          <w:lang w:val="fr-CH"/>
        </w:rPr>
        <w:t>agissant</w:t>
      </w:r>
      <w:r>
        <w:rPr>
          <w:lang w:val="fr-CH"/>
        </w:rPr>
        <w:t xml:space="preserve"> des modifications apportées à la </w:t>
      </w:r>
      <w:r w:rsidR="00C91310" w:rsidRPr="00D346F1">
        <w:rPr>
          <w:lang w:val="fr-CH"/>
        </w:rPr>
        <w:t>Recommandation</w:t>
      </w:r>
      <w:r w:rsidRPr="00D346F1">
        <w:rPr>
          <w:lang w:val="fr-CH"/>
        </w:rPr>
        <w:t xml:space="preserve"> </w:t>
      </w:r>
      <w:r>
        <w:rPr>
          <w:szCs w:val="24"/>
          <w:lang w:val="fr-CH"/>
        </w:rPr>
        <w:t>UIT</w:t>
      </w:r>
      <w:r w:rsidRPr="00D346F1">
        <w:rPr>
          <w:szCs w:val="24"/>
          <w:lang w:val="fr-CH"/>
        </w:rPr>
        <w:t>-R TF.460-6</w:t>
      </w:r>
      <w:r>
        <w:rPr>
          <w:szCs w:val="24"/>
          <w:lang w:val="fr-CH"/>
        </w:rPr>
        <w:t xml:space="preserve"> </w:t>
      </w:r>
      <w:r w:rsidRPr="00D346F1">
        <w:rPr>
          <w:szCs w:val="24"/>
          <w:lang w:val="fr-CH"/>
        </w:rPr>
        <w:t>en vue d</w:t>
      </w:r>
      <w:r w:rsidR="007A68A3">
        <w:rPr>
          <w:szCs w:val="24"/>
          <w:lang w:val="fr-CH"/>
        </w:rPr>
        <w:t>'</w:t>
      </w:r>
      <w:r w:rsidRPr="00D346F1">
        <w:rPr>
          <w:szCs w:val="24"/>
          <w:lang w:val="fr-CH"/>
        </w:rPr>
        <w:t>adopter une échelle de temps continu</w:t>
      </w:r>
      <w:r>
        <w:rPr>
          <w:szCs w:val="24"/>
          <w:lang w:val="fr-CH"/>
        </w:rPr>
        <w:t>e</w:t>
      </w:r>
      <w:r w:rsidRPr="00D346F1">
        <w:rPr>
          <w:szCs w:val="24"/>
          <w:lang w:val="fr-CH"/>
        </w:rPr>
        <w:t xml:space="preserve">, </w:t>
      </w:r>
      <w:r>
        <w:rPr>
          <w:szCs w:val="24"/>
          <w:lang w:val="fr-CH"/>
        </w:rPr>
        <w:t>l</w:t>
      </w:r>
      <w:r w:rsidR="007A68A3">
        <w:rPr>
          <w:szCs w:val="24"/>
          <w:lang w:val="fr-CH"/>
        </w:rPr>
        <w:t>'</w:t>
      </w:r>
      <w:r>
        <w:rPr>
          <w:szCs w:val="24"/>
          <w:lang w:val="fr-CH"/>
        </w:rPr>
        <w:t>A</w:t>
      </w:r>
      <w:r w:rsidRPr="00D346F1">
        <w:rPr>
          <w:szCs w:val="24"/>
          <w:lang w:val="fr-CH"/>
        </w:rPr>
        <w:t xml:space="preserve"> R-12 a demandé à la Commissions d</w:t>
      </w:r>
      <w:r w:rsidR="007A68A3">
        <w:rPr>
          <w:szCs w:val="24"/>
          <w:lang w:val="fr-CH"/>
        </w:rPr>
        <w:t>'</w:t>
      </w:r>
      <w:r w:rsidRPr="00D346F1">
        <w:rPr>
          <w:szCs w:val="24"/>
          <w:lang w:val="fr-CH"/>
        </w:rPr>
        <w:t>études 7 de poursuivre l</w:t>
      </w:r>
      <w:r w:rsidR="007A68A3">
        <w:rPr>
          <w:szCs w:val="24"/>
          <w:lang w:val="fr-CH"/>
        </w:rPr>
        <w:t>'</w:t>
      </w:r>
      <w:r w:rsidRPr="00D346F1">
        <w:rPr>
          <w:szCs w:val="24"/>
          <w:lang w:val="fr-CH"/>
        </w:rPr>
        <w:t>examen de cette question, afin de tenir compte des préoccupations des pays qui utilisent le système actuel des secondes intercalaires dans le Temps universel coordonné (</w:t>
      </w:r>
      <w:r>
        <w:rPr>
          <w:szCs w:val="24"/>
          <w:lang w:val="fr-CH"/>
        </w:rPr>
        <w:t>UTC</w:t>
      </w:r>
      <w:r w:rsidRPr="00D346F1">
        <w:rPr>
          <w:szCs w:val="24"/>
          <w:lang w:val="fr-CH"/>
        </w:rPr>
        <w:t>).</w:t>
      </w:r>
      <w:r>
        <w:rPr>
          <w:szCs w:val="24"/>
          <w:lang w:val="fr-CH"/>
        </w:rPr>
        <w:t xml:space="preserve"> </w:t>
      </w:r>
      <w:r w:rsidRPr="00D346F1">
        <w:rPr>
          <w:szCs w:val="24"/>
          <w:lang w:val="fr-CH"/>
        </w:rPr>
        <w:t>Par la suite, cette question a été inscrite par la CMR-12 à l</w:t>
      </w:r>
      <w:r w:rsidR="007A68A3">
        <w:rPr>
          <w:szCs w:val="24"/>
          <w:lang w:val="fr-CH"/>
        </w:rPr>
        <w:t>'</w:t>
      </w:r>
      <w:r w:rsidRPr="00D346F1">
        <w:rPr>
          <w:szCs w:val="24"/>
          <w:lang w:val="fr-CH"/>
        </w:rPr>
        <w:t>ordre du jour provisoire de la CMR-15.</w:t>
      </w:r>
    </w:p>
    <w:p w:rsidR="00F03F83" w:rsidRDefault="000A4EA0" w:rsidP="00C91310">
      <w:pPr>
        <w:rPr>
          <w:lang w:val="fr-CH"/>
        </w:rPr>
      </w:pPr>
      <w:r>
        <w:rPr>
          <w:lang w:val="fr-CH"/>
        </w:rPr>
        <w:t>L'A</w:t>
      </w:r>
      <w:r w:rsidR="00F03F83" w:rsidRPr="00D346F1">
        <w:rPr>
          <w:lang w:val="fr-CH"/>
        </w:rPr>
        <w:t xml:space="preserve">R-12 a adopté la Résolution UIT-R 62 sur les études relatives aux essais de conformité </w:t>
      </w:r>
      <w:r w:rsidR="00F03F83">
        <w:rPr>
          <w:lang w:val="fr-CH"/>
        </w:rPr>
        <w:t xml:space="preserve">aux </w:t>
      </w:r>
      <w:r w:rsidR="00C91310">
        <w:rPr>
          <w:lang w:val="fr-CH"/>
        </w:rPr>
        <w:t>Recommandations</w:t>
      </w:r>
      <w:r w:rsidR="00F03F83">
        <w:rPr>
          <w:lang w:val="fr-CH"/>
        </w:rPr>
        <w:t xml:space="preserve"> </w:t>
      </w:r>
      <w:r>
        <w:rPr>
          <w:lang w:val="fr-CH"/>
        </w:rPr>
        <w:t>UIT-R</w:t>
      </w:r>
      <w:r w:rsidR="00F03F83">
        <w:rPr>
          <w:lang w:val="fr-CH"/>
        </w:rPr>
        <w:t xml:space="preserve"> et à l</w:t>
      </w:r>
      <w:r w:rsidR="007A68A3">
        <w:rPr>
          <w:lang w:val="fr-CH"/>
        </w:rPr>
        <w:t>'</w:t>
      </w:r>
      <w:r w:rsidR="00F03F83">
        <w:rPr>
          <w:lang w:val="fr-CH"/>
        </w:rPr>
        <w:t>interopérabilité des équipements et systèmes de radiocommunication. Un rapport d</w:t>
      </w:r>
      <w:r w:rsidR="007A68A3">
        <w:rPr>
          <w:lang w:val="fr-CH"/>
        </w:rPr>
        <w:t>'</w:t>
      </w:r>
      <w:r w:rsidR="00F03F83">
        <w:rPr>
          <w:lang w:val="fr-CH"/>
        </w:rPr>
        <w:t>activité sur les travaux menés par l</w:t>
      </w:r>
      <w:r w:rsidR="007A68A3">
        <w:rPr>
          <w:lang w:val="fr-CH"/>
        </w:rPr>
        <w:t>'</w:t>
      </w:r>
      <w:r w:rsidR="00F03F83">
        <w:rPr>
          <w:lang w:val="fr-CH"/>
        </w:rPr>
        <w:t>UIT dans ce domaine fait l</w:t>
      </w:r>
      <w:r w:rsidR="007A68A3">
        <w:rPr>
          <w:lang w:val="fr-CH"/>
        </w:rPr>
        <w:t>'</w:t>
      </w:r>
      <w:r w:rsidR="00F03F83">
        <w:rPr>
          <w:lang w:val="fr-CH"/>
        </w:rPr>
        <w:t>objet d</w:t>
      </w:r>
      <w:r w:rsidR="007A68A3">
        <w:rPr>
          <w:lang w:val="fr-CH"/>
        </w:rPr>
        <w:t>'</w:t>
      </w:r>
      <w:r w:rsidR="00F03F83">
        <w:rPr>
          <w:lang w:val="fr-CH"/>
        </w:rPr>
        <w:t>un Addendum au présent document.</w:t>
      </w:r>
    </w:p>
    <w:p w:rsidR="00F03F83" w:rsidRDefault="00F03F83" w:rsidP="00C91310">
      <w:pPr>
        <w:rPr>
          <w:lang w:val="fr-CH"/>
        </w:rPr>
      </w:pPr>
      <w:r w:rsidRPr="0030468B">
        <w:rPr>
          <w:lang w:val="fr-CH"/>
        </w:rPr>
        <w:t>Cinq nouvelles Résolution</w:t>
      </w:r>
      <w:r>
        <w:rPr>
          <w:lang w:val="fr-CH"/>
        </w:rPr>
        <w:t>s</w:t>
      </w:r>
      <w:r w:rsidRPr="0030468B">
        <w:rPr>
          <w:lang w:val="fr-CH"/>
        </w:rPr>
        <w:t xml:space="preserve"> </w:t>
      </w:r>
      <w:r w:rsidR="000A4EA0">
        <w:rPr>
          <w:lang w:val="fr-CH"/>
        </w:rPr>
        <w:t>UIT-R</w:t>
      </w:r>
      <w:r w:rsidRPr="0030468B">
        <w:rPr>
          <w:lang w:val="fr-CH"/>
        </w:rPr>
        <w:t xml:space="preserve"> portant sur des </w:t>
      </w:r>
      <w:r>
        <w:rPr>
          <w:lang w:val="fr-CH"/>
        </w:rPr>
        <w:t xml:space="preserve">sujets </w:t>
      </w:r>
      <w:r w:rsidRPr="0030468B">
        <w:rPr>
          <w:lang w:val="fr-CH"/>
        </w:rPr>
        <w:t xml:space="preserve">relatifs aux </w:t>
      </w:r>
      <w:r>
        <w:rPr>
          <w:lang w:val="fr-CH"/>
        </w:rPr>
        <w:t>s</w:t>
      </w:r>
      <w:r w:rsidRPr="0030468B">
        <w:rPr>
          <w:lang w:val="fr-CH"/>
        </w:rPr>
        <w:t>ystèmes de radiocommunication cogniti</w:t>
      </w:r>
      <w:r>
        <w:rPr>
          <w:lang w:val="fr-CH"/>
        </w:rPr>
        <w:t>fs</w:t>
      </w:r>
      <w:r w:rsidRPr="0030468B">
        <w:rPr>
          <w:lang w:val="fr-CH"/>
        </w:rPr>
        <w:t>, au</w:t>
      </w:r>
      <w:r>
        <w:rPr>
          <w:lang w:val="fr-CH"/>
        </w:rPr>
        <w:t>x</w:t>
      </w:r>
      <w:r w:rsidRPr="0030468B">
        <w:rPr>
          <w:lang w:val="fr-CH"/>
        </w:rPr>
        <w:t xml:space="preserve"> système</w:t>
      </w:r>
      <w:r>
        <w:rPr>
          <w:lang w:val="fr-CH"/>
        </w:rPr>
        <w:t>s</w:t>
      </w:r>
      <w:r w:rsidRPr="0030468B">
        <w:rPr>
          <w:lang w:val="fr-CH"/>
        </w:rPr>
        <w:t xml:space="preserve"> de reportage électronique d</w:t>
      </w:r>
      <w:r w:rsidR="007A68A3">
        <w:rPr>
          <w:lang w:val="fr-CH"/>
        </w:rPr>
        <w:t>'</w:t>
      </w:r>
      <w:r w:rsidRPr="0030468B">
        <w:rPr>
          <w:lang w:val="fr-CH"/>
        </w:rPr>
        <w:t>actualité</w:t>
      </w:r>
      <w:r w:rsidR="000A4EA0">
        <w:rPr>
          <w:lang w:val="fr-CH"/>
        </w:rPr>
        <w:t>s</w:t>
      </w:r>
      <w:r w:rsidRPr="0030468B">
        <w:rPr>
          <w:lang w:val="fr-CH"/>
        </w:rPr>
        <w:t>, à la protection de l</w:t>
      </w:r>
      <w:r w:rsidR="007A68A3">
        <w:rPr>
          <w:lang w:val="fr-CH"/>
        </w:rPr>
        <w:t>'</w:t>
      </w:r>
      <w:r w:rsidRPr="0030468B">
        <w:rPr>
          <w:lang w:val="fr-CH"/>
        </w:rPr>
        <w:t>environnement et à l</w:t>
      </w:r>
      <w:r w:rsidR="007A68A3">
        <w:rPr>
          <w:lang w:val="fr-CH"/>
        </w:rPr>
        <w:t>'</w:t>
      </w:r>
      <w:r w:rsidRPr="0030468B">
        <w:rPr>
          <w:lang w:val="fr-CH"/>
        </w:rPr>
        <w:t xml:space="preserve">atténuation des effets des changements climatiques, au SMSI </w:t>
      </w:r>
      <w:r>
        <w:rPr>
          <w:lang w:val="fr-CH"/>
        </w:rPr>
        <w:t>et à la conformité ainsi qu</w:t>
      </w:r>
      <w:r w:rsidR="007A68A3">
        <w:rPr>
          <w:lang w:val="fr-CH"/>
        </w:rPr>
        <w:t>'</w:t>
      </w:r>
      <w:r>
        <w:rPr>
          <w:lang w:val="fr-CH"/>
        </w:rPr>
        <w:t>à l</w:t>
      </w:r>
      <w:r w:rsidR="007A68A3">
        <w:rPr>
          <w:lang w:val="fr-CH"/>
        </w:rPr>
        <w:t>'</w:t>
      </w:r>
      <w:r>
        <w:rPr>
          <w:lang w:val="fr-CH"/>
        </w:rPr>
        <w:t xml:space="preserve">interopérabilité ont été approuvées. </w:t>
      </w:r>
      <w:r w:rsidRPr="0030468B">
        <w:rPr>
          <w:lang w:val="fr-CH"/>
        </w:rPr>
        <w:t xml:space="preserve">Dans </w:t>
      </w:r>
      <w:r>
        <w:rPr>
          <w:lang w:val="fr-CH"/>
        </w:rPr>
        <w:t>c</w:t>
      </w:r>
      <w:r w:rsidRPr="0030468B">
        <w:rPr>
          <w:lang w:val="fr-CH"/>
        </w:rPr>
        <w:t xml:space="preserve">es </w:t>
      </w:r>
      <w:r w:rsidR="000A4EA0" w:rsidRPr="0030468B">
        <w:rPr>
          <w:lang w:val="fr-CH"/>
        </w:rPr>
        <w:t>Résolutions</w:t>
      </w:r>
      <w:r w:rsidRPr="0030468B">
        <w:rPr>
          <w:lang w:val="fr-CH"/>
        </w:rPr>
        <w:t xml:space="preserve">, </w:t>
      </w:r>
      <w:r>
        <w:rPr>
          <w:lang w:val="fr-CH"/>
        </w:rPr>
        <w:t>l</w:t>
      </w:r>
      <w:r w:rsidR="007A68A3">
        <w:rPr>
          <w:lang w:val="fr-CH"/>
        </w:rPr>
        <w:t>'</w:t>
      </w:r>
      <w:r w:rsidR="000A4EA0">
        <w:rPr>
          <w:lang w:val="fr-CH"/>
        </w:rPr>
        <w:t>UIT-R</w:t>
      </w:r>
      <w:r w:rsidRPr="0030468B">
        <w:rPr>
          <w:lang w:val="fr-CH"/>
        </w:rPr>
        <w:t xml:space="preserve"> est invité à contribu</w:t>
      </w:r>
      <w:r>
        <w:rPr>
          <w:lang w:val="fr-CH"/>
        </w:rPr>
        <w:t>er aux</w:t>
      </w:r>
      <w:r w:rsidRPr="0030468B">
        <w:rPr>
          <w:lang w:val="fr-CH"/>
        </w:rPr>
        <w:t xml:space="preserve"> études correspondantes, ou à jouer un rôle de chef de file</w:t>
      </w:r>
      <w:r>
        <w:rPr>
          <w:lang w:val="fr-CH"/>
        </w:rPr>
        <w:t xml:space="preserve"> </w:t>
      </w:r>
      <w:r w:rsidR="000A4EA0">
        <w:rPr>
          <w:lang w:val="fr-CH"/>
        </w:rPr>
        <w:t>à cet égard</w:t>
      </w:r>
      <w:r w:rsidRPr="0030468B">
        <w:rPr>
          <w:lang w:val="fr-CH"/>
        </w:rPr>
        <w:t xml:space="preserve">, ou à </w:t>
      </w:r>
      <w:r>
        <w:rPr>
          <w:lang w:val="fr-CH"/>
        </w:rPr>
        <w:t xml:space="preserve">fournir un appui </w:t>
      </w:r>
      <w:r w:rsidR="000A4EA0">
        <w:rPr>
          <w:lang w:val="fr-CH"/>
        </w:rPr>
        <w:t>aux</w:t>
      </w:r>
      <w:r>
        <w:rPr>
          <w:lang w:val="fr-CH"/>
        </w:rPr>
        <w:t xml:space="preserve"> autres Secteurs dans les domaines pertinents</w:t>
      </w:r>
      <w:r w:rsidR="000A4EA0">
        <w:rPr>
          <w:lang w:val="fr-CH"/>
        </w:rPr>
        <w:t>, en collaborant avec eux</w:t>
      </w:r>
      <w:r>
        <w:rPr>
          <w:lang w:val="fr-CH"/>
        </w:rPr>
        <w:t>.</w:t>
      </w:r>
    </w:p>
    <w:p w:rsidR="00F03F83" w:rsidRDefault="000A4EA0" w:rsidP="00C91310">
      <w:pPr>
        <w:pStyle w:val="Heading3"/>
        <w:rPr>
          <w:lang w:val="fr-CH"/>
        </w:rPr>
      </w:pPr>
      <w:r>
        <w:rPr>
          <w:lang w:val="fr-CH"/>
        </w:rPr>
        <w:t>3.1.1</w:t>
      </w:r>
      <w:r>
        <w:rPr>
          <w:lang w:val="fr-CH"/>
        </w:rPr>
        <w:tab/>
      </w:r>
      <w:r w:rsidR="00F03F83">
        <w:rPr>
          <w:lang w:val="fr-CH"/>
        </w:rPr>
        <w:t>Groupes de travail par correspondance</w:t>
      </w:r>
      <w:r w:rsidR="00F03F83" w:rsidRPr="00103717">
        <w:rPr>
          <w:lang w:val="fr-CH"/>
        </w:rPr>
        <w:t xml:space="preserve"> </w:t>
      </w:r>
    </w:p>
    <w:p w:rsidR="00F03F83" w:rsidRPr="00103717" w:rsidRDefault="000A4EA0" w:rsidP="00C91310">
      <w:pPr>
        <w:pStyle w:val="enumlev1"/>
        <w:rPr>
          <w:lang w:val="fr-CH"/>
        </w:rPr>
      </w:pPr>
      <w:r w:rsidRPr="000A4EA0">
        <w:rPr>
          <w:lang w:val="fr-CH"/>
        </w:rPr>
        <w:t>•</w:t>
      </w:r>
      <w:r>
        <w:rPr>
          <w:lang w:val="fr-CH"/>
        </w:rPr>
        <w:tab/>
      </w:r>
      <w:r w:rsidR="00F03F83" w:rsidRPr="00103717">
        <w:rPr>
          <w:lang w:val="fr-CH"/>
        </w:rPr>
        <w:t>Comme indiqué d</w:t>
      </w:r>
      <w:r w:rsidR="00F03F83">
        <w:rPr>
          <w:lang w:val="fr-CH"/>
        </w:rPr>
        <w:t>a</w:t>
      </w:r>
      <w:r w:rsidR="00F03F83" w:rsidRPr="00103717">
        <w:rPr>
          <w:lang w:val="fr-CH"/>
        </w:rPr>
        <w:t>ns le</w:t>
      </w:r>
      <w:r w:rsidR="00F03F83">
        <w:rPr>
          <w:lang w:val="fr-CH"/>
        </w:rPr>
        <w:t xml:space="preserve"> </w:t>
      </w:r>
      <w:r w:rsidRPr="00103717">
        <w:rPr>
          <w:lang w:val="fr-CH"/>
        </w:rPr>
        <w:t>compte rendu</w:t>
      </w:r>
      <w:r>
        <w:rPr>
          <w:lang w:val="fr-CH"/>
        </w:rPr>
        <w:t xml:space="preserve"> </w:t>
      </w:r>
      <w:r w:rsidR="00F03F83" w:rsidRPr="00103717">
        <w:t xml:space="preserve">des cinquième et sixième </w:t>
      </w:r>
      <w:r w:rsidRPr="00103717">
        <w:t>séances plénières</w:t>
      </w:r>
      <w:r>
        <w:t xml:space="preserve"> </w:t>
      </w:r>
      <w:r w:rsidR="00F03F83">
        <w:t>de l</w:t>
      </w:r>
      <w:r w:rsidR="007A68A3">
        <w:t>'</w:t>
      </w:r>
      <w:r>
        <w:t>AR</w:t>
      </w:r>
      <w:r>
        <w:noBreakHyphen/>
      </w:r>
      <w:r w:rsidR="004F5F02">
        <w:t>12</w:t>
      </w:r>
      <w:r w:rsidR="00F03F83">
        <w:t xml:space="preserve"> </w:t>
      </w:r>
      <w:r w:rsidR="00F03F83" w:rsidRPr="00103717">
        <w:rPr>
          <w:lang w:val="fr-CH"/>
        </w:rPr>
        <w:t xml:space="preserve">(Document </w:t>
      </w:r>
      <w:hyperlink r:id="rId15" w:history="1">
        <w:r w:rsidR="00F03F83" w:rsidRPr="00103717">
          <w:rPr>
            <w:rStyle w:val="Hyperlink"/>
            <w:lang w:val="fr-CH"/>
          </w:rPr>
          <w:t>RA-12/PLEN/116</w:t>
        </w:r>
      </w:hyperlink>
      <w:r w:rsidR="00F03F83" w:rsidRPr="00103717">
        <w:rPr>
          <w:lang w:val="fr-CH"/>
        </w:rPr>
        <w:t xml:space="preserve">), </w:t>
      </w:r>
      <w:r w:rsidR="00F03F83">
        <w:rPr>
          <w:lang w:val="fr-CH"/>
        </w:rPr>
        <w:t>l</w:t>
      </w:r>
      <w:r w:rsidR="007A68A3">
        <w:rPr>
          <w:lang w:val="fr-CH"/>
        </w:rPr>
        <w:t>'</w:t>
      </w:r>
      <w:r>
        <w:rPr>
          <w:lang w:val="fr-CH"/>
        </w:rPr>
        <w:t>A</w:t>
      </w:r>
      <w:r w:rsidR="00F03F83">
        <w:rPr>
          <w:lang w:val="fr-CH"/>
        </w:rPr>
        <w:t xml:space="preserve">ssemblée a décidé de créer un Groupe de travail par correspondance </w:t>
      </w:r>
      <w:r w:rsidR="00F03F83" w:rsidRPr="00103717">
        <w:rPr>
          <w:lang w:val="fr-CH"/>
        </w:rPr>
        <w:t xml:space="preserve">(CG </w:t>
      </w:r>
      <w:proofErr w:type="spellStart"/>
      <w:r w:rsidR="00F03F83" w:rsidRPr="00103717">
        <w:rPr>
          <w:lang w:val="fr-CH"/>
        </w:rPr>
        <w:t>RecFormat</w:t>
      </w:r>
      <w:proofErr w:type="spellEnd"/>
      <w:r w:rsidR="00F03F83" w:rsidRPr="00103717">
        <w:rPr>
          <w:lang w:val="fr-CH"/>
        </w:rPr>
        <w:t>)</w:t>
      </w:r>
      <w:r w:rsidR="00F03F83">
        <w:rPr>
          <w:lang w:val="fr-CH"/>
        </w:rPr>
        <w:t xml:space="preserve">, dont le </w:t>
      </w:r>
      <w:r w:rsidR="00F03F83" w:rsidRPr="00103717">
        <w:rPr>
          <w:lang w:val="fr-CH"/>
        </w:rPr>
        <w:t>mandat consiste</w:t>
      </w:r>
      <w:r w:rsidR="00F03F83">
        <w:rPr>
          <w:lang w:val="fr-CH"/>
        </w:rPr>
        <w:t xml:space="preserve"> à examiner pour l</w:t>
      </w:r>
      <w:r w:rsidR="007A68A3">
        <w:rPr>
          <w:lang w:val="fr-CH"/>
        </w:rPr>
        <w:t>'</w:t>
      </w:r>
      <w:r w:rsidR="00F03F83">
        <w:rPr>
          <w:lang w:val="fr-CH"/>
        </w:rPr>
        <w:t>essentiel le(les)</w:t>
      </w:r>
      <w:r w:rsidR="00F03F83" w:rsidRPr="00103717">
        <w:rPr>
          <w:lang w:val="fr-CH"/>
        </w:rPr>
        <w:t xml:space="preserve"> format</w:t>
      </w:r>
      <w:r w:rsidR="00F03F83">
        <w:rPr>
          <w:lang w:val="fr-CH"/>
        </w:rPr>
        <w:t>(s)</w:t>
      </w:r>
      <w:r w:rsidR="00F03F83" w:rsidRPr="00103717">
        <w:rPr>
          <w:lang w:val="fr-CH"/>
        </w:rPr>
        <w:t xml:space="preserve"> des Recommandations UIT-R</w:t>
      </w:r>
      <w:r w:rsidR="00F03F83" w:rsidRPr="00103717">
        <w:t xml:space="preserve"> </w:t>
      </w:r>
      <w:r w:rsidR="00F03F83">
        <w:t xml:space="preserve">et </w:t>
      </w:r>
      <w:r w:rsidR="00F03F83" w:rsidRPr="00103717">
        <w:rPr>
          <w:lang w:val="fr-CH"/>
        </w:rPr>
        <w:t>à proposer de</w:t>
      </w:r>
      <w:r w:rsidR="00F03F83">
        <w:rPr>
          <w:lang w:val="fr-CH"/>
        </w:rPr>
        <w:t>s</w:t>
      </w:r>
      <w:r w:rsidR="00F03F83" w:rsidRPr="00103717">
        <w:rPr>
          <w:lang w:val="fr-CH"/>
        </w:rPr>
        <w:t xml:space="preserve"> lignes directrices</w:t>
      </w:r>
      <w:r>
        <w:rPr>
          <w:lang w:val="fr-CH"/>
        </w:rPr>
        <w:t>.</w:t>
      </w:r>
      <w:r w:rsidR="00F03F83" w:rsidRPr="00103717">
        <w:t xml:space="preserve"> </w:t>
      </w:r>
      <w:r w:rsidR="00F03F83">
        <w:t>Le mandat de ce Groupe de travail par correspondance figure à la dernière page du</w:t>
      </w:r>
      <w:r w:rsidR="004F5F02">
        <w:rPr>
          <w:lang w:val="fr-CH"/>
        </w:rPr>
        <w:t xml:space="preserve"> Document </w:t>
      </w:r>
      <w:r w:rsidR="00F03F83" w:rsidRPr="00132FA1">
        <w:rPr>
          <w:lang w:val="fr-CH"/>
        </w:rPr>
        <w:t>RA-12/PLEN/116.</w:t>
      </w:r>
      <w:r w:rsidR="00F03F83">
        <w:rPr>
          <w:lang w:val="fr-CH"/>
        </w:rPr>
        <w:t xml:space="preserve"> </w:t>
      </w:r>
      <w:r>
        <w:t>Ce</w:t>
      </w:r>
      <w:r w:rsidR="00F03F83" w:rsidRPr="00103717">
        <w:t xml:space="preserve"> Groupe rendra compte de ses conclusions au GCR</w:t>
      </w:r>
      <w:r w:rsidR="00F03F83">
        <w:t xml:space="preserve">, lequel présentera </w:t>
      </w:r>
      <w:r>
        <w:t xml:space="preserve">par la suite </w:t>
      </w:r>
      <w:r w:rsidR="00F03F83">
        <w:t xml:space="preserve">un rapport sur les </w:t>
      </w:r>
      <w:r w:rsidR="00F03F83" w:rsidRPr="00103717">
        <w:t xml:space="preserve">résultats finals à </w:t>
      </w:r>
      <w:r w:rsidR="00F03F83">
        <w:t>l</w:t>
      </w:r>
      <w:r w:rsidR="007A68A3">
        <w:t>'</w:t>
      </w:r>
      <w:r w:rsidR="00F03F83">
        <w:t xml:space="preserve">AR-15 </w:t>
      </w:r>
      <w:r w:rsidR="00F03F83" w:rsidRPr="00103717">
        <w:t>par l</w:t>
      </w:r>
      <w:r w:rsidR="007A68A3">
        <w:t>'</w:t>
      </w:r>
      <w:r w:rsidR="00F03F83" w:rsidRPr="00103717">
        <w:t>intermédiaire du Directeur du Bureau des radiocommunications.</w:t>
      </w:r>
    </w:p>
    <w:p w:rsidR="00F54494" w:rsidRDefault="000A4EA0" w:rsidP="00093AF6">
      <w:pPr>
        <w:pStyle w:val="enumlev1"/>
        <w:rPr>
          <w:lang w:val="fr-CH"/>
        </w:rPr>
      </w:pPr>
      <w:r w:rsidRPr="000A4EA0">
        <w:rPr>
          <w:lang w:val="fr-CH"/>
        </w:rPr>
        <w:t>•</w:t>
      </w:r>
      <w:r>
        <w:rPr>
          <w:lang w:val="fr-CH"/>
        </w:rPr>
        <w:tab/>
      </w:r>
      <w:r w:rsidR="00F03F83" w:rsidRPr="005F35D5">
        <w:rPr>
          <w:lang w:val="fr-CH"/>
        </w:rPr>
        <w:t>Il a été décidé de transmettre au</w:t>
      </w:r>
      <w:r w:rsidR="00F03F83">
        <w:rPr>
          <w:lang w:val="fr-CH"/>
        </w:rPr>
        <w:t xml:space="preserve"> GCR deux autres ques</w:t>
      </w:r>
      <w:r w:rsidR="00F54494">
        <w:rPr>
          <w:lang w:val="fr-CH"/>
        </w:rPr>
        <w:t>tions relatives à la Résolution UIT</w:t>
      </w:r>
      <w:r w:rsidR="00F54494">
        <w:rPr>
          <w:lang w:val="fr-CH"/>
        </w:rPr>
        <w:noBreakHyphen/>
      </w:r>
      <w:r>
        <w:rPr>
          <w:lang w:val="fr-CH"/>
        </w:rPr>
        <w:t>R</w:t>
      </w:r>
      <w:r w:rsidR="00F54494">
        <w:rPr>
          <w:lang w:val="fr-CH"/>
        </w:rPr>
        <w:t> 1.</w:t>
      </w:r>
      <w:r w:rsidR="00F03F83">
        <w:rPr>
          <w:lang w:val="fr-CH"/>
        </w:rPr>
        <w:t xml:space="preserve"> </w:t>
      </w:r>
      <w:r w:rsidR="00F03F83" w:rsidRPr="005F35D5">
        <w:rPr>
          <w:lang w:val="fr-CH"/>
        </w:rPr>
        <w:t xml:space="preserve">La première traite de la restructuration de la Résolution </w:t>
      </w:r>
      <w:r>
        <w:rPr>
          <w:lang w:val="fr-CH"/>
        </w:rPr>
        <w:t>UIT-R</w:t>
      </w:r>
      <w:r w:rsidR="00F54494">
        <w:rPr>
          <w:lang w:val="fr-CH"/>
        </w:rPr>
        <w:t xml:space="preserve"> 1 et la </w:t>
      </w:r>
      <w:r w:rsidR="00F03F83" w:rsidRPr="005F35D5">
        <w:rPr>
          <w:lang w:val="fr-CH"/>
        </w:rPr>
        <w:t xml:space="preserve">décision </w:t>
      </w:r>
      <w:r w:rsidR="00093AF6">
        <w:rPr>
          <w:lang w:val="fr-CH"/>
        </w:rPr>
        <w:t>connexe figure au § 5.</w:t>
      </w:r>
      <w:r w:rsidR="00F03F83" w:rsidRPr="005F35D5">
        <w:rPr>
          <w:lang w:val="fr-CH"/>
        </w:rPr>
        <w:t xml:space="preserve">2 du </w:t>
      </w:r>
      <w:r w:rsidR="00F54494" w:rsidRPr="005F35D5">
        <w:rPr>
          <w:lang w:val="fr-CH"/>
        </w:rPr>
        <w:t xml:space="preserve">compte </w:t>
      </w:r>
      <w:r w:rsidR="00F03F83" w:rsidRPr="005F35D5">
        <w:rPr>
          <w:lang w:val="fr-CH"/>
        </w:rPr>
        <w:t>rendu des cinquième et sixième séance</w:t>
      </w:r>
      <w:r w:rsidR="00093AF6">
        <w:rPr>
          <w:lang w:val="fr-CH"/>
        </w:rPr>
        <w:t>s</w:t>
      </w:r>
      <w:r w:rsidR="00F03F83" w:rsidRPr="005F35D5">
        <w:rPr>
          <w:lang w:val="fr-CH"/>
        </w:rPr>
        <w:t xml:space="preserve"> plénières de l</w:t>
      </w:r>
      <w:r w:rsidR="007A68A3">
        <w:rPr>
          <w:lang w:val="fr-CH"/>
        </w:rPr>
        <w:t>'</w:t>
      </w:r>
      <w:r w:rsidR="00F54494">
        <w:rPr>
          <w:lang w:val="fr-CH"/>
        </w:rPr>
        <w:t>A</w:t>
      </w:r>
      <w:r w:rsidR="00F03F83" w:rsidRPr="005F35D5">
        <w:rPr>
          <w:lang w:val="fr-CH"/>
        </w:rPr>
        <w:t xml:space="preserve">R-12 (Document RA12/PLEN/116): </w:t>
      </w:r>
      <w:r w:rsidR="00F54494">
        <w:rPr>
          <w:lang w:val="fr-CH"/>
        </w:rPr>
        <w:t>«</w:t>
      </w:r>
      <w:r w:rsidR="00F03F83" w:rsidRPr="005F35D5">
        <w:rPr>
          <w:lang w:val="fr-CH"/>
        </w:rPr>
        <w:t xml:space="preserve">Conformément au </w:t>
      </w:r>
      <w:r w:rsidR="00F54494">
        <w:rPr>
          <w:lang w:val="fr-CH"/>
        </w:rPr>
        <w:t>§ </w:t>
      </w:r>
      <w:r w:rsidR="00093AF6">
        <w:rPr>
          <w:lang w:val="fr-CH"/>
        </w:rPr>
        <w:t>1.</w:t>
      </w:r>
      <w:r w:rsidR="00F03F83" w:rsidRPr="005F35D5">
        <w:rPr>
          <w:lang w:val="fr-CH"/>
        </w:rPr>
        <w:t xml:space="preserve">7 de la Résolution </w:t>
      </w:r>
      <w:r>
        <w:rPr>
          <w:lang w:val="fr-CH"/>
        </w:rPr>
        <w:t>UIT-R</w:t>
      </w:r>
      <w:r w:rsidR="00F03F83" w:rsidRPr="005F35D5">
        <w:rPr>
          <w:lang w:val="fr-CH"/>
        </w:rPr>
        <w:t xml:space="preserve"> 1-6 </w:t>
      </w:r>
      <w:r w:rsidR="00F03F83">
        <w:rPr>
          <w:lang w:val="fr-CH"/>
        </w:rPr>
        <w:t xml:space="preserve">et à la Résolution </w:t>
      </w:r>
      <w:r>
        <w:rPr>
          <w:lang w:val="fr-CH"/>
        </w:rPr>
        <w:t>UIT-R</w:t>
      </w:r>
      <w:r w:rsidR="00F03F83">
        <w:rPr>
          <w:lang w:val="fr-CH"/>
        </w:rPr>
        <w:t xml:space="preserve"> 52, le GCR est invité à proposer un projet de révision de la Résolution </w:t>
      </w:r>
      <w:r>
        <w:rPr>
          <w:lang w:val="fr-CH"/>
        </w:rPr>
        <w:t>UIT-R</w:t>
      </w:r>
      <w:r w:rsidR="00F03F83">
        <w:rPr>
          <w:lang w:val="fr-CH"/>
        </w:rPr>
        <w:t xml:space="preserve"> 1-6, en vue de son examen </w:t>
      </w:r>
      <w:r w:rsidR="00F54494">
        <w:rPr>
          <w:lang w:val="fr-CH"/>
        </w:rPr>
        <w:t>par</w:t>
      </w:r>
      <w:r w:rsidR="00F03F83">
        <w:rPr>
          <w:lang w:val="fr-CH"/>
        </w:rPr>
        <w:t xml:space="preserve"> l</w:t>
      </w:r>
      <w:r w:rsidR="007A68A3">
        <w:rPr>
          <w:lang w:val="fr-CH"/>
        </w:rPr>
        <w:t>'</w:t>
      </w:r>
      <w:r w:rsidR="00F54494">
        <w:rPr>
          <w:lang w:val="fr-CH"/>
        </w:rPr>
        <w:t>A</w:t>
      </w:r>
      <w:r w:rsidR="00F03F83">
        <w:rPr>
          <w:lang w:val="fr-CH"/>
        </w:rPr>
        <w:t xml:space="preserve">ssemblée des radiocommunications de 2015, </w:t>
      </w:r>
      <w:r w:rsidR="00F54494">
        <w:rPr>
          <w:lang w:val="fr-CH"/>
        </w:rPr>
        <w:t>en tenant compte</w:t>
      </w:r>
      <w:r w:rsidR="00F03F83">
        <w:rPr>
          <w:lang w:val="fr-CH"/>
        </w:rPr>
        <w:t xml:space="preserve"> de la structure reproduite dans la Pièce jointe 2 du </w:t>
      </w:r>
      <w:r w:rsidR="00F03F83" w:rsidRPr="005F35D5">
        <w:rPr>
          <w:lang w:val="fr-CH"/>
        </w:rPr>
        <w:t xml:space="preserve">Document </w:t>
      </w:r>
      <w:hyperlink r:id="rId16" w:history="1">
        <w:r w:rsidR="00F03F83" w:rsidRPr="005F35D5">
          <w:rPr>
            <w:rStyle w:val="Hyperlink"/>
            <w:lang w:val="fr-CH"/>
          </w:rPr>
          <w:t>RA12/PLEN/16</w:t>
        </w:r>
      </w:hyperlink>
      <w:r w:rsidR="00F54494">
        <w:rPr>
          <w:lang w:val="fr-CH"/>
        </w:rPr>
        <w:t>»</w:t>
      </w:r>
      <w:r w:rsidR="00F03F83">
        <w:rPr>
          <w:lang w:val="fr-CH"/>
        </w:rPr>
        <w:t xml:space="preserve">. </w:t>
      </w:r>
      <w:r w:rsidR="00F03F83" w:rsidRPr="000F6BDE">
        <w:rPr>
          <w:lang w:val="fr-CH"/>
        </w:rPr>
        <w:t>En conséquence, il est demandé au</w:t>
      </w:r>
      <w:r w:rsidR="00F03F83">
        <w:rPr>
          <w:lang w:val="fr-CH"/>
        </w:rPr>
        <w:t xml:space="preserve"> GCR </w:t>
      </w:r>
      <w:r w:rsidR="00F03F83" w:rsidRPr="000F6BDE">
        <w:rPr>
          <w:lang w:val="fr-CH"/>
        </w:rPr>
        <w:t>de créer un Groupe de travail par correspondance</w:t>
      </w:r>
      <w:r w:rsidR="00093AF6">
        <w:rPr>
          <w:lang w:val="fr-CH"/>
        </w:rPr>
        <w:t xml:space="preserve"> </w:t>
      </w:r>
      <w:r w:rsidR="00F03F83" w:rsidRPr="000F6BDE">
        <w:rPr>
          <w:lang w:val="fr-CH"/>
        </w:rPr>
        <w:t>(CG-Res1Structure)</w:t>
      </w:r>
      <w:r w:rsidR="00F03F83">
        <w:rPr>
          <w:lang w:val="fr-CH"/>
        </w:rPr>
        <w:t xml:space="preserve"> </w:t>
      </w:r>
      <w:r w:rsidR="00F03F83" w:rsidRPr="000F6BDE">
        <w:rPr>
          <w:lang w:val="fr-CH"/>
        </w:rPr>
        <w:t>chargé</w:t>
      </w:r>
      <w:r w:rsidR="00F03F83">
        <w:rPr>
          <w:lang w:val="fr-CH"/>
        </w:rPr>
        <w:t xml:space="preserve"> de s</w:t>
      </w:r>
      <w:r w:rsidR="007A68A3">
        <w:rPr>
          <w:lang w:val="fr-CH"/>
        </w:rPr>
        <w:t>'</w:t>
      </w:r>
      <w:r w:rsidR="00F03F83">
        <w:rPr>
          <w:lang w:val="fr-CH"/>
        </w:rPr>
        <w:t xml:space="preserve">acquitter de </w:t>
      </w:r>
      <w:r w:rsidR="00F54494">
        <w:rPr>
          <w:lang w:val="fr-CH"/>
        </w:rPr>
        <w:t>cette tâ</w:t>
      </w:r>
      <w:r w:rsidR="00F03F83">
        <w:rPr>
          <w:lang w:val="fr-CH"/>
        </w:rPr>
        <w:t>che.</w:t>
      </w:r>
    </w:p>
    <w:p w:rsidR="00F03F83" w:rsidRDefault="004F5F02" w:rsidP="004F5F02">
      <w:pPr>
        <w:ind w:left="794" w:hanging="794"/>
        <w:rPr>
          <w:lang w:val="fr-CH"/>
        </w:rPr>
      </w:pPr>
      <w:r>
        <w:rPr>
          <w:lang w:val="fr-CH"/>
        </w:rPr>
        <w:tab/>
      </w:r>
      <w:r w:rsidR="00F54494" w:rsidRPr="000F6BDE">
        <w:rPr>
          <w:lang w:val="fr-CH"/>
        </w:rPr>
        <w:t xml:space="preserve">Dans </w:t>
      </w:r>
      <w:r w:rsidR="00F03F83" w:rsidRPr="000F6BDE">
        <w:rPr>
          <w:lang w:val="fr-CH"/>
        </w:rPr>
        <w:t xml:space="preserve">le Document </w:t>
      </w:r>
      <w:hyperlink r:id="rId17" w:history="1">
        <w:r w:rsidR="00F03F83" w:rsidRPr="000F6BDE">
          <w:rPr>
            <w:rStyle w:val="Hyperlink"/>
            <w:lang w:val="fr-CH"/>
          </w:rPr>
          <w:t>RA12/PLEN/10</w:t>
        </w:r>
      </w:hyperlink>
      <w:r w:rsidR="00F03F83" w:rsidRPr="00F54494">
        <w:t>, il est proposé d</w:t>
      </w:r>
      <w:r w:rsidR="007A68A3" w:rsidRPr="00F54494">
        <w:t>'</w:t>
      </w:r>
      <w:r w:rsidR="00F03F83" w:rsidRPr="00F54494">
        <w:t>ajouter une note relative à</w:t>
      </w:r>
      <w:r w:rsidR="00F03F83" w:rsidRPr="000F6BDE">
        <w:rPr>
          <w:lang w:val="fr-CH"/>
        </w:rPr>
        <w:t xml:space="preserve"> </w:t>
      </w:r>
      <w:r w:rsidR="00F54494" w:rsidRPr="000F6BDE">
        <w:rPr>
          <w:lang w:val="fr-CH"/>
        </w:rPr>
        <w:t>l</w:t>
      </w:r>
      <w:r w:rsidR="00F54494">
        <w:rPr>
          <w:lang w:val="fr-CH"/>
        </w:rPr>
        <w:t>'</w:t>
      </w:r>
      <w:r w:rsidR="00F54494" w:rsidRPr="000F6BDE">
        <w:rPr>
          <w:lang w:val="fr-CH"/>
        </w:rPr>
        <w:t>emploi des formes verbales d</w:t>
      </w:r>
      <w:r w:rsidR="00F54494">
        <w:rPr>
          <w:lang w:val="fr-CH"/>
        </w:rPr>
        <w:t>'</w:t>
      </w:r>
      <w:r w:rsidR="00F54494" w:rsidRPr="000F6BDE">
        <w:rPr>
          <w:lang w:val="fr-CH"/>
        </w:rPr>
        <w:t>obligation</w:t>
      </w:r>
      <w:r w:rsidR="00093AF6">
        <w:rPr>
          <w:lang w:val="fr-CH"/>
        </w:rPr>
        <w:t xml:space="preserve"> </w:t>
      </w:r>
      <w:r w:rsidR="00F03F83">
        <w:rPr>
          <w:lang w:val="fr-CH"/>
        </w:rPr>
        <w:t>(</w:t>
      </w:r>
      <w:r w:rsidR="00F03F83" w:rsidRPr="000F6BDE">
        <w:rPr>
          <w:lang w:val="fr-CH"/>
        </w:rPr>
        <w:t>présent d</w:t>
      </w:r>
      <w:r w:rsidR="007A68A3">
        <w:rPr>
          <w:lang w:val="fr-CH"/>
        </w:rPr>
        <w:t>'</w:t>
      </w:r>
      <w:r w:rsidR="00F03F83" w:rsidRPr="000F6BDE">
        <w:rPr>
          <w:lang w:val="fr-CH"/>
        </w:rPr>
        <w:t>obligation</w:t>
      </w:r>
      <w:r w:rsidR="00F03F83">
        <w:rPr>
          <w:lang w:val="fr-CH"/>
        </w:rPr>
        <w:t xml:space="preserve"> </w:t>
      </w:r>
      <w:r w:rsidR="00F03F83" w:rsidRPr="000F6BDE">
        <w:rPr>
          <w:lang w:val="fr-CH"/>
        </w:rPr>
        <w:t>et</w:t>
      </w:r>
      <w:r w:rsidR="00F03F83">
        <w:rPr>
          <w:lang w:val="fr-CH"/>
        </w:rPr>
        <w:t xml:space="preserve"> </w:t>
      </w:r>
      <w:r w:rsidR="00F03F83" w:rsidRPr="000F6BDE">
        <w:rPr>
          <w:lang w:val="fr-CH"/>
        </w:rPr>
        <w:t>verbe «devoir</w:t>
      </w:r>
      <w:r w:rsidR="00F03F83">
        <w:rPr>
          <w:lang w:val="fr-CH"/>
        </w:rPr>
        <w:t>»)</w:t>
      </w:r>
      <w:r w:rsidR="00F03F83" w:rsidRPr="000F6BDE">
        <w:rPr>
          <w:lang w:val="fr-CH"/>
        </w:rPr>
        <w:t xml:space="preserve"> </w:t>
      </w:r>
      <w:r w:rsidR="00F54494">
        <w:rPr>
          <w:lang w:val="fr-CH"/>
        </w:rPr>
        <w:t>que la Commission 5 (AR</w:t>
      </w:r>
      <w:r w:rsidR="00F54494">
        <w:rPr>
          <w:lang w:val="fr-CH"/>
        </w:rPr>
        <w:noBreakHyphen/>
      </w:r>
      <w:r w:rsidR="00F03F83">
        <w:rPr>
          <w:lang w:val="fr-CH"/>
        </w:rPr>
        <w:t>12) a décidé de transmettre au GCR pour examen.</w:t>
      </w:r>
    </w:p>
    <w:p w:rsidR="00F54494" w:rsidRDefault="004F5F02" w:rsidP="004F5F02">
      <w:pPr>
        <w:ind w:left="794" w:hanging="794"/>
        <w:rPr>
          <w:lang w:val="fr-CH"/>
        </w:rPr>
      </w:pPr>
      <w:r>
        <w:rPr>
          <w:lang w:val="fr-CH"/>
        </w:rPr>
        <w:tab/>
      </w:r>
      <w:r w:rsidR="00F03F83" w:rsidRPr="000F6BDE">
        <w:rPr>
          <w:lang w:val="fr-CH"/>
        </w:rPr>
        <w:t xml:space="preserve">Dans le Document </w:t>
      </w:r>
      <w:hyperlink r:id="rId18" w:history="1">
        <w:r w:rsidR="00F03F83" w:rsidRPr="000F6BDE">
          <w:rPr>
            <w:rStyle w:val="Hyperlink"/>
            <w:lang w:val="fr-CH"/>
          </w:rPr>
          <w:t>RA12/PLEN/31</w:t>
        </w:r>
      </w:hyperlink>
      <w:r w:rsidR="00EE1B2B">
        <w:rPr>
          <w:lang w:val="fr-CH"/>
        </w:rPr>
        <w:t>, il est proposé</w:t>
      </w:r>
      <w:r w:rsidR="00F03F83" w:rsidRPr="000F6BDE">
        <w:rPr>
          <w:lang w:val="fr-CH"/>
        </w:rPr>
        <w:t xml:space="preserve"> d</w:t>
      </w:r>
      <w:r w:rsidR="007A68A3">
        <w:rPr>
          <w:lang w:val="fr-CH"/>
        </w:rPr>
        <w:t>'</w:t>
      </w:r>
      <w:r w:rsidR="00F03F83" w:rsidRPr="000F6BDE">
        <w:rPr>
          <w:lang w:val="fr-CH"/>
        </w:rPr>
        <w:t xml:space="preserve">ajouter dans la </w:t>
      </w:r>
      <w:r w:rsidR="00F03F83">
        <w:rPr>
          <w:lang w:val="fr-CH"/>
        </w:rPr>
        <w:t>Résolution</w:t>
      </w:r>
      <w:r w:rsidR="00F03F83" w:rsidRPr="000F6BDE">
        <w:rPr>
          <w:lang w:val="fr-CH"/>
        </w:rPr>
        <w:t xml:space="preserve"> </w:t>
      </w:r>
      <w:r w:rsidR="00F03F83">
        <w:rPr>
          <w:lang w:val="fr-CH"/>
        </w:rPr>
        <w:t>UIT</w:t>
      </w:r>
      <w:r>
        <w:rPr>
          <w:lang w:val="fr-CH"/>
        </w:rPr>
        <w:t>-R 1 un </w:t>
      </w:r>
      <w:r w:rsidR="00F03F83" w:rsidRPr="000F6BDE">
        <w:rPr>
          <w:lang w:val="fr-CH"/>
        </w:rPr>
        <w:t xml:space="preserve">diagramme décrivant </w:t>
      </w:r>
      <w:r w:rsidR="00F03F83">
        <w:rPr>
          <w:lang w:val="fr-CH"/>
        </w:rPr>
        <w:t>la procédure d</w:t>
      </w:r>
      <w:r w:rsidR="007A68A3">
        <w:rPr>
          <w:lang w:val="fr-CH"/>
        </w:rPr>
        <w:t>'</w:t>
      </w:r>
      <w:r w:rsidR="00F03F83">
        <w:rPr>
          <w:lang w:val="fr-CH"/>
        </w:rPr>
        <w:t>adoption et d</w:t>
      </w:r>
      <w:r w:rsidR="007A68A3">
        <w:rPr>
          <w:lang w:val="fr-CH"/>
        </w:rPr>
        <w:t>'</w:t>
      </w:r>
      <w:r w:rsidR="00F03F83">
        <w:rPr>
          <w:lang w:val="fr-CH"/>
        </w:rPr>
        <w:t xml:space="preserve">approbation des Recommandations </w:t>
      </w:r>
      <w:r w:rsidR="000A4EA0">
        <w:rPr>
          <w:lang w:val="fr-CH"/>
        </w:rPr>
        <w:t>UIT-R</w:t>
      </w:r>
      <w:r w:rsidR="00F03F83">
        <w:rPr>
          <w:lang w:val="fr-CH"/>
        </w:rPr>
        <w:t>. La Commission 5 de l</w:t>
      </w:r>
      <w:r w:rsidR="007A68A3">
        <w:rPr>
          <w:lang w:val="fr-CH"/>
        </w:rPr>
        <w:t>'</w:t>
      </w:r>
      <w:r w:rsidR="00EE1B2B">
        <w:rPr>
          <w:lang w:val="fr-CH"/>
        </w:rPr>
        <w:t>A</w:t>
      </w:r>
      <w:r w:rsidR="00F03F83">
        <w:rPr>
          <w:lang w:val="fr-CH"/>
        </w:rPr>
        <w:t xml:space="preserve">ssemblée a décidé de transmettre ce </w:t>
      </w:r>
      <w:r w:rsidR="00F03F83" w:rsidRPr="000F6BDE">
        <w:rPr>
          <w:lang w:val="fr-CH"/>
        </w:rPr>
        <w:t>diagramme</w:t>
      </w:r>
      <w:r w:rsidR="00F03F83">
        <w:rPr>
          <w:lang w:val="fr-CH"/>
        </w:rPr>
        <w:t xml:space="preserve"> au Groupe de travail par correspondance compétent du GCR, </w:t>
      </w:r>
      <w:r w:rsidR="00EE1B2B">
        <w:rPr>
          <w:lang w:val="fr-CH"/>
        </w:rPr>
        <w:t>a</w:t>
      </w:r>
      <w:r w:rsidR="00F03F83">
        <w:rPr>
          <w:lang w:val="fr-CH"/>
        </w:rPr>
        <w:t>fin qu</w:t>
      </w:r>
      <w:r w:rsidR="007A68A3">
        <w:rPr>
          <w:lang w:val="fr-CH"/>
        </w:rPr>
        <w:t>'</w:t>
      </w:r>
      <w:r w:rsidR="00F03F83">
        <w:rPr>
          <w:lang w:val="fr-CH"/>
        </w:rPr>
        <w:t>il envisage de le faire figurer dans les lignes directrices.</w:t>
      </w:r>
    </w:p>
    <w:p w:rsidR="00EE1B2B" w:rsidRDefault="004F5F02" w:rsidP="004F5F02">
      <w:pPr>
        <w:ind w:left="794" w:hanging="794"/>
        <w:rPr>
          <w:lang w:val="fr-CH"/>
        </w:rPr>
      </w:pPr>
      <w:r>
        <w:rPr>
          <w:lang w:val="fr-CH"/>
        </w:rPr>
        <w:tab/>
      </w:r>
      <w:r w:rsidR="00F03F83" w:rsidRPr="00D24920">
        <w:rPr>
          <w:lang w:val="fr-CH"/>
        </w:rPr>
        <w:t xml:space="preserve">En conséquence, il est proposé que le </w:t>
      </w:r>
      <w:r w:rsidR="00EE1B2B" w:rsidRPr="00D24920">
        <w:rPr>
          <w:lang w:val="fr-CH"/>
        </w:rPr>
        <w:t xml:space="preserve">Groupe </w:t>
      </w:r>
      <w:r w:rsidR="00F03F83" w:rsidRPr="00D24920">
        <w:rPr>
          <w:lang w:val="fr-CH"/>
        </w:rPr>
        <w:t>de travail par correspondance CG-Res1Structure examine ces questions et</w:t>
      </w:r>
      <w:r w:rsidR="00EE1B2B">
        <w:rPr>
          <w:lang w:val="fr-CH"/>
        </w:rPr>
        <w:t xml:space="preserve"> donne son avis sur la march</w:t>
      </w:r>
      <w:r w:rsidR="00F03F83">
        <w:rPr>
          <w:lang w:val="fr-CH"/>
        </w:rPr>
        <w:t>e à suivre à cet égard.</w:t>
      </w:r>
    </w:p>
    <w:p w:rsidR="006966C1" w:rsidRDefault="00EE1B2B" w:rsidP="00093AF6">
      <w:pPr>
        <w:pStyle w:val="enumlev1"/>
        <w:rPr>
          <w:lang w:val="fr-CH" w:eastAsia="zh-CN"/>
        </w:rPr>
      </w:pPr>
      <w:r w:rsidRPr="00EE1B2B">
        <w:rPr>
          <w:lang w:val="fr-CH"/>
        </w:rPr>
        <w:t>•</w:t>
      </w:r>
      <w:r>
        <w:rPr>
          <w:lang w:val="fr-CH"/>
        </w:rPr>
        <w:tab/>
      </w:r>
      <w:r w:rsidR="00F03F83" w:rsidRPr="00D24920">
        <w:rPr>
          <w:lang w:val="fr-CH"/>
        </w:rPr>
        <w:t>Le</w:t>
      </w:r>
      <w:r w:rsidR="00F03F83">
        <w:rPr>
          <w:lang w:val="fr-CH"/>
        </w:rPr>
        <w:t xml:space="preserve"> </w:t>
      </w:r>
      <w:r>
        <w:rPr>
          <w:lang w:val="fr-CH"/>
        </w:rPr>
        <w:t>§ </w:t>
      </w:r>
      <w:r w:rsidR="00F03F83" w:rsidRPr="00D24920">
        <w:rPr>
          <w:lang w:val="fr-CH"/>
        </w:rPr>
        <w:t>5.2 du compte rendu des cinquième et sixième séance</w:t>
      </w:r>
      <w:r>
        <w:rPr>
          <w:lang w:val="fr-CH"/>
        </w:rPr>
        <w:t>s</w:t>
      </w:r>
      <w:r w:rsidR="00F03F83" w:rsidRPr="00D24920">
        <w:rPr>
          <w:lang w:val="fr-CH"/>
        </w:rPr>
        <w:t xml:space="preserve"> plénière</w:t>
      </w:r>
      <w:r>
        <w:rPr>
          <w:lang w:val="fr-CH"/>
        </w:rPr>
        <w:t>s de </w:t>
      </w:r>
      <w:r w:rsidR="00093AF6">
        <w:rPr>
          <w:lang w:val="fr-CH"/>
        </w:rPr>
        <w:t>l</w:t>
      </w:r>
      <w:r w:rsidR="007A68A3">
        <w:rPr>
          <w:lang w:val="fr-CH"/>
        </w:rPr>
        <w:t>'</w:t>
      </w:r>
      <w:r>
        <w:rPr>
          <w:lang w:val="fr-CH"/>
        </w:rPr>
        <w:t>AR</w:t>
      </w:r>
      <w:r>
        <w:rPr>
          <w:lang w:val="fr-CH"/>
        </w:rPr>
        <w:noBreakHyphen/>
        <w:t>12</w:t>
      </w:r>
      <w:r w:rsidR="00093AF6">
        <w:rPr>
          <w:lang w:val="fr-CH"/>
        </w:rPr>
        <w:t xml:space="preserve"> </w:t>
      </w:r>
      <w:r w:rsidR="00F03F83" w:rsidRPr="00D24920">
        <w:rPr>
          <w:lang w:val="fr-CH"/>
        </w:rPr>
        <w:t>(Document RA12/PLEN/116)</w:t>
      </w:r>
      <w:r w:rsidR="00F03F83">
        <w:rPr>
          <w:lang w:val="fr-CH"/>
        </w:rPr>
        <w:t xml:space="preserve"> fait état de l</w:t>
      </w:r>
      <w:r w:rsidR="007A68A3">
        <w:rPr>
          <w:lang w:val="fr-CH"/>
        </w:rPr>
        <w:t>'</w:t>
      </w:r>
      <w:r w:rsidR="00F03F83">
        <w:rPr>
          <w:lang w:val="fr-CH"/>
        </w:rPr>
        <w:t>approbation du</w:t>
      </w:r>
      <w:r w:rsidR="00F03F83" w:rsidRPr="00D24920">
        <w:rPr>
          <w:lang w:val="fr-CH"/>
        </w:rPr>
        <w:t xml:space="preserve"> Document</w:t>
      </w:r>
      <w:r w:rsidR="00093AF6">
        <w:rPr>
          <w:lang w:val="fr-CH"/>
        </w:rPr>
        <w:t xml:space="preserve"> </w:t>
      </w:r>
      <w:hyperlink r:id="rId19" w:history="1">
        <w:r w:rsidR="00F03F83" w:rsidRPr="00D24920">
          <w:rPr>
            <w:rStyle w:val="Hyperlink"/>
            <w:lang w:val="fr-CH"/>
          </w:rPr>
          <w:t>RA12/PLEN/96(R</w:t>
        </w:r>
        <w:r>
          <w:rPr>
            <w:rStyle w:val="Hyperlink"/>
            <w:lang w:val="fr-CH"/>
          </w:rPr>
          <w:t>é</w:t>
        </w:r>
        <w:r w:rsidR="00F03F83" w:rsidRPr="00D24920">
          <w:rPr>
            <w:rStyle w:val="Hyperlink"/>
            <w:lang w:val="fr-CH"/>
          </w:rPr>
          <w:t>v.1)</w:t>
        </w:r>
      </w:hyperlink>
      <w:r w:rsidR="00F03F83">
        <w:rPr>
          <w:lang w:val="fr-CH"/>
        </w:rPr>
        <w:t xml:space="preserve">, dans lequel le texte suivant </w:t>
      </w:r>
      <w:r w:rsidR="00093AF6">
        <w:rPr>
          <w:lang w:val="fr-CH"/>
        </w:rPr>
        <w:t>a été accepté par l'A</w:t>
      </w:r>
      <w:r>
        <w:rPr>
          <w:lang w:val="fr-CH"/>
        </w:rPr>
        <w:t>R-12</w:t>
      </w:r>
      <w:r w:rsidR="00F03F83">
        <w:rPr>
          <w:lang w:val="fr-CH"/>
        </w:rPr>
        <w:t>:</w:t>
      </w:r>
    </w:p>
    <w:p w:rsidR="00F03F83" w:rsidRPr="00DD19AE" w:rsidRDefault="006966C1" w:rsidP="006966C1">
      <w:pPr>
        <w:pStyle w:val="enumlev1"/>
        <w:rPr>
          <w:lang w:val="fr-CH"/>
        </w:rPr>
      </w:pPr>
      <w:r>
        <w:rPr>
          <w:lang w:val="fr-CH" w:eastAsia="zh-CN"/>
        </w:rPr>
        <w:tab/>
      </w:r>
      <w:r w:rsidR="00EE1B2B">
        <w:rPr>
          <w:lang w:val="fr-CH" w:eastAsia="zh-CN"/>
        </w:rPr>
        <w:t>«</w:t>
      </w:r>
      <w:r w:rsidR="00F03F83" w:rsidRPr="00D24920">
        <w:rPr>
          <w:lang w:val="fr-CH" w:eastAsia="zh-CN"/>
        </w:rPr>
        <w:t xml:space="preserve">A la lumière du § 1.7 de la Résolution UIT-R 1 et de la Résolution UIT-R 52, le GCR </w:t>
      </w:r>
      <w:r w:rsidR="00EE1B2B">
        <w:rPr>
          <w:lang w:val="fr-CH" w:eastAsia="zh-CN"/>
        </w:rPr>
        <w:t xml:space="preserve">est invité </w:t>
      </w:r>
      <w:r w:rsidR="00F03F83" w:rsidRPr="00D24920">
        <w:rPr>
          <w:lang w:val="fr-CH" w:eastAsia="zh-CN"/>
        </w:rPr>
        <w:t>à proposer d</w:t>
      </w:r>
      <w:r w:rsidR="007A68A3">
        <w:rPr>
          <w:lang w:val="fr-CH" w:eastAsia="zh-CN"/>
        </w:rPr>
        <w:t>'</w:t>
      </w:r>
      <w:r w:rsidR="00F03F83" w:rsidRPr="00D24920">
        <w:rPr>
          <w:lang w:val="fr-CH" w:eastAsia="zh-CN"/>
        </w:rPr>
        <w:t xml:space="preserve">apporter des </w:t>
      </w:r>
      <w:r w:rsidR="00EE1B2B">
        <w:rPr>
          <w:lang w:val="fr-CH" w:eastAsia="zh-CN"/>
        </w:rPr>
        <w:t xml:space="preserve">projets de </w:t>
      </w:r>
      <w:r w:rsidR="00F03F83" w:rsidRPr="00D24920">
        <w:rPr>
          <w:lang w:val="fr-CH" w:eastAsia="zh-CN"/>
        </w:rPr>
        <w:t>modification à la Résolution UIT</w:t>
      </w:r>
      <w:r w:rsidR="00F03F83" w:rsidRPr="00D24920">
        <w:rPr>
          <w:lang w:val="fr-CH" w:eastAsia="zh-CN"/>
        </w:rPr>
        <w:noBreakHyphen/>
        <w:t>R 6 à sa réunion de 2013, compte tenu des mesures prises par le GCNT et l</w:t>
      </w:r>
      <w:r w:rsidR="007A68A3">
        <w:rPr>
          <w:lang w:val="fr-CH" w:eastAsia="zh-CN"/>
        </w:rPr>
        <w:t>'</w:t>
      </w:r>
      <w:r w:rsidR="00F03F83" w:rsidRPr="00D24920">
        <w:rPr>
          <w:lang w:val="fr-CH" w:eastAsia="zh-CN"/>
        </w:rPr>
        <w:t>AMNT en vue de modifier la Résolution UIT-T 18</w:t>
      </w:r>
      <w:r w:rsidR="00093AF6">
        <w:rPr>
          <w:lang w:val="fr-CH" w:eastAsia="zh-CN"/>
        </w:rPr>
        <w:t>.</w:t>
      </w:r>
      <w:r w:rsidR="00F03F83">
        <w:rPr>
          <w:lang w:val="fr-CH" w:eastAsia="zh-CN"/>
        </w:rPr>
        <w:t>»</w:t>
      </w:r>
    </w:p>
    <w:p w:rsidR="00F03F83" w:rsidRDefault="00EE1B2B" w:rsidP="00C91310">
      <w:pPr>
        <w:pStyle w:val="enumlev1"/>
        <w:rPr>
          <w:lang w:val="fr-CH"/>
        </w:rPr>
      </w:pPr>
      <w:r>
        <w:rPr>
          <w:lang w:val="fr-CH"/>
        </w:rPr>
        <w:tab/>
      </w:r>
      <w:r w:rsidR="00F03F83" w:rsidRPr="00DD19AE">
        <w:rPr>
          <w:lang w:val="fr-CH"/>
        </w:rPr>
        <w:t>Il s</w:t>
      </w:r>
      <w:r w:rsidR="007A68A3">
        <w:rPr>
          <w:lang w:val="fr-CH"/>
        </w:rPr>
        <w:t>'</w:t>
      </w:r>
      <w:r w:rsidR="00F03F83" w:rsidRPr="00DD19AE">
        <w:rPr>
          <w:lang w:val="fr-CH"/>
        </w:rPr>
        <w:t xml:space="preserve">agit de modifier la </w:t>
      </w:r>
      <w:r w:rsidR="00F03F83">
        <w:rPr>
          <w:lang w:val="fr-CH"/>
        </w:rPr>
        <w:t>Résolution</w:t>
      </w:r>
      <w:r w:rsidR="00F03F83" w:rsidRPr="00DD19AE">
        <w:rPr>
          <w:lang w:val="fr-CH"/>
        </w:rPr>
        <w:t xml:space="preserve"> </w:t>
      </w:r>
      <w:r w:rsidR="00F03F83">
        <w:rPr>
          <w:lang w:val="fr-CH"/>
        </w:rPr>
        <w:t>UIT</w:t>
      </w:r>
      <w:r w:rsidR="00F03F83" w:rsidRPr="00DD19AE">
        <w:rPr>
          <w:lang w:val="fr-CH"/>
        </w:rPr>
        <w:t>-R 6-1 (soumise</w:t>
      </w:r>
      <w:r w:rsidR="00F03F83">
        <w:rPr>
          <w:lang w:val="fr-CH"/>
        </w:rPr>
        <w:t xml:space="preserve"> </w:t>
      </w:r>
      <w:r w:rsidR="00F03F83" w:rsidRPr="00DD19AE">
        <w:rPr>
          <w:lang w:val="fr-CH"/>
        </w:rPr>
        <w:t xml:space="preserve">dans le Document </w:t>
      </w:r>
      <w:hyperlink r:id="rId20" w:history="1">
        <w:r w:rsidR="00F03F83" w:rsidRPr="00DD19AE">
          <w:rPr>
            <w:rStyle w:val="Hyperlink"/>
            <w:lang w:val="fr-CH"/>
          </w:rPr>
          <w:t>RA12/PLEN/12</w:t>
        </w:r>
      </w:hyperlink>
      <w:r w:rsidR="00F03F83" w:rsidRPr="00DD19AE">
        <w:rPr>
          <w:lang w:val="fr-CH"/>
        </w:rPr>
        <w:t xml:space="preserve">) pour </w:t>
      </w:r>
      <w:r w:rsidR="00F03F83">
        <w:rPr>
          <w:lang w:val="fr-CH"/>
        </w:rPr>
        <w:t>qu</w:t>
      </w:r>
      <w:r w:rsidR="007A68A3">
        <w:rPr>
          <w:lang w:val="fr-CH"/>
        </w:rPr>
        <w:t>'</w:t>
      </w:r>
      <w:r w:rsidR="00F03F83">
        <w:rPr>
          <w:lang w:val="fr-CH"/>
        </w:rPr>
        <w:t>il soit possible d</w:t>
      </w:r>
      <w:r w:rsidR="007A68A3">
        <w:rPr>
          <w:lang w:val="fr-CH"/>
        </w:rPr>
        <w:t>'</w:t>
      </w:r>
      <w:r w:rsidR="00F03F83" w:rsidRPr="00DD19AE">
        <w:rPr>
          <w:lang w:val="fr-CH"/>
        </w:rPr>
        <w:t>établi</w:t>
      </w:r>
      <w:r w:rsidR="00F03F83">
        <w:rPr>
          <w:lang w:val="fr-CH"/>
        </w:rPr>
        <w:t>r</w:t>
      </w:r>
      <w:r w:rsidR="00F03F83" w:rsidRPr="00DD19AE">
        <w:rPr>
          <w:lang w:val="fr-CH"/>
        </w:rPr>
        <w:t xml:space="preserve"> de</w:t>
      </w:r>
      <w:r w:rsidR="00F03F83">
        <w:rPr>
          <w:lang w:val="fr-CH"/>
        </w:rPr>
        <w:t>s</w:t>
      </w:r>
      <w:r w:rsidR="00F03F83" w:rsidRPr="00DD19AE">
        <w:rPr>
          <w:lang w:val="fr-CH"/>
        </w:rPr>
        <w:t xml:space="preserve"> Groupes</w:t>
      </w:r>
      <w:r w:rsidR="00F03F83">
        <w:rPr>
          <w:lang w:val="fr-CH"/>
        </w:rPr>
        <w:t xml:space="preserve"> de </w:t>
      </w:r>
      <w:r>
        <w:rPr>
          <w:lang w:val="fr-CH"/>
        </w:rPr>
        <w:t xml:space="preserve">Rapporteurs </w:t>
      </w:r>
      <w:r w:rsidR="00F03F83">
        <w:rPr>
          <w:lang w:val="fr-CH"/>
        </w:rPr>
        <w:t>intersectoriel</w:t>
      </w:r>
      <w:r w:rsidR="00F03F83" w:rsidRPr="00DD19AE">
        <w:rPr>
          <w:lang w:val="fr-CH"/>
        </w:rPr>
        <w:t xml:space="preserve">s </w:t>
      </w:r>
      <w:r w:rsidR="00F03F83">
        <w:rPr>
          <w:lang w:val="fr-CH"/>
        </w:rPr>
        <w:t>à l</w:t>
      </w:r>
      <w:r w:rsidR="007A68A3">
        <w:rPr>
          <w:lang w:val="fr-CH"/>
        </w:rPr>
        <w:t>'</w:t>
      </w:r>
      <w:r w:rsidR="000A4EA0">
        <w:rPr>
          <w:lang w:val="fr-CH"/>
        </w:rPr>
        <w:t>UIT-R</w:t>
      </w:r>
      <w:r w:rsidR="00F03F83">
        <w:rPr>
          <w:lang w:val="fr-CH"/>
        </w:rPr>
        <w:t xml:space="preserve"> et à l</w:t>
      </w:r>
      <w:r w:rsidR="007A68A3">
        <w:rPr>
          <w:lang w:val="fr-CH"/>
        </w:rPr>
        <w:t>'</w:t>
      </w:r>
      <w:r>
        <w:rPr>
          <w:lang w:val="fr-CH"/>
        </w:rPr>
        <w:t>UIT</w:t>
      </w:r>
      <w:r>
        <w:rPr>
          <w:lang w:val="fr-CH"/>
        </w:rPr>
        <w:noBreakHyphen/>
      </w:r>
      <w:r w:rsidR="00F03F83">
        <w:rPr>
          <w:lang w:val="fr-CH"/>
        </w:rPr>
        <w:t xml:space="preserve">T. Il a été décidé et de transmettre </w:t>
      </w:r>
      <w:r>
        <w:rPr>
          <w:lang w:val="fr-CH"/>
        </w:rPr>
        <w:t>cette proposition</w:t>
      </w:r>
      <w:r w:rsidR="00F03F83">
        <w:rPr>
          <w:lang w:val="fr-CH"/>
        </w:rPr>
        <w:t xml:space="preserve"> au GCR pour examen, conformément au texte présenté ci-dessus. En conséquence, le GCR est invité à créer un Groupe de travail par correspondance</w:t>
      </w:r>
      <w:r w:rsidR="00093AF6">
        <w:rPr>
          <w:lang w:val="fr-CH"/>
        </w:rPr>
        <w:t xml:space="preserve"> </w:t>
      </w:r>
      <w:r w:rsidR="00F03F83" w:rsidRPr="00DD19AE">
        <w:rPr>
          <w:lang w:val="fr-CH"/>
        </w:rPr>
        <w:t>(CG-Res6Revision)</w:t>
      </w:r>
      <w:r w:rsidR="00F03F83">
        <w:rPr>
          <w:lang w:val="fr-CH"/>
        </w:rPr>
        <w:t xml:space="preserve"> pour s</w:t>
      </w:r>
      <w:r w:rsidR="007A68A3">
        <w:rPr>
          <w:lang w:val="fr-CH"/>
        </w:rPr>
        <w:t>'</w:t>
      </w:r>
      <w:r w:rsidR="00F03F83">
        <w:rPr>
          <w:lang w:val="fr-CH"/>
        </w:rPr>
        <w:t>acquitter de cette tâche.</w:t>
      </w:r>
    </w:p>
    <w:p w:rsidR="00F03F83" w:rsidRPr="00035DCD" w:rsidRDefault="00F03F83" w:rsidP="00C91310">
      <w:pPr>
        <w:pStyle w:val="Heading2"/>
        <w:rPr>
          <w:lang w:val="fr-CH"/>
        </w:rPr>
      </w:pPr>
      <w:r w:rsidRPr="00035DCD">
        <w:rPr>
          <w:lang w:val="fr-CH"/>
        </w:rPr>
        <w:t>3.2</w:t>
      </w:r>
      <w:r w:rsidRPr="00035DCD">
        <w:rPr>
          <w:lang w:val="fr-CH"/>
        </w:rPr>
        <w:tab/>
        <w:t>Résultats de la CMR-12</w:t>
      </w:r>
    </w:p>
    <w:p w:rsidR="00F03F83" w:rsidRDefault="00F03F83" w:rsidP="00C91310">
      <w:pPr>
        <w:rPr>
          <w:lang w:val="fr-CH" w:eastAsia="zh-CN"/>
        </w:rPr>
      </w:pPr>
      <w:r w:rsidRPr="009E65AD">
        <w:rPr>
          <w:lang w:val="fr-CH" w:eastAsia="zh-CN"/>
        </w:rPr>
        <w:t>La</w:t>
      </w:r>
      <w:r>
        <w:rPr>
          <w:lang w:val="fr-CH" w:eastAsia="zh-CN"/>
        </w:rPr>
        <w:t xml:space="preserve"> Confé</w:t>
      </w:r>
      <w:r w:rsidRPr="009E65AD">
        <w:rPr>
          <w:lang w:val="fr-CH" w:eastAsia="zh-CN"/>
        </w:rPr>
        <w:t>rence à trait</w:t>
      </w:r>
      <w:r>
        <w:rPr>
          <w:lang w:val="fr-CH" w:eastAsia="zh-CN"/>
        </w:rPr>
        <w:t>é</w:t>
      </w:r>
      <w:r w:rsidRPr="009E65AD">
        <w:rPr>
          <w:lang w:val="fr-CH" w:eastAsia="zh-CN"/>
        </w:rPr>
        <w:t xml:space="preserve"> avec succès les 33 </w:t>
      </w:r>
      <w:r w:rsidR="00A026C2">
        <w:rPr>
          <w:lang w:val="fr-CH" w:eastAsia="zh-CN"/>
        </w:rPr>
        <w:t xml:space="preserve">points </w:t>
      </w:r>
      <w:r>
        <w:rPr>
          <w:lang w:val="fr-CH" w:eastAsia="zh-CN"/>
        </w:rPr>
        <w:t>q</w:t>
      </w:r>
      <w:r w:rsidRPr="009E65AD">
        <w:rPr>
          <w:lang w:val="fr-CH" w:eastAsia="zh-CN"/>
        </w:rPr>
        <w:t>ui étai</w:t>
      </w:r>
      <w:r>
        <w:rPr>
          <w:lang w:val="fr-CH" w:eastAsia="zh-CN"/>
        </w:rPr>
        <w:t>en</w:t>
      </w:r>
      <w:r w:rsidRPr="009E65AD">
        <w:rPr>
          <w:lang w:val="fr-CH" w:eastAsia="zh-CN"/>
        </w:rPr>
        <w:t>t inscrit</w:t>
      </w:r>
      <w:r>
        <w:rPr>
          <w:lang w:val="fr-CH" w:eastAsia="zh-CN"/>
        </w:rPr>
        <w:t>s</w:t>
      </w:r>
      <w:r w:rsidRPr="009E65AD">
        <w:rPr>
          <w:lang w:val="fr-CH" w:eastAsia="zh-CN"/>
        </w:rPr>
        <w:t xml:space="preserve"> à son ordre du jour et a approuvé, </w:t>
      </w:r>
      <w:r>
        <w:rPr>
          <w:lang w:val="fr-CH" w:eastAsia="zh-CN"/>
        </w:rPr>
        <w:t>dans les délais</w:t>
      </w:r>
      <w:r w:rsidR="00A026C2">
        <w:rPr>
          <w:lang w:val="fr-CH" w:eastAsia="zh-CN"/>
        </w:rPr>
        <w:t>,</w:t>
      </w:r>
      <w:r>
        <w:rPr>
          <w:lang w:val="fr-CH" w:eastAsia="zh-CN"/>
        </w:rPr>
        <w:t xml:space="preserve"> </w:t>
      </w:r>
      <w:r w:rsidRPr="009E65AD">
        <w:rPr>
          <w:lang w:val="fr-CH" w:eastAsia="zh-CN"/>
        </w:rPr>
        <w:t>ses conclusions, qui figure</w:t>
      </w:r>
      <w:r>
        <w:rPr>
          <w:lang w:val="fr-CH" w:eastAsia="zh-CN"/>
        </w:rPr>
        <w:t>nt</w:t>
      </w:r>
      <w:r w:rsidRPr="009E65AD">
        <w:rPr>
          <w:lang w:val="fr-CH" w:eastAsia="zh-CN"/>
        </w:rPr>
        <w:t xml:space="preserve"> dans les Acte</w:t>
      </w:r>
      <w:r>
        <w:rPr>
          <w:lang w:val="fr-CH" w:eastAsia="zh-CN"/>
        </w:rPr>
        <w:t>s</w:t>
      </w:r>
      <w:r w:rsidRPr="009E65AD">
        <w:rPr>
          <w:lang w:val="fr-CH" w:eastAsia="zh-CN"/>
        </w:rPr>
        <w:t xml:space="preserve"> final</w:t>
      </w:r>
      <w:r>
        <w:rPr>
          <w:lang w:val="fr-CH" w:eastAsia="zh-CN"/>
        </w:rPr>
        <w:t>s</w:t>
      </w:r>
      <w:r w:rsidRPr="009E65AD">
        <w:rPr>
          <w:lang w:val="fr-CH" w:eastAsia="zh-CN"/>
        </w:rPr>
        <w:t xml:space="preserve"> de la </w:t>
      </w:r>
      <w:r w:rsidR="00DE2CF5">
        <w:rPr>
          <w:lang w:val="fr-CH" w:eastAsia="zh-CN"/>
        </w:rPr>
        <w:t>CMR-12</w:t>
      </w:r>
      <w:r w:rsidRPr="009E65AD">
        <w:rPr>
          <w:lang w:val="fr-CH" w:eastAsia="zh-CN"/>
        </w:rPr>
        <w:t>, dont la version provisoire a été distribuée dans les six langues de l</w:t>
      </w:r>
      <w:r w:rsidR="007A68A3">
        <w:rPr>
          <w:lang w:val="fr-CH" w:eastAsia="zh-CN"/>
        </w:rPr>
        <w:t>'</w:t>
      </w:r>
      <w:r w:rsidR="00A026C2">
        <w:rPr>
          <w:lang w:val="fr-CH" w:eastAsia="zh-CN"/>
        </w:rPr>
        <w:t>U</w:t>
      </w:r>
      <w:r w:rsidRPr="009E65AD">
        <w:rPr>
          <w:lang w:val="fr-CH" w:eastAsia="zh-CN"/>
        </w:rPr>
        <w:t>nion avant</w:t>
      </w:r>
      <w:r>
        <w:rPr>
          <w:lang w:val="fr-CH" w:eastAsia="zh-CN"/>
        </w:rPr>
        <w:t xml:space="preserve"> la plénière de clôture.</w:t>
      </w:r>
    </w:p>
    <w:p w:rsidR="00F03F83" w:rsidRPr="00856715" w:rsidRDefault="00F03F83" w:rsidP="004F5F02">
      <w:pPr>
        <w:keepNext/>
        <w:keepLines/>
        <w:rPr>
          <w:lang w:val="fr-CH" w:eastAsia="zh-CN"/>
        </w:rPr>
      </w:pPr>
      <w:r w:rsidRPr="009E65AD">
        <w:rPr>
          <w:lang w:val="fr-CH" w:eastAsia="zh-CN"/>
        </w:rPr>
        <w:t>Cette Conférence a également fait</w:t>
      </w:r>
      <w:r>
        <w:rPr>
          <w:lang w:val="fr-CH" w:eastAsia="zh-CN"/>
        </w:rPr>
        <w:t xml:space="preserve"> </w:t>
      </w:r>
      <w:r w:rsidRPr="009E65AD">
        <w:rPr>
          <w:lang w:val="fr-CH" w:eastAsia="zh-CN"/>
        </w:rPr>
        <w:t>date en termes de gestion et de logistique</w:t>
      </w:r>
      <w:r>
        <w:rPr>
          <w:lang w:val="fr-CH" w:eastAsia="zh-CN"/>
        </w:rPr>
        <w:t>.</w:t>
      </w:r>
      <w:r w:rsidRPr="009E65AD">
        <w:rPr>
          <w:rFonts w:ascii="Segoe UI" w:hAnsi="Segoe UI" w:cs="Segoe UI"/>
          <w:color w:val="000000"/>
          <w:sz w:val="20"/>
          <w:lang w:val="fr-CH"/>
        </w:rPr>
        <w:t xml:space="preserve"> </w:t>
      </w:r>
      <w:r>
        <w:rPr>
          <w:lang w:val="fr-CH" w:eastAsia="zh-CN"/>
        </w:rPr>
        <w:t xml:space="preserve">Elle </w:t>
      </w:r>
      <w:r w:rsidRPr="009E65AD">
        <w:rPr>
          <w:lang w:val="fr-CH" w:eastAsia="zh-CN"/>
        </w:rPr>
        <w:t>a</w:t>
      </w:r>
      <w:r>
        <w:rPr>
          <w:lang w:val="fr-CH" w:eastAsia="zh-CN"/>
        </w:rPr>
        <w:t xml:space="preserve"> en effet travaillé pratiquement sans papier et </w:t>
      </w:r>
      <w:r w:rsidR="00A026C2">
        <w:rPr>
          <w:lang w:val="fr-CH" w:eastAsia="zh-CN"/>
        </w:rPr>
        <w:t>traité plus de 26 </w:t>
      </w:r>
      <w:r w:rsidRPr="009E65AD">
        <w:rPr>
          <w:lang w:val="fr-CH" w:eastAsia="zh-CN"/>
        </w:rPr>
        <w:t xml:space="preserve">000 </w:t>
      </w:r>
      <w:r>
        <w:rPr>
          <w:lang w:val="fr-CH" w:eastAsia="zh-CN"/>
        </w:rPr>
        <w:t xml:space="preserve">fichiers de </w:t>
      </w:r>
      <w:r w:rsidRPr="009E65AD">
        <w:rPr>
          <w:lang w:val="fr-CH" w:eastAsia="zh-CN"/>
        </w:rPr>
        <w:t xml:space="preserve">documents </w:t>
      </w:r>
      <w:r>
        <w:rPr>
          <w:lang w:val="fr-CH" w:eastAsia="zh-CN"/>
        </w:rPr>
        <w:t xml:space="preserve">sur support </w:t>
      </w:r>
      <w:r w:rsidRPr="009E65AD">
        <w:rPr>
          <w:lang w:val="fr-CH" w:eastAsia="zh-CN"/>
        </w:rPr>
        <w:t>électronique – en plus de</w:t>
      </w:r>
      <w:r>
        <w:rPr>
          <w:lang w:val="fr-CH" w:eastAsia="zh-CN"/>
        </w:rPr>
        <w:t>s 19</w:t>
      </w:r>
      <w:r w:rsidR="00A026C2">
        <w:rPr>
          <w:lang w:val="fr-CH" w:eastAsia="zh-CN"/>
        </w:rPr>
        <w:t> </w:t>
      </w:r>
      <w:r w:rsidRPr="009E65AD">
        <w:rPr>
          <w:lang w:val="fr-CH" w:eastAsia="zh-CN"/>
        </w:rPr>
        <w:t>000 fichiers de propositions individuelles postés sur le web</w:t>
      </w:r>
      <w:r>
        <w:rPr>
          <w:lang w:val="fr-CH" w:eastAsia="zh-CN"/>
        </w:rPr>
        <w:t>,</w:t>
      </w:r>
      <w:r w:rsidR="00093AF6">
        <w:rPr>
          <w:lang w:val="fr-CH" w:eastAsia="zh-CN"/>
        </w:rPr>
        <w:t xml:space="preserve"> </w:t>
      </w:r>
      <w:r>
        <w:rPr>
          <w:lang w:val="fr-CH" w:eastAsia="zh-CN"/>
        </w:rPr>
        <w:t>qui représentaient près de 3</w:t>
      </w:r>
      <w:r w:rsidR="00A026C2">
        <w:rPr>
          <w:lang w:val="fr-CH" w:eastAsia="zh-CN"/>
        </w:rPr>
        <w:t> </w:t>
      </w:r>
      <w:r>
        <w:rPr>
          <w:lang w:val="fr-CH" w:eastAsia="zh-CN"/>
        </w:rPr>
        <w:t xml:space="preserve">000 propositions individuelles présentées par les </w:t>
      </w:r>
      <w:proofErr w:type="spellStart"/>
      <w:r w:rsidR="00A026C2">
        <w:rPr>
          <w:lang w:val="fr-CH" w:eastAsia="zh-CN"/>
        </w:rPr>
        <w:t>E</w:t>
      </w:r>
      <w:r>
        <w:rPr>
          <w:lang w:val="fr-CH" w:eastAsia="zh-CN"/>
        </w:rPr>
        <w:t>tats</w:t>
      </w:r>
      <w:proofErr w:type="spellEnd"/>
      <w:r>
        <w:rPr>
          <w:lang w:val="fr-CH" w:eastAsia="zh-CN"/>
        </w:rPr>
        <w:t xml:space="preserve"> </w:t>
      </w:r>
      <w:r w:rsidR="00C91310">
        <w:rPr>
          <w:lang w:val="fr-CH" w:eastAsia="zh-CN"/>
        </w:rPr>
        <w:t>Membres. On</w:t>
      </w:r>
      <w:r>
        <w:rPr>
          <w:lang w:val="fr-CH" w:eastAsia="zh-CN"/>
        </w:rPr>
        <w:t xml:space="preserve"> a </w:t>
      </w:r>
      <w:r w:rsidRPr="00DD3583">
        <w:rPr>
          <w:lang w:val="fr-CH" w:eastAsia="zh-CN"/>
        </w:rPr>
        <w:t>enregistré</w:t>
      </w:r>
      <w:r>
        <w:rPr>
          <w:lang w:val="fr-CH" w:eastAsia="zh-CN"/>
        </w:rPr>
        <w:t xml:space="preserve"> </w:t>
      </w:r>
      <w:r w:rsidR="00A026C2">
        <w:rPr>
          <w:lang w:val="fr-CH" w:eastAsia="zh-CN"/>
        </w:rPr>
        <w:t>en tout</w:t>
      </w:r>
      <w:r>
        <w:rPr>
          <w:lang w:val="fr-CH" w:eastAsia="zh-CN"/>
        </w:rPr>
        <w:t xml:space="preserve"> </w:t>
      </w:r>
      <w:r w:rsidRPr="00DD3583">
        <w:rPr>
          <w:lang w:val="fr-CH" w:eastAsia="zh-CN"/>
        </w:rPr>
        <w:t>pr</w:t>
      </w:r>
      <w:r>
        <w:rPr>
          <w:lang w:val="fr-CH" w:eastAsia="zh-CN"/>
        </w:rPr>
        <w:t>ès de</w:t>
      </w:r>
      <w:r w:rsidRPr="00DD3583">
        <w:rPr>
          <w:lang w:val="fr-CH" w:eastAsia="zh-CN"/>
        </w:rPr>
        <w:t xml:space="preserve"> deux millions de téléchargements </w:t>
      </w:r>
      <w:r>
        <w:rPr>
          <w:lang w:val="fr-CH" w:eastAsia="zh-CN"/>
        </w:rPr>
        <w:t xml:space="preserve">directs </w:t>
      </w:r>
      <w:r w:rsidRPr="00DD3583">
        <w:rPr>
          <w:lang w:val="fr-CH" w:eastAsia="zh-CN"/>
        </w:rPr>
        <w:t>depuis le site web de l</w:t>
      </w:r>
      <w:r w:rsidR="007A68A3">
        <w:rPr>
          <w:lang w:val="fr-CH" w:eastAsia="zh-CN"/>
        </w:rPr>
        <w:t>'</w:t>
      </w:r>
      <w:r w:rsidRPr="00DD3583">
        <w:rPr>
          <w:lang w:val="fr-CH" w:eastAsia="zh-CN"/>
        </w:rPr>
        <w:t>UIT</w:t>
      </w:r>
      <w:r>
        <w:rPr>
          <w:lang w:val="fr-CH" w:eastAsia="zh-CN"/>
        </w:rPr>
        <w:t xml:space="preserve"> consacré à la </w:t>
      </w:r>
      <w:r w:rsidRPr="00DD3583">
        <w:rPr>
          <w:lang w:val="fr-CH" w:eastAsia="zh-CN"/>
        </w:rPr>
        <w:t>CMR-12</w:t>
      </w:r>
      <w:r>
        <w:rPr>
          <w:lang w:val="fr-CH" w:eastAsia="zh-CN"/>
        </w:rPr>
        <w:t>.</w:t>
      </w:r>
      <w:r w:rsidRPr="00996E0F">
        <w:rPr>
          <w:lang w:val="fr-CH" w:eastAsia="zh-CN"/>
        </w:rPr>
        <w:t xml:space="preserve"> </w:t>
      </w:r>
      <w:r w:rsidRPr="00856715">
        <w:rPr>
          <w:lang w:val="fr-CH" w:eastAsia="zh-CN"/>
        </w:rPr>
        <w:t xml:space="preserve">Pour aider les délégués à travailler par voie électronique, le Secrétariat </w:t>
      </w:r>
      <w:r w:rsidR="00C91310">
        <w:rPr>
          <w:lang w:val="fr-CH" w:eastAsia="zh-CN"/>
        </w:rPr>
        <w:t>a</w:t>
      </w:r>
      <w:r w:rsidRPr="00856715">
        <w:rPr>
          <w:lang w:val="fr-CH" w:eastAsia="zh-CN"/>
        </w:rPr>
        <w:t xml:space="preserve"> élaboré</w:t>
      </w:r>
      <w:r>
        <w:rPr>
          <w:lang w:val="fr-CH" w:eastAsia="zh-CN"/>
        </w:rPr>
        <w:t xml:space="preserve"> </w:t>
      </w:r>
      <w:r w:rsidRPr="00856715">
        <w:rPr>
          <w:lang w:val="fr-CH" w:eastAsia="zh-CN"/>
        </w:rPr>
        <w:t>plusieurs outils informatiques destinés à faciliter le téléchargement des documents</w:t>
      </w:r>
      <w:r>
        <w:rPr>
          <w:lang w:val="fr-CH" w:eastAsia="zh-CN"/>
        </w:rPr>
        <w:t xml:space="preserve"> </w:t>
      </w:r>
      <w:r w:rsidRPr="00856715">
        <w:rPr>
          <w:lang w:val="fr-CH" w:eastAsia="zh-CN"/>
        </w:rPr>
        <w:t>(</w:t>
      </w:r>
      <w:r>
        <w:rPr>
          <w:lang w:val="fr-CH" w:eastAsia="zh-CN"/>
        </w:rPr>
        <w:t>par exemple l</w:t>
      </w:r>
      <w:r w:rsidR="007A68A3">
        <w:rPr>
          <w:lang w:val="fr-CH" w:eastAsia="zh-CN"/>
        </w:rPr>
        <w:t>'</w:t>
      </w:r>
      <w:r>
        <w:rPr>
          <w:lang w:val="fr-CH" w:eastAsia="zh-CN"/>
        </w:rPr>
        <w:t xml:space="preserve">application </w:t>
      </w:r>
      <w:hyperlink r:id="rId21" w:history="1">
        <w:r w:rsidR="000F2640">
          <w:rPr>
            <w:rStyle w:val="Hyperlink"/>
            <w:rFonts w:asciiTheme="majorBidi" w:hAnsiTheme="majorBidi" w:cstheme="majorBidi"/>
            <w:szCs w:val="24"/>
            <w:lang w:val="fr-CH"/>
          </w:rPr>
          <w:t>CMR</w:t>
        </w:r>
        <w:r w:rsidR="00A026C2">
          <w:rPr>
            <w:rStyle w:val="Hyperlink"/>
            <w:rFonts w:asciiTheme="majorBidi" w:hAnsiTheme="majorBidi" w:cstheme="majorBidi"/>
            <w:szCs w:val="24"/>
            <w:lang w:val="fr-CH"/>
          </w:rPr>
          <w:noBreakHyphen/>
        </w:r>
        <w:r w:rsidRPr="00856715">
          <w:rPr>
            <w:rStyle w:val="Hyperlink"/>
            <w:rFonts w:asciiTheme="majorBidi" w:hAnsiTheme="majorBidi" w:cstheme="majorBidi"/>
            <w:szCs w:val="24"/>
            <w:lang w:val="fr-CH"/>
          </w:rPr>
          <w:t xml:space="preserve">12 </w:t>
        </w:r>
        <w:proofErr w:type="spellStart"/>
        <w:r w:rsidRPr="00856715">
          <w:rPr>
            <w:rStyle w:val="Hyperlink"/>
            <w:rFonts w:asciiTheme="majorBidi" w:hAnsiTheme="majorBidi" w:cstheme="majorBidi"/>
            <w:szCs w:val="24"/>
            <w:lang w:val="fr-CH"/>
          </w:rPr>
          <w:t>Sync</w:t>
        </w:r>
        <w:proofErr w:type="spellEnd"/>
        <w:r w:rsidRPr="00856715">
          <w:rPr>
            <w:rStyle w:val="Hyperlink"/>
            <w:rFonts w:asciiTheme="majorBidi" w:hAnsiTheme="majorBidi" w:cstheme="majorBidi"/>
            <w:szCs w:val="24"/>
            <w:lang w:val="fr-CH"/>
          </w:rPr>
          <w:t xml:space="preserve"> Application</w:t>
        </w:r>
      </w:hyperlink>
      <w:r w:rsidRPr="00856715">
        <w:rPr>
          <w:lang w:val="fr-CH"/>
        </w:rPr>
        <w:t>),</w:t>
      </w:r>
      <w:r>
        <w:rPr>
          <w:lang w:val="fr-CH"/>
        </w:rPr>
        <w:t xml:space="preserve"> l</w:t>
      </w:r>
      <w:r w:rsidR="007A68A3">
        <w:rPr>
          <w:lang w:val="fr-CH"/>
        </w:rPr>
        <w:t>'</w:t>
      </w:r>
      <w:r>
        <w:rPr>
          <w:lang w:val="fr-CH"/>
        </w:rPr>
        <w:t>accès aux propositions et leur suivi</w:t>
      </w:r>
      <w:r w:rsidRPr="00856715">
        <w:rPr>
          <w:lang w:val="fr-CH"/>
        </w:rPr>
        <w:t xml:space="preserve"> (</w:t>
      </w:r>
      <w:r>
        <w:rPr>
          <w:lang w:val="fr-CH"/>
        </w:rPr>
        <w:t xml:space="preserve">par exemple le </w:t>
      </w:r>
      <w:hyperlink r:id="rId22" w:tgtFrame="_blank" w:history="1">
        <w:r w:rsidR="004F5F02">
          <w:rPr>
            <w:rStyle w:val="Hyperlink"/>
            <w:rFonts w:asciiTheme="majorBidi" w:hAnsiTheme="majorBidi" w:cstheme="majorBidi"/>
            <w:szCs w:val="24"/>
          </w:rPr>
          <w:t>système de gestion des propositions de la CMR-12</w:t>
        </w:r>
      </w:hyperlink>
      <w:r w:rsidRPr="00856715">
        <w:rPr>
          <w:lang w:val="fr-CH"/>
        </w:rPr>
        <w:t xml:space="preserve">), </w:t>
      </w:r>
      <w:r>
        <w:rPr>
          <w:lang w:val="fr-CH"/>
        </w:rPr>
        <w:t>ainsi que l</w:t>
      </w:r>
      <w:r w:rsidR="007A68A3">
        <w:rPr>
          <w:lang w:val="fr-CH"/>
        </w:rPr>
        <w:t>'</w:t>
      </w:r>
      <w:r>
        <w:rPr>
          <w:lang w:val="fr-CH"/>
        </w:rPr>
        <w:t>échange de documents entre les participants</w:t>
      </w:r>
      <w:r w:rsidRPr="00856715">
        <w:rPr>
          <w:lang w:val="fr-CH" w:eastAsia="zh-CN"/>
        </w:rPr>
        <w:t xml:space="preserve"> (</w:t>
      </w:r>
      <w:r>
        <w:rPr>
          <w:lang w:val="fr-CH" w:eastAsia="zh-CN"/>
        </w:rPr>
        <w:t xml:space="preserve">par exemple le </w:t>
      </w:r>
      <w:hyperlink r:id="rId23" w:tgtFrame="_blank" w:history="1">
        <w:r w:rsidR="004F5F02">
          <w:rPr>
            <w:rStyle w:val="Hyperlink"/>
            <w:rFonts w:asciiTheme="majorBidi" w:hAnsiTheme="majorBidi" w:cstheme="majorBidi"/>
            <w:szCs w:val="24"/>
          </w:rPr>
          <w:t xml:space="preserve">site </w:t>
        </w:r>
        <w:r w:rsidR="004F5F02" w:rsidRPr="009F0286">
          <w:rPr>
            <w:rStyle w:val="Hyperlink"/>
            <w:rFonts w:asciiTheme="majorBidi" w:hAnsiTheme="majorBidi" w:cstheme="majorBidi"/>
            <w:szCs w:val="24"/>
          </w:rPr>
          <w:t>SharePoint</w:t>
        </w:r>
        <w:r w:rsidR="004F5F02">
          <w:rPr>
            <w:rStyle w:val="Hyperlink"/>
            <w:rFonts w:asciiTheme="majorBidi" w:hAnsiTheme="majorBidi" w:cstheme="majorBidi"/>
            <w:szCs w:val="24"/>
          </w:rPr>
          <w:t xml:space="preserve"> de la CMR-12</w:t>
        </w:r>
      </w:hyperlink>
      <w:r w:rsidR="00A026C2">
        <w:rPr>
          <w:lang w:val="fr-CH" w:eastAsia="zh-CN"/>
        </w:rPr>
        <w:t>).</w:t>
      </w:r>
    </w:p>
    <w:p w:rsidR="00F03F83" w:rsidRDefault="00F03F83" w:rsidP="00C91310">
      <w:pPr>
        <w:rPr>
          <w:rFonts w:asciiTheme="majorBidi" w:hAnsiTheme="majorBidi" w:cstheme="majorBidi"/>
          <w:szCs w:val="24"/>
          <w:lang w:val="fr-CH" w:eastAsia="zh-CN"/>
        </w:rPr>
      </w:pPr>
      <w:r>
        <w:rPr>
          <w:rFonts w:asciiTheme="majorBidi" w:hAnsiTheme="majorBidi" w:cstheme="majorBidi"/>
          <w:szCs w:val="24"/>
          <w:lang w:val="fr-CH" w:eastAsia="zh-CN"/>
        </w:rPr>
        <w:t>Les p</w:t>
      </w:r>
      <w:r w:rsidRPr="00996E0F">
        <w:rPr>
          <w:rFonts w:asciiTheme="majorBidi" w:hAnsiTheme="majorBidi" w:cstheme="majorBidi"/>
          <w:szCs w:val="24"/>
          <w:lang w:val="fr-CH" w:eastAsia="zh-CN"/>
        </w:rPr>
        <w:t xml:space="preserve">articipants </w:t>
      </w:r>
      <w:r>
        <w:rPr>
          <w:rFonts w:asciiTheme="majorBidi" w:hAnsiTheme="majorBidi" w:cstheme="majorBidi"/>
          <w:szCs w:val="24"/>
          <w:lang w:val="fr-CH" w:eastAsia="zh-CN"/>
        </w:rPr>
        <w:t xml:space="preserve">à la </w:t>
      </w:r>
      <w:r w:rsidR="00A026C2">
        <w:rPr>
          <w:rFonts w:asciiTheme="majorBidi" w:hAnsiTheme="majorBidi" w:cstheme="majorBidi"/>
          <w:szCs w:val="24"/>
          <w:lang w:val="fr-CH" w:eastAsia="zh-CN"/>
        </w:rPr>
        <w:t>Confé</w:t>
      </w:r>
      <w:r w:rsidR="00A026C2" w:rsidRPr="00996E0F">
        <w:rPr>
          <w:rFonts w:asciiTheme="majorBidi" w:hAnsiTheme="majorBidi" w:cstheme="majorBidi"/>
          <w:szCs w:val="24"/>
          <w:lang w:val="fr-CH" w:eastAsia="zh-CN"/>
        </w:rPr>
        <w:t xml:space="preserve">rence </w:t>
      </w:r>
      <w:r w:rsidR="00A026C2">
        <w:rPr>
          <w:rFonts w:asciiTheme="majorBidi" w:hAnsiTheme="majorBidi" w:cstheme="majorBidi"/>
          <w:szCs w:val="24"/>
          <w:lang w:val="fr-CH" w:eastAsia="zh-CN"/>
        </w:rPr>
        <w:t>ont connecté près de 8 </w:t>
      </w:r>
      <w:r>
        <w:rPr>
          <w:rFonts w:asciiTheme="majorBidi" w:hAnsiTheme="majorBidi" w:cstheme="majorBidi"/>
          <w:szCs w:val="24"/>
          <w:lang w:val="fr-CH" w:eastAsia="zh-CN"/>
        </w:rPr>
        <w:t xml:space="preserve">000 dispositifs (ordinateurs portables, tablettes, téléphones intelligents) aux réseaux </w:t>
      </w:r>
      <w:r w:rsidRPr="00996E0F">
        <w:rPr>
          <w:rFonts w:asciiTheme="majorBidi" w:hAnsiTheme="majorBidi" w:cstheme="majorBidi"/>
          <w:szCs w:val="24"/>
          <w:lang w:val="fr-CH" w:eastAsia="zh-CN"/>
        </w:rPr>
        <w:t xml:space="preserve">filaires et sans fil </w:t>
      </w:r>
      <w:r>
        <w:rPr>
          <w:rFonts w:asciiTheme="majorBidi" w:hAnsiTheme="majorBidi" w:cstheme="majorBidi"/>
          <w:szCs w:val="24"/>
          <w:lang w:val="fr-CH" w:eastAsia="zh-CN"/>
        </w:rPr>
        <w:t>de l</w:t>
      </w:r>
      <w:r w:rsidR="007A68A3">
        <w:rPr>
          <w:rFonts w:asciiTheme="majorBidi" w:hAnsiTheme="majorBidi" w:cstheme="majorBidi"/>
          <w:szCs w:val="24"/>
          <w:lang w:val="fr-CH" w:eastAsia="zh-CN"/>
        </w:rPr>
        <w:t>'</w:t>
      </w:r>
      <w:r>
        <w:rPr>
          <w:rFonts w:asciiTheme="majorBidi" w:hAnsiTheme="majorBidi" w:cstheme="majorBidi"/>
          <w:szCs w:val="24"/>
          <w:lang w:val="fr-CH" w:eastAsia="zh-CN"/>
        </w:rPr>
        <w:t>UIT</w:t>
      </w:r>
      <w:r w:rsidR="00093AF6">
        <w:rPr>
          <w:rFonts w:asciiTheme="majorBidi" w:hAnsiTheme="majorBidi" w:cstheme="majorBidi"/>
          <w:szCs w:val="24"/>
          <w:lang w:val="fr-CH" w:eastAsia="zh-CN"/>
        </w:rPr>
        <w:t xml:space="preserve"> et on a recensé plus de </w:t>
      </w:r>
      <w:r w:rsidR="00A026C2">
        <w:rPr>
          <w:rFonts w:asciiTheme="majorBidi" w:hAnsiTheme="majorBidi" w:cstheme="majorBidi"/>
          <w:szCs w:val="24"/>
          <w:lang w:val="fr-CH" w:eastAsia="zh-CN"/>
        </w:rPr>
        <w:t>5 </w:t>
      </w:r>
      <w:r w:rsidRPr="00996E0F">
        <w:rPr>
          <w:rFonts w:asciiTheme="majorBidi" w:hAnsiTheme="majorBidi" w:cstheme="majorBidi"/>
          <w:szCs w:val="24"/>
          <w:lang w:val="fr-CH" w:eastAsia="zh-CN"/>
        </w:rPr>
        <w:t>700 connexions les jours les plus chargés</w:t>
      </w:r>
      <w:r>
        <w:rPr>
          <w:rFonts w:asciiTheme="majorBidi" w:hAnsiTheme="majorBidi" w:cstheme="majorBidi"/>
          <w:szCs w:val="24"/>
          <w:lang w:val="fr-CH" w:eastAsia="zh-CN"/>
        </w:rPr>
        <w:t>.</w:t>
      </w:r>
    </w:p>
    <w:p w:rsidR="00F03F83" w:rsidRDefault="00F03F83" w:rsidP="00C91310">
      <w:pPr>
        <w:rPr>
          <w:lang w:val="fr-CH" w:eastAsia="zh-CN"/>
        </w:rPr>
      </w:pPr>
      <w:r>
        <w:rPr>
          <w:lang w:val="fr-CH" w:eastAsia="zh-CN"/>
        </w:rPr>
        <w:t>L</w:t>
      </w:r>
      <w:r w:rsidR="007A68A3">
        <w:rPr>
          <w:lang w:val="fr-CH" w:eastAsia="zh-CN"/>
        </w:rPr>
        <w:t>'</w:t>
      </w:r>
      <w:r>
        <w:rPr>
          <w:lang w:val="fr-CH" w:eastAsia="zh-CN"/>
        </w:rPr>
        <w:t>UIT a assuré la diffusion sur le web</w:t>
      </w:r>
      <w:r w:rsidRPr="00996E0F">
        <w:rPr>
          <w:lang w:val="fr-CH" w:eastAsia="zh-CN"/>
        </w:rPr>
        <w:t xml:space="preserve"> de plus de 170 réunions</w:t>
      </w:r>
      <w:r>
        <w:rPr>
          <w:lang w:val="fr-CH" w:eastAsia="zh-CN"/>
        </w:rPr>
        <w:t xml:space="preserve"> </w:t>
      </w:r>
      <w:r w:rsidRPr="00996E0F">
        <w:rPr>
          <w:lang w:val="fr-CH" w:eastAsia="zh-CN"/>
        </w:rPr>
        <w:t>et pr</w:t>
      </w:r>
      <w:r>
        <w:rPr>
          <w:lang w:val="fr-CH" w:eastAsia="zh-CN"/>
        </w:rPr>
        <w:t>è</w:t>
      </w:r>
      <w:r w:rsidRPr="00996E0F">
        <w:rPr>
          <w:lang w:val="fr-CH" w:eastAsia="zh-CN"/>
        </w:rPr>
        <w:t>s</w:t>
      </w:r>
      <w:r>
        <w:rPr>
          <w:lang w:val="fr-CH" w:eastAsia="zh-CN"/>
        </w:rPr>
        <w:t xml:space="preserve"> de</w:t>
      </w:r>
      <w:r w:rsidR="00A026C2">
        <w:rPr>
          <w:lang w:val="fr-CH" w:eastAsia="zh-CN"/>
        </w:rPr>
        <w:t xml:space="preserve"> 20 </w:t>
      </w:r>
      <w:r w:rsidRPr="00996E0F">
        <w:rPr>
          <w:lang w:val="fr-CH" w:eastAsia="zh-CN"/>
        </w:rPr>
        <w:t xml:space="preserve">000 accès aux transmissions en direct </w:t>
      </w:r>
      <w:r w:rsidR="00A026C2">
        <w:rPr>
          <w:lang w:val="fr-CH" w:eastAsia="zh-CN"/>
        </w:rPr>
        <w:t>et</w:t>
      </w:r>
      <w:r>
        <w:rPr>
          <w:lang w:val="fr-CH" w:eastAsia="zh-CN"/>
        </w:rPr>
        <w:t xml:space="preserve"> </w:t>
      </w:r>
      <w:r w:rsidR="00A026C2">
        <w:rPr>
          <w:lang w:val="fr-CH" w:eastAsia="zh-CN"/>
        </w:rPr>
        <w:t>plus de 90 </w:t>
      </w:r>
      <w:r w:rsidRPr="00996E0F">
        <w:rPr>
          <w:lang w:val="fr-CH" w:eastAsia="zh-CN"/>
        </w:rPr>
        <w:t>000 accès aux archives</w:t>
      </w:r>
      <w:r>
        <w:rPr>
          <w:lang w:val="fr-CH" w:eastAsia="zh-CN"/>
        </w:rPr>
        <w:t xml:space="preserve"> ont été</w:t>
      </w:r>
      <w:r w:rsidRPr="00321654">
        <w:rPr>
          <w:lang w:val="fr-CH" w:eastAsia="zh-CN"/>
        </w:rPr>
        <w:t xml:space="preserve"> </w:t>
      </w:r>
      <w:r w:rsidRPr="00996E0F">
        <w:rPr>
          <w:lang w:val="fr-CH" w:eastAsia="zh-CN"/>
        </w:rPr>
        <w:t>enregistré</w:t>
      </w:r>
      <w:r>
        <w:rPr>
          <w:lang w:val="fr-CH" w:eastAsia="zh-CN"/>
        </w:rPr>
        <w:t>s</w:t>
      </w:r>
      <w:r w:rsidRPr="00996E0F">
        <w:rPr>
          <w:lang w:val="fr-CH" w:eastAsia="zh-CN"/>
        </w:rPr>
        <w:t>.</w:t>
      </w:r>
      <w:r>
        <w:rPr>
          <w:lang w:val="fr-CH" w:eastAsia="zh-CN"/>
        </w:rPr>
        <w:t xml:space="preserve"> Plus de 1 000 </w:t>
      </w:r>
      <w:r w:rsidRPr="00996E0F">
        <w:rPr>
          <w:lang w:val="fr-CH" w:eastAsia="zh-CN"/>
        </w:rPr>
        <w:t xml:space="preserve">réunions </w:t>
      </w:r>
      <w:r>
        <w:rPr>
          <w:lang w:val="fr-CH" w:eastAsia="zh-CN"/>
        </w:rPr>
        <w:t xml:space="preserve">ont eu lieu </w:t>
      </w:r>
      <w:r w:rsidRPr="00996E0F">
        <w:rPr>
          <w:lang w:val="fr-CH" w:eastAsia="zh-CN"/>
        </w:rPr>
        <w:t>pendant la Conférence, dont 1</w:t>
      </w:r>
      <w:r>
        <w:rPr>
          <w:lang w:val="fr-CH" w:eastAsia="zh-CN"/>
        </w:rPr>
        <w:t xml:space="preserve">50 </w:t>
      </w:r>
      <w:r w:rsidRPr="00996E0F">
        <w:rPr>
          <w:lang w:val="fr-CH" w:eastAsia="zh-CN"/>
        </w:rPr>
        <w:t>avec interprétati</w:t>
      </w:r>
      <w:r w:rsidR="00093AF6">
        <w:rPr>
          <w:lang w:val="fr-CH" w:eastAsia="zh-CN"/>
        </w:rPr>
        <w:t>on – avec un total de près de </w:t>
      </w:r>
      <w:r w:rsidR="00A026C2">
        <w:rPr>
          <w:lang w:val="fr-CH" w:eastAsia="zh-CN"/>
        </w:rPr>
        <w:t>3 </w:t>
      </w:r>
      <w:r w:rsidRPr="00996E0F">
        <w:rPr>
          <w:lang w:val="fr-CH" w:eastAsia="zh-CN"/>
        </w:rPr>
        <w:t>500 heures d</w:t>
      </w:r>
      <w:r w:rsidR="007A68A3">
        <w:rPr>
          <w:lang w:val="fr-CH" w:eastAsia="zh-CN"/>
        </w:rPr>
        <w:t>'</w:t>
      </w:r>
      <w:r w:rsidRPr="00996E0F">
        <w:rPr>
          <w:lang w:val="fr-CH" w:eastAsia="zh-CN"/>
        </w:rPr>
        <w:t>interprétation dans les six langues de l</w:t>
      </w:r>
      <w:r w:rsidR="007A68A3">
        <w:rPr>
          <w:lang w:val="fr-CH" w:eastAsia="zh-CN"/>
        </w:rPr>
        <w:t>'</w:t>
      </w:r>
      <w:r w:rsidRPr="00996E0F">
        <w:rPr>
          <w:lang w:val="fr-CH" w:eastAsia="zh-CN"/>
        </w:rPr>
        <w:t>Union. Les services de t</w:t>
      </w:r>
      <w:r w:rsidR="00A026C2">
        <w:rPr>
          <w:lang w:val="fr-CH" w:eastAsia="zh-CN"/>
        </w:rPr>
        <w:t>raduction ont traité plus de 10 </w:t>
      </w:r>
      <w:r w:rsidRPr="00996E0F">
        <w:rPr>
          <w:lang w:val="fr-CH" w:eastAsia="zh-CN"/>
        </w:rPr>
        <w:t>000 pages de document</w:t>
      </w:r>
      <w:r>
        <w:rPr>
          <w:lang w:val="fr-CH" w:eastAsia="zh-CN"/>
        </w:rPr>
        <w:t>s</w:t>
      </w:r>
      <w:r w:rsidRPr="00996E0F">
        <w:rPr>
          <w:lang w:val="fr-CH" w:eastAsia="zh-CN"/>
        </w:rPr>
        <w:t xml:space="preserve"> pendant la Conférence.</w:t>
      </w:r>
    </w:p>
    <w:p w:rsidR="00F03F83" w:rsidRPr="006707D6" w:rsidRDefault="00F03F83" w:rsidP="00C91310">
      <w:pPr>
        <w:pStyle w:val="Heading3"/>
        <w:rPr>
          <w:bCs/>
          <w:lang w:val="fr-CH"/>
        </w:rPr>
      </w:pPr>
      <w:r w:rsidRPr="006707D6">
        <w:rPr>
          <w:lang w:val="fr-CH"/>
        </w:rPr>
        <w:t>3.2.1</w:t>
      </w:r>
      <w:r w:rsidRPr="006707D6">
        <w:rPr>
          <w:lang w:val="fr-CH"/>
        </w:rPr>
        <w:tab/>
        <w:t>Incidences financières des décisions de la conférence</w:t>
      </w:r>
    </w:p>
    <w:p w:rsidR="00F03F83" w:rsidRPr="00F03F83" w:rsidRDefault="00F03F83" w:rsidP="00C91310">
      <w:pPr>
        <w:rPr>
          <w:lang w:val="fr-CH"/>
        </w:rPr>
      </w:pPr>
      <w:r w:rsidRPr="006707D6">
        <w:rPr>
          <w:lang w:val="fr-CH"/>
        </w:rPr>
        <w:t xml:space="preserve">La Conférence a adopté plusieurs </w:t>
      </w:r>
      <w:r w:rsidR="00A026C2" w:rsidRPr="006707D6">
        <w:rPr>
          <w:lang w:val="fr-CH"/>
        </w:rPr>
        <w:t xml:space="preserve">Résolutions </w:t>
      </w:r>
      <w:r w:rsidRPr="006707D6">
        <w:rPr>
          <w:lang w:val="fr-CH"/>
        </w:rPr>
        <w:t>ayant des incidences financières pour l</w:t>
      </w:r>
      <w:r w:rsidR="007A68A3">
        <w:rPr>
          <w:lang w:val="fr-CH"/>
        </w:rPr>
        <w:t>'</w:t>
      </w:r>
      <w:r w:rsidR="00A026C2" w:rsidRPr="006707D6">
        <w:rPr>
          <w:lang w:val="fr-CH"/>
        </w:rPr>
        <w:t>U</w:t>
      </w:r>
      <w:r w:rsidRPr="006707D6">
        <w:rPr>
          <w:lang w:val="fr-CH"/>
        </w:rPr>
        <w:t xml:space="preserve">nion </w:t>
      </w:r>
      <w:r>
        <w:rPr>
          <w:lang w:val="fr-CH"/>
        </w:rPr>
        <w:t>s</w:t>
      </w:r>
      <w:r w:rsidR="007A68A3">
        <w:rPr>
          <w:lang w:val="fr-CH"/>
        </w:rPr>
        <w:t>'</w:t>
      </w:r>
      <w:r>
        <w:rPr>
          <w:lang w:val="fr-CH"/>
        </w:rPr>
        <w:t xml:space="preserve">agissant </w:t>
      </w:r>
      <w:r w:rsidRPr="006707D6">
        <w:rPr>
          <w:lang w:val="fr-CH"/>
        </w:rPr>
        <w:t>de</w:t>
      </w:r>
      <w:r>
        <w:rPr>
          <w:lang w:val="fr-CH"/>
        </w:rPr>
        <w:t>s</w:t>
      </w:r>
      <w:r w:rsidRPr="006707D6">
        <w:rPr>
          <w:lang w:val="fr-CH"/>
        </w:rPr>
        <w:t xml:space="preserve"> </w:t>
      </w:r>
      <w:r>
        <w:rPr>
          <w:lang w:val="fr-CH"/>
        </w:rPr>
        <w:t xml:space="preserve">dépenses additionnelles. </w:t>
      </w:r>
      <w:r w:rsidRPr="00F03F83">
        <w:rPr>
          <w:lang w:val="fr-CH"/>
        </w:rPr>
        <w:t>Il s</w:t>
      </w:r>
      <w:r w:rsidR="007A68A3">
        <w:rPr>
          <w:lang w:val="fr-CH"/>
        </w:rPr>
        <w:t>'</w:t>
      </w:r>
      <w:r w:rsidRPr="00F03F83">
        <w:rPr>
          <w:lang w:val="fr-CH"/>
        </w:rPr>
        <w:t xml:space="preserve">agit des </w:t>
      </w:r>
      <w:r w:rsidR="00A026C2" w:rsidRPr="00F03F83">
        <w:rPr>
          <w:lang w:val="fr-CH"/>
        </w:rPr>
        <w:t xml:space="preserve">Résolutions </w:t>
      </w:r>
      <w:r w:rsidRPr="00F03F83">
        <w:rPr>
          <w:lang w:val="fr-CH"/>
        </w:rPr>
        <w:t>suivantes:</w:t>
      </w:r>
    </w:p>
    <w:p w:rsidR="00F03F83" w:rsidRPr="006707D6" w:rsidRDefault="00A026C2" w:rsidP="00C91310">
      <w:pPr>
        <w:pStyle w:val="enumlev1"/>
        <w:rPr>
          <w:b/>
          <w:lang w:val="fr-CH"/>
        </w:rPr>
      </w:pPr>
      <w:r w:rsidRPr="00A026C2">
        <w:rPr>
          <w:lang w:val="fr-CH"/>
        </w:rPr>
        <w:t>•</w:t>
      </w:r>
      <w:r>
        <w:rPr>
          <w:lang w:val="fr-CH"/>
        </w:rPr>
        <w:tab/>
      </w:r>
      <w:r w:rsidR="00F03F83">
        <w:rPr>
          <w:lang w:val="fr-CH"/>
        </w:rPr>
        <w:t>Résolution</w:t>
      </w:r>
      <w:r w:rsidR="00F03F83" w:rsidRPr="006707D6">
        <w:rPr>
          <w:lang w:val="fr-CH"/>
        </w:rPr>
        <w:t xml:space="preserve"> 907 (</w:t>
      </w:r>
      <w:r>
        <w:rPr>
          <w:lang w:val="fr-CH"/>
        </w:rPr>
        <w:t>CMR</w:t>
      </w:r>
      <w:r w:rsidR="00F03F83" w:rsidRPr="006707D6">
        <w:rPr>
          <w:lang w:val="fr-CH"/>
        </w:rPr>
        <w:t xml:space="preserve">-12): Utilisation de moyens modernes de communication électroniques pour la correspondance administrative concernant la publication anticipée, la coordination et la notification des réseaux à satellite, y compris </w:t>
      </w:r>
      <w:r>
        <w:rPr>
          <w:lang w:val="fr-CH"/>
        </w:rPr>
        <w:t>ceux relevant des Appendices </w:t>
      </w:r>
      <w:r w:rsidR="00F03F83" w:rsidRPr="006707D6">
        <w:rPr>
          <w:lang w:val="fr-CH"/>
        </w:rPr>
        <w:t xml:space="preserve">30, 30A et 30B, des stations </w:t>
      </w:r>
      <w:r w:rsidR="00F03F83">
        <w:rPr>
          <w:lang w:val="fr-CH"/>
        </w:rPr>
        <w:t>terri</w:t>
      </w:r>
      <w:r w:rsidR="00F03F83" w:rsidRPr="006707D6">
        <w:rPr>
          <w:lang w:val="fr-CH"/>
        </w:rPr>
        <w:t>ennes et des stations de radioastronomie</w:t>
      </w:r>
      <w:r w:rsidR="00093AF6">
        <w:rPr>
          <w:lang w:val="fr-CH"/>
        </w:rPr>
        <w:t>.</w:t>
      </w:r>
    </w:p>
    <w:p w:rsidR="00F03F83" w:rsidRPr="006707D6" w:rsidRDefault="00A026C2" w:rsidP="00C91310">
      <w:pPr>
        <w:pStyle w:val="enumlev1"/>
        <w:rPr>
          <w:lang w:val="fr-CH"/>
        </w:rPr>
      </w:pPr>
      <w:r w:rsidRPr="00A026C2">
        <w:rPr>
          <w:lang w:val="fr-CH"/>
        </w:rPr>
        <w:t>•</w:t>
      </w:r>
      <w:r>
        <w:rPr>
          <w:lang w:val="fr-CH"/>
        </w:rPr>
        <w:tab/>
      </w:r>
      <w:r w:rsidR="00F03F83">
        <w:rPr>
          <w:lang w:val="fr-CH"/>
        </w:rPr>
        <w:t>Résolution</w:t>
      </w:r>
      <w:r w:rsidR="00F03F83" w:rsidRPr="006707D6">
        <w:rPr>
          <w:lang w:val="fr-CH"/>
        </w:rPr>
        <w:t xml:space="preserve"> 908 (</w:t>
      </w:r>
      <w:r>
        <w:rPr>
          <w:lang w:val="fr-CH"/>
        </w:rPr>
        <w:t>CMR</w:t>
      </w:r>
      <w:r w:rsidR="00F03F83" w:rsidRPr="006707D6">
        <w:rPr>
          <w:lang w:val="fr-CH"/>
        </w:rPr>
        <w:t>-12): Soumission et publication par voie électronique des renseignements pour la publication anticipée (API)</w:t>
      </w:r>
      <w:r w:rsidR="00093AF6">
        <w:rPr>
          <w:lang w:val="fr-CH"/>
        </w:rPr>
        <w:t>.</w:t>
      </w:r>
    </w:p>
    <w:p w:rsidR="00F03F83" w:rsidRPr="006707D6" w:rsidRDefault="00A026C2" w:rsidP="00C91310">
      <w:pPr>
        <w:pStyle w:val="enumlev1"/>
        <w:rPr>
          <w:rFonts w:ascii="Times New Roman Bold" w:hAnsi="Times New Roman Bold"/>
          <w:lang w:val="fr-CH"/>
        </w:rPr>
      </w:pPr>
      <w:r w:rsidRPr="00A026C2">
        <w:rPr>
          <w:lang w:val="fr-CH"/>
        </w:rPr>
        <w:t>•</w:t>
      </w:r>
      <w:r>
        <w:rPr>
          <w:lang w:val="fr-CH"/>
        </w:rPr>
        <w:tab/>
      </w:r>
      <w:r w:rsidR="00F03F83">
        <w:rPr>
          <w:rFonts w:ascii="Times" w:hAnsi="Times"/>
          <w:lang w:val="fr-CH"/>
        </w:rPr>
        <w:t>Résolution</w:t>
      </w:r>
      <w:r w:rsidR="00F03F83" w:rsidRPr="006707D6">
        <w:rPr>
          <w:rFonts w:ascii="Times" w:hAnsi="Times"/>
          <w:lang w:val="fr-CH"/>
        </w:rPr>
        <w:t xml:space="preserve"> 233 </w:t>
      </w:r>
      <w:r w:rsidR="00F03F83" w:rsidRPr="006707D6">
        <w:rPr>
          <w:lang w:val="fr-CH"/>
        </w:rPr>
        <w:t>(</w:t>
      </w:r>
      <w:r>
        <w:rPr>
          <w:lang w:val="fr-CH"/>
        </w:rPr>
        <w:t>CMR</w:t>
      </w:r>
      <w:r w:rsidR="00F03F83" w:rsidRPr="006707D6">
        <w:rPr>
          <w:lang w:val="fr-CH"/>
        </w:rPr>
        <w:t xml:space="preserve">-12): </w:t>
      </w:r>
      <w:proofErr w:type="spellStart"/>
      <w:r w:rsidR="00F03F83" w:rsidRPr="006707D6">
        <w:rPr>
          <w:lang w:val="fr-CH"/>
        </w:rPr>
        <w:t>Etudes</w:t>
      </w:r>
      <w:proofErr w:type="spellEnd"/>
      <w:r w:rsidR="00F03F83" w:rsidRPr="006707D6">
        <w:rPr>
          <w:lang w:val="fr-CH"/>
        </w:rPr>
        <w:t xml:space="preserve"> sur les questions liées aux fréquences pour les Télécommunications mobiles internationales et d</w:t>
      </w:r>
      <w:r w:rsidR="007A68A3">
        <w:rPr>
          <w:lang w:val="fr-CH"/>
        </w:rPr>
        <w:t>'</w:t>
      </w:r>
      <w:r w:rsidR="00F03F83" w:rsidRPr="006707D6">
        <w:rPr>
          <w:lang w:val="fr-CH"/>
        </w:rPr>
        <w:t>autres applications mo</w:t>
      </w:r>
      <w:r>
        <w:rPr>
          <w:lang w:val="fr-CH"/>
        </w:rPr>
        <w:t>biles à large de bande de Terre.</w:t>
      </w:r>
    </w:p>
    <w:p w:rsidR="00F03F83" w:rsidRPr="00C97064" w:rsidRDefault="00A026C2" w:rsidP="00C91310">
      <w:pPr>
        <w:rPr>
          <w:lang w:val="fr-CH"/>
        </w:rPr>
      </w:pPr>
      <w:r>
        <w:rPr>
          <w:lang w:val="fr-CH"/>
        </w:rPr>
        <w:t>On trouvera dans le Tableau </w:t>
      </w:r>
      <w:r w:rsidR="00F03F83" w:rsidRPr="00C97064">
        <w:rPr>
          <w:lang w:val="fr-CH"/>
        </w:rPr>
        <w:t xml:space="preserve">1 </w:t>
      </w:r>
      <w:r>
        <w:rPr>
          <w:lang w:val="fr-CH"/>
        </w:rPr>
        <w:t xml:space="preserve">un </w:t>
      </w:r>
      <w:r w:rsidR="00F03F83" w:rsidRPr="00C97064">
        <w:rPr>
          <w:lang w:val="fr-CH"/>
        </w:rPr>
        <w:t>résumé de ses décisions et leurs incidences financières respectives.</w:t>
      </w:r>
    </w:p>
    <w:p w:rsidR="00F03F83" w:rsidRDefault="00A026C2" w:rsidP="00093AF6">
      <w:pPr>
        <w:pStyle w:val="TableNo"/>
        <w:rPr>
          <w:rFonts w:eastAsia="SimSun"/>
          <w:lang w:eastAsia="zh-CN"/>
        </w:rPr>
      </w:pPr>
      <w:r w:rsidRPr="001D1F3C">
        <w:rPr>
          <w:rFonts w:eastAsia="SimSun"/>
          <w:lang w:eastAsia="zh-CN"/>
        </w:rPr>
        <w:t>TABLE</w:t>
      </w:r>
      <w:r>
        <w:rPr>
          <w:rFonts w:eastAsia="SimSun"/>
          <w:lang w:eastAsia="zh-CN"/>
        </w:rPr>
        <w:t>AU</w:t>
      </w:r>
      <w:r w:rsidRPr="001D1F3C">
        <w:rPr>
          <w:rFonts w:eastAsia="SimSun"/>
          <w:lang w:eastAsia="zh-CN"/>
        </w:rPr>
        <w:t xml:space="preserve"> </w:t>
      </w:r>
      <w:r w:rsidR="00F03F83" w:rsidRPr="001D1F3C">
        <w:rPr>
          <w:rFonts w:eastAsia="SimSun"/>
          <w:lang w:eastAsia="zh-CN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509"/>
        <w:gridCol w:w="1692"/>
        <w:gridCol w:w="1559"/>
        <w:gridCol w:w="1985"/>
      </w:tblGrid>
      <w:tr w:rsidR="00F03F83" w:rsidRPr="00093AF6" w:rsidTr="007A68A3">
        <w:trPr>
          <w:jc w:val="center"/>
        </w:trPr>
        <w:tc>
          <w:tcPr>
            <w:tcW w:w="2294" w:type="dxa"/>
            <w:shd w:val="clear" w:color="auto" w:fill="auto"/>
          </w:tcPr>
          <w:p w:rsidR="00F03F83" w:rsidRPr="00093AF6" w:rsidRDefault="00C91310" w:rsidP="00C91310">
            <w:pPr>
              <w:pStyle w:val="Tablehead"/>
              <w:rPr>
                <w:sz w:val="20"/>
              </w:rPr>
            </w:pPr>
            <w:r w:rsidRPr="00093AF6">
              <w:rPr>
                <w:sz w:val="20"/>
              </w:rPr>
              <w:t>Décision</w:t>
            </w:r>
            <w:r w:rsidR="00F03F83" w:rsidRPr="00093AF6">
              <w:rPr>
                <w:sz w:val="20"/>
              </w:rPr>
              <w:t>/Résolution</w:t>
            </w:r>
          </w:p>
        </w:tc>
        <w:tc>
          <w:tcPr>
            <w:tcW w:w="1509" w:type="dxa"/>
            <w:shd w:val="clear" w:color="auto" w:fill="auto"/>
          </w:tcPr>
          <w:p w:rsidR="00F03F83" w:rsidRPr="00093AF6" w:rsidRDefault="00F03F83" w:rsidP="00C91310">
            <w:pPr>
              <w:pStyle w:val="Tablehead"/>
              <w:rPr>
                <w:sz w:val="20"/>
              </w:rPr>
            </w:pPr>
            <w:r w:rsidRPr="00093AF6">
              <w:rPr>
                <w:sz w:val="20"/>
              </w:rPr>
              <w:t>2012</w:t>
            </w:r>
          </w:p>
        </w:tc>
        <w:tc>
          <w:tcPr>
            <w:tcW w:w="1692" w:type="dxa"/>
            <w:shd w:val="clear" w:color="auto" w:fill="auto"/>
          </w:tcPr>
          <w:p w:rsidR="00F03F83" w:rsidRPr="00093AF6" w:rsidRDefault="00F03F83" w:rsidP="00C91310">
            <w:pPr>
              <w:pStyle w:val="Tablehead"/>
              <w:rPr>
                <w:sz w:val="20"/>
              </w:rPr>
            </w:pPr>
            <w:r w:rsidRPr="00093AF6">
              <w:rPr>
                <w:sz w:val="20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F03F83" w:rsidRPr="00093AF6" w:rsidRDefault="00F03F83" w:rsidP="00C91310">
            <w:pPr>
              <w:pStyle w:val="Tablehead"/>
              <w:rPr>
                <w:sz w:val="20"/>
              </w:rPr>
            </w:pPr>
            <w:r w:rsidRPr="00093AF6">
              <w:rPr>
                <w:sz w:val="20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F03F83" w:rsidRPr="00093AF6" w:rsidRDefault="00F03F83" w:rsidP="00C91310">
            <w:pPr>
              <w:pStyle w:val="Tablehead"/>
              <w:rPr>
                <w:sz w:val="20"/>
              </w:rPr>
            </w:pPr>
            <w:r w:rsidRPr="00093AF6">
              <w:rPr>
                <w:sz w:val="20"/>
              </w:rPr>
              <w:t>Total</w:t>
            </w:r>
          </w:p>
        </w:tc>
      </w:tr>
      <w:tr w:rsidR="00F03F83" w:rsidRPr="00093AF6" w:rsidTr="007A68A3">
        <w:trPr>
          <w:jc w:val="center"/>
        </w:trPr>
        <w:tc>
          <w:tcPr>
            <w:tcW w:w="2294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>Résolution 907</w:t>
            </w:r>
          </w:p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>Résolution 908</w:t>
            </w:r>
          </w:p>
        </w:tc>
        <w:tc>
          <w:tcPr>
            <w:tcW w:w="1509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</w:p>
          <w:p w:rsidR="00F03F83" w:rsidRPr="00093AF6" w:rsidRDefault="004F5F02" w:rsidP="00C91310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03F83" w:rsidRPr="00093AF6">
              <w:rPr>
                <w:sz w:val="20"/>
              </w:rPr>
              <w:t>95 000</w:t>
            </w:r>
            <w:r w:rsidRPr="00093AF6">
              <w:rPr>
                <w:sz w:val="20"/>
              </w:rPr>
              <w:t xml:space="preserve"> CHF</w:t>
            </w:r>
          </w:p>
        </w:tc>
        <w:tc>
          <w:tcPr>
            <w:tcW w:w="1692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>310 000</w:t>
            </w:r>
            <w:r w:rsidR="004F5F02" w:rsidRPr="00093AF6">
              <w:rPr>
                <w:sz w:val="20"/>
              </w:rPr>
              <w:t xml:space="preserve"> CHF</w:t>
            </w:r>
          </w:p>
          <w:p w:rsidR="00F03F83" w:rsidRPr="00093AF6" w:rsidRDefault="004F5F02" w:rsidP="00C91310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03F83" w:rsidRPr="00093AF6">
              <w:rPr>
                <w:sz w:val="20"/>
              </w:rPr>
              <w:t>95 000</w:t>
            </w:r>
            <w:r w:rsidRPr="00093AF6">
              <w:rPr>
                <w:sz w:val="20"/>
              </w:rPr>
              <w:t xml:space="preserve"> CHF</w:t>
            </w:r>
          </w:p>
        </w:tc>
        <w:tc>
          <w:tcPr>
            <w:tcW w:w="1559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03F83" w:rsidRPr="00093AF6" w:rsidRDefault="004F5F02" w:rsidP="00C91310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03F83" w:rsidRPr="00093AF6">
              <w:rPr>
                <w:sz w:val="20"/>
              </w:rPr>
              <w:t>310 000</w:t>
            </w:r>
            <w:r w:rsidRPr="00093AF6">
              <w:rPr>
                <w:sz w:val="20"/>
              </w:rPr>
              <w:t xml:space="preserve"> CHF</w:t>
            </w:r>
          </w:p>
          <w:p w:rsidR="00F03F83" w:rsidRPr="00093AF6" w:rsidRDefault="004F5F02" w:rsidP="00C91310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03F83" w:rsidRPr="00093AF6">
              <w:rPr>
                <w:sz w:val="20"/>
              </w:rPr>
              <w:t>190 000</w:t>
            </w:r>
            <w:r w:rsidRPr="00093AF6">
              <w:rPr>
                <w:sz w:val="20"/>
              </w:rPr>
              <w:t xml:space="preserve"> CHF</w:t>
            </w:r>
          </w:p>
        </w:tc>
      </w:tr>
      <w:tr w:rsidR="00F03F83" w:rsidRPr="00093AF6" w:rsidTr="007A68A3">
        <w:trPr>
          <w:jc w:val="center"/>
        </w:trPr>
        <w:tc>
          <w:tcPr>
            <w:tcW w:w="2294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 xml:space="preserve">Résolution 233 </w:t>
            </w:r>
          </w:p>
        </w:tc>
        <w:tc>
          <w:tcPr>
            <w:tcW w:w="1509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>120 000</w:t>
            </w:r>
            <w:r w:rsidR="004F5F02" w:rsidRPr="00093AF6">
              <w:rPr>
                <w:sz w:val="20"/>
              </w:rPr>
              <w:t xml:space="preserve"> CHF</w:t>
            </w:r>
          </w:p>
        </w:tc>
        <w:tc>
          <w:tcPr>
            <w:tcW w:w="1692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>240 000</w:t>
            </w:r>
            <w:r w:rsidR="004F5F02" w:rsidRPr="00093AF6">
              <w:rPr>
                <w:sz w:val="20"/>
              </w:rPr>
              <w:t xml:space="preserve"> CHF</w:t>
            </w:r>
          </w:p>
        </w:tc>
        <w:tc>
          <w:tcPr>
            <w:tcW w:w="1559" w:type="dxa"/>
            <w:shd w:val="clear" w:color="auto" w:fill="auto"/>
          </w:tcPr>
          <w:p w:rsidR="00F03F83" w:rsidRPr="00093AF6" w:rsidRDefault="00F03F83" w:rsidP="00C91310">
            <w:pPr>
              <w:pStyle w:val="Tabletext"/>
              <w:rPr>
                <w:sz w:val="20"/>
              </w:rPr>
            </w:pPr>
            <w:r w:rsidRPr="00093AF6">
              <w:rPr>
                <w:sz w:val="20"/>
              </w:rPr>
              <w:t>240 000</w:t>
            </w:r>
            <w:r w:rsidR="004F5F02" w:rsidRPr="00093AF6">
              <w:rPr>
                <w:sz w:val="20"/>
              </w:rPr>
              <w:t xml:space="preserve"> CHF</w:t>
            </w:r>
          </w:p>
        </w:tc>
        <w:tc>
          <w:tcPr>
            <w:tcW w:w="1985" w:type="dxa"/>
            <w:shd w:val="clear" w:color="auto" w:fill="auto"/>
          </w:tcPr>
          <w:p w:rsidR="00F03F83" w:rsidRPr="00093AF6" w:rsidRDefault="004F5F02" w:rsidP="00C91310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03F83" w:rsidRPr="00093AF6">
              <w:rPr>
                <w:sz w:val="20"/>
              </w:rPr>
              <w:t>600 000</w:t>
            </w:r>
            <w:r w:rsidRPr="00093AF6">
              <w:rPr>
                <w:sz w:val="20"/>
              </w:rPr>
              <w:t xml:space="preserve"> CHF</w:t>
            </w:r>
          </w:p>
        </w:tc>
      </w:tr>
      <w:tr w:rsidR="00F03F83" w:rsidRPr="004F5F02" w:rsidTr="007A68A3">
        <w:trPr>
          <w:jc w:val="center"/>
        </w:trPr>
        <w:tc>
          <w:tcPr>
            <w:tcW w:w="2294" w:type="dxa"/>
            <w:shd w:val="clear" w:color="auto" w:fill="auto"/>
          </w:tcPr>
          <w:p w:rsidR="00F03F83" w:rsidRPr="004F5F02" w:rsidRDefault="00F03F83" w:rsidP="00C91310">
            <w:pPr>
              <w:pStyle w:val="Tabletext"/>
              <w:rPr>
                <w:b/>
                <w:bCs/>
                <w:sz w:val="20"/>
              </w:rPr>
            </w:pPr>
            <w:r w:rsidRPr="004F5F02">
              <w:rPr>
                <w:b/>
                <w:bCs/>
                <w:sz w:val="20"/>
              </w:rPr>
              <w:t>Total</w:t>
            </w:r>
          </w:p>
        </w:tc>
        <w:tc>
          <w:tcPr>
            <w:tcW w:w="1509" w:type="dxa"/>
            <w:shd w:val="clear" w:color="auto" w:fill="auto"/>
          </w:tcPr>
          <w:p w:rsidR="00F03F83" w:rsidRPr="004F5F02" w:rsidRDefault="00F03F83" w:rsidP="004F5F02">
            <w:pPr>
              <w:pStyle w:val="Tabletext"/>
              <w:rPr>
                <w:b/>
                <w:bCs/>
                <w:sz w:val="20"/>
              </w:rPr>
            </w:pPr>
            <w:r w:rsidRPr="004F5F02">
              <w:rPr>
                <w:b/>
                <w:bCs/>
                <w:sz w:val="20"/>
              </w:rPr>
              <w:t>215 000</w:t>
            </w:r>
            <w:r w:rsidR="004F5F02" w:rsidRPr="004F5F02">
              <w:rPr>
                <w:b/>
                <w:bCs/>
                <w:sz w:val="20"/>
              </w:rPr>
              <w:t xml:space="preserve"> CHF</w:t>
            </w:r>
          </w:p>
        </w:tc>
        <w:tc>
          <w:tcPr>
            <w:tcW w:w="1692" w:type="dxa"/>
            <w:shd w:val="clear" w:color="auto" w:fill="auto"/>
          </w:tcPr>
          <w:p w:rsidR="00F03F83" w:rsidRPr="004F5F02" w:rsidRDefault="00F03F83" w:rsidP="00C91310">
            <w:pPr>
              <w:pStyle w:val="Tabletext"/>
              <w:rPr>
                <w:b/>
                <w:bCs/>
                <w:sz w:val="20"/>
              </w:rPr>
            </w:pPr>
            <w:r w:rsidRPr="004F5F02">
              <w:rPr>
                <w:b/>
                <w:bCs/>
                <w:sz w:val="20"/>
              </w:rPr>
              <w:t>645 000</w:t>
            </w:r>
            <w:r w:rsidR="004F5F02" w:rsidRPr="004F5F02">
              <w:rPr>
                <w:b/>
                <w:bCs/>
                <w:sz w:val="20"/>
              </w:rPr>
              <w:t xml:space="preserve"> CHF</w:t>
            </w:r>
          </w:p>
        </w:tc>
        <w:tc>
          <w:tcPr>
            <w:tcW w:w="1559" w:type="dxa"/>
            <w:shd w:val="clear" w:color="auto" w:fill="auto"/>
          </w:tcPr>
          <w:p w:rsidR="00F03F83" w:rsidRPr="004F5F02" w:rsidRDefault="00F03F83" w:rsidP="00C91310">
            <w:pPr>
              <w:pStyle w:val="Tabletext"/>
              <w:rPr>
                <w:b/>
                <w:bCs/>
                <w:sz w:val="20"/>
              </w:rPr>
            </w:pPr>
            <w:r w:rsidRPr="004F5F02">
              <w:rPr>
                <w:b/>
                <w:bCs/>
                <w:sz w:val="20"/>
              </w:rPr>
              <w:t>240 000</w:t>
            </w:r>
            <w:r w:rsidR="004F5F02" w:rsidRPr="004F5F02">
              <w:rPr>
                <w:b/>
                <w:bCs/>
                <w:sz w:val="20"/>
              </w:rPr>
              <w:t xml:space="preserve"> CHF</w:t>
            </w:r>
          </w:p>
        </w:tc>
        <w:tc>
          <w:tcPr>
            <w:tcW w:w="1985" w:type="dxa"/>
            <w:shd w:val="clear" w:color="auto" w:fill="auto"/>
          </w:tcPr>
          <w:p w:rsidR="00F03F83" w:rsidRPr="004F5F02" w:rsidRDefault="00F03F83" w:rsidP="00C91310">
            <w:pPr>
              <w:pStyle w:val="Tabletext"/>
              <w:rPr>
                <w:b/>
                <w:bCs/>
                <w:sz w:val="20"/>
              </w:rPr>
            </w:pPr>
            <w:r w:rsidRPr="004F5F02">
              <w:rPr>
                <w:b/>
                <w:bCs/>
                <w:sz w:val="20"/>
              </w:rPr>
              <w:t>1 100 000</w:t>
            </w:r>
            <w:r w:rsidR="004F5F02" w:rsidRPr="004F5F02">
              <w:rPr>
                <w:b/>
                <w:bCs/>
                <w:sz w:val="20"/>
              </w:rPr>
              <w:t xml:space="preserve"> CHF</w:t>
            </w:r>
          </w:p>
        </w:tc>
      </w:tr>
    </w:tbl>
    <w:p w:rsidR="00F03F83" w:rsidRDefault="00F03F83" w:rsidP="00C91310">
      <w:pPr>
        <w:rPr>
          <w:lang w:val="fr-CH"/>
        </w:rPr>
      </w:pPr>
      <w:r w:rsidRPr="00A92C9A">
        <w:rPr>
          <w:lang w:val="fr-CH"/>
        </w:rPr>
        <w:t>Sur la base de l</w:t>
      </w:r>
      <w:r w:rsidR="007A68A3">
        <w:rPr>
          <w:lang w:val="fr-CH"/>
        </w:rPr>
        <w:t>'</w:t>
      </w:r>
      <w:r w:rsidRPr="00A92C9A">
        <w:rPr>
          <w:lang w:val="fr-CH"/>
        </w:rPr>
        <w:t>analyse ci-dessus des incidences financières résultant des diverses décisions et résolutions</w:t>
      </w:r>
      <w:r>
        <w:rPr>
          <w:lang w:val="fr-CH"/>
        </w:rPr>
        <w:t xml:space="preserve"> de la </w:t>
      </w:r>
      <w:r w:rsidR="00DE2CF5">
        <w:rPr>
          <w:lang w:val="fr-CH"/>
        </w:rPr>
        <w:t>CMR-12</w:t>
      </w:r>
      <w:r w:rsidRPr="00A92C9A">
        <w:rPr>
          <w:lang w:val="fr-CH"/>
        </w:rPr>
        <w:t xml:space="preserve">, </w:t>
      </w:r>
      <w:r w:rsidR="00A026C2">
        <w:rPr>
          <w:lang w:val="fr-CH"/>
        </w:rPr>
        <w:t>le montant total est estimé à 1 100 </w:t>
      </w:r>
      <w:r w:rsidRPr="00A92C9A">
        <w:rPr>
          <w:lang w:val="fr-CH"/>
        </w:rPr>
        <w:t xml:space="preserve">000 CHF. La mise en </w:t>
      </w:r>
      <w:proofErr w:type="spellStart"/>
      <w:r w:rsidR="004F5F02">
        <w:rPr>
          <w:lang w:val="fr-CH"/>
        </w:rPr>
        <w:t>oe</w:t>
      </w:r>
      <w:r w:rsidRPr="00A92C9A">
        <w:rPr>
          <w:lang w:val="fr-CH"/>
        </w:rPr>
        <w:t>uvre</w:t>
      </w:r>
      <w:proofErr w:type="spellEnd"/>
      <w:r w:rsidRPr="00A92C9A">
        <w:rPr>
          <w:lang w:val="fr-CH"/>
        </w:rPr>
        <w:t xml:space="preserve"> de ces activités sera, dans un premier temps, </w:t>
      </w:r>
      <w:r>
        <w:rPr>
          <w:lang w:val="fr-CH"/>
        </w:rPr>
        <w:t>assurée grâce aux</w:t>
      </w:r>
      <w:r w:rsidRPr="00A92C9A">
        <w:rPr>
          <w:lang w:val="fr-CH"/>
        </w:rPr>
        <w:t xml:space="preserve"> économies réalisées dans le</w:t>
      </w:r>
      <w:r>
        <w:rPr>
          <w:lang w:val="fr-CH"/>
        </w:rPr>
        <w:t xml:space="preserve">s limites du </w:t>
      </w:r>
      <w:r w:rsidRPr="00A92C9A">
        <w:rPr>
          <w:lang w:val="fr-CH"/>
        </w:rPr>
        <w:t>budget alloué</w:t>
      </w:r>
      <w:r w:rsidR="00A026C2">
        <w:rPr>
          <w:lang w:val="fr-CH"/>
        </w:rPr>
        <w:t>.</w:t>
      </w:r>
      <w:r w:rsidRPr="00A92C9A">
        <w:rPr>
          <w:lang w:val="fr-CH"/>
        </w:rPr>
        <w:t xml:space="preserve"> </w:t>
      </w:r>
      <w:r w:rsidR="00A026C2" w:rsidRPr="00A92C9A">
        <w:rPr>
          <w:lang w:val="fr-CH"/>
        </w:rPr>
        <w:t>Toutefois</w:t>
      </w:r>
      <w:r w:rsidRPr="00A92C9A">
        <w:rPr>
          <w:lang w:val="fr-CH"/>
        </w:rPr>
        <w:t>, si le Bureau n</w:t>
      </w:r>
      <w:r w:rsidR="007A68A3">
        <w:rPr>
          <w:lang w:val="fr-CH"/>
        </w:rPr>
        <w:t>'</w:t>
      </w:r>
      <w:r w:rsidRPr="00A92C9A">
        <w:rPr>
          <w:lang w:val="fr-CH"/>
        </w:rPr>
        <w:t>est pas en mesure d</w:t>
      </w:r>
      <w:r w:rsidR="007A68A3">
        <w:rPr>
          <w:lang w:val="fr-CH"/>
        </w:rPr>
        <w:t>'</w:t>
      </w:r>
      <w:r w:rsidRPr="00A92C9A">
        <w:rPr>
          <w:lang w:val="fr-CH"/>
        </w:rPr>
        <w:t>assurer le financement de ces activités dans les limites des crédits actuels, d</w:t>
      </w:r>
      <w:r w:rsidR="007A68A3">
        <w:rPr>
          <w:lang w:val="fr-CH"/>
        </w:rPr>
        <w:t>'</w:t>
      </w:r>
      <w:r w:rsidRPr="00A92C9A">
        <w:rPr>
          <w:lang w:val="fr-CH"/>
        </w:rPr>
        <w:t>autres sources de finan</w:t>
      </w:r>
      <w:r w:rsidR="00A026C2">
        <w:rPr>
          <w:lang w:val="fr-CH"/>
        </w:rPr>
        <w:t>cement pourront être envisagées.</w:t>
      </w:r>
    </w:p>
    <w:p w:rsidR="00F03F83" w:rsidRDefault="00F03F83" w:rsidP="00C91310">
      <w:pPr>
        <w:rPr>
          <w:lang w:val="fr-CH"/>
        </w:rPr>
      </w:pPr>
      <w:r w:rsidRPr="00A92C9A">
        <w:rPr>
          <w:lang w:val="fr-CH"/>
        </w:rPr>
        <w:t>Il a été noté que le Conseil à sa session de juillet 2012 devrait entériner l</w:t>
      </w:r>
      <w:r w:rsidR="007A68A3">
        <w:rPr>
          <w:lang w:val="fr-CH"/>
        </w:rPr>
        <w:t>'</w:t>
      </w:r>
      <w:r w:rsidRPr="00A92C9A">
        <w:rPr>
          <w:lang w:val="fr-CH"/>
        </w:rPr>
        <w:t xml:space="preserve">approche proposée par le Bureau, sachant </w:t>
      </w:r>
      <w:r>
        <w:rPr>
          <w:lang w:val="fr-CH"/>
        </w:rPr>
        <w:t>qu</w:t>
      </w:r>
      <w:r w:rsidR="007A68A3">
        <w:rPr>
          <w:lang w:val="fr-CH"/>
        </w:rPr>
        <w:t>'</w:t>
      </w:r>
      <w:r>
        <w:rPr>
          <w:lang w:val="fr-CH"/>
        </w:rPr>
        <w:t>au cas où</w:t>
      </w:r>
      <w:r w:rsidRPr="00A92C9A">
        <w:rPr>
          <w:lang w:val="fr-CH"/>
        </w:rPr>
        <w:t xml:space="preserve"> il serait justifié </w:t>
      </w:r>
      <w:r w:rsidR="00A026C2" w:rsidRPr="00A92C9A">
        <w:rPr>
          <w:lang w:val="fr-CH"/>
        </w:rPr>
        <w:t xml:space="preserve">pour une raison ou une autre </w:t>
      </w:r>
      <w:r w:rsidRPr="00A92C9A">
        <w:rPr>
          <w:lang w:val="fr-CH"/>
        </w:rPr>
        <w:t>de revoir un éventuel déficit</w:t>
      </w:r>
      <w:r w:rsidR="00A026C2">
        <w:rPr>
          <w:lang w:val="fr-CH"/>
        </w:rPr>
        <w:t xml:space="preserve"> dans l'avenir</w:t>
      </w:r>
      <w:r w:rsidRPr="00A92C9A">
        <w:rPr>
          <w:lang w:val="fr-CH"/>
        </w:rPr>
        <w:t xml:space="preserve">, le Conseil serait invité à envisager </w:t>
      </w:r>
      <w:r>
        <w:rPr>
          <w:lang w:val="fr-CH"/>
        </w:rPr>
        <w:t>d</w:t>
      </w:r>
      <w:r w:rsidR="007A68A3">
        <w:rPr>
          <w:lang w:val="fr-CH"/>
        </w:rPr>
        <w:t>'</w:t>
      </w:r>
      <w:r>
        <w:rPr>
          <w:lang w:val="fr-CH"/>
        </w:rPr>
        <w:t>attribuer des ressources additionnelles.</w:t>
      </w:r>
    </w:p>
    <w:p w:rsidR="00F03F83" w:rsidRDefault="00F03F83" w:rsidP="00C91310">
      <w:pPr>
        <w:pStyle w:val="Heading3"/>
        <w:rPr>
          <w:lang w:val="fr-CH"/>
        </w:rPr>
      </w:pPr>
      <w:r w:rsidRPr="00106BB7">
        <w:rPr>
          <w:lang w:val="fr-CH"/>
        </w:rPr>
        <w:t>3.2.2</w:t>
      </w:r>
      <w:r w:rsidRPr="00106BB7">
        <w:rPr>
          <w:lang w:val="fr-CH"/>
        </w:rPr>
        <w:tab/>
      </w:r>
      <w:r w:rsidR="00A026C2">
        <w:rPr>
          <w:lang w:val="fr-CH"/>
        </w:rPr>
        <w:t xml:space="preserve">Conception </w:t>
      </w:r>
      <w:r w:rsidRPr="00106BB7">
        <w:rPr>
          <w:lang w:val="fr-CH"/>
        </w:rPr>
        <w:t xml:space="preserve">de logiciels </w:t>
      </w:r>
      <w:r>
        <w:rPr>
          <w:lang w:val="fr-CH"/>
        </w:rPr>
        <w:t xml:space="preserve">en application des </w:t>
      </w:r>
      <w:r w:rsidRPr="00106BB7">
        <w:rPr>
          <w:lang w:val="fr-CH"/>
        </w:rPr>
        <w:t xml:space="preserve">décisions de la </w:t>
      </w:r>
      <w:r w:rsidR="00A026C2" w:rsidRPr="00106BB7">
        <w:rPr>
          <w:lang w:val="fr-CH"/>
        </w:rPr>
        <w:t xml:space="preserve">Conférence </w:t>
      </w:r>
    </w:p>
    <w:p w:rsidR="00F03F83" w:rsidRPr="00106BB7" w:rsidRDefault="00F03F83" w:rsidP="00C91310">
      <w:pPr>
        <w:rPr>
          <w:lang w:val="fr-CH"/>
        </w:rPr>
      </w:pPr>
      <w:r w:rsidRPr="00106BB7">
        <w:rPr>
          <w:lang w:val="fr-CH"/>
        </w:rPr>
        <w:t>Le BR a commencé à élaborer des logiciels en</w:t>
      </w:r>
      <w:r>
        <w:rPr>
          <w:lang w:val="fr-CH"/>
        </w:rPr>
        <w:t xml:space="preserve"> </w:t>
      </w:r>
      <w:r w:rsidRPr="00106BB7">
        <w:rPr>
          <w:lang w:val="fr-CH"/>
        </w:rPr>
        <w:t>application des décisions de la CMR-12. On trouvera dans le Tableau 2</w:t>
      </w:r>
      <w:r>
        <w:rPr>
          <w:lang w:val="fr-CH"/>
        </w:rPr>
        <w:t xml:space="preserve"> un </w:t>
      </w:r>
      <w:r w:rsidRPr="00106BB7">
        <w:rPr>
          <w:lang w:val="fr-CH"/>
        </w:rPr>
        <w:t>résumé</w:t>
      </w:r>
      <w:r>
        <w:rPr>
          <w:lang w:val="fr-CH"/>
        </w:rPr>
        <w:t xml:space="preserve"> </w:t>
      </w:r>
      <w:r w:rsidRPr="00106BB7">
        <w:rPr>
          <w:lang w:val="fr-CH"/>
        </w:rPr>
        <w:t>des principales tâches à l</w:t>
      </w:r>
      <w:r w:rsidR="007A68A3">
        <w:rPr>
          <w:lang w:val="fr-CH"/>
        </w:rPr>
        <w:t>'</w:t>
      </w:r>
      <w:r w:rsidR="00A026C2">
        <w:rPr>
          <w:lang w:val="fr-CH"/>
        </w:rPr>
        <w:t>étude.</w:t>
      </w:r>
    </w:p>
    <w:p w:rsidR="00F03F83" w:rsidRDefault="00F03F83" w:rsidP="00B34854">
      <w:pPr>
        <w:pStyle w:val="TableNo"/>
        <w:spacing w:after="240"/>
        <w:rPr>
          <w:rFonts w:eastAsia="SimSun"/>
          <w:lang w:eastAsia="zh-CN"/>
        </w:rPr>
      </w:pPr>
      <w:r>
        <w:rPr>
          <w:rFonts w:eastAsia="SimSun"/>
          <w:lang w:eastAsia="zh-CN"/>
        </w:rPr>
        <w:t>TABLEAU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3"/>
      </w:tblGrid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A026C2" w:rsidP="00C91310">
            <w:pPr>
              <w:pStyle w:val="Tablehead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Conception </w:t>
            </w:r>
            <w:r w:rsidR="00F03F83" w:rsidRPr="004F5F02">
              <w:rPr>
                <w:sz w:val="20"/>
                <w:lang w:val="fr-CH"/>
              </w:rPr>
              <w:t xml:space="preserve">de logiciels en application des décisions de la CMR-12 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head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Modifications apportées à la base de donnée</w:t>
            </w:r>
            <w:r w:rsidR="00454931" w:rsidRPr="004F5F02">
              <w:rPr>
                <w:sz w:val="20"/>
                <w:lang w:val="fr-CH"/>
              </w:rPr>
              <w:t>s</w:t>
            </w:r>
            <w:r w:rsidRPr="004F5F02">
              <w:rPr>
                <w:sz w:val="20"/>
                <w:lang w:val="fr-CH"/>
              </w:rPr>
              <w:t xml:space="preserve"> du SNS 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Adjonction de nouveaux éléments de données dans l</w:t>
            </w:r>
            <w:r w:rsidR="007A68A3" w:rsidRPr="004F5F02">
              <w:rPr>
                <w:sz w:val="20"/>
                <w:lang w:val="fr-CH"/>
              </w:rPr>
              <w:t>'</w:t>
            </w:r>
            <w:r w:rsidR="00A026C2" w:rsidRPr="004F5F02">
              <w:rPr>
                <w:sz w:val="20"/>
                <w:lang w:val="fr-CH"/>
              </w:rPr>
              <w:t>A</w:t>
            </w:r>
            <w:r w:rsidR="00275822" w:rsidRPr="004F5F02">
              <w:rPr>
                <w:sz w:val="20"/>
                <w:lang w:val="fr-CH"/>
              </w:rPr>
              <w:t>ppendice 4 par la CMR-12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Adjonction de tableaux </w:t>
            </w:r>
            <w:r w:rsidR="00275822" w:rsidRPr="004F5F02">
              <w:rPr>
                <w:sz w:val="20"/>
                <w:lang w:val="fr-CH"/>
              </w:rPr>
              <w:t>au titre de</w:t>
            </w:r>
            <w:r w:rsidRPr="004F5F02">
              <w:rPr>
                <w:sz w:val="20"/>
                <w:lang w:val="fr-CH"/>
              </w:rPr>
              <w:t xml:space="preserve"> la Résolution 552 [COM5/6] – Nouvelle procédure de diligence due pour la bande </w:t>
            </w:r>
            <w:r w:rsidR="00275822" w:rsidRPr="004F5F02">
              <w:rPr>
                <w:sz w:val="20"/>
                <w:lang w:val="fr-CH"/>
              </w:rPr>
              <w:t>21,</w:t>
            </w:r>
            <w:r w:rsidRPr="004F5F02">
              <w:rPr>
                <w:sz w:val="20"/>
                <w:lang w:val="fr-CH"/>
              </w:rPr>
              <w:t xml:space="preserve">4-22 GHz 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Adjonction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 xml:space="preserve">éléments de données au titre de la Résolution 554 [COM5/8] – Procédure spéciale </w:t>
            </w:r>
            <w:r w:rsidR="00275822" w:rsidRPr="004F5F02">
              <w:rPr>
                <w:sz w:val="20"/>
                <w:lang w:val="fr-CH"/>
              </w:rPr>
              <w:t>à suivre pour la soumission d'</w:t>
            </w:r>
            <w:r w:rsidRPr="004F5F02">
              <w:rPr>
                <w:sz w:val="20"/>
                <w:lang w:val="fr-CH"/>
              </w:rPr>
              <w:t xml:space="preserve">assignations du SRS dans la bande </w:t>
            </w:r>
            <w:r w:rsidR="00275822" w:rsidRPr="004F5F02">
              <w:rPr>
                <w:sz w:val="20"/>
                <w:lang w:val="fr-CH"/>
              </w:rPr>
              <w:t>21,</w:t>
            </w:r>
            <w:r w:rsidRPr="004F5F02">
              <w:rPr>
                <w:sz w:val="20"/>
                <w:lang w:val="fr-CH"/>
              </w:rPr>
              <w:t>4-22 GHz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Modifications apportées à la Résolution 908 [COM5/2] – Soumission par voie électronique des renseignements pour la publication anticipée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Modifications apportées au tableau </w:t>
            </w:r>
            <w:proofErr w:type="spellStart"/>
            <w:r w:rsidRPr="004F5F02">
              <w:rPr>
                <w:sz w:val="20"/>
                <w:lang w:val="fr-CH"/>
              </w:rPr>
              <w:t>tr_aff_ntw</w:t>
            </w:r>
            <w:proofErr w:type="spellEnd"/>
            <w:r w:rsidRPr="004F5F02">
              <w:rPr>
                <w:sz w:val="20"/>
                <w:lang w:val="fr-CH"/>
              </w:rPr>
              <w:t xml:space="preserve"> afin de disposer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une liste des réseaux à satellite à fournir obligatoirement au titre des numéros 9.36.2 et 9.41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head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Modifications apportées aux logiciels existants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Nouvelle interface de saisie RS49 au titre de la Résolution 552 [COM5/6]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Nouvelle publication au titre de la Résolution 552 [COM5/6]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Modifications apportées au logiciel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examen technique au titre de la Résolution 553 [COM5/7]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Modifications apportées au logiciel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examen technique au titre de la Résolution 554 [COM5/8] – Outil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examen à l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aide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un nouveau gabarit de puissance surfacique à l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intérieur de l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arc de coordination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Modifications apportées à la saisie des conclusions au titre de la Résolution 553 [COM5/7]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Modifications apportées au logiciel </w:t>
            </w:r>
            <w:proofErr w:type="spellStart"/>
            <w:r w:rsidRPr="004F5F02">
              <w:rPr>
                <w:sz w:val="20"/>
                <w:lang w:val="fr-CH"/>
              </w:rPr>
              <w:t>SpaceCom</w:t>
            </w:r>
            <w:proofErr w:type="spellEnd"/>
            <w:r w:rsidRPr="004F5F02">
              <w:rPr>
                <w:sz w:val="20"/>
                <w:lang w:val="fr-CH"/>
              </w:rPr>
              <w:t xml:space="preserve"> au titre de la Résolution 553 [COM5/7]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>Nouvelle publication CR/F au titre de la Résolution 553 [COM5/7]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keepNext/>
              <w:keepLines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Modifications apportées au logiciel </w:t>
            </w:r>
            <w:proofErr w:type="spellStart"/>
            <w:r w:rsidRPr="004F5F02">
              <w:rPr>
                <w:sz w:val="20"/>
                <w:lang w:val="fr-CH"/>
              </w:rPr>
              <w:t>Spacecap</w:t>
            </w:r>
            <w:proofErr w:type="spellEnd"/>
            <w:r w:rsidRPr="004F5F02">
              <w:rPr>
                <w:sz w:val="20"/>
                <w:lang w:val="fr-CH"/>
              </w:rPr>
              <w:t xml:space="preserve"> pour permettre la saisie de 20 points avec la zone de service au titre de la Résolution 553 [COM5/7]</w:t>
            </w:r>
          </w:p>
        </w:tc>
      </w:tr>
    </w:tbl>
    <w:p w:rsidR="004F5F02" w:rsidRDefault="004F5F02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3"/>
      </w:tblGrid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head"/>
              <w:rPr>
                <w:sz w:val="20"/>
              </w:rPr>
            </w:pPr>
            <w:r w:rsidRPr="004F5F02">
              <w:rPr>
                <w:sz w:val="20"/>
              </w:rPr>
              <w:t>Nouvelles applications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454931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Résolution 907 [COM5/1] – </w:t>
            </w:r>
            <w:r w:rsidR="00454931" w:rsidRPr="004F5F02">
              <w:rPr>
                <w:sz w:val="20"/>
                <w:lang w:val="fr-CH"/>
              </w:rPr>
              <w:t>C</w:t>
            </w:r>
            <w:r w:rsidRPr="004F5F02">
              <w:rPr>
                <w:sz w:val="20"/>
                <w:lang w:val="fr-CH"/>
              </w:rPr>
              <w:t>onception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 xml:space="preserve">une nouvelle application web </w:t>
            </w:r>
            <w:r w:rsidR="00275822" w:rsidRPr="004F5F02">
              <w:rPr>
                <w:sz w:val="20"/>
                <w:lang w:val="fr-CH"/>
              </w:rPr>
              <w:t>qui permettra à une A</w:t>
            </w:r>
            <w:r w:rsidRPr="004F5F02">
              <w:rPr>
                <w:sz w:val="20"/>
                <w:lang w:val="fr-CH"/>
              </w:rPr>
              <w:t>dministration de soumettre une correspondance et des fiches de notification au BR dans un environnement sécurisé. Toute la correspondance échangée entre l</w:t>
            </w:r>
            <w:r w:rsidR="007A68A3" w:rsidRPr="004F5F02">
              <w:rPr>
                <w:sz w:val="20"/>
                <w:lang w:val="fr-CH"/>
              </w:rPr>
              <w:t>'</w:t>
            </w:r>
            <w:r w:rsidR="00275822" w:rsidRPr="004F5F02">
              <w:rPr>
                <w:sz w:val="20"/>
                <w:lang w:val="fr-CH"/>
              </w:rPr>
              <w:t>A</w:t>
            </w:r>
            <w:r w:rsidRPr="004F5F02">
              <w:rPr>
                <w:sz w:val="20"/>
                <w:lang w:val="fr-CH"/>
              </w:rPr>
              <w:t xml:space="preserve">dministration et le BR sera mémorisée dans le système </w:t>
            </w:r>
            <w:proofErr w:type="spellStart"/>
            <w:r w:rsidRPr="004F5F02">
              <w:rPr>
                <w:sz w:val="20"/>
                <w:lang w:val="fr-CH"/>
              </w:rPr>
              <w:t>Documentum</w:t>
            </w:r>
            <w:proofErr w:type="spellEnd"/>
            <w:r w:rsidR="00275822" w:rsidRPr="004F5F02">
              <w:rPr>
                <w:sz w:val="20"/>
                <w:lang w:val="fr-CH"/>
              </w:rPr>
              <w:t xml:space="preserve"> du BR. 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Résolution 908 [COM5/2] – </w:t>
            </w:r>
            <w:r w:rsidR="00454931" w:rsidRPr="004F5F02">
              <w:rPr>
                <w:sz w:val="20"/>
                <w:lang w:val="fr-CH"/>
              </w:rPr>
              <w:t>C</w:t>
            </w:r>
            <w:r w:rsidRPr="004F5F02">
              <w:rPr>
                <w:sz w:val="20"/>
                <w:lang w:val="fr-CH"/>
              </w:rPr>
              <w:t>onception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une nouvelle a</w:t>
            </w:r>
            <w:r w:rsidR="00275822" w:rsidRPr="004F5F02">
              <w:rPr>
                <w:sz w:val="20"/>
                <w:lang w:val="fr-CH"/>
              </w:rPr>
              <w:t>pplication web qui permettra à une A</w:t>
            </w:r>
            <w:r w:rsidR="00454931" w:rsidRPr="004F5F02">
              <w:rPr>
                <w:sz w:val="20"/>
                <w:lang w:val="fr-CH"/>
              </w:rPr>
              <w:t>dministration de </w:t>
            </w:r>
            <w:r w:rsidRPr="004F5F02">
              <w:rPr>
                <w:sz w:val="20"/>
                <w:lang w:val="fr-CH"/>
              </w:rPr>
              <w:t>saisir les renseignements pour la publication anticipée sous réserve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 xml:space="preserve">une coordination au titre de la </w:t>
            </w:r>
            <w:r w:rsidR="000F2640" w:rsidRPr="004F5F02">
              <w:rPr>
                <w:sz w:val="20"/>
                <w:lang w:val="fr-CH"/>
              </w:rPr>
              <w:t>Sous</w:t>
            </w:r>
            <w:r w:rsidR="00454931" w:rsidRPr="004F5F02">
              <w:rPr>
                <w:sz w:val="20"/>
                <w:lang w:val="fr-CH"/>
              </w:rPr>
              <w:noBreakHyphen/>
            </w:r>
            <w:r w:rsidR="000F2640" w:rsidRPr="004F5F02">
              <w:rPr>
                <w:sz w:val="20"/>
                <w:lang w:val="fr-CH"/>
              </w:rPr>
              <w:t xml:space="preserve">Section </w:t>
            </w:r>
            <w:r w:rsidRPr="004F5F02">
              <w:rPr>
                <w:sz w:val="20"/>
                <w:lang w:val="fr-CH"/>
              </w:rPr>
              <w:t>1B de l</w:t>
            </w:r>
            <w:r w:rsidR="007A68A3" w:rsidRPr="004F5F02">
              <w:rPr>
                <w:sz w:val="20"/>
                <w:lang w:val="fr-CH"/>
              </w:rPr>
              <w:t>'</w:t>
            </w:r>
            <w:r w:rsidR="000F2640" w:rsidRPr="004F5F02">
              <w:rPr>
                <w:sz w:val="20"/>
                <w:lang w:val="fr-CH"/>
              </w:rPr>
              <w:t>Article </w:t>
            </w:r>
            <w:r w:rsidR="00454931" w:rsidRPr="004F5F02">
              <w:rPr>
                <w:sz w:val="20"/>
                <w:lang w:val="fr-CH"/>
              </w:rPr>
              <w:t>9.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F03F83" w:rsidP="00C91310">
            <w:pPr>
              <w:pStyle w:val="Tabletext"/>
              <w:rPr>
                <w:sz w:val="20"/>
                <w:lang w:val="fr-CH"/>
              </w:rPr>
            </w:pPr>
            <w:r w:rsidRPr="004F5F02">
              <w:rPr>
                <w:sz w:val="20"/>
                <w:lang w:val="fr-CH"/>
              </w:rPr>
              <w:t xml:space="preserve">Résolution 908 [COM5/2] – </w:t>
            </w:r>
            <w:r w:rsidR="00454931" w:rsidRPr="004F5F02">
              <w:rPr>
                <w:sz w:val="20"/>
                <w:lang w:val="fr-CH"/>
              </w:rPr>
              <w:t>C</w:t>
            </w:r>
            <w:r w:rsidRPr="004F5F02">
              <w:rPr>
                <w:sz w:val="20"/>
                <w:lang w:val="fr-CH"/>
              </w:rPr>
              <w:t>onception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>une nouvelle application web pour la publication des renseignements pour la publication anticipée sous réserve d</w:t>
            </w:r>
            <w:r w:rsidR="007A68A3" w:rsidRPr="004F5F02">
              <w:rPr>
                <w:sz w:val="20"/>
                <w:lang w:val="fr-CH"/>
              </w:rPr>
              <w:t>'</w:t>
            </w:r>
            <w:r w:rsidRPr="004F5F02">
              <w:rPr>
                <w:sz w:val="20"/>
                <w:lang w:val="fr-CH"/>
              </w:rPr>
              <w:t xml:space="preserve">une coordination au titre de la </w:t>
            </w:r>
            <w:r w:rsidR="000F2640" w:rsidRPr="004F5F02">
              <w:rPr>
                <w:sz w:val="20"/>
                <w:lang w:val="fr-CH"/>
              </w:rPr>
              <w:t>Sous</w:t>
            </w:r>
            <w:r w:rsidR="000F2640" w:rsidRPr="004F5F02">
              <w:rPr>
                <w:sz w:val="20"/>
                <w:lang w:val="fr-CH"/>
              </w:rPr>
              <w:noBreakHyphen/>
              <w:t>Section </w:t>
            </w:r>
            <w:r w:rsidRPr="004F5F02">
              <w:rPr>
                <w:sz w:val="20"/>
                <w:lang w:val="fr-CH"/>
              </w:rPr>
              <w:t>1B de l</w:t>
            </w:r>
            <w:r w:rsidR="007A68A3" w:rsidRPr="004F5F02">
              <w:rPr>
                <w:sz w:val="20"/>
                <w:lang w:val="fr-CH"/>
              </w:rPr>
              <w:t>'</w:t>
            </w:r>
            <w:r w:rsidR="000F2640" w:rsidRPr="004F5F02">
              <w:rPr>
                <w:sz w:val="20"/>
                <w:lang w:val="fr-CH"/>
              </w:rPr>
              <w:t>A</w:t>
            </w:r>
            <w:r w:rsidRPr="004F5F02">
              <w:rPr>
                <w:sz w:val="20"/>
                <w:lang w:val="fr-CH"/>
              </w:rPr>
              <w:t xml:space="preserve">rticle </w:t>
            </w:r>
            <w:r w:rsidR="000F2640" w:rsidRPr="004F5F02">
              <w:rPr>
                <w:sz w:val="20"/>
                <w:lang w:val="fr-CH"/>
              </w:rPr>
              <w:t>9</w:t>
            </w:r>
            <w:r w:rsidR="00454931" w:rsidRPr="004F5F02">
              <w:rPr>
                <w:sz w:val="20"/>
                <w:lang w:val="fr-CH"/>
              </w:rPr>
              <w:t>.</w:t>
            </w:r>
          </w:p>
        </w:tc>
      </w:tr>
      <w:tr w:rsidR="00F03F83" w:rsidRPr="004F5F02" w:rsidTr="0027582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83" w:rsidRPr="004F5F02" w:rsidRDefault="00B34854" w:rsidP="00454931">
            <w:pPr>
              <w:pStyle w:val="Tabletext"/>
              <w:keepNext/>
              <w:keepLines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Résolution 908 [COM5/2] – </w:t>
            </w:r>
            <w:proofErr w:type="spellStart"/>
            <w:r>
              <w:rPr>
                <w:sz w:val="20"/>
                <w:lang w:val="fr-CH"/>
              </w:rPr>
              <w:t>E</w:t>
            </w:r>
            <w:r w:rsidR="00F03F83" w:rsidRPr="004F5F02">
              <w:rPr>
                <w:sz w:val="20"/>
                <w:lang w:val="fr-CH"/>
              </w:rPr>
              <w:t>laboration</w:t>
            </w:r>
            <w:proofErr w:type="spellEnd"/>
            <w:r w:rsidR="00F03F83" w:rsidRPr="004F5F02">
              <w:rPr>
                <w:sz w:val="20"/>
                <w:lang w:val="fr-CH"/>
              </w:rPr>
              <w:t xml:space="preserve"> d</w:t>
            </w:r>
            <w:r w:rsidR="007A68A3" w:rsidRPr="004F5F02">
              <w:rPr>
                <w:sz w:val="20"/>
                <w:lang w:val="fr-CH"/>
              </w:rPr>
              <w:t>'</w:t>
            </w:r>
            <w:r w:rsidR="00F03F83" w:rsidRPr="004F5F02">
              <w:rPr>
                <w:sz w:val="20"/>
                <w:lang w:val="fr-CH"/>
              </w:rPr>
              <w:t xml:space="preserve">une application pour la gestion des renseignements pour la publication anticipée, qui permettra </w:t>
            </w:r>
            <w:r w:rsidR="000F2640" w:rsidRPr="004F5F02">
              <w:rPr>
                <w:sz w:val="20"/>
                <w:lang w:val="fr-CH"/>
              </w:rPr>
              <w:t>de mettre</w:t>
            </w:r>
            <w:r w:rsidR="00F03F83" w:rsidRPr="004F5F02">
              <w:rPr>
                <w:sz w:val="20"/>
                <w:lang w:val="fr-CH"/>
              </w:rPr>
              <w:t xml:space="preserve"> à disposition des publications dans la </w:t>
            </w:r>
            <w:r w:rsidR="000F2640" w:rsidRPr="004F5F02">
              <w:rPr>
                <w:sz w:val="20"/>
                <w:lang w:val="fr-CH"/>
              </w:rPr>
              <w:t xml:space="preserve">Circulaire </w:t>
            </w:r>
            <w:r w:rsidR="00F03F83" w:rsidRPr="004F5F02">
              <w:rPr>
                <w:sz w:val="20"/>
                <w:lang w:val="fr-CH"/>
              </w:rPr>
              <w:t xml:space="preserve">IFIC et </w:t>
            </w:r>
            <w:r w:rsidR="000F2640" w:rsidRPr="004F5F02">
              <w:rPr>
                <w:sz w:val="20"/>
                <w:lang w:val="fr-CH"/>
              </w:rPr>
              <w:t>le</w:t>
            </w:r>
            <w:r w:rsidR="00F03F83" w:rsidRPr="004F5F02">
              <w:rPr>
                <w:sz w:val="20"/>
                <w:lang w:val="fr-CH"/>
              </w:rPr>
              <w:t xml:space="preserve"> </w:t>
            </w:r>
            <w:r w:rsidR="000F2640" w:rsidRPr="004F5F02">
              <w:rPr>
                <w:sz w:val="20"/>
                <w:lang w:val="fr-CH"/>
              </w:rPr>
              <w:t>système SNL.</w:t>
            </w:r>
            <w:r w:rsidR="00F03F83" w:rsidRPr="004F5F02">
              <w:rPr>
                <w:sz w:val="20"/>
                <w:lang w:val="fr-CH"/>
              </w:rPr>
              <w:t xml:space="preserve"> Suppression des renseignements pour la publication anticipée lorsque le BR ne reçoit pas de demande de coordination (CR) ou de notification correspondante dans un délai de deux 2 ans</w:t>
            </w:r>
            <w:r w:rsidR="00454931" w:rsidRPr="004F5F02">
              <w:rPr>
                <w:sz w:val="20"/>
                <w:lang w:val="fr-CH"/>
              </w:rPr>
              <w:t>.</w:t>
            </w:r>
          </w:p>
        </w:tc>
      </w:tr>
    </w:tbl>
    <w:p w:rsidR="00F03F83" w:rsidRPr="00D907A0" w:rsidRDefault="00B34854" w:rsidP="00C91310">
      <w:pPr>
        <w:pStyle w:val="Heading3"/>
        <w:rPr>
          <w:lang w:val="fr-CH"/>
        </w:rPr>
      </w:pPr>
      <w:r>
        <w:rPr>
          <w:lang w:val="fr-CH"/>
        </w:rPr>
        <w:t>3.2.3</w:t>
      </w:r>
      <w:r>
        <w:rPr>
          <w:lang w:val="fr-CH"/>
        </w:rPr>
        <w:tab/>
      </w:r>
      <w:r w:rsidR="00F03F83" w:rsidRPr="00D907A0">
        <w:rPr>
          <w:lang w:val="fr-CH"/>
        </w:rPr>
        <w:t>Me</w:t>
      </w:r>
      <w:r w:rsidR="00F03F83">
        <w:rPr>
          <w:lang w:val="fr-CH"/>
        </w:rPr>
        <w:t>sures gé</w:t>
      </w:r>
      <w:r w:rsidR="00F03F83" w:rsidRPr="00D907A0">
        <w:rPr>
          <w:lang w:val="fr-CH"/>
        </w:rPr>
        <w:t>n</w:t>
      </w:r>
      <w:r w:rsidR="00F03F83">
        <w:rPr>
          <w:lang w:val="fr-CH"/>
        </w:rPr>
        <w:t>é</w:t>
      </w:r>
      <w:r w:rsidR="00F03F83" w:rsidRPr="00D907A0">
        <w:rPr>
          <w:lang w:val="fr-CH"/>
        </w:rPr>
        <w:t>ral</w:t>
      </w:r>
      <w:r w:rsidR="00F03F83">
        <w:rPr>
          <w:lang w:val="fr-CH"/>
        </w:rPr>
        <w:t>e</w:t>
      </w:r>
      <w:r w:rsidR="00F03F83" w:rsidRPr="00D907A0">
        <w:rPr>
          <w:lang w:val="fr-CH"/>
        </w:rPr>
        <w:t>s</w:t>
      </w:r>
      <w:r w:rsidR="00F03F83">
        <w:rPr>
          <w:lang w:val="fr-CH"/>
        </w:rPr>
        <w:t xml:space="preserve"> à prendre en a</w:t>
      </w:r>
      <w:r w:rsidR="00454931">
        <w:rPr>
          <w:lang w:val="fr-CH"/>
        </w:rPr>
        <w:t>pplication des décisions de la C</w:t>
      </w:r>
      <w:r w:rsidR="00F03F83">
        <w:rPr>
          <w:lang w:val="fr-CH"/>
        </w:rPr>
        <w:t>onfé</w:t>
      </w:r>
      <w:r w:rsidR="00F03F83" w:rsidRPr="00D907A0">
        <w:rPr>
          <w:lang w:val="fr-CH"/>
        </w:rPr>
        <w:t>rence</w:t>
      </w:r>
    </w:p>
    <w:p w:rsidR="00F03F83" w:rsidRDefault="00F03F83" w:rsidP="00454931">
      <w:pPr>
        <w:spacing w:after="240"/>
        <w:rPr>
          <w:lang w:val="fr-CH"/>
        </w:rPr>
      </w:pPr>
      <w:r w:rsidRPr="00D907A0">
        <w:rPr>
          <w:lang w:val="fr-CH"/>
        </w:rPr>
        <w:t xml:space="preserve">Les </w:t>
      </w:r>
      <w:r w:rsidR="000F2640" w:rsidRPr="00D907A0">
        <w:rPr>
          <w:lang w:val="fr-CH"/>
        </w:rPr>
        <w:t xml:space="preserve">Lettres </w:t>
      </w:r>
      <w:r w:rsidRPr="00D907A0">
        <w:rPr>
          <w:lang w:val="fr-CH"/>
        </w:rPr>
        <w:t>circulaires suivantes du BR donne</w:t>
      </w:r>
      <w:r>
        <w:rPr>
          <w:lang w:val="fr-CH"/>
        </w:rPr>
        <w:t>nt</w:t>
      </w:r>
      <w:r w:rsidRPr="00D907A0">
        <w:rPr>
          <w:lang w:val="fr-CH"/>
        </w:rPr>
        <w:t xml:space="preserve"> des renseignements sur les mesures à prendre en application des décisions </w:t>
      </w:r>
      <w:r w:rsidR="000F2640">
        <w:rPr>
          <w:lang w:val="fr-CH"/>
        </w:rPr>
        <w:t>de la CMR-12</w:t>
      </w:r>
      <w:r w:rsidRPr="00D907A0">
        <w:rPr>
          <w:lang w:val="fr-CH"/>
        </w:rPr>
        <w:t>:</w:t>
      </w:r>
    </w:p>
    <w:tbl>
      <w:tblPr>
        <w:tblW w:w="9355" w:type="dxa"/>
        <w:tblInd w:w="39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F03F83" w:rsidRPr="00454931" w:rsidTr="000F264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pStyle w:val="Tablehead"/>
              <w:rPr>
                <w:sz w:val="20"/>
                <w:lang w:val="en-US"/>
              </w:rPr>
            </w:pPr>
            <w:proofErr w:type="spellStart"/>
            <w:r w:rsidRPr="00454931">
              <w:rPr>
                <w:sz w:val="20"/>
                <w:lang w:val="en-US"/>
              </w:rPr>
              <w:t>Circulaire</w:t>
            </w:r>
            <w:proofErr w:type="spellEnd"/>
            <w:r w:rsidRPr="00454931">
              <w:rPr>
                <w:sz w:val="20"/>
                <w:lang w:val="en-US"/>
              </w:rPr>
              <w:t xml:space="preserve"> du BR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pStyle w:val="Tablehead"/>
              <w:rPr>
                <w:sz w:val="20"/>
                <w:lang w:val="en-US"/>
              </w:rPr>
            </w:pPr>
            <w:r w:rsidRPr="00454931">
              <w:rPr>
                <w:sz w:val="20"/>
                <w:lang w:val="en-US"/>
              </w:rPr>
              <w:t>Date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0F2640" w:rsidP="00C91310">
            <w:pPr>
              <w:pStyle w:val="Tablehead"/>
              <w:rPr>
                <w:sz w:val="20"/>
                <w:lang w:val="en-US"/>
              </w:rPr>
            </w:pPr>
            <w:r w:rsidRPr="00454931">
              <w:rPr>
                <w:sz w:val="20"/>
                <w:lang w:val="en-US"/>
              </w:rPr>
              <w:t>Objet</w:t>
            </w:r>
          </w:p>
        </w:tc>
      </w:tr>
      <w:tr w:rsidR="00F03F83" w:rsidRPr="00454931" w:rsidTr="000F2640">
        <w:tblPrEx>
          <w:tblBorders>
            <w:top w:val="none" w:sz="0" w:space="0" w:color="auto"/>
          </w:tblBorders>
        </w:tblPrEx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rPr>
                <w:sz w:val="20"/>
                <w:lang w:val="en-US"/>
              </w:rPr>
            </w:pPr>
            <w:r w:rsidRPr="00454931">
              <w:rPr>
                <w:sz w:val="20"/>
                <w:lang w:val="en-US"/>
              </w:rPr>
              <w:t>CR/331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rPr>
                <w:sz w:val="20"/>
                <w:lang w:val="en-US"/>
              </w:rPr>
            </w:pPr>
            <w:r w:rsidRPr="00454931">
              <w:rPr>
                <w:sz w:val="20"/>
                <w:lang w:val="en-US"/>
              </w:rPr>
              <w:t>16.3.2012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rPr>
                <w:sz w:val="20"/>
                <w:lang w:val="fr-CH"/>
              </w:rPr>
            </w:pPr>
            <w:r w:rsidRPr="00454931">
              <w:rPr>
                <w:sz w:val="20"/>
                <w:lang w:val="fr-CH"/>
              </w:rPr>
              <w:t xml:space="preserve">Mise en </w:t>
            </w:r>
            <w:proofErr w:type="spellStart"/>
            <w:r w:rsidRPr="00454931">
              <w:rPr>
                <w:sz w:val="20"/>
                <w:lang w:val="fr-CH"/>
              </w:rPr>
              <w:t>oeuvre</w:t>
            </w:r>
            <w:proofErr w:type="spellEnd"/>
            <w:r w:rsidRPr="00454931">
              <w:rPr>
                <w:sz w:val="20"/>
                <w:lang w:val="fr-CH"/>
              </w:rPr>
              <w:t xml:space="preserve"> de la Résolution 555 [COM5/9] (</w:t>
            </w:r>
            <w:r w:rsidR="000F2640" w:rsidRPr="00454931">
              <w:rPr>
                <w:sz w:val="20"/>
                <w:lang w:val="fr-CH"/>
              </w:rPr>
              <w:t>CMR</w:t>
            </w:r>
            <w:r w:rsidR="000F2640" w:rsidRPr="00454931">
              <w:rPr>
                <w:sz w:val="20"/>
                <w:lang w:val="fr-CH"/>
              </w:rPr>
              <w:noBreakHyphen/>
            </w:r>
            <w:r w:rsidRPr="00454931">
              <w:rPr>
                <w:sz w:val="20"/>
                <w:lang w:val="fr-CH"/>
              </w:rPr>
              <w:t>12)</w:t>
            </w:r>
          </w:p>
        </w:tc>
      </w:tr>
      <w:tr w:rsidR="00F03F83" w:rsidRPr="00454931" w:rsidTr="000F2640">
        <w:tblPrEx>
          <w:tblBorders>
            <w:top w:val="none" w:sz="0" w:space="0" w:color="auto"/>
          </w:tblBorders>
        </w:tblPrEx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rPr>
                <w:sz w:val="20"/>
                <w:lang w:val="en-US"/>
              </w:rPr>
            </w:pPr>
            <w:r w:rsidRPr="00454931">
              <w:rPr>
                <w:sz w:val="20"/>
                <w:lang w:val="en-US"/>
              </w:rPr>
              <w:t>CR/333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rPr>
                <w:sz w:val="20"/>
                <w:lang w:val="en-US"/>
              </w:rPr>
            </w:pPr>
            <w:r w:rsidRPr="00454931">
              <w:rPr>
                <w:bCs/>
                <w:sz w:val="20"/>
                <w:lang w:val="en-US"/>
              </w:rPr>
              <w:t>01.05.2012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F03F83" w:rsidRPr="00454931" w:rsidRDefault="00F03F83" w:rsidP="00C91310">
            <w:pPr>
              <w:rPr>
                <w:sz w:val="20"/>
                <w:lang w:val="fr-CH"/>
              </w:rPr>
            </w:pPr>
            <w:r w:rsidRPr="00454931">
              <w:rPr>
                <w:sz w:val="20"/>
                <w:lang w:val="fr-CH"/>
              </w:rPr>
              <w:t>Décisions de la CMR-12 consignées au procès-verbal de séances plénières concernant les procédures applicables aux services spatiaux</w:t>
            </w:r>
          </w:p>
        </w:tc>
      </w:tr>
    </w:tbl>
    <w:p w:rsidR="00F03F83" w:rsidRPr="0080566C" w:rsidRDefault="00F03F83" w:rsidP="00C91310">
      <w:pPr>
        <w:spacing w:before="360"/>
        <w:rPr>
          <w:lang w:val="fr-CH"/>
        </w:rPr>
      </w:pPr>
      <w:r w:rsidRPr="0080566C">
        <w:rPr>
          <w:lang w:val="fr-CH"/>
        </w:rPr>
        <w:t>Le Bureau a analysé les décisions de la CMR-</w:t>
      </w:r>
      <w:r>
        <w:rPr>
          <w:lang w:val="fr-CH"/>
        </w:rPr>
        <w:t xml:space="preserve">12 </w:t>
      </w:r>
      <w:r w:rsidRPr="0080566C">
        <w:rPr>
          <w:lang w:val="fr-CH"/>
        </w:rPr>
        <w:t>et leur</w:t>
      </w:r>
      <w:r w:rsidR="000F2640">
        <w:rPr>
          <w:lang w:val="fr-CH"/>
        </w:rPr>
        <w:t>s</w:t>
      </w:r>
      <w:r w:rsidRPr="0080566C">
        <w:rPr>
          <w:lang w:val="fr-CH"/>
        </w:rPr>
        <w:t xml:space="preserve"> incidence</w:t>
      </w:r>
      <w:r w:rsidR="000F2640">
        <w:rPr>
          <w:lang w:val="fr-CH"/>
        </w:rPr>
        <w:t>s</w:t>
      </w:r>
      <w:r w:rsidRPr="0080566C">
        <w:rPr>
          <w:lang w:val="fr-CH"/>
        </w:rPr>
        <w:t xml:space="preserve"> sur les Règles de procédure en vigueur. A cet égard, il a établi une liste des Règles de procédure existantes qu</w:t>
      </w:r>
      <w:r w:rsidR="007A68A3">
        <w:rPr>
          <w:lang w:val="fr-CH"/>
        </w:rPr>
        <w:t>'</w:t>
      </w:r>
      <w:r w:rsidRPr="0080566C">
        <w:rPr>
          <w:lang w:val="fr-CH"/>
        </w:rPr>
        <w:t>il serait nécessaire de réexaminer compte tenu des décisions de la CMR-</w:t>
      </w:r>
      <w:r>
        <w:rPr>
          <w:lang w:val="fr-CH"/>
        </w:rPr>
        <w:t>12</w:t>
      </w:r>
      <w:r w:rsidRPr="0080566C">
        <w:rPr>
          <w:lang w:val="fr-CH"/>
        </w:rPr>
        <w:t>, ainsi qu</w:t>
      </w:r>
      <w:r w:rsidR="007A68A3">
        <w:rPr>
          <w:lang w:val="fr-CH"/>
        </w:rPr>
        <w:t>'</w:t>
      </w:r>
      <w:r w:rsidRPr="0080566C">
        <w:rPr>
          <w:lang w:val="fr-CH"/>
        </w:rPr>
        <w:t>une liste préliminaire des dispositions adoptées par la CMR-</w:t>
      </w:r>
      <w:r>
        <w:rPr>
          <w:lang w:val="fr-CH"/>
        </w:rPr>
        <w:t>12</w:t>
      </w:r>
      <w:r w:rsidRPr="0080566C">
        <w:rPr>
          <w:lang w:val="fr-CH"/>
        </w:rPr>
        <w:t xml:space="preserve"> pouvant nécessiter l</w:t>
      </w:r>
      <w:r w:rsidR="007A68A3">
        <w:rPr>
          <w:lang w:val="fr-CH"/>
        </w:rPr>
        <w:t>'</w:t>
      </w:r>
      <w:r w:rsidRPr="0080566C">
        <w:rPr>
          <w:lang w:val="fr-CH"/>
        </w:rPr>
        <w:t xml:space="preserve">élaboration de nouvelles Règles de procédure. </w:t>
      </w:r>
      <w:r>
        <w:rPr>
          <w:lang w:val="fr-CH"/>
        </w:rPr>
        <w:t>Une liste préliminaire des Règles de procédure actuelle</w:t>
      </w:r>
      <w:r w:rsidR="000F2640">
        <w:rPr>
          <w:lang w:val="fr-CH"/>
        </w:rPr>
        <w:t>s</w:t>
      </w:r>
      <w:r>
        <w:rPr>
          <w:lang w:val="fr-CH"/>
        </w:rPr>
        <w:t xml:space="preserve">, sans rapport avec les décisions de la </w:t>
      </w:r>
      <w:r w:rsidR="000F2640">
        <w:rPr>
          <w:lang w:val="fr-CH"/>
        </w:rPr>
        <w:t>CMR</w:t>
      </w:r>
      <w:r w:rsidR="000F2640">
        <w:rPr>
          <w:lang w:val="fr-CH"/>
        </w:rPr>
        <w:noBreakHyphen/>
      </w:r>
      <w:r>
        <w:rPr>
          <w:lang w:val="fr-CH"/>
        </w:rPr>
        <w:t xml:space="preserve">12, et susceptibles de nécessiter une mise à jour, </w:t>
      </w:r>
      <w:r w:rsidR="00C91310">
        <w:rPr>
          <w:lang w:val="fr-CH"/>
        </w:rPr>
        <w:t>a</w:t>
      </w:r>
      <w:r>
        <w:rPr>
          <w:lang w:val="fr-CH"/>
        </w:rPr>
        <w:t xml:space="preserve"> été soumise au Comité du Règlement des</w:t>
      </w:r>
      <w:r w:rsidR="000F2640">
        <w:rPr>
          <w:lang w:val="fr-CH"/>
        </w:rPr>
        <w:t xml:space="preserve"> radiocommunications à sa 59ème</w:t>
      </w:r>
      <w:r>
        <w:rPr>
          <w:lang w:val="fr-CH"/>
        </w:rPr>
        <w:t xml:space="preserve"> réunion </w:t>
      </w:r>
      <w:r w:rsidRPr="0080566C">
        <w:rPr>
          <w:lang w:val="fr-CH"/>
        </w:rPr>
        <w:t>(</w:t>
      </w:r>
      <w:r>
        <w:rPr>
          <w:lang w:val="fr-CH"/>
        </w:rPr>
        <w:t xml:space="preserve">voir le </w:t>
      </w:r>
      <w:r w:rsidRPr="0080566C">
        <w:rPr>
          <w:lang w:val="fr-CH"/>
        </w:rPr>
        <w:t>Document RRB12-1/4).</w:t>
      </w:r>
    </w:p>
    <w:p w:rsidR="00F03F83" w:rsidRPr="0080566C" w:rsidRDefault="00F03F83" w:rsidP="00C91310">
      <w:pPr>
        <w:pStyle w:val="Heading1"/>
        <w:rPr>
          <w:bCs/>
          <w:lang w:val="fr-CH"/>
        </w:rPr>
      </w:pPr>
      <w:r w:rsidRPr="0080566C">
        <w:rPr>
          <w:rFonts w:eastAsia="SimSun"/>
          <w:lang w:val="fr-CH" w:eastAsia="zh-CN"/>
        </w:rPr>
        <w:t>4</w:t>
      </w:r>
      <w:r w:rsidRPr="0080566C">
        <w:rPr>
          <w:rFonts w:eastAsia="SimSun"/>
          <w:lang w:val="fr-CH" w:eastAsia="zh-CN"/>
        </w:rPr>
        <w:tab/>
        <w:t>Activités des Commissions d</w:t>
      </w:r>
      <w:r w:rsidR="007A68A3">
        <w:rPr>
          <w:rFonts w:eastAsia="SimSun"/>
          <w:lang w:val="fr-CH" w:eastAsia="zh-CN"/>
        </w:rPr>
        <w:t>'</w:t>
      </w:r>
      <w:r w:rsidRPr="0080566C">
        <w:rPr>
          <w:rFonts w:eastAsia="SimSun"/>
          <w:lang w:val="fr-CH" w:eastAsia="zh-CN"/>
        </w:rPr>
        <w:t>études</w:t>
      </w:r>
    </w:p>
    <w:p w:rsidR="00F03F83" w:rsidRPr="0080566C" w:rsidRDefault="00F03F83" w:rsidP="00C91310">
      <w:pPr>
        <w:ind w:right="-284"/>
        <w:rPr>
          <w:lang w:val="fr-CH"/>
        </w:rPr>
      </w:pPr>
      <w:r w:rsidRPr="0080566C">
        <w:rPr>
          <w:lang w:val="fr-CH"/>
        </w:rPr>
        <w:t>Cette question fait l</w:t>
      </w:r>
      <w:r w:rsidR="007A68A3">
        <w:rPr>
          <w:lang w:val="fr-CH"/>
        </w:rPr>
        <w:t>'</w:t>
      </w:r>
      <w:r w:rsidRPr="0080566C">
        <w:rPr>
          <w:lang w:val="fr-CH"/>
        </w:rPr>
        <w:t>objet d</w:t>
      </w:r>
      <w:r w:rsidR="007A68A3">
        <w:rPr>
          <w:lang w:val="fr-CH"/>
        </w:rPr>
        <w:t>'</w:t>
      </w:r>
      <w:r w:rsidRPr="0080566C">
        <w:rPr>
          <w:lang w:val="fr-CH"/>
        </w:rPr>
        <w:t xml:space="preserve">un Addendum au présent document </w:t>
      </w:r>
    </w:p>
    <w:p w:rsidR="00F03F83" w:rsidRPr="0080566C" w:rsidRDefault="00F03F83" w:rsidP="00C91310">
      <w:pPr>
        <w:pStyle w:val="Heading1"/>
        <w:rPr>
          <w:lang w:val="fr-CH"/>
        </w:rPr>
      </w:pPr>
      <w:r>
        <w:rPr>
          <w:lang w:val="pt-BR"/>
        </w:rPr>
        <w:t>5</w:t>
      </w:r>
      <w:r w:rsidRPr="00A3696F">
        <w:rPr>
          <w:lang w:val="pt-BR"/>
        </w:rPr>
        <w:tab/>
      </w:r>
      <w:proofErr w:type="spellStart"/>
      <w:r>
        <w:rPr>
          <w:lang w:val="pt-BR"/>
        </w:rPr>
        <w:t>Travaux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préparatoires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en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vue</w:t>
      </w:r>
      <w:proofErr w:type="spellEnd"/>
      <w:r>
        <w:rPr>
          <w:lang w:val="pt-BR"/>
        </w:rPr>
        <w:t xml:space="preserve"> de </w:t>
      </w:r>
      <w:proofErr w:type="spellStart"/>
      <w:proofErr w:type="gramStart"/>
      <w:r>
        <w:rPr>
          <w:lang w:val="pt-BR"/>
        </w:rPr>
        <w:t>la</w:t>
      </w:r>
      <w:proofErr w:type="spellEnd"/>
      <w:proofErr w:type="gramEnd"/>
      <w:r>
        <w:rPr>
          <w:lang w:val="pt-BR"/>
        </w:rPr>
        <w:t xml:space="preserve"> CMR-15</w:t>
      </w:r>
    </w:p>
    <w:p w:rsidR="00F03F83" w:rsidRPr="009B72C4" w:rsidRDefault="00F03F83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bCs/>
          <w:lang w:val="fr-CH"/>
        </w:rPr>
      </w:pPr>
      <w:r w:rsidRPr="009B72C4">
        <w:rPr>
          <w:bCs/>
          <w:lang w:val="fr-CH"/>
        </w:rPr>
        <w:t>L</w:t>
      </w:r>
      <w:r w:rsidR="007A68A3">
        <w:rPr>
          <w:bCs/>
          <w:lang w:val="fr-CH"/>
        </w:rPr>
        <w:t>'</w:t>
      </w:r>
      <w:r w:rsidRPr="009B72C4">
        <w:rPr>
          <w:bCs/>
          <w:lang w:val="fr-CH"/>
        </w:rPr>
        <w:t>ordre du jour de la CMR-15, tel qu</w:t>
      </w:r>
      <w:r w:rsidR="007A68A3">
        <w:rPr>
          <w:bCs/>
          <w:lang w:val="fr-CH"/>
        </w:rPr>
        <w:t>'</w:t>
      </w:r>
      <w:r w:rsidRPr="009B72C4">
        <w:rPr>
          <w:bCs/>
          <w:lang w:val="fr-CH"/>
        </w:rPr>
        <w:t xml:space="preserve">il figure dans la </w:t>
      </w:r>
      <w:r>
        <w:rPr>
          <w:bCs/>
          <w:lang w:val="fr-CH"/>
        </w:rPr>
        <w:t>Résolution</w:t>
      </w:r>
      <w:r w:rsidRPr="009B72C4">
        <w:rPr>
          <w:bCs/>
          <w:lang w:val="fr-CH"/>
        </w:rPr>
        <w:t xml:space="preserve"> 807 (CMR-12) (ancienne </w:t>
      </w:r>
      <w:r w:rsidR="000F2640" w:rsidRPr="009B72C4">
        <w:rPr>
          <w:bCs/>
          <w:lang w:val="fr-CH"/>
        </w:rPr>
        <w:t xml:space="preserve">Résolution </w:t>
      </w:r>
      <w:r w:rsidRPr="009B72C4">
        <w:rPr>
          <w:bCs/>
          <w:lang w:val="fr-CH"/>
        </w:rPr>
        <w:t xml:space="preserve">[COM6/6]), </w:t>
      </w:r>
      <w:r>
        <w:rPr>
          <w:bCs/>
          <w:lang w:val="fr-CH"/>
        </w:rPr>
        <w:t xml:space="preserve">sera examiné par le Conseil à sa session de 2012. </w:t>
      </w:r>
      <w:r w:rsidR="000F2640">
        <w:rPr>
          <w:bCs/>
          <w:lang w:val="fr-CH"/>
        </w:rPr>
        <w:t>Celui</w:t>
      </w:r>
      <w:r w:rsidR="000F2640">
        <w:rPr>
          <w:bCs/>
          <w:lang w:val="fr-CH"/>
        </w:rPr>
        <w:noBreakHyphen/>
        <w:t>ci</w:t>
      </w:r>
      <w:r w:rsidRPr="009B72C4">
        <w:rPr>
          <w:bCs/>
          <w:lang w:val="fr-CH"/>
        </w:rPr>
        <w:t xml:space="preserve"> sera invité à adopter une Résolution contenant cet ordre du jour et donnant plus de renseignements sur le lieu précis et les dates exactes de la CMR-15</w:t>
      </w:r>
      <w:r w:rsidR="000F2640">
        <w:rPr>
          <w:bCs/>
          <w:lang w:val="fr-CH"/>
        </w:rPr>
        <w:t>.</w:t>
      </w:r>
    </w:p>
    <w:p w:rsidR="00F03F83" w:rsidRPr="009B72C4" w:rsidRDefault="000F2640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bCs/>
          <w:lang w:val="fr-CH"/>
        </w:rPr>
      </w:pPr>
      <w:r w:rsidRPr="009B72C4">
        <w:rPr>
          <w:bCs/>
          <w:lang w:val="fr-CH"/>
        </w:rPr>
        <w:t xml:space="preserve">Suite </w:t>
      </w:r>
      <w:r>
        <w:rPr>
          <w:bCs/>
          <w:lang w:val="fr-CH"/>
        </w:rPr>
        <w:t>à une demande de la CMR</w:t>
      </w:r>
      <w:r>
        <w:rPr>
          <w:bCs/>
          <w:lang w:val="fr-CH"/>
        </w:rPr>
        <w:noBreakHyphen/>
        <w:t>12,</w:t>
      </w:r>
      <w:r w:rsidR="00F03F83" w:rsidRPr="009B72C4">
        <w:rPr>
          <w:bCs/>
          <w:lang w:val="fr-CH"/>
        </w:rPr>
        <w:t xml:space="preserve"> </w:t>
      </w:r>
      <w:r w:rsidR="00F03F83">
        <w:rPr>
          <w:bCs/>
          <w:lang w:val="fr-CH"/>
        </w:rPr>
        <w:t xml:space="preserve">un </w:t>
      </w:r>
      <w:r w:rsidR="00F03F83" w:rsidRPr="009B72C4">
        <w:rPr>
          <w:bCs/>
          <w:lang w:val="fr-CH"/>
        </w:rPr>
        <w:t xml:space="preserve">document </w:t>
      </w:r>
      <w:r w:rsidR="00F03F83">
        <w:rPr>
          <w:bCs/>
          <w:lang w:val="fr-CH"/>
        </w:rPr>
        <w:t xml:space="preserve">contenant </w:t>
      </w:r>
      <w:r w:rsidR="00F03F83" w:rsidRPr="009B72C4">
        <w:rPr>
          <w:bCs/>
          <w:lang w:val="fr-CH"/>
        </w:rPr>
        <w:t>une évaluation des incidences d</w:t>
      </w:r>
      <w:r w:rsidR="007A68A3">
        <w:rPr>
          <w:bCs/>
          <w:lang w:val="fr-CH"/>
        </w:rPr>
        <w:t>'</w:t>
      </w:r>
      <w:r w:rsidR="00F03F83" w:rsidRPr="009B72C4">
        <w:rPr>
          <w:bCs/>
          <w:lang w:val="fr-CH"/>
        </w:rPr>
        <w:t xml:space="preserve">une réduction éventuelle de la durée de la CMR sera soumis au </w:t>
      </w:r>
      <w:r w:rsidRPr="009B72C4">
        <w:rPr>
          <w:bCs/>
          <w:lang w:val="fr-CH"/>
        </w:rPr>
        <w:t>Conseil</w:t>
      </w:r>
      <w:r w:rsidR="00F03F83" w:rsidRPr="009B72C4">
        <w:rPr>
          <w:bCs/>
          <w:lang w:val="fr-CH"/>
        </w:rPr>
        <w:t>.</w:t>
      </w:r>
    </w:p>
    <w:p w:rsidR="00B34854" w:rsidRDefault="00B34854" w:rsidP="00C91310">
      <w:pPr>
        <w:pStyle w:val="Heading2"/>
        <w:rPr>
          <w:lang w:val="fr-CH" w:eastAsia="zh-CN"/>
        </w:rPr>
      </w:pPr>
      <w:r>
        <w:rPr>
          <w:lang w:val="fr-CH" w:eastAsia="zh-CN"/>
        </w:rPr>
        <w:br w:type="page"/>
      </w:r>
    </w:p>
    <w:p w:rsidR="00F03F83" w:rsidRPr="009B72C4" w:rsidRDefault="00B34854" w:rsidP="00C91310">
      <w:pPr>
        <w:pStyle w:val="Heading2"/>
        <w:rPr>
          <w:lang w:val="fr-CH" w:eastAsia="zh-CN"/>
        </w:rPr>
      </w:pPr>
      <w:r>
        <w:rPr>
          <w:lang w:val="fr-CH" w:eastAsia="zh-CN"/>
        </w:rPr>
        <w:t>5.1</w:t>
      </w:r>
      <w:r>
        <w:rPr>
          <w:lang w:val="fr-CH" w:eastAsia="zh-CN"/>
        </w:rPr>
        <w:tab/>
        <w:t>Première session de la RPC-</w:t>
      </w:r>
      <w:r w:rsidR="00F03F83" w:rsidRPr="009B72C4">
        <w:rPr>
          <w:lang w:val="fr-CH" w:eastAsia="zh-CN"/>
        </w:rPr>
        <w:t>15</w:t>
      </w:r>
      <w:r w:rsidR="00F03F83">
        <w:rPr>
          <w:lang w:val="fr-CH" w:eastAsia="zh-CN"/>
        </w:rPr>
        <w:t xml:space="preserve"> (</w:t>
      </w:r>
      <w:r>
        <w:rPr>
          <w:lang w:val="fr-CH" w:eastAsia="zh-CN"/>
        </w:rPr>
        <w:t>RPC</w:t>
      </w:r>
      <w:r w:rsidR="00F03F83" w:rsidRPr="009B72C4">
        <w:rPr>
          <w:lang w:val="fr-CH" w:eastAsia="zh-CN"/>
        </w:rPr>
        <w:t>15</w:t>
      </w:r>
      <w:r w:rsidR="00F03F83">
        <w:rPr>
          <w:lang w:val="fr-CH" w:eastAsia="zh-CN"/>
        </w:rPr>
        <w:t>-1)</w:t>
      </w:r>
    </w:p>
    <w:p w:rsidR="00F03F83" w:rsidRDefault="00F03F83" w:rsidP="00C91310">
      <w:pPr>
        <w:rPr>
          <w:lang w:val="fr-CH"/>
        </w:rPr>
      </w:pPr>
      <w:r w:rsidRPr="009B72C4">
        <w:rPr>
          <w:lang w:val="fr-CH"/>
        </w:rPr>
        <w:t>La première session de la Réunion</w:t>
      </w:r>
      <w:r>
        <w:rPr>
          <w:lang w:val="fr-CH"/>
        </w:rPr>
        <w:t xml:space="preserve"> </w:t>
      </w:r>
      <w:r w:rsidRPr="009B72C4">
        <w:rPr>
          <w:lang w:val="fr-CH"/>
        </w:rPr>
        <w:t>de préparation à la Confére</w:t>
      </w:r>
      <w:r w:rsidR="00B34854">
        <w:rPr>
          <w:lang w:val="fr-CH"/>
        </w:rPr>
        <w:t>nce en vue de la CMR-15 (RPC</w:t>
      </w:r>
      <w:r w:rsidR="000F2640">
        <w:rPr>
          <w:lang w:val="fr-CH"/>
        </w:rPr>
        <w:t>15</w:t>
      </w:r>
      <w:r w:rsidR="000F2640">
        <w:rPr>
          <w:lang w:val="fr-CH"/>
        </w:rPr>
        <w:noBreakHyphen/>
      </w:r>
      <w:r w:rsidRPr="009B72C4">
        <w:rPr>
          <w:lang w:val="fr-CH"/>
        </w:rPr>
        <w:t>1) s</w:t>
      </w:r>
      <w:r w:rsidR="007A68A3">
        <w:rPr>
          <w:lang w:val="fr-CH"/>
        </w:rPr>
        <w:t>'</w:t>
      </w:r>
      <w:r w:rsidRPr="009B72C4">
        <w:rPr>
          <w:lang w:val="fr-CH"/>
        </w:rPr>
        <w:t xml:space="preserve">est </w:t>
      </w:r>
      <w:proofErr w:type="gramStart"/>
      <w:r w:rsidRPr="009B72C4">
        <w:rPr>
          <w:lang w:val="fr-CH"/>
        </w:rPr>
        <w:t>tenu</w:t>
      </w:r>
      <w:r>
        <w:rPr>
          <w:lang w:val="fr-CH"/>
        </w:rPr>
        <w:t>e</w:t>
      </w:r>
      <w:proofErr w:type="gramEnd"/>
      <w:r w:rsidRPr="009B72C4">
        <w:rPr>
          <w:lang w:val="fr-CH"/>
        </w:rPr>
        <w:t xml:space="preserve"> le</w:t>
      </w:r>
      <w:r>
        <w:rPr>
          <w:lang w:val="fr-CH"/>
        </w:rPr>
        <w:t xml:space="preserve">s 20 et 21 février 2012 pour </w:t>
      </w:r>
      <w:r w:rsidRPr="009B72C4">
        <w:rPr>
          <w:lang w:val="fr-CH"/>
        </w:rPr>
        <w:t xml:space="preserve">organiser les </w:t>
      </w:r>
      <w:r>
        <w:rPr>
          <w:lang w:val="fr-CH"/>
        </w:rPr>
        <w:t xml:space="preserve">études </w:t>
      </w:r>
      <w:r w:rsidR="000F2640">
        <w:rPr>
          <w:lang w:val="fr-CH"/>
        </w:rPr>
        <w:t>préparatoires en vue de la CMR</w:t>
      </w:r>
      <w:r w:rsidR="000F2640">
        <w:rPr>
          <w:lang w:val="fr-CH"/>
        </w:rPr>
        <w:noBreakHyphen/>
      </w:r>
      <w:r w:rsidRPr="009B72C4">
        <w:rPr>
          <w:lang w:val="fr-CH"/>
        </w:rPr>
        <w:t>15, compte tenu de l</w:t>
      </w:r>
      <w:r w:rsidR="007A68A3">
        <w:rPr>
          <w:lang w:val="fr-CH"/>
        </w:rPr>
        <w:t>'</w:t>
      </w:r>
      <w:r w:rsidRPr="009B72C4">
        <w:rPr>
          <w:lang w:val="fr-CH"/>
        </w:rPr>
        <w:t xml:space="preserve">ordre du jour de la CMR-15 élaboré à la CMR-12 ainsi que des autres </w:t>
      </w:r>
      <w:r w:rsidR="000F2640" w:rsidRPr="009B72C4">
        <w:rPr>
          <w:lang w:val="fr-CH"/>
        </w:rPr>
        <w:t xml:space="preserve">Résolutions </w:t>
      </w:r>
      <w:r w:rsidRPr="009B72C4">
        <w:rPr>
          <w:lang w:val="fr-CH"/>
        </w:rPr>
        <w:t>dans le</w:t>
      </w:r>
      <w:r>
        <w:rPr>
          <w:lang w:val="fr-CH"/>
        </w:rPr>
        <w:t>s</w:t>
      </w:r>
      <w:r w:rsidRPr="009B72C4">
        <w:rPr>
          <w:lang w:val="fr-CH"/>
        </w:rPr>
        <w:t>quel</w:t>
      </w:r>
      <w:r>
        <w:rPr>
          <w:lang w:val="fr-CH"/>
        </w:rPr>
        <w:t>les</w:t>
      </w:r>
      <w:r w:rsidR="000F2640" w:rsidRPr="000F2640">
        <w:rPr>
          <w:lang w:val="fr-CH"/>
        </w:rPr>
        <w:t xml:space="preserve"> </w:t>
      </w:r>
      <w:r w:rsidR="000F2640" w:rsidRPr="009B72C4">
        <w:rPr>
          <w:lang w:val="fr-CH"/>
        </w:rPr>
        <w:t xml:space="preserve">la CMR-12 </w:t>
      </w:r>
      <w:r w:rsidR="000F2640">
        <w:rPr>
          <w:lang w:val="fr-CH"/>
        </w:rPr>
        <w:t>incite</w:t>
      </w:r>
      <w:r w:rsidRPr="009B72C4">
        <w:rPr>
          <w:lang w:val="fr-CH"/>
        </w:rPr>
        <w:t xml:space="preserve"> l</w:t>
      </w:r>
      <w:r w:rsidR="007A68A3">
        <w:rPr>
          <w:lang w:val="fr-CH"/>
        </w:rPr>
        <w:t>'</w:t>
      </w:r>
      <w:r w:rsidR="000A4EA0">
        <w:rPr>
          <w:lang w:val="fr-CH"/>
        </w:rPr>
        <w:t>UIT-R</w:t>
      </w:r>
      <w:r w:rsidRPr="009B72C4">
        <w:rPr>
          <w:lang w:val="fr-CH"/>
        </w:rPr>
        <w:t xml:space="preserve"> à effectuer des études </w:t>
      </w:r>
      <w:r>
        <w:rPr>
          <w:lang w:val="fr-CH"/>
        </w:rPr>
        <w:t xml:space="preserve">et le Directeur </w:t>
      </w:r>
      <w:r w:rsidR="000F2640">
        <w:rPr>
          <w:lang w:val="fr-CH"/>
        </w:rPr>
        <w:t>à</w:t>
      </w:r>
      <w:r>
        <w:rPr>
          <w:lang w:val="fr-CH"/>
        </w:rPr>
        <w:t xml:space="preserve"> soumettre un rapport à la CMR-15.</w:t>
      </w:r>
    </w:p>
    <w:p w:rsidR="00F03F83" w:rsidRPr="00DF15B3" w:rsidRDefault="00F03F83" w:rsidP="00B34854">
      <w:pPr>
        <w:keepNext/>
        <w:keepLines/>
        <w:rPr>
          <w:bCs/>
          <w:lang w:val="fr-CH"/>
        </w:rPr>
      </w:pPr>
      <w:r w:rsidRPr="009B72C4">
        <w:rPr>
          <w:bCs/>
          <w:lang w:val="fr-CH"/>
        </w:rPr>
        <w:t xml:space="preserve">La Lettre circulaire </w:t>
      </w:r>
      <w:hyperlink r:id="rId24" w:history="1">
        <w:r w:rsidR="00B34854" w:rsidRPr="00B53D14">
          <w:rPr>
            <w:rStyle w:val="Hyperlink"/>
            <w:bCs/>
          </w:rPr>
          <w:t>CA/201</w:t>
        </w:r>
      </w:hyperlink>
      <w:r>
        <w:rPr>
          <w:bCs/>
          <w:lang w:val="fr-CH"/>
        </w:rPr>
        <w:t xml:space="preserve"> en date du </w:t>
      </w:r>
      <w:r w:rsidRPr="00DF15B3">
        <w:rPr>
          <w:bCs/>
          <w:lang w:val="fr-CH"/>
        </w:rPr>
        <w:t xml:space="preserve">19 </w:t>
      </w:r>
      <w:r w:rsidR="000F2640" w:rsidRPr="00DF15B3">
        <w:rPr>
          <w:bCs/>
          <w:lang w:val="fr-CH"/>
        </w:rPr>
        <w:t>mar</w:t>
      </w:r>
      <w:r w:rsidR="000F2640">
        <w:rPr>
          <w:bCs/>
          <w:lang w:val="fr-CH"/>
        </w:rPr>
        <w:t xml:space="preserve">s </w:t>
      </w:r>
      <w:r w:rsidRPr="00DF15B3">
        <w:rPr>
          <w:bCs/>
          <w:lang w:val="fr-CH"/>
        </w:rPr>
        <w:t>2012</w:t>
      </w:r>
      <w:r>
        <w:rPr>
          <w:bCs/>
          <w:lang w:val="fr-CH"/>
        </w:rPr>
        <w:t xml:space="preserve"> </w:t>
      </w:r>
      <w:r w:rsidRPr="009B72C4">
        <w:rPr>
          <w:bCs/>
          <w:lang w:val="fr-CH"/>
        </w:rPr>
        <w:t>d</w:t>
      </w:r>
      <w:r w:rsidR="00B34854">
        <w:rPr>
          <w:bCs/>
          <w:lang w:val="fr-CH"/>
        </w:rPr>
        <w:t>onne les résultats de la RPC</w:t>
      </w:r>
      <w:r w:rsidR="000F2640">
        <w:rPr>
          <w:bCs/>
          <w:lang w:val="fr-CH"/>
        </w:rPr>
        <w:t>15</w:t>
      </w:r>
      <w:r w:rsidR="000F2640">
        <w:rPr>
          <w:bCs/>
          <w:lang w:val="fr-CH"/>
        </w:rPr>
        <w:noBreakHyphen/>
      </w:r>
      <w:r w:rsidRPr="009B72C4">
        <w:rPr>
          <w:bCs/>
          <w:lang w:val="fr-CH"/>
        </w:rPr>
        <w:t>1</w:t>
      </w:r>
      <w:r>
        <w:rPr>
          <w:bCs/>
          <w:lang w:val="fr-CH"/>
        </w:rPr>
        <w:t xml:space="preserve"> </w:t>
      </w:r>
      <w:r w:rsidRPr="009B72C4">
        <w:rPr>
          <w:bCs/>
          <w:lang w:val="fr-CH"/>
        </w:rPr>
        <w:t xml:space="preserve">et indique </w:t>
      </w:r>
      <w:r w:rsidR="000F2640">
        <w:rPr>
          <w:bCs/>
          <w:lang w:val="fr-CH"/>
        </w:rPr>
        <w:t>en particulier</w:t>
      </w:r>
      <w:r w:rsidRPr="009B72C4">
        <w:rPr>
          <w:bCs/>
          <w:lang w:val="fr-CH"/>
        </w:rPr>
        <w:t xml:space="preserve"> les groupes responsables et les groupes concernés de l</w:t>
      </w:r>
      <w:r w:rsidR="007A68A3">
        <w:rPr>
          <w:bCs/>
          <w:lang w:val="fr-CH"/>
        </w:rPr>
        <w:t>'</w:t>
      </w:r>
      <w:r w:rsidRPr="009B72C4">
        <w:rPr>
          <w:bCs/>
          <w:lang w:val="fr-CH"/>
        </w:rPr>
        <w:t>UIT-R pour chacun des points de l</w:t>
      </w:r>
      <w:r w:rsidR="007A68A3">
        <w:rPr>
          <w:bCs/>
          <w:lang w:val="fr-CH"/>
        </w:rPr>
        <w:t>'</w:t>
      </w:r>
      <w:r w:rsidRPr="009B72C4">
        <w:rPr>
          <w:bCs/>
          <w:lang w:val="fr-CH"/>
        </w:rPr>
        <w:t>ordre du jour</w:t>
      </w:r>
      <w:r w:rsidRPr="00DF15B3">
        <w:rPr>
          <w:bCs/>
          <w:lang w:val="fr-CH"/>
        </w:rPr>
        <w:t xml:space="preserve"> </w:t>
      </w:r>
      <w:r w:rsidRPr="009B72C4">
        <w:rPr>
          <w:bCs/>
          <w:lang w:val="fr-CH"/>
        </w:rPr>
        <w:t>de la CMR-15, y compris un nouveau Groupe d</w:t>
      </w:r>
      <w:r w:rsidR="007A68A3">
        <w:rPr>
          <w:bCs/>
          <w:lang w:val="fr-CH"/>
        </w:rPr>
        <w:t>'</w:t>
      </w:r>
      <w:r w:rsidRPr="009B72C4">
        <w:rPr>
          <w:bCs/>
          <w:lang w:val="fr-CH"/>
        </w:rPr>
        <w:t xml:space="preserve">action mixte (GAM </w:t>
      </w:r>
      <w:r w:rsidRPr="00DF15B3">
        <w:rPr>
          <w:bCs/>
          <w:lang w:val="fr-CH"/>
        </w:rPr>
        <w:t>4-5-6-7</w:t>
      </w:r>
      <w:r w:rsidRPr="009B72C4">
        <w:rPr>
          <w:bCs/>
          <w:lang w:val="fr-CH"/>
        </w:rPr>
        <w:t xml:space="preserve">) chargé </w:t>
      </w:r>
      <w:r w:rsidR="000F2640">
        <w:rPr>
          <w:bCs/>
          <w:lang w:val="fr-CH"/>
        </w:rPr>
        <w:t xml:space="preserve">de l'examen </w:t>
      </w:r>
      <w:r w:rsidRPr="009B72C4">
        <w:rPr>
          <w:bCs/>
          <w:lang w:val="fr-CH"/>
        </w:rPr>
        <w:t>d</w:t>
      </w:r>
      <w:r>
        <w:rPr>
          <w:bCs/>
          <w:lang w:val="fr-CH"/>
        </w:rPr>
        <w:t xml:space="preserve">es </w:t>
      </w:r>
      <w:r w:rsidRPr="009B72C4">
        <w:rPr>
          <w:bCs/>
          <w:lang w:val="fr-CH"/>
        </w:rPr>
        <w:t>point</w:t>
      </w:r>
      <w:r>
        <w:rPr>
          <w:bCs/>
          <w:lang w:val="fr-CH"/>
        </w:rPr>
        <w:t>s</w:t>
      </w:r>
      <w:r w:rsidRPr="009B72C4">
        <w:rPr>
          <w:bCs/>
          <w:lang w:val="fr-CH"/>
        </w:rPr>
        <w:t xml:space="preserve"> </w:t>
      </w:r>
      <w:r w:rsidRPr="00DF15B3">
        <w:rPr>
          <w:bCs/>
          <w:lang w:val="fr-CH"/>
        </w:rPr>
        <w:t xml:space="preserve">1.1 </w:t>
      </w:r>
      <w:r>
        <w:rPr>
          <w:bCs/>
          <w:lang w:val="fr-CH"/>
        </w:rPr>
        <w:t xml:space="preserve">et </w:t>
      </w:r>
      <w:r w:rsidRPr="00DF15B3">
        <w:rPr>
          <w:bCs/>
          <w:lang w:val="fr-CH"/>
        </w:rPr>
        <w:t xml:space="preserve">1.2 </w:t>
      </w:r>
      <w:r w:rsidRPr="009B72C4">
        <w:rPr>
          <w:bCs/>
          <w:lang w:val="fr-CH"/>
        </w:rPr>
        <w:t>de l</w:t>
      </w:r>
      <w:r w:rsidR="007A68A3">
        <w:rPr>
          <w:bCs/>
          <w:lang w:val="fr-CH"/>
        </w:rPr>
        <w:t>'</w:t>
      </w:r>
      <w:r w:rsidRPr="009B72C4">
        <w:rPr>
          <w:bCs/>
          <w:lang w:val="fr-CH"/>
        </w:rPr>
        <w:t>ordre du jour</w:t>
      </w:r>
      <w:r w:rsidR="000F2640">
        <w:rPr>
          <w:bCs/>
          <w:lang w:val="fr-CH"/>
        </w:rPr>
        <w:t>,</w:t>
      </w:r>
      <w:r w:rsidRPr="009B72C4">
        <w:rPr>
          <w:bCs/>
          <w:lang w:val="fr-CH"/>
        </w:rPr>
        <w:t xml:space="preserve"> qui a été créé par la RPC1</w:t>
      </w:r>
      <w:r>
        <w:rPr>
          <w:bCs/>
          <w:lang w:val="fr-CH"/>
        </w:rPr>
        <w:t>5</w:t>
      </w:r>
      <w:r w:rsidRPr="009B72C4">
        <w:rPr>
          <w:bCs/>
          <w:lang w:val="fr-CH"/>
        </w:rPr>
        <w:t>-1.</w:t>
      </w:r>
      <w:r>
        <w:rPr>
          <w:bCs/>
          <w:lang w:val="fr-CH"/>
        </w:rPr>
        <w:t xml:space="preserve"> Il a été demandé à tous les groupes responsables de se conformer aux lignes directrices applicables à l</w:t>
      </w:r>
      <w:r w:rsidR="007A68A3">
        <w:rPr>
          <w:bCs/>
          <w:lang w:val="fr-CH"/>
        </w:rPr>
        <w:t>'</w:t>
      </w:r>
      <w:r>
        <w:rPr>
          <w:bCs/>
          <w:lang w:val="fr-CH"/>
        </w:rPr>
        <w:t>élaboration des projets de texte de la RPC, telles qu</w:t>
      </w:r>
      <w:r w:rsidR="007A68A3">
        <w:rPr>
          <w:bCs/>
          <w:lang w:val="fr-CH"/>
        </w:rPr>
        <w:t>'</w:t>
      </w:r>
      <w:r>
        <w:rPr>
          <w:bCs/>
          <w:lang w:val="fr-CH"/>
        </w:rPr>
        <w:t>elles figurent dans l</w:t>
      </w:r>
      <w:r w:rsidR="007A68A3">
        <w:rPr>
          <w:bCs/>
          <w:lang w:val="fr-CH"/>
        </w:rPr>
        <w:t>'</w:t>
      </w:r>
      <w:r w:rsidR="000F2640">
        <w:rPr>
          <w:bCs/>
          <w:lang w:val="fr-CH"/>
        </w:rPr>
        <w:t>A</w:t>
      </w:r>
      <w:r>
        <w:rPr>
          <w:bCs/>
          <w:lang w:val="fr-CH"/>
        </w:rPr>
        <w:t>nnexe 2 de la Résolution</w:t>
      </w:r>
      <w:r w:rsidR="00454931">
        <w:rPr>
          <w:bCs/>
          <w:lang w:val="fr-CH"/>
        </w:rPr>
        <w:t> </w:t>
      </w:r>
      <w:r>
        <w:rPr>
          <w:bCs/>
          <w:lang w:val="fr-CH"/>
        </w:rPr>
        <w:t>UIT</w:t>
      </w:r>
      <w:r w:rsidRPr="00DF15B3">
        <w:rPr>
          <w:bCs/>
          <w:lang w:val="fr-CH"/>
        </w:rPr>
        <w:t>-R 2-6.</w:t>
      </w:r>
    </w:p>
    <w:p w:rsidR="00F03F83" w:rsidRDefault="00F03F83" w:rsidP="00C91310">
      <w:pPr>
        <w:rPr>
          <w:lang w:val="fr-CH"/>
        </w:rPr>
      </w:pPr>
      <w:r w:rsidRPr="009B72C4">
        <w:rPr>
          <w:lang w:val="fr-CH"/>
        </w:rPr>
        <w:t xml:space="preserve">Cette même Lettre circulaire donne également des </w:t>
      </w:r>
      <w:r w:rsidR="000F2640">
        <w:rPr>
          <w:lang w:val="fr-CH"/>
        </w:rPr>
        <w:t>renseignements</w:t>
      </w:r>
      <w:r w:rsidRPr="009B72C4">
        <w:rPr>
          <w:lang w:val="fr-CH"/>
        </w:rPr>
        <w:t xml:space="preserve"> sur la structure et </w:t>
      </w:r>
      <w:r>
        <w:rPr>
          <w:lang w:val="fr-CH"/>
        </w:rPr>
        <w:t xml:space="preserve">les grandes lignes </w:t>
      </w:r>
      <w:r w:rsidRPr="009B72C4">
        <w:rPr>
          <w:lang w:val="fr-CH"/>
        </w:rPr>
        <w:t>du projet de Rapport de la RPC à la CMR-1</w:t>
      </w:r>
      <w:r>
        <w:rPr>
          <w:lang w:val="fr-CH"/>
        </w:rPr>
        <w:t xml:space="preserve">5, qui comprend six chapitres, </w:t>
      </w:r>
      <w:r w:rsidRPr="009B72C4">
        <w:rPr>
          <w:lang w:val="fr-CH"/>
        </w:rPr>
        <w:t>ainsi que sur les</w:t>
      </w:r>
      <w:r>
        <w:rPr>
          <w:lang w:val="fr-CH"/>
        </w:rPr>
        <w:t xml:space="preserve"> </w:t>
      </w:r>
      <w:r w:rsidR="000F2640">
        <w:rPr>
          <w:lang w:val="fr-CH"/>
        </w:rPr>
        <w:t>huit</w:t>
      </w:r>
      <w:r w:rsidR="00454931">
        <w:rPr>
          <w:lang w:val="fr-CH"/>
        </w:rPr>
        <w:t xml:space="preserve"> </w:t>
      </w:r>
      <w:r w:rsidR="000A4EA0">
        <w:rPr>
          <w:lang w:val="fr-CH"/>
        </w:rPr>
        <w:t>R</w:t>
      </w:r>
      <w:r w:rsidRPr="009B72C4">
        <w:rPr>
          <w:lang w:val="fr-CH"/>
        </w:rPr>
        <w:t xml:space="preserve">apporteurs désignés pour </w:t>
      </w:r>
      <w:r>
        <w:rPr>
          <w:lang w:val="fr-CH"/>
        </w:rPr>
        <w:t>ces</w:t>
      </w:r>
      <w:r w:rsidRPr="009B72C4">
        <w:rPr>
          <w:lang w:val="fr-CH"/>
        </w:rPr>
        <w:t xml:space="preserve"> chapitres</w:t>
      </w:r>
      <w:r w:rsidR="000F2640">
        <w:rPr>
          <w:lang w:val="fr-CH"/>
        </w:rPr>
        <w:t>, a</w:t>
      </w:r>
      <w:r>
        <w:rPr>
          <w:lang w:val="fr-CH"/>
        </w:rPr>
        <w:t>fin d</w:t>
      </w:r>
      <w:r w:rsidR="007A68A3">
        <w:rPr>
          <w:lang w:val="fr-CH"/>
        </w:rPr>
        <w:t>'</w:t>
      </w:r>
      <w:r>
        <w:rPr>
          <w:lang w:val="fr-CH"/>
        </w:rPr>
        <w:t>aider le Président à gérer le flux de</w:t>
      </w:r>
      <w:r w:rsidR="000F2640">
        <w:rPr>
          <w:lang w:val="fr-CH"/>
        </w:rPr>
        <w:t>s</w:t>
      </w:r>
      <w:r>
        <w:rPr>
          <w:lang w:val="fr-CH"/>
        </w:rPr>
        <w:t xml:space="preserve"> contributions et l</w:t>
      </w:r>
      <w:r w:rsidR="007A68A3">
        <w:rPr>
          <w:lang w:val="fr-CH"/>
        </w:rPr>
        <w:t>'</w:t>
      </w:r>
      <w:r>
        <w:rPr>
          <w:lang w:val="fr-CH"/>
        </w:rPr>
        <w:t>é</w:t>
      </w:r>
      <w:r w:rsidR="000F2640">
        <w:rPr>
          <w:lang w:val="fr-CH"/>
        </w:rPr>
        <w:t>laboration des projets de texte</w:t>
      </w:r>
      <w:r>
        <w:rPr>
          <w:lang w:val="fr-CH"/>
        </w:rPr>
        <w:t xml:space="preserve"> de la RPC</w:t>
      </w:r>
      <w:r w:rsidR="00454931">
        <w:rPr>
          <w:lang w:val="fr-CH"/>
        </w:rPr>
        <w:t>.</w:t>
      </w:r>
    </w:p>
    <w:p w:rsidR="00F03F83" w:rsidRPr="00AE5F2D" w:rsidRDefault="00F03F83" w:rsidP="00C91310">
      <w:pPr>
        <w:pStyle w:val="Heading1"/>
      </w:pPr>
      <w:r>
        <w:t>6</w:t>
      </w:r>
      <w:r w:rsidRPr="00AE5F2D">
        <w:tab/>
        <w:t>Planification opérationnelle</w:t>
      </w:r>
    </w:p>
    <w:p w:rsidR="00F03F83" w:rsidRDefault="00F03F83" w:rsidP="00C91310">
      <w:r w:rsidRPr="00AE5F2D">
        <w:t>Le projet de Plan opérationnel pour la période 201</w:t>
      </w:r>
      <w:r>
        <w:t>3</w:t>
      </w:r>
      <w:r w:rsidRPr="00AE5F2D">
        <w:t>-201</w:t>
      </w:r>
      <w:r>
        <w:t>6</w:t>
      </w:r>
      <w:r w:rsidRPr="00AE5F2D">
        <w:t xml:space="preserve"> est disponible à l</w:t>
      </w:r>
      <w:r w:rsidR="007A68A3">
        <w:t>'</w:t>
      </w:r>
      <w:r w:rsidRPr="00AE5F2D">
        <w:t xml:space="preserve">adresse: </w:t>
      </w:r>
      <w:hyperlink r:id="rId25" w:tgtFrame="_blank" w:history="1">
        <w:r w:rsidRPr="00AE5F2D">
          <w:rPr>
            <w:rStyle w:val="Hyperlink"/>
          </w:rPr>
          <w:t>http://www.itu.int/ITU-R/go/operational-plans/</w:t>
        </w:r>
      </w:hyperlink>
      <w:r w:rsidRPr="00AE5F2D">
        <w:t xml:space="preserve"> </w:t>
      </w:r>
      <w:r w:rsidR="000F2640">
        <w:t>pour examen par le</w:t>
      </w:r>
      <w:r w:rsidRPr="00AE5F2D">
        <w:t xml:space="preserve"> GCR. Ce plan est structuré en fonction des résultats </w:t>
      </w:r>
      <w:r w:rsidRPr="00AE5F2D">
        <w:rPr>
          <w:lang w:val="fr-CH"/>
        </w:rPr>
        <w:t>afin que la coordination avec le budget et les autres outils financiers de l</w:t>
      </w:r>
      <w:r w:rsidR="007A68A3">
        <w:rPr>
          <w:lang w:val="fr-CH"/>
        </w:rPr>
        <w:t>'</w:t>
      </w:r>
      <w:r w:rsidRPr="00AE5F2D">
        <w:rPr>
          <w:lang w:val="fr-CH"/>
        </w:rPr>
        <w:t xml:space="preserve">Union soit totale. </w:t>
      </w:r>
      <w:r>
        <w:rPr>
          <w:lang w:val="fr-CH"/>
        </w:rPr>
        <w:t xml:space="preserve">Il </w:t>
      </w:r>
      <w:r w:rsidRPr="00AE5F2D">
        <w:rPr>
          <w:lang w:val="fr-CH"/>
        </w:rPr>
        <w:t>couvre également les aspects stratégiques des activités de l</w:t>
      </w:r>
      <w:r w:rsidR="007A68A3">
        <w:rPr>
          <w:lang w:val="fr-CH"/>
        </w:rPr>
        <w:t>'</w:t>
      </w:r>
      <w:r w:rsidRPr="00AE5F2D">
        <w:rPr>
          <w:lang w:val="fr-CH"/>
        </w:rPr>
        <w:t xml:space="preserve">UIT-R et définit la coordination </w:t>
      </w:r>
      <w:r w:rsidR="000F2640">
        <w:rPr>
          <w:lang w:val="fr-CH"/>
        </w:rPr>
        <w:t xml:space="preserve">appropriée à assurer </w:t>
      </w:r>
      <w:r w:rsidRPr="00AE5F2D">
        <w:rPr>
          <w:lang w:val="fr-CH"/>
        </w:rPr>
        <w:t>avec le Plan stratégique de l</w:t>
      </w:r>
      <w:r w:rsidR="007A68A3">
        <w:rPr>
          <w:lang w:val="fr-CH"/>
        </w:rPr>
        <w:t>'</w:t>
      </w:r>
      <w:r w:rsidRPr="00AE5F2D">
        <w:rPr>
          <w:lang w:val="fr-CH"/>
        </w:rPr>
        <w:t>UIT.</w:t>
      </w:r>
      <w:r w:rsidRPr="00AE5F2D">
        <w:t xml:space="preserve"> </w:t>
      </w:r>
    </w:p>
    <w:p w:rsidR="00F03F83" w:rsidRPr="00AE5F2D" w:rsidRDefault="00F03F83" w:rsidP="00C91310">
      <w:r w:rsidRPr="00AE5F2D">
        <w:t>Le rapport d</w:t>
      </w:r>
      <w:r w:rsidR="007A68A3">
        <w:t>'</w:t>
      </w:r>
      <w:r w:rsidRPr="00AE5F2D">
        <w:t>activité pour 201</w:t>
      </w:r>
      <w:r>
        <w:t>1</w:t>
      </w:r>
      <w:r w:rsidRPr="00AE5F2D">
        <w:t xml:space="preserve"> est disponible à l</w:t>
      </w:r>
      <w:r w:rsidR="007A68A3">
        <w:t>'</w:t>
      </w:r>
      <w:r w:rsidRPr="00AE5F2D">
        <w:t xml:space="preserve">adresse: </w:t>
      </w:r>
      <w:hyperlink r:id="rId26" w:history="1">
        <w:r w:rsidRPr="00AE5F2D">
          <w:rPr>
            <w:rStyle w:val="Hyperlink"/>
          </w:rPr>
          <w:t>http://www.itu.int/ITU-R/go/performance-reports/</w:t>
        </w:r>
      </w:hyperlink>
      <w:r w:rsidRPr="00AE5F2D">
        <w:t xml:space="preserve">. Il a pour but de donner des informations pertinentes concernant la mise en </w:t>
      </w:r>
      <w:proofErr w:type="spellStart"/>
      <w:r w:rsidRPr="00AE5F2D">
        <w:t>oeuvre</w:t>
      </w:r>
      <w:proofErr w:type="spellEnd"/>
      <w:r w:rsidRPr="00AE5F2D">
        <w:t xml:space="preserve"> des produits et activités prévus dans le Plan opérationnel de l</w:t>
      </w:r>
      <w:r w:rsidR="007A68A3">
        <w:t>'</w:t>
      </w:r>
      <w:r w:rsidRPr="00AE5F2D">
        <w:t>UIT</w:t>
      </w:r>
      <w:r w:rsidRPr="00AE5F2D">
        <w:noBreakHyphen/>
        <w:t>R pour 201</w:t>
      </w:r>
      <w:r>
        <w:t>1</w:t>
      </w:r>
      <w:r w:rsidRPr="00AE5F2D">
        <w:t>. Le rapport d</w:t>
      </w:r>
      <w:r w:rsidR="007A68A3">
        <w:t>'</w:t>
      </w:r>
      <w:r w:rsidRPr="00AE5F2D">
        <w:t xml:space="preserve">activité </w:t>
      </w:r>
      <w:r>
        <w:t xml:space="preserve">donne </w:t>
      </w:r>
      <w:r w:rsidRPr="00AE5F2D">
        <w:t xml:space="preserve">une comparaison entre les résultats obtenus et les résultats escomptés, </w:t>
      </w:r>
      <w:r>
        <w:t xml:space="preserve">en fournissant </w:t>
      </w:r>
      <w:r w:rsidRPr="00AE5F2D">
        <w:t>les indicateurs fondamentaux de performance correspondants. Ceux-ci sont indiqués pour chaque objectif principal et dans chaque produit pertinent dans le document.</w:t>
      </w:r>
    </w:p>
    <w:p w:rsidR="00F03F83" w:rsidRPr="004C3FDB" w:rsidRDefault="00F03F83" w:rsidP="00C91310">
      <w:pPr>
        <w:pStyle w:val="Heading1"/>
        <w:rPr>
          <w:lang w:val="fr-CH" w:eastAsia="zh-CN"/>
        </w:rPr>
      </w:pPr>
      <w:r w:rsidRPr="004C3FDB">
        <w:rPr>
          <w:lang w:val="fr-CH" w:eastAsia="zh-CN"/>
        </w:rPr>
        <w:t>7</w:t>
      </w:r>
      <w:r w:rsidRPr="004C3FDB">
        <w:rPr>
          <w:lang w:val="fr-CH" w:eastAsia="zh-CN"/>
        </w:rPr>
        <w:tab/>
        <w:t>Information</w:t>
      </w:r>
      <w:r>
        <w:rPr>
          <w:lang w:val="fr-CH" w:eastAsia="zh-CN"/>
        </w:rPr>
        <w:t xml:space="preserve"> </w:t>
      </w:r>
      <w:r w:rsidRPr="004C3FDB">
        <w:rPr>
          <w:lang w:val="fr-CH" w:eastAsia="zh-CN"/>
        </w:rPr>
        <w:t>et assistance</w:t>
      </w:r>
      <w:r>
        <w:rPr>
          <w:lang w:val="fr-CH" w:eastAsia="zh-CN"/>
        </w:rPr>
        <w:t xml:space="preserve"> </w:t>
      </w:r>
      <w:r w:rsidRPr="004C3FDB">
        <w:rPr>
          <w:lang w:val="fr-CH" w:eastAsia="zh-CN"/>
        </w:rPr>
        <w:t>aux membres</w:t>
      </w:r>
    </w:p>
    <w:p w:rsidR="00F03F83" w:rsidRDefault="000F2640" w:rsidP="00C91310">
      <w:pPr>
        <w:rPr>
          <w:rFonts w:cs="Calibri"/>
          <w:lang w:val="fr-CH"/>
        </w:rPr>
      </w:pPr>
      <w:r>
        <w:rPr>
          <w:rFonts w:cs="Calibri"/>
          <w:lang w:val="fr-CH"/>
        </w:rPr>
        <w:t>A</w:t>
      </w:r>
      <w:r w:rsidR="00F03F83" w:rsidRPr="004C3FDB">
        <w:rPr>
          <w:rFonts w:cs="Calibri"/>
          <w:lang w:val="fr-CH"/>
        </w:rPr>
        <w:t>fin d</w:t>
      </w:r>
      <w:r w:rsidR="007A68A3">
        <w:rPr>
          <w:rFonts w:cs="Calibri"/>
          <w:lang w:val="fr-CH"/>
        </w:rPr>
        <w:t>'</w:t>
      </w:r>
      <w:r w:rsidR="00F03F83" w:rsidRPr="004C3FDB">
        <w:rPr>
          <w:rFonts w:cs="Calibri"/>
          <w:lang w:val="fr-CH"/>
        </w:rPr>
        <w:t>informer les membres de l</w:t>
      </w:r>
      <w:r w:rsidR="007A68A3">
        <w:rPr>
          <w:rFonts w:cs="Calibri"/>
          <w:lang w:val="fr-CH"/>
        </w:rPr>
        <w:t>'</w:t>
      </w:r>
      <w:r w:rsidR="00F03F83" w:rsidRPr="004C3FDB">
        <w:rPr>
          <w:rFonts w:cs="Calibri"/>
          <w:lang w:val="fr-CH"/>
        </w:rPr>
        <w:t>UIT</w:t>
      </w:r>
      <w:r w:rsidR="00F03F83">
        <w:rPr>
          <w:rFonts w:cs="Calibri"/>
          <w:lang w:val="fr-CH"/>
        </w:rPr>
        <w:t xml:space="preserve"> et de leur prêter </w:t>
      </w:r>
      <w:r>
        <w:rPr>
          <w:rFonts w:cs="Calibri"/>
          <w:lang w:val="fr-CH"/>
        </w:rPr>
        <w:t>une assistance</w:t>
      </w:r>
      <w:r w:rsidR="00F03F83" w:rsidRPr="004C3FDB">
        <w:rPr>
          <w:rFonts w:cs="Calibri"/>
          <w:lang w:val="fr-CH"/>
        </w:rPr>
        <w:t xml:space="preserve">, </w:t>
      </w:r>
      <w:r w:rsidR="00454931">
        <w:rPr>
          <w:rFonts w:cs="Calibri"/>
          <w:lang w:val="fr-CH"/>
        </w:rPr>
        <w:t>en particulier dans les pays en </w:t>
      </w:r>
      <w:r w:rsidR="00F03F83" w:rsidRPr="004C3FDB">
        <w:rPr>
          <w:rFonts w:cs="Calibri"/>
          <w:lang w:val="fr-CH"/>
        </w:rPr>
        <w:t xml:space="preserve">développement, </w:t>
      </w:r>
      <w:r w:rsidR="00F03F83">
        <w:rPr>
          <w:rFonts w:cs="Calibri"/>
          <w:lang w:val="fr-CH"/>
        </w:rPr>
        <w:t>pour l</w:t>
      </w:r>
      <w:r w:rsidR="007A68A3">
        <w:rPr>
          <w:rFonts w:cs="Calibri"/>
          <w:lang w:val="fr-CH"/>
        </w:rPr>
        <w:t>'</w:t>
      </w:r>
      <w:r w:rsidR="00F03F83">
        <w:rPr>
          <w:rFonts w:cs="Calibri"/>
          <w:lang w:val="fr-CH"/>
        </w:rPr>
        <w:t xml:space="preserve">examen des sujets se rapportant à des </w:t>
      </w:r>
      <w:r w:rsidR="00F03F83" w:rsidRPr="004C3FDB">
        <w:rPr>
          <w:rFonts w:cs="Calibri"/>
          <w:lang w:val="fr-CH"/>
        </w:rPr>
        <w:t>questions de radiocommunication, le BR organise</w:t>
      </w:r>
      <w:r w:rsidR="00F03F83">
        <w:rPr>
          <w:rFonts w:cs="Calibri"/>
          <w:lang w:val="fr-CH"/>
        </w:rPr>
        <w:t xml:space="preserve"> </w:t>
      </w:r>
      <w:r w:rsidR="00F03F83" w:rsidRPr="004C3FDB">
        <w:rPr>
          <w:rFonts w:cs="Calibri"/>
          <w:lang w:val="fr-CH"/>
        </w:rPr>
        <w:t>un certain nombre d</w:t>
      </w:r>
      <w:r w:rsidR="007A68A3">
        <w:rPr>
          <w:rFonts w:cs="Calibri"/>
          <w:lang w:val="fr-CH"/>
        </w:rPr>
        <w:t>'</w:t>
      </w:r>
      <w:r w:rsidR="00F03F83" w:rsidRPr="004C3FDB">
        <w:rPr>
          <w:rFonts w:cs="Calibri"/>
          <w:lang w:val="fr-CH"/>
        </w:rPr>
        <w:t>ateliers, de séminaires</w:t>
      </w:r>
      <w:r w:rsidR="00F03F83">
        <w:rPr>
          <w:rFonts w:cs="Calibri"/>
          <w:lang w:val="fr-CH"/>
        </w:rPr>
        <w:t xml:space="preserve"> et de réunion</w:t>
      </w:r>
      <w:r w:rsidR="00D6220E">
        <w:rPr>
          <w:rFonts w:cs="Calibri"/>
          <w:lang w:val="fr-CH"/>
        </w:rPr>
        <w:t>s sur le spectre des fréquences ou</w:t>
      </w:r>
      <w:r w:rsidR="00F03F83">
        <w:rPr>
          <w:rFonts w:cs="Calibri"/>
          <w:lang w:val="fr-CH"/>
        </w:rPr>
        <w:t xml:space="preserve"> y participe, et prend des initiatives en matière de renforcement des capacités. </w:t>
      </w:r>
      <w:r w:rsidR="00F03F83" w:rsidRPr="004C3FDB">
        <w:rPr>
          <w:rFonts w:cs="Calibri"/>
          <w:lang w:val="fr-CH"/>
        </w:rPr>
        <w:t xml:space="preserve">Il mène à bien </w:t>
      </w:r>
      <w:r w:rsidR="00F03F83">
        <w:rPr>
          <w:rFonts w:cs="Calibri"/>
          <w:lang w:val="fr-CH"/>
        </w:rPr>
        <w:t>c</w:t>
      </w:r>
      <w:r w:rsidR="00F03F83" w:rsidRPr="004C3FDB">
        <w:rPr>
          <w:rFonts w:cs="Calibri"/>
          <w:lang w:val="fr-CH"/>
        </w:rPr>
        <w:t>es activités en collaboration étroite avec le BDT, les bureaux régionaux et les bureaux de zone de l</w:t>
      </w:r>
      <w:r w:rsidR="007A68A3">
        <w:rPr>
          <w:rFonts w:cs="Calibri"/>
          <w:lang w:val="fr-CH"/>
        </w:rPr>
        <w:t>'</w:t>
      </w:r>
      <w:r w:rsidR="00F03F83" w:rsidRPr="004C3FDB">
        <w:rPr>
          <w:rFonts w:cs="Calibri"/>
          <w:lang w:val="fr-CH"/>
        </w:rPr>
        <w:t xml:space="preserve">UIT et les organisations internationales ou </w:t>
      </w:r>
      <w:r w:rsidR="00D6220E">
        <w:rPr>
          <w:rFonts w:cs="Calibri"/>
          <w:lang w:val="fr-CH"/>
        </w:rPr>
        <w:t xml:space="preserve">les </w:t>
      </w:r>
      <w:r w:rsidR="00F03F83" w:rsidRPr="004C3FDB">
        <w:rPr>
          <w:rFonts w:cs="Calibri"/>
          <w:lang w:val="fr-CH"/>
        </w:rPr>
        <w:t>autorités nationales concernées.</w:t>
      </w:r>
      <w:r w:rsidR="00F03F83">
        <w:rPr>
          <w:rFonts w:cs="Calibri"/>
          <w:lang w:val="fr-CH"/>
        </w:rPr>
        <w:t xml:space="preserve"> Ces activités contribuent directement au renforcement des capacités et à l</w:t>
      </w:r>
      <w:r w:rsidR="007A68A3">
        <w:rPr>
          <w:rFonts w:cs="Calibri"/>
          <w:lang w:val="fr-CH"/>
        </w:rPr>
        <w:t>'</w:t>
      </w:r>
      <w:r w:rsidR="00F03F83">
        <w:rPr>
          <w:rFonts w:cs="Calibri"/>
          <w:lang w:val="fr-CH"/>
        </w:rPr>
        <w:t>échange de données d</w:t>
      </w:r>
      <w:r w:rsidR="007A68A3">
        <w:rPr>
          <w:rFonts w:cs="Calibri"/>
          <w:lang w:val="fr-CH"/>
        </w:rPr>
        <w:t>'</w:t>
      </w:r>
      <w:r w:rsidR="00F03F83">
        <w:rPr>
          <w:rFonts w:cs="Calibri"/>
          <w:lang w:val="fr-CH"/>
        </w:rPr>
        <w:t>expérience entre les membres de l</w:t>
      </w:r>
      <w:r w:rsidR="007A68A3">
        <w:rPr>
          <w:rFonts w:cs="Calibri"/>
          <w:lang w:val="fr-CH"/>
        </w:rPr>
        <w:t>'</w:t>
      </w:r>
      <w:r w:rsidR="00F03F83">
        <w:rPr>
          <w:rFonts w:cs="Calibri"/>
          <w:lang w:val="fr-CH"/>
        </w:rPr>
        <w:t>UIT sur des questions relatives au spectre. Le BR s</w:t>
      </w:r>
      <w:r w:rsidR="007A68A3">
        <w:rPr>
          <w:rFonts w:cs="Calibri"/>
          <w:lang w:val="fr-CH"/>
        </w:rPr>
        <w:t>'</w:t>
      </w:r>
      <w:r w:rsidR="00F03F83">
        <w:rPr>
          <w:rFonts w:cs="Calibri"/>
          <w:lang w:val="fr-CH"/>
        </w:rPr>
        <w:t xml:space="preserve">est tout particulièrement employé à apporter une assistance aux membres et à encourager la coopération pour </w:t>
      </w:r>
      <w:r w:rsidR="00D6220E">
        <w:rPr>
          <w:rFonts w:cs="Calibri"/>
          <w:lang w:val="fr-CH"/>
        </w:rPr>
        <w:t>le</w:t>
      </w:r>
      <w:r w:rsidR="00F03F83">
        <w:rPr>
          <w:rFonts w:cs="Calibri"/>
          <w:lang w:val="fr-CH"/>
        </w:rPr>
        <w:t xml:space="preserve"> passage à la radiodiffusion télévisuelle numérique de Terre et à la répartition du dividende numérique.</w:t>
      </w:r>
    </w:p>
    <w:p w:rsidR="00F03F83" w:rsidRPr="007D7A0A" w:rsidRDefault="00F03F83" w:rsidP="00C91310">
      <w:pPr>
        <w:rPr>
          <w:bCs/>
          <w:lang w:val="fr-CH" w:eastAsia="zh-CN"/>
        </w:rPr>
      </w:pPr>
      <w:r w:rsidRPr="007D7A0A">
        <w:rPr>
          <w:bCs/>
          <w:lang w:val="fr-CH" w:eastAsia="zh-CN"/>
        </w:rPr>
        <w:t xml:space="preserve">On trouvera dans les Tableaux suivants la liste des manifestations auxquelles le BR </w:t>
      </w:r>
      <w:r>
        <w:rPr>
          <w:bCs/>
          <w:lang w:val="fr-CH" w:eastAsia="zh-CN"/>
        </w:rPr>
        <w:t xml:space="preserve">a </w:t>
      </w:r>
      <w:r w:rsidRPr="007D7A0A">
        <w:rPr>
          <w:bCs/>
          <w:lang w:val="fr-CH" w:eastAsia="zh-CN"/>
        </w:rPr>
        <w:t>particip</w:t>
      </w:r>
      <w:r>
        <w:rPr>
          <w:bCs/>
          <w:lang w:val="fr-CH" w:eastAsia="zh-CN"/>
        </w:rPr>
        <w:t>é</w:t>
      </w:r>
      <w:r w:rsidRPr="007D7A0A">
        <w:rPr>
          <w:bCs/>
          <w:lang w:val="fr-CH" w:eastAsia="zh-CN"/>
        </w:rPr>
        <w:t xml:space="preserve"> ou envisage de participer en 2011 et en 2012.</w:t>
      </w:r>
    </w:p>
    <w:p w:rsidR="00044378" w:rsidRDefault="000443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1418"/>
        <w:gridCol w:w="1559"/>
        <w:gridCol w:w="1701"/>
      </w:tblGrid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</w:p>
        </w:tc>
      </w:tr>
      <w:tr w:rsidR="00F03F83" w:rsidRPr="00B34854" w:rsidTr="006053E1"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B34854" w:rsidRDefault="00F453E4" w:rsidP="00B34854">
            <w:pPr>
              <w:pStyle w:val="Tablehead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Titr</w:t>
            </w:r>
            <w:r w:rsidR="00F03F83" w:rsidRPr="00B34854">
              <w:rPr>
                <w:sz w:val="20"/>
                <w:lang w:val="en-US" w:eastAsia="zh-CN"/>
              </w:rPr>
              <w:t>e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Début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Fin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head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Lieu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D9D9D9"/>
            <w:noWrap/>
            <w:vAlign w:val="bottom"/>
            <w:hideMark/>
          </w:tcPr>
          <w:p w:rsidR="00F03F83" w:rsidRPr="00B34854" w:rsidRDefault="00D6220E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B34854">
              <w:rPr>
                <w:b/>
                <w:bCs/>
                <w:sz w:val="20"/>
                <w:lang w:val="fr-CH" w:eastAsia="zh-CN"/>
              </w:rPr>
              <w:t>INSTITUTIONS SPÉCIALISÉES DE L'ONU</w:t>
            </w:r>
          </w:p>
        </w:tc>
        <w:tc>
          <w:tcPr>
            <w:tcW w:w="1418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</w:p>
        </w:tc>
        <w:tc>
          <w:tcPr>
            <w:tcW w:w="1701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Groupe directeur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OMM pour la coordination d</w:t>
            </w:r>
            <w:r w:rsidR="00D6220E" w:rsidRPr="00B34854">
              <w:rPr>
                <w:sz w:val="20"/>
                <w:lang w:val="fr-CH" w:eastAsia="zh-CN"/>
              </w:rPr>
              <w:t>es fréquences radioélectriques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48ème session du </w:t>
            </w:r>
            <w:r w:rsidR="00F03F83" w:rsidRPr="00B34854">
              <w:rPr>
                <w:sz w:val="20"/>
                <w:lang w:val="fr-CH" w:eastAsia="zh-CN"/>
              </w:rPr>
              <w:t>Sous-Comité scientifique et technique du COPUOS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15ème session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OMI-COMSAR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Londres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31ème </w:t>
            </w:r>
            <w:r w:rsidR="00F453E4" w:rsidRPr="00B34854">
              <w:rPr>
                <w:sz w:val="20"/>
                <w:lang w:val="fr-CH" w:eastAsia="zh-CN"/>
              </w:rPr>
              <w:t xml:space="preserve">session </w:t>
            </w:r>
            <w:r w:rsidRPr="00B34854">
              <w:rPr>
                <w:sz w:val="20"/>
                <w:lang w:val="fr-CH" w:eastAsia="zh-CN"/>
              </w:rPr>
              <w:t xml:space="preserve">des </w:t>
            </w:r>
            <w:r w:rsidR="00F453E4" w:rsidRPr="00B34854">
              <w:rPr>
                <w:sz w:val="20"/>
                <w:lang w:val="fr-CH" w:eastAsia="zh-CN"/>
              </w:rPr>
              <w:t>réunion</w:t>
            </w:r>
            <w:r w:rsidR="00B34854" w:rsidRPr="00B34854">
              <w:rPr>
                <w:sz w:val="20"/>
                <w:lang w:val="fr-CH" w:eastAsia="zh-CN"/>
              </w:rPr>
              <w:t>s</w:t>
            </w:r>
            <w:r w:rsidR="00F453E4" w:rsidRPr="00B34854">
              <w:rPr>
                <w:sz w:val="20"/>
                <w:lang w:val="fr-CH" w:eastAsia="zh-CN"/>
              </w:rPr>
              <w:t xml:space="preserve"> </w:t>
            </w:r>
            <w:proofErr w:type="spellStart"/>
            <w:r w:rsidRPr="00B34854">
              <w:rPr>
                <w:sz w:val="20"/>
                <w:lang w:val="fr-CH" w:eastAsia="zh-CN"/>
              </w:rPr>
              <w:t>interinstitutions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D6220E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18 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24ème</w:t>
            </w:r>
            <w:r w:rsidR="00F03F83" w:rsidRPr="00B34854">
              <w:rPr>
                <w:sz w:val="20"/>
                <w:lang w:val="fr-CH" w:eastAsia="zh-CN"/>
              </w:rPr>
              <w:t xml:space="preserve"> réunion du Groupe de travail F du Groupe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experts des communications aéronautiques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OACI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17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Paris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Réunion </w:t>
            </w:r>
            <w:proofErr w:type="spellStart"/>
            <w:r w:rsidRPr="00B34854">
              <w:rPr>
                <w:sz w:val="20"/>
                <w:lang w:val="fr-CH" w:eastAsia="zh-CN"/>
              </w:rPr>
              <w:t>interinstitutions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des Nations Unies sur «l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espace</w:t>
            </w:r>
            <w:r w:rsidR="00B34854" w:rsidRPr="00B34854">
              <w:rPr>
                <w:sz w:val="20"/>
                <w:lang w:val="fr-CH" w:eastAsia="zh-CN"/>
              </w:rPr>
              <w:t xml:space="preserve"> et les changements climatiques»</w:t>
            </w:r>
            <w:r w:rsidRPr="00B34854">
              <w:rPr>
                <w:sz w:val="20"/>
                <w:lang w:val="fr-CH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18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18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Conférence </w:t>
            </w:r>
            <w:r w:rsidR="00F453E4" w:rsidRPr="00B34854">
              <w:rPr>
                <w:sz w:val="20"/>
                <w:lang w:val="fr-CH" w:eastAsia="zh-CN"/>
              </w:rPr>
              <w:t xml:space="preserve">2011 </w:t>
            </w:r>
            <w:r w:rsidRPr="00B34854">
              <w:rPr>
                <w:sz w:val="20"/>
                <w:lang w:val="fr-CH" w:eastAsia="zh-CN"/>
              </w:rPr>
              <w:t>sur la sécurité spatiale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UNIDIR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16ème</w:t>
            </w:r>
            <w:r w:rsidR="00F03F83" w:rsidRPr="00B34854">
              <w:rPr>
                <w:sz w:val="20"/>
                <w:lang w:val="fr-CH" w:eastAsia="zh-CN"/>
              </w:rPr>
              <w:t xml:space="preserve"> Comité consultatif international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 xml:space="preserve">OMS/EMF sur les champs électromagnétiques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Ljubljana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16ème</w:t>
            </w:r>
            <w:r w:rsidR="00F03F83" w:rsidRPr="00B34854">
              <w:rPr>
                <w:sz w:val="20"/>
                <w:lang w:val="fr-CH" w:eastAsia="zh-CN"/>
              </w:rPr>
              <w:t xml:space="preserve"> Congrès météorologique mondial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OMM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54ème</w:t>
            </w:r>
            <w:r w:rsidR="00F03F83" w:rsidRPr="00B34854">
              <w:rPr>
                <w:sz w:val="20"/>
                <w:lang w:val="fr-CH" w:eastAsia="zh-CN"/>
              </w:rPr>
              <w:t xml:space="preserve"> session du COPUOS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Table ronde du CERN sur la science et la société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7ème réunion du Groupe mixte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experts OMI/UIT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Londres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Colloque ONU/Autriche/ESA sur les </w:t>
            </w:r>
            <w:r w:rsidR="00B34854" w:rsidRPr="00B34854">
              <w:rPr>
                <w:sz w:val="20"/>
                <w:lang w:val="fr-CH" w:eastAsia="zh-CN"/>
              </w:rPr>
              <w:t>programmes de petits satellites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Graz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Groupe directeur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OMM pour la coordination des fréquences radioélectriques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25ème</w:t>
            </w:r>
            <w:r w:rsidR="00F03F83" w:rsidRPr="00B34854">
              <w:rPr>
                <w:sz w:val="20"/>
                <w:lang w:val="fr-CH" w:eastAsia="zh-CN"/>
              </w:rPr>
              <w:t xml:space="preserve"> réunion du Groupe de travail F du Groupe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experts des communications aéronautiques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OACI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Dakar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Atelier </w:t>
            </w:r>
            <w:r w:rsidR="00F453E4" w:rsidRPr="00B34854">
              <w:rPr>
                <w:sz w:val="20"/>
                <w:lang w:val="fr-CH" w:eastAsia="zh-CN"/>
              </w:rPr>
              <w:t>ONU</w:t>
            </w:r>
            <w:r w:rsidRPr="00B34854">
              <w:rPr>
                <w:sz w:val="20"/>
                <w:lang w:val="fr-CH" w:eastAsia="zh-CN"/>
              </w:rPr>
              <w:t xml:space="preserve">/Viet </w:t>
            </w:r>
            <w:r w:rsidR="00F453E4" w:rsidRPr="00B34854">
              <w:rPr>
                <w:sz w:val="20"/>
                <w:lang w:val="fr-CH" w:eastAsia="zh-CN"/>
              </w:rPr>
              <w:t>N</w:t>
            </w:r>
            <w:r w:rsidRPr="00B34854">
              <w:rPr>
                <w:sz w:val="20"/>
                <w:lang w:val="fr-CH" w:eastAsia="zh-CN"/>
              </w:rPr>
              <w:t>am sur les applications des t</w:t>
            </w:r>
            <w:r w:rsidR="00F453E4" w:rsidRPr="00B34854">
              <w:rPr>
                <w:sz w:val="20"/>
                <w:lang w:val="fr-CH" w:eastAsia="zh-CN"/>
              </w:rPr>
              <w:t>e</w:t>
            </w:r>
            <w:r w:rsidRPr="00B34854">
              <w:rPr>
                <w:sz w:val="20"/>
                <w:lang w:val="fr-CH" w:eastAsia="zh-CN"/>
              </w:rPr>
              <w:t>chniques spatiales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Hanoi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Conférence des Nations Unies sur les changements climatiques, </w:t>
            </w:r>
            <w:r w:rsidR="00F453E4" w:rsidRPr="00B34854">
              <w:rPr>
                <w:sz w:val="20"/>
                <w:lang w:val="fr-CH" w:eastAsia="zh-CN"/>
              </w:rPr>
              <w:t>COP </w:t>
            </w:r>
            <w:r w:rsidRPr="00B34854">
              <w:rPr>
                <w:sz w:val="20"/>
                <w:lang w:val="fr-CH" w:eastAsia="zh-CN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Durban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OACI</w:t>
            </w:r>
            <w:r w:rsidR="00B34854">
              <w:rPr>
                <w:sz w:val="20"/>
                <w:lang w:val="fr-CH" w:eastAsia="zh-CN"/>
              </w:rPr>
              <w:t xml:space="preserve"> </w:t>
            </w:r>
            <w:r w:rsidR="00B34854" w:rsidRPr="00B34854">
              <w:rPr>
                <w:sz w:val="20"/>
                <w:lang w:val="fr-CH" w:eastAsia="zh-CN"/>
              </w:rPr>
              <w:t>–</w:t>
            </w:r>
            <w:r w:rsidR="00F03F83" w:rsidRPr="00B34854">
              <w:rPr>
                <w:sz w:val="20"/>
                <w:lang w:val="fr-CH" w:eastAsia="zh-CN"/>
              </w:rPr>
              <w:t xml:space="preserve"> </w:t>
            </w:r>
            <w:r w:rsidRPr="00B34854">
              <w:rPr>
                <w:sz w:val="20"/>
                <w:lang w:val="fr-CH" w:eastAsia="zh-CN"/>
              </w:rPr>
              <w:t xml:space="preserve">Discussion </w:t>
            </w:r>
            <w:r w:rsidR="00F03F83" w:rsidRPr="00B34854">
              <w:rPr>
                <w:sz w:val="20"/>
                <w:lang w:val="fr-CH" w:eastAsia="zh-CN"/>
              </w:rPr>
              <w:t>sur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 xml:space="preserve">Autorité de surveillance du système de </w:t>
            </w:r>
            <w:r w:rsidRPr="00B34854">
              <w:rPr>
                <w:sz w:val="20"/>
                <w:lang w:val="fr-CH" w:eastAsia="zh-CN"/>
              </w:rPr>
              <w:t xml:space="preserve">Registre </w:t>
            </w:r>
            <w:r w:rsidR="00F03F83" w:rsidRPr="00B34854">
              <w:rPr>
                <w:sz w:val="20"/>
                <w:lang w:val="fr-CH" w:eastAsia="zh-CN"/>
              </w:rPr>
              <w:t xml:space="preserve">international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Montré</w:t>
            </w:r>
            <w:r w:rsidR="00F03F83" w:rsidRPr="00B34854">
              <w:rPr>
                <w:sz w:val="20"/>
                <w:lang w:val="en-US" w:eastAsia="zh-CN"/>
              </w:rPr>
              <w:t>al</w:t>
            </w:r>
          </w:p>
        </w:tc>
      </w:tr>
      <w:tr w:rsidR="00F03F83" w:rsidRPr="00B34854" w:rsidTr="006053E1"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internationale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ONU sur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application du GNSS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D9D9D9"/>
            <w:noWrap/>
            <w:vAlign w:val="bottom"/>
            <w:hideMark/>
          </w:tcPr>
          <w:p w:rsidR="00F03F83" w:rsidRPr="00B34854" w:rsidRDefault="00044378" w:rsidP="00B34854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B34854">
              <w:rPr>
                <w:b/>
                <w:bCs/>
                <w:sz w:val="20"/>
                <w:lang w:val="en-US" w:eastAsia="zh-CN"/>
              </w:rPr>
              <w:t>ORGANISATIONS RÉGIONALES DE TÉLÉCOMMUNICATION</w:t>
            </w:r>
          </w:p>
        </w:tc>
        <w:tc>
          <w:tcPr>
            <w:tcW w:w="1418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701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9ème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la CPG PTC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Toulouse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6ème</w:t>
            </w:r>
            <w:r w:rsidR="00F03F83" w:rsidRPr="00B34854">
              <w:rPr>
                <w:sz w:val="20"/>
                <w:lang w:val="fr-CH" w:eastAsia="zh-CN"/>
              </w:rPr>
              <w:t xml:space="preserve"> Forum annuel sur le passage à la rad</w:t>
            </w:r>
            <w:r w:rsidR="006053E1">
              <w:rPr>
                <w:sz w:val="20"/>
                <w:lang w:val="fr-CH" w:eastAsia="zh-CN"/>
              </w:rPr>
              <w:t>iodiffusion numérique (DSBF-11)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Johannesburg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1ère</w:t>
            </w:r>
            <w:r w:rsidR="00F03F83" w:rsidRPr="00B34854">
              <w:rPr>
                <w:sz w:val="20"/>
                <w:lang w:val="fr-CH" w:eastAsia="zh-CN"/>
              </w:rPr>
              <w:t xml:space="preserve"> réunion préparatoire </w:t>
            </w:r>
            <w:r w:rsidR="00F453E4" w:rsidRPr="00B34854">
              <w:rPr>
                <w:sz w:val="20"/>
                <w:lang w:val="fr-CH" w:eastAsia="zh-CN"/>
              </w:rPr>
              <w:t>de</w:t>
            </w:r>
            <w:r w:rsidR="00F03F83" w:rsidRPr="00B34854">
              <w:rPr>
                <w:sz w:val="20"/>
                <w:lang w:val="fr-CH" w:eastAsia="zh-CN"/>
              </w:rPr>
              <w:t xml:space="preserve"> la région Afrique en vue d</w:t>
            </w:r>
            <w:r w:rsidR="006053E1">
              <w:rPr>
                <w:sz w:val="20"/>
                <w:lang w:val="fr-CH" w:eastAsia="zh-CN"/>
              </w:rPr>
              <w:t>e la </w:t>
            </w:r>
            <w:r w:rsidR="00F03F83" w:rsidRPr="00B34854">
              <w:rPr>
                <w:sz w:val="20"/>
                <w:lang w:val="fr-CH" w:eastAsia="zh-CN"/>
              </w:rPr>
              <w:t>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Abuja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2ème</w:t>
            </w:r>
            <w:r w:rsidR="00F03F83" w:rsidRPr="00B34854">
              <w:rPr>
                <w:sz w:val="20"/>
                <w:lang w:val="fr-CH" w:eastAsia="zh-CN"/>
              </w:rPr>
              <w:t xml:space="preserve"> réunion du Groupe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experts de la RCC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Mosco</w:t>
            </w:r>
            <w:r w:rsidR="00454931" w:rsidRPr="00B34854">
              <w:rPr>
                <w:sz w:val="20"/>
                <w:lang w:val="en-US" w:eastAsia="zh-CN"/>
              </w:rPr>
              <w:t>u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10ème</w:t>
            </w:r>
            <w:r w:rsidR="00F03F83" w:rsidRPr="00B34854">
              <w:rPr>
                <w:sz w:val="20"/>
                <w:lang w:val="fr-CH" w:eastAsia="zh-CN"/>
              </w:rPr>
              <w:t xml:space="preserve"> réunion du </w:t>
            </w:r>
            <w:r w:rsidR="00F453E4" w:rsidRPr="00B34854">
              <w:rPr>
                <w:sz w:val="20"/>
                <w:lang w:val="fr-CH" w:eastAsia="zh-CN"/>
              </w:rPr>
              <w:t>Groupe «sans fil» de l'APT</w:t>
            </w:r>
            <w:r w:rsidR="00F03F83" w:rsidRPr="00B34854">
              <w:rPr>
                <w:sz w:val="20"/>
                <w:lang w:val="fr-CH" w:eastAsia="zh-CN"/>
              </w:rPr>
              <w:t xml:space="preserve"> (AWG-10)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fr-CH" w:eastAsia="zh-CN"/>
              </w:rPr>
              <w:t>CPG PTA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31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fr-CH" w:eastAsia="zh-CN"/>
              </w:rPr>
              <w:t>Copenhague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10ème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ECC FM 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31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Istanbul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Groupe de travail de la RC</w:t>
            </w:r>
            <w:r w:rsidR="00B34854">
              <w:rPr>
                <w:sz w:val="20"/>
                <w:lang w:val="fr-CH" w:eastAsia="zh-CN"/>
              </w:rPr>
              <w:t>C pour la préparation de la </w:t>
            </w:r>
            <w:r w:rsidR="00B34854" w:rsidRPr="00B34854">
              <w:rPr>
                <w:sz w:val="20"/>
                <w:lang w:val="fr-CH" w:eastAsia="zh-CN"/>
              </w:rPr>
              <w:t>CMR</w:t>
            </w:r>
            <w:r w:rsidR="00B34854" w:rsidRPr="00B34854">
              <w:rPr>
                <w:sz w:val="20"/>
                <w:lang w:val="fr-CH" w:eastAsia="zh-CN"/>
              </w:rPr>
              <w:noBreakHyphen/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15</w:t>
            </w:r>
            <w:r w:rsidRPr="00B34854">
              <w:rPr>
                <w:sz w:val="20"/>
                <w:lang w:val="fr-CH" w:eastAsia="zh-CN"/>
              </w:rPr>
              <w:t xml:space="preserve"> </w:t>
            </w:r>
            <w:r w:rsidR="00D6220E" w:rsidRPr="00B34854">
              <w:rPr>
                <w:sz w:val="20"/>
                <w:lang w:val="fr-CH" w:eastAsia="zh-CN"/>
              </w:rPr>
              <w:t>avril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Tashkent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10ème</w:t>
            </w:r>
            <w:r w:rsidR="00F03F83" w:rsidRPr="00B34854">
              <w:rPr>
                <w:sz w:val="20"/>
                <w:lang w:val="fr-CH" w:eastAsia="zh-CN"/>
              </w:rPr>
              <w:t xml:space="preserve"> réunion du CPG PTC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12</w:t>
            </w:r>
            <w:r w:rsidRPr="00B34854">
              <w:rPr>
                <w:sz w:val="20"/>
                <w:lang w:val="fr-CH" w:eastAsia="zh-CN"/>
              </w:rPr>
              <w:t xml:space="preserve"> </w:t>
            </w:r>
            <w:r w:rsidR="00D6220E" w:rsidRPr="00B34854">
              <w:rPr>
                <w:sz w:val="20"/>
                <w:lang w:val="fr-CH" w:eastAsia="zh-CN"/>
              </w:rPr>
              <w:t>avril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Vilnius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15</w:t>
            </w:r>
            <w:proofErr w:type="spellStart"/>
            <w:r w:rsidRPr="00B34854">
              <w:rPr>
                <w:sz w:val="20"/>
              </w:rPr>
              <w:t>ème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Réunion générale annuelle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Associat</w:t>
            </w:r>
            <w:r w:rsidR="00CA58CD">
              <w:rPr>
                <w:sz w:val="20"/>
                <w:lang w:val="fr-CH" w:eastAsia="zh-CN"/>
              </w:rPr>
              <w:t>ion des télécommunications des î</w:t>
            </w:r>
            <w:r w:rsidRPr="00B34854">
              <w:rPr>
                <w:sz w:val="20"/>
                <w:lang w:val="fr-CH" w:eastAsia="zh-CN"/>
              </w:rPr>
              <w:t>les du Pacifique (PITA)</w:t>
            </w:r>
          </w:p>
        </w:tc>
        <w:tc>
          <w:tcPr>
            <w:tcW w:w="1418" w:type="dxa"/>
            <w:shd w:val="clear" w:color="auto" w:fill="auto"/>
            <w:noWrap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F03F83" w:rsidRPr="00B34854" w:rsidRDefault="00F453E4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Noumé</w:t>
            </w:r>
            <w:r w:rsidR="00F03F83" w:rsidRPr="00B34854">
              <w:rPr>
                <w:sz w:val="20"/>
                <w:lang w:val="en-US" w:eastAsia="zh-CN"/>
              </w:rPr>
              <w:t>a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57ème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Assemblée générale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ETSI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Cannes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11ème</w:t>
            </w:r>
            <w:r w:rsidR="00F03F83" w:rsidRPr="00B34854">
              <w:rPr>
                <w:sz w:val="20"/>
                <w:lang w:val="fr-CH" w:eastAsia="zh-CN"/>
              </w:rPr>
              <w:t xml:space="preserve"> réunion </w:t>
            </w:r>
            <w:r w:rsidR="00F453E4" w:rsidRPr="00B34854">
              <w:rPr>
                <w:sz w:val="20"/>
                <w:lang w:val="fr-CH" w:eastAsia="zh-CN"/>
              </w:rPr>
              <w:t>du</w:t>
            </w:r>
            <w:r w:rsidR="00F03F83" w:rsidRPr="00B34854">
              <w:rPr>
                <w:sz w:val="20"/>
                <w:lang w:val="fr-CH" w:eastAsia="zh-CN"/>
              </w:rPr>
              <w:t xml:space="preserve"> CPG PTD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France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72ème</w:t>
            </w:r>
            <w:r w:rsidR="00F453E4" w:rsidRPr="00B34854">
              <w:rPr>
                <w:sz w:val="20"/>
                <w:lang w:val="fr-CH" w:eastAsia="zh-CN"/>
              </w:rPr>
              <w:t xml:space="preserve"> réunion du WG</w:t>
            </w:r>
            <w:r w:rsidR="00F03F83" w:rsidRPr="00B34854">
              <w:rPr>
                <w:sz w:val="20"/>
                <w:lang w:val="fr-CH" w:eastAsia="zh-CN"/>
              </w:rPr>
              <w:t>FM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Miesbach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B34854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 xml:space="preserve">CCP </w:t>
            </w:r>
            <w:r w:rsidR="00F03F83" w:rsidRPr="00B34854">
              <w:rPr>
                <w:sz w:val="20"/>
                <w:lang w:val="fr-CH" w:eastAsia="zh-CN"/>
              </w:rPr>
              <w:t>II de la CITEL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454931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Saint-</w:t>
            </w:r>
            <w:proofErr w:type="spellStart"/>
            <w:r w:rsidRPr="00B34854">
              <w:rPr>
                <w:sz w:val="20"/>
                <w:lang w:val="en-US" w:eastAsia="zh-CN"/>
              </w:rPr>
              <w:t>Domingue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fr-CH" w:eastAsia="zh-CN"/>
              </w:rPr>
              <w:t>CPG PTA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Bienne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CPG PTE de la CEPT (préparation du GCR et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AR-12)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Bienne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COSPAS SARSAT JC-25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Hong Kong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CPG 12-7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Oxford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du BIPM sur les techniques avancées de transfert de temps et de fréquences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Sèvres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A58CD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2ème</w:t>
            </w:r>
            <w:r w:rsidR="00F03F83" w:rsidRPr="00B34854">
              <w:rPr>
                <w:sz w:val="20"/>
                <w:lang w:val="fr-CH" w:eastAsia="zh-CN"/>
              </w:rPr>
              <w:t xml:space="preserve"> séminaire pr</w:t>
            </w:r>
            <w:r w:rsidR="00B34854">
              <w:rPr>
                <w:sz w:val="20"/>
                <w:lang w:val="fr-CH" w:eastAsia="zh-CN"/>
              </w:rPr>
              <w:t>éparatoire HBF-ABU en vue de la </w:t>
            </w:r>
            <w:r w:rsidR="00F03F83" w:rsidRPr="00B34854">
              <w:rPr>
                <w:sz w:val="20"/>
                <w:lang w:val="fr-CH" w:eastAsia="zh-CN"/>
              </w:rPr>
              <w:t>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Kuala Lumpur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de préparation RCC/CEPT en vue de la 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Paris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A58CD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2ème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UAT pour la préparation d</w:t>
            </w:r>
            <w:r>
              <w:rPr>
                <w:sz w:val="20"/>
                <w:lang w:val="fr-CH" w:eastAsia="zh-CN"/>
              </w:rPr>
              <w:t>e la région Afrique à la 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Alger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APT CPG/APG-5 en vue de la 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août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Busan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A58CD" w:rsidP="00CA58CD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51ème</w:t>
            </w:r>
            <w:r w:rsidR="00F03F83" w:rsidRPr="00B34854">
              <w:rPr>
                <w:sz w:val="20"/>
                <w:lang w:val="fr-CH" w:eastAsia="zh-CN"/>
              </w:rPr>
              <w:t xml:space="preserve"> réunion du Conseil</w:t>
            </w:r>
            <w:r>
              <w:rPr>
                <w:sz w:val="20"/>
                <w:lang w:val="fr-CH" w:eastAsia="zh-CN"/>
              </w:rPr>
              <w:t xml:space="preserve"> et 9ème Forum annuel de la </w:t>
            </w:r>
            <w:r w:rsidR="00F03F83" w:rsidRPr="00B34854">
              <w:rPr>
                <w:sz w:val="20"/>
                <w:lang w:val="fr-CH" w:eastAsia="zh-CN"/>
              </w:rPr>
              <w:t>CTO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Port of Spain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A58CD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11ème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6053E1">
              <w:rPr>
                <w:sz w:val="20"/>
                <w:lang w:val="fr-CH" w:eastAsia="zh-CN"/>
              </w:rPr>
              <w:t>ECC FM 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Tallinn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Groupe de travail de la R</w:t>
            </w:r>
            <w:r w:rsidR="00F453E4" w:rsidRPr="00B34854">
              <w:rPr>
                <w:sz w:val="20"/>
                <w:lang w:val="fr-CH" w:eastAsia="zh-CN"/>
              </w:rPr>
              <w:t>CC sur la préparation de la CMR</w:t>
            </w:r>
            <w:r w:rsidR="00F453E4" w:rsidRPr="00B34854">
              <w:rPr>
                <w:sz w:val="20"/>
                <w:lang w:val="fr-CH" w:eastAsia="zh-CN"/>
              </w:rPr>
              <w:noBreakHyphen/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Saransk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conjointe de la RCC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Saransk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ECC/FM 49 </w:t>
            </w:r>
            <w:r w:rsidR="00CA58CD" w:rsidRPr="00CA58CD">
              <w:rPr>
                <w:sz w:val="20"/>
                <w:lang w:val="en-US" w:eastAsia="zh-CN"/>
              </w:rPr>
              <w:t>–</w:t>
            </w:r>
            <w:r w:rsidRPr="00B34854">
              <w:rPr>
                <w:sz w:val="20"/>
                <w:lang w:val="en-US" w:eastAsia="zh-CN"/>
              </w:rPr>
              <w:t xml:space="preserve"> PPDR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Berlin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A58CD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11ème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la CPG PTC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Mainz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eastAsia="zh-CN"/>
              </w:rPr>
              <w:t xml:space="preserve">Réunion de préparation </w:t>
            </w:r>
            <w:r w:rsidR="00F453E4" w:rsidRPr="00B34854">
              <w:rPr>
                <w:sz w:val="20"/>
                <w:lang w:eastAsia="zh-CN"/>
              </w:rPr>
              <w:t>de l'</w:t>
            </w:r>
            <w:r w:rsidR="00F453E4" w:rsidRPr="00B34854">
              <w:rPr>
                <w:sz w:val="20"/>
                <w:lang w:val="fr-CH" w:eastAsia="zh-CN"/>
              </w:rPr>
              <w:t>ASMG</w:t>
            </w:r>
            <w:r w:rsidR="00F453E4" w:rsidRPr="00B34854">
              <w:rPr>
                <w:sz w:val="20"/>
                <w:lang w:eastAsia="zh-CN"/>
              </w:rPr>
              <w:t xml:space="preserve"> </w:t>
            </w:r>
            <w:r w:rsidRPr="00B34854">
              <w:rPr>
                <w:sz w:val="20"/>
                <w:lang w:eastAsia="zh-CN"/>
              </w:rPr>
              <w:t xml:space="preserve">à la </w:t>
            </w:r>
            <w:r w:rsidR="006053E1">
              <w:rPr>
                <w:sz w:val="20"/>
                <w:lang w:val="fr-CH" w:eastAsia="zh-CN"/>
              </w:rPr>
              <w:t>CMR-</w:t>
            </w:r>
            <w:r w:rsidRPr="00B34854">
              <w:rPr>
                <w:sz w:val="20"/>
                <w:lang w:val="fr-CH" w:eastAsia="zh-CN"/>
              </w:rPr>
              <w:t xml:space="preserve">12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Sharm</w:t>
            </w:r>
            <w:proofErr w:type="spellEnd"/>
            <w:r w:rsidRPr="00B34854">
              <w:rPr>
                <w:sz w:val="20"/>
                <w:lang w:val="en-US" w:eastAsia="zh-CN"/>
              </w:rPr>
              <w:t xml:space="preserve"> el Sheikh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CPG/PTE de la CEPT (préparation du GCR et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AR-12)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  <w:r w:rsidRPr="00B34854">
              <w:rPr>
                <w:sz w:val="20"/>
                <w:lang w:val="en-US" w:eastAsia="zh-CN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  <w:r w:rsidRPr="00B34854">
              <w:rPr>
                <w:sz w:val="20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Copenhag</w:t>
            </w:r>
            <w:r w:rsidR="00F453E4" w:rsidRPr="00B34854">
              <w:rPr>
                <w:sz w:val="20"/>
                <w:lang w:val="en-US" w:eastAsia="zh-CN"/>
              </w:rPr>
              <w:t>ue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fr-CH" w:eastAsia="zh-CN"/>
              </w:rPr>
              <w:t>CPG PTA de la CEPT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  <w:r w:rsidRPr="00B34854">
              <w:rPr>
                <w:sz w:val="20"/>
                <w:lang w:val="en-US" w:eastAsia="zh-CN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  <w:r w:rsidRPr="00B34854">
              <w:rPr>
                <w:sz w:val="20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Copenhag</w:t>
            </w:r>
            <w:r w:rsidR="00F453E4" w:rsidRPr="00B34854">
              <w:rPr>
                <w:sz w:val="20"/>
                <w:lang w:val="en-US" w:eastAsia="zh-CN"/>
              </w:rPr>
              <w:t>ue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Groupe</w:t>
            </w:r>
            <w:proofErr w:type="spellEnd"/>
            <w:r w:rsidRPr="00B34854">
              <w:rPr>
                <w:sz w:val="20"/>
                <w:lang w:val="en-US" w:eastAsia="zh-CN"/>
              </w:rPr>
              <w:t xml:space="preserve"> Commonwealth de </w:t>
            </w:r>
            <w:proofErr w:type="spellStart"/>
            <w:r w:rsidRPr="00B34854">
              <w:rPr>
                <w:sz w:val="20"/>
                <w:lang w:val="en-US" w:eastAsia="zh-CN"/>
              </w:rPr>
              <w:t>l</w:t>
            </w:r>
            <w:r w:rsidR="007A68A3" w:rsidRPr="00B34854">
              <w:rPr>
                <w:sz w:val="20"/>
                <w:lang w:val="en-US" w:eastAsia="zh-CN"/>
              </w:rPr>
              <w:t>'</w:t>
            </w:r>
            <w:r w:rsidRPr="00B34854">
              <w:rPr>
                <w:sz w:val="20"/>
                <w:lang w:val="en-US" w:eastAsia="zh-CN"/>
              </w:rPr>
              <w:t>UIT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  <w:r w:rsidRPr="00B34854">
              <w:rPr>
                <w:sz w:val="20"/>
                <w:lang w:val="en-US" w:eastAsia="zh-CN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octobre</w:t>
            </w:r>
            <w:proofErr w:type="spellEnd"/>
            <w:r w:rsidRPr="00B34854">
              <w:rPr>
                <w:sz w:val="20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Londres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CPG 12-8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Roumanie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ECC/FM 49 </w:t>
            </w:r>
            <w:r w:rsidR="006053E1" w:rsidRPr="006053E1">
              <w:rPr>
                <w:sz w:val="20"/>
                <w:lang w:val="en-US" w:eastAsia="zh-CN"/>
              </w:rPr>
              <w:t>–</w:t>
            </w:r>
            <w:r w:rsidRPr="00B34854">
              <w:rPr>
                <w:sz w:val="20"/>
                <w:lang w:val="en-US" w:eastAsia="zh-CN"/>
              </w:rPr>
              <w:t xml:space="preserve"> PPDR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Helsinki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Groupe de travail de la RCC sur la préparation de la 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Moscou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XVIIIème réunion du CCP.II de la CITEL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San Juan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A58CD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58ème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Assemblée générale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ETSI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Cannes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Sommet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UAT sur le passage à la radiodiffusion numérique et les politiques relatives au spectre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Nairobi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36ème séance plénière de la GSMA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El Salvador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453E4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1ère ré</w:t>
            </w:r>
            <w:r w:rsidR="00F03F83" w:rsidRPr="00B34854">
              <w:rPr>
                <w:sz w:val="20"/>
                <w:lang w:val="fr-CH" w:eastAsia="zh-CN"/>
              </w:rPr>
              <w:t xml:space="preserve">union du groupe du </w:t>
            </w:r>
            <w:r w:rsidR="002E1FE7" w:rsidRPr="00B34854">
              <w:rPr>
                <w:sz w:val="20"/>
                <w:lang w:val="fr-CH" w:eastAsia="zh-CN"/>
              </w:rPr>
              <w:t xml:space="preserve">Forum </w:t>
            </w:r>
            <w:r w:rsidR="00CA58CD">
              <w:rPr>
                <w:sz w:val="20"/>
                <w:lang w:val="fr-CH" w:eastAsia="zh-CN"/>
              </w:rPr>
              <w:t>maritime (ancien groupe </w:t>
            </w:r>
            <w:r w:rsidR="00F03F83" w:rsidRPr="00B34854">
              <w:rPr>
                <w:sz w:val="20"/>
                <w:lang w:val="fr-CH" w:eastAsia="zh-CN"/>
              </w:rPr>
              <w:t>FM46)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Copenhag</w:t>
            </w:r>
            <w:r w:rsidR="00F453E4" w:rsidRPr="00B34854">
              <w:rPr>
                <w:sz w:val="20"/>
                <w:lang w:val="en-US" w:eastAsia="zh-CN"/>
              </w:rPr>
              <w:t>ue</w:t>
            </w:r>
            <w:proofErr w:type="spellEnd"/>
          </w:p>
        </w:tc>
      </w:tr>
      <w:tr w:rsidR="00F03F83" w:rsidRPr="00CA58CD" w:rsidTr="006053E1">
        <w:tc>
          <w:tcPr>
            <w:tcW w:w="5259" w:type="dxa"/>
            <w:shd w:val="clear" w:color="auto" w:fill="D9D9D9"/>
            <w:noWrap/>
            <w:vAlign w:val="bottom"/>
            <w:hideMark/>
          </w:tcPr>
          <w:p w:rsidR="00F03F83" w:rsidRPr="00CA58CD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CA58CD">
              <w:rPr>
                <w:b/>
                <w:bCs/>
                <w:sz w:val="20"/>
                <w:lang w:val="fr-CH" w:eastAsia="zh-CN"/>
              </w:rPr>
              <w:t>CONF</w:t>
            </w:r>
            <w:r w:rsidR="002E1FE7" w:rsidRPr="00CA58CD">
              <w:rPr>
                <w:b/>
                <w:bCs/>
                <w:sz w:val="20"/>
                <w:lang w:val="fr-CH" w:eastAsia="zh-CN"/>
              </w:rPr>
              <w:t>É</w:t>
            </w:r>
            <w:r w:rsidRPr="00CA58CD">
              <w:rPr>
                <w:b/>
                <w:bCs/>
                <w:sz w:val="20"/>
                <w:lang w:val="fr-CH" w:eastAsia="zh-CN"/>
              </w:rPr>
              <w:t xml:space="preserve">RENCES </w:t>
            </w:r>
            <w:r w:rsidR="002E1FE7" w:rsidRPr="00CA58CD">
              <w:rPr>
                <w:b/>
                <w:bCs/>
                <w:sz w:val="20"/>
                <w:lang w:val="fr-CH" w:eastAsia="zh-CN"/>
              </w:rPr>
              <w:t>ET COLLOQUES NON ORGANISÉS PAR L'UIT</w:t>
            </w:r>
          </w:p>
        </w:tc>
        <w:tc>
          <w:tcPr>
            <w:tcW w:w="1418" w:type="dxa"/>
            <w:shd w:val="clear" w:color="auto" w:fill="D9D9D9"/>
            <w:noWrap/>
            <w:vAlign w:val="bottom"/>
            <w:hideMark/>
          </w:tcPr>
          <w:p w:rsidR="00F03F83" w:rsidRPr="00CA58CD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:rsidR="00F03F83" w:rsidRPr="00CA58CD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701" w:type="dxa"/>
            <w:shd w:val="clear" w:color="auto" w:fill="D9D9D9"/>
            <w:noWrap/>
            <w:vAlign w:val="bottom"/>
            <w:hideMark/>
          </w:tcPr>
          <w:p w:rsidR="00F03F83" w:rsidRPr="00CA58CD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Forum sur les </w:t>
            </w:r>
            <w:r w:rsidR="00C91310" w:rsidRPr="00B34854">
              <w:rPr>
                <w:sz w:val="20"/>
                <w:lang w:val="fr-CH" w:eastAsia="zh-CN"/>
              </w:rPr>
              <w:t>télécommunications</w:t>
            </w:r>
            <w:r w:rsidRPr="00B34854">
              <w:rPr>
                <w:sz w:val="20"/>
                <w:lang w:val="fr-CH" w:eastAsia="zh-CN"/>
              </w:rPr>
              <w:t xml:space="preserve"> et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Internet dans les </w:t>
            </w:r>
            <w:proofErr w:type="spellStart"/>
            <w:r w:rsidRPr="00B34854">
              <w:rPr>
                <w:sz w:val="20"/>
                <w:lang w:val="fr-CH" w:eastAsia="zh-CN"/>
              </w:rPr>
              <w:t>Etats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arabes (ATIF-2011)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26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Beirut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CERD 2011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Bratislava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II C</w:t>
            </w:r>
            <w:r w:rsidR="00F03F83" w:rsidRPr="00B34854">
              <w:rPr>
                <w:sz w:val="20"/>
                <w:lang w:val="fr-CH" w:eastAsia="zh-CN"/>
              </w:rPr>
              <w:t xml:space="preserve">olloque international des régulateurs des télécommunications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La </w:t>
            </w:r>
            <w:proofErr w:type="spellStart"/>
            <w:r w:rsidRPr="00B34854">
              <w:rPr>
                <w:sz w:val="20"/>
                <w:lang w:val="en-US" w:eastAsia="zh-CN"/>
              </w:rPr>
              <w:t>Ha</w:t>
            </w:r>
            <w:r w:rsidR="002E1FE7" w:rsidRPr="00B34854">
              <w:rPr>
                <w:sz w:val="20"/>
                <w:lang w:val="en-US" w:eastAsia="zh-CN"/>
              </w:rPr>
              <w:t>vane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5</w:t>
            </w:r>
            <w:r w:rsidR="00F03F83" w:rsidRPr="00B34854">
              <w:rPr>
                <w:sz w:val="20"/>
                <w:lang w:val="fr-CH" w:eastAsia="zh-CN"/>
              </w:rPr>
              <w:t>ème session des experts gouvernementaux du Comité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UNIDROI</w:t>
            </w:r>
            <w:r w:rsidRPr="00B34854">
              <w:rPr>
                <w:sz w:val="20"/>
                <w:lang w:val="fr-CH" w:eastAsia="zh-CN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Rome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Sommet 2011 de la navigation par satellite de Munich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D6220E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Munich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sur la voiture branchée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Palexpo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Confér</w:t>
            </w:r>
            <w:r w:rsidR="006053E1">
              <w:rPr>
                <w:sz w:val="20"/>
                <w:lang w:val="fr-CH" w:eastAsia="zh-CN"/>
              </w:rPr>
              <w:t>ence de 2011 sur les satellites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17 </w:t>
            </w:r>
            <w:r w:rsidR="00D6220E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Washington, DC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Conférence du NAB sur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ingénierie et la gestion de la radiodiffusi</w:t>
            </w:r>
            <w:r w:rsidR="006053E1">
              <w:rPr>
                <w:sz w:val="20"/>
                <w:lang w:val="fr-CH" w:eastAsia="zh-CN"/>
              </w:rPr>
              <w:t>on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Las Vegas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Techniques de gestion et de contrôle du spectre sur le plan international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Shanghai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11</w:t>
            </w:r>
            <w:r w:rsidR="00F03F83" w:rsidRPr="00B34854">
              <w:rPr>
                <w:sz w:val="20"/>
                <w:lang w:val="fr-CH" w:eastAsia="zh-CN"/>
              </w:rPr>
              <w:t>ème conférence internationale de Rio sur les systèmes hertziens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Rio de Janeiro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Spectrum 20/20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Ottawa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Forum mondial 2011 des systèmes à satellites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D6220E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Abu Dhabi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eastAsia="zh-CN"/>
              </w:rPr>
              <w:t>90ème</w:t>
            </w:r>
            <w:r w:rsidR="00F03F83" w:rsidRPr="00B34854">
              <w:rPr>
                <w:sz w:val="20"/>
                <w:lang w:eastAsia="zh-CN"/>
              </w:rPr>
              <w:t xml:space="preserve"> session du Conseil d</w:t>
            </w:r>
            <w:r w:rsidR="007A68A3" w:rsidRPr="00B34854">
              <w:rPr>
                <w:sz w:val="20"/>
                <w:lang w:eastAsia="zh-CN"/>
              </w:rPr>
              <w:t>'</w:t>
            </w:r>
            <w:r w:rsidR="00F03F83" w:rsidRPr="00B34854">
              <w:rPr>
                <w:sz w:val="20"/>
                <w:lang w:eastAsia="zh-CN"/>
              </w:rPr>
              <w:t>administration d</w:t>
            </w:r>
            <w:r w:rsidR="007A68A3" w:rsidRPr="00B34854">
              <w:rPr>
                <w:sz w:val="20"/>
                <w:lang w:eastAsia="zh-CN"/>
              </w:rPr>
              <w:t>'</w:t>
            </w:r>
            <w:r w:rsidR="00F03F83" w:rsidRPr="00B34854">
              <w:rPr>
                <w:sz w:val="20"/>
                <w:lang w:eastAsia="zh-CN"/>
              </w:rPr>
              <w:t>UNIDROIT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Rome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Conférence internationale sur le spectre radioélectrique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Bucarest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4G Wireless Asia 2011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Hangzhou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6053E1">
            <w:pPr>
              <w:pStyle w:val="Tabletext"/>
              <w:rPr>
                <w:sz w:val="20"/>
                <w:lang w:val="es-ES_tradnl" w:eastAsia="zh-CN"/>
              </w:rPr>
            </w:pPr>
            <w:proofErr w:type="spellStart"/>
            <w:r w:rsidRPr="00B34854">
              <w:rPr>
                <w:sz w:val="20"/>
                <w:lang w:val="es-ES_tradnl" w:eastAsia="zh-CN"/>
              </w:rPr>
              <w:t>Forum</w:t>
            </w:r>
            <w:proofErr w:type="spellEnd"/>
            <w:r w:rsidRPr="00B34854">
              <w:rPr>
                <w:sz w:val="20"/>
                <w:lang w:val="es-ES_tradnl" w:eastAsia="zh-CN"/>
              </w:rPr>
              <w:t xml:space="preserve"> </w:t>
            </w:r>
            <w:r w:rsidR="002E1FE7" w:rsidRPr="00B34854">
              <w:rPr>
                <w:sz w:val="20"/>
                <w:lang w:val="es-ES_tradnl" w:eastAsia="zh-CN"/>
              </w:rPr>
              <w:t>«</w:t>
            </w:r>
            <w:r w:rsidRPr="00B34854">
              <w:rPr>
                <w:sz w:val="20"/>
                <w:lang w:val="es-ES_tradnl" w:eastAsia="zh-CN"/>
              </w:rPr>
              <w:t xml:space="preserve">Televisión Digital Terrestre - </w:t>
            </w:r>
            <w:proofErr w:type="spellStart"/>
            <w:r w:rsidRPr="00B34854">
              <w:rPr>
                <w:sz w:val="20"/>
                <w:lang w:val="es-ES_tradnl" w:eastAsia="zh-CN"/>
              </w:rPr>
              <w:t>Retor</w:t>
            </w:r>
            <w:proofErr w:type="spellEnd"/>
            <w:r w:rsidRPr="00B34854">
              <w:rPr>
                <w:sz w:val="20"/>
                <w:lang w:val="es-ES_tradnl" w:eastAsia="zh-CN"/>
              </w:rPr>
              <w:t xml:space="preserve"> y Oportunidades</w:t>
            </w:r>
            <w:r w:rsidR="002E1FE7" w:rsidRPr="00B34854">
              <w:rPr>
                <w:sz w:val="20"/>
                <w:lang w:val="es-ES_tradnl" w:eastAsia="zh-CN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Mexico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Atelier </w:t>
            </w:r>
            <w:proofErr w:type="spellStart"/>
            <w:r w:rsidRPr="00B34854">
              <w:rPr>
                <w:sz w:val="20"/>
                <w:lang w:val="fr-CH" w:eastAsia="zh-CN"/>
              </w:rPr>
              <w:t>DigiTAG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sur la DVB-T2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Moscou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SatCom</w:t>
            </w:r>
            <w:proofErr w:type="spellEnd"/>
            <w:r w:rsidRPr="00B34854">
              <w:rPr>
                <w:sz w:val="20"/>
                <w:lang w:val="en-US" w:eastAsia="zh-CN"/>
              </w:rPr>
              <w:t xml:space="preserve"> 2011 Africa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Johannesburg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«Garantir la via</w:t>
            </w:r>
            <w:r w:rsidR="002E1FE7" w:rsidRPr="00B34854">
              <w:rPr>
                <w:sz w:val="20"/>
                <w:lang w:val="fr-CH" w:eastAsia="zh-CN"/>
              </w:rPr>
              <w:t>bilité des systèmes spatiaux»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31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31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Forum des </w:t>
            </w:r>
            <w:r w:rsidR="00C91310" w:rsidRPr="00B34854">
              <w:rPr>
                <w:sz w:val="20"/>
                <w:lang w:val="fr-CH" w:eastAsia="zh-CN"/>
              </w:rPr>
              <w:t>télécommunications</w:t>
            </w:r>
            <w:r w:rsidRPr="00B34854">
              <w:rPr>
                <w:sz w:val="20"/>
                <w:lang w:val="fr-CH" w:eastAsia="zh-CN"/>
              </w:rPr>
              <w:t xml:space="preserve"> et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Internet dans les </w:t>
            </w:r>
            <w:proofErr w:type="spellStart"/>
            <w:r w:rsidRPr="00B34854">
              <w:rPr>
                <w:sz w:val="20"/>
                <w:lang w:val="fr-CH" w:eastAsia="zh-CN"/>
              </w:rPr>
              <w:t>Etats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arabes (ATIF-2011</w:t>
            </w:r>
            <w:r w:rsidR="002E1FE7" w:rsidRPr="00B34854">
              <w:rPr>
                <w:sz w:val="20"/>
                <w:lang w:val="fr-CH" w:eastAsia="zh-CN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Beirut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Groupe de coordination des fréquences pour les systèmes spatiaux-31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San Francisco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6ème</w:t>
            </w:r>
            <w:r w:rsidR="00F03F83" w:rsidRPr="00B34854">
              <w:rPr>
                <w:sz w:val="20"/>
                <w:lang w:val="fr-CH" w:eastAsia="zh-CN"/>
              </w:rPr>
              <w:t xml:space="preserve"> conférence annuelle de gestion du spectre en Europe (2011</w:t>
            </w:r>
            <w:r w:rsidR="002E1FE7" w:rsidRPr="00B34854">
              <w:rPr>
                <w:sz w:val="20"/>
                <w:lang w:val="fr-CH" w:eastAsia="zh-CN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Bruxelles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37ème</w:t>
            </w:r>
            <w:r w:rsidR="00F03F83" w:rsidRPr="00B34854">
              <w:rPr>
                <w:sz w:val="20"/>
                <w:lang w:val="fr-CH" w:eastAsia="zh-CN"/>
              </w:rPr>
              <w:t xml:space="preserve"> conférence du monde arabe sur le GSM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Amman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Sommet </w:t>
            </w:r>
            <w:proofErr w:type="spellStart"/>
            <w:r w:rsidRPr="00B34854">
              <w:rPr>
                <w:sz w:val="20"/>
                <w:lang w:val="fr-CH" w:eastAsia="zh-CN"/>
              </w:rPr>
              <w:t>CommunicAsia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2011 des télécommunications par satellite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Singapo</w:t>
            </w:r>
            <w:r w:rsidR="002E1FE7" w:rsidRPr="00B34854">
              <w:rPr>
                <w:sz w:val="20"/>
                <w:lang w:val="en-US" w:eastAsia="zh-CN"/>
              </w:rPr>
              <w:t>u</w:t>
            </w:r>
            <w:r w:rsidRPr="00B34854">
              <w:rPr>
                <w:sz w:val="20"/>
                <w:lang w:val="en-US" w:eastAsia="zh-CN"/>
              </w:rPr>
              <w:t>r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en-US" w:eastAsia="zh-CN"/>
              </w:rPr>
            </w:pPr>
            <w:r>
              <w:rPr>
                <w:sz w:val="20"/>
                <w:lang w:val="fr-CH" w:eastAsia="zh-CN"/>
              </w:rPr>
              <w:t>4ème</w:t>
            </w:r>
            <w:r w:rsidR="00C90D9F">
              <w:rPr>
                <w:sz w:val="20"/>
                <w:lang w:val="fr-CH" w:eastAsia="zh-CN"/>
              </w:rPr>
              <w:t xml:space="preserve"> C</w:t>
            </w:r>
            <w:r w:rsidR="00F03F83" w:rsidRPr="00B34854">
              <w:rPr>
                <w:sz w:val="20"/>
                <w:lang w:val="fr-CH" w:eastAsia="zh-CN"/>
              </w:rPr>
              <w:t>ongrès des télécommunications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Quito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EUROCONTROL sur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enregistrement des stations aéronautiques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Bru</w:t>
            </w:r>
            <w:r w:rsidR="002E1FE7" w:rsidRPr="00B34854">
              <w:rPr>
                <w:sz w:val="20"/>
                <w:lang w:val="en-US" w:eastAsia="zh-CN"/>
              </w:rPr>
              <w:t>xelles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Colloque/célébration de la JMTSI et du 140ème anniversaire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IET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Colombo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Congrès </w:t>
            </w:r>
            <w:r w:rsidR="006053E1">
              <w:rPr>
                <w:sz w:val="20"/>
                <w:lang w:val="fr-CH" w:eastAsia="zh-CN"/>
              </w:rPr>
              <w:t>des techniques télévisuelles + A</w:t>
            </w:r>
            <w:r w:rsidRPr="00B34854">
              <w:rPr>
                <w:sz w:val="20"/>
                <w:lang w:val="fr-CH" w:eastAsia="zh-CN"/>
              </w:rPr>
              <w:t>telier sur la radiodiffusion et les réseaux câblés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août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août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São Paulo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Conférence des pays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Amérique latine sur le spectre,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Mexico City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APSCC 2011 – quatorzième conférence et exposition sur les satellites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Bali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42ème</w:t>
            </w:r>
            <w:r w:rsidR="00F03F83" w:rsidRPr="00B34854">
              <w:rPr>
                <w:sz w:val="20"/>
                <w:lang w:val="fr-CH" w:eastAsia="zh-CN"/>
              </w:rPr>
              <w:t xml:space="preserve"> conférence annuelle IIC sur les tendances dans les télécommunications mondiales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Johannesburg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62ème</w:t>
            </w:r>
            <w:r w:rsidR="00F03F83" w:rsidRPr="00B34854">
              <w:rPr>
                <w:sz w:val="20"/>
                <w:lang w:val="fr-CH" w:eastAsia="zh-CN"/>
              </w:rPr>
              <w:t xml:space="preserve"> Congrès international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astronautique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Le Cap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Conférence sur les perspectives pour le développement du </w:t>
            </w:r>
            <w:r w:rsidR="00C91310" w:rsidRPr="00B34854">
              <w:rPr>
                <w:sz w:val="20"/>
                <w:lang w:val="fr-CH" w:eastAsia="zh-CN"/>
              </w:rPr>
              <w:t>march</w:t>
            </w:r>
            <w:r w:rsidRPr="00B34854">
              <w:rPr>
                <w:sz w:val="20"/>
                <w:lang w:val="fr-CH" w:eastAsia="zh-CN"/>
              </w:rPr>
              <w:t>é des communications électroniques dans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Union européenne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Varsovie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Conférence sur la gestion du spectre </w:t>
            </w:r>
            <w:r w:rsidR="002E1FE7" w:rsidRPr="00B34854">
              <w:rPr>
                <w:sz w:val="20"/>
                <w:lang w:val="fr-CH" w:eastAsia="zh-CN"/>
              </w:rPr>
              <w:t>dans</w:t>
            </w:r>
            <w:r w:rsidRPr="00B34854">
              <w:rPr>
                <w:sz w:val="20"/>
                <w:lang w:val="fr-CH" w:eastAsia="zh-CN"/>
              </w:rPr>
              <w:t xml:space="preserve"> la région Amériques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Washington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Table ronde ACP-Europe sur les TIC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Bru</w:t>
            </w:r>
            <w:r w:rsidR="002E1FE7" w:rsidRPr="00B34854">
              <w:rPr>
                <w:sz w:val="20"/>
                <w:lang w:val="en-US" w:eastAsia="zh-CN"/>
              </w:rPr>
              <w:t>xelle</w:t>
            </w:r>
            <w:r w:rsidRPr="00B34854">
              <w:rPr>
                <w:sz w:val="20"/>
                <w:lang w:val="en-US" w:eastAsia="zh-CN"/>
              </w:rPr>
              <w:t>s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6053E1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13ème</w:t>
            </w:r>
            <w:r w:rsidR="00F03F83" w:rsidRPr="00B34854">
              <w:rPr>
                <w:sz w:val="20"/>
                <w:lang w:val="fr-CH" w:eastAsia="zh-CN"/>
              </w:rPr>
              <w:t xml:space="preserve"> réunion internationale sur le contrôle des émissions spatiales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56510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Paris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Conférence sur la coordination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utilisation du spectre résultant du dividende numérique dans les régions frontalières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Union européenne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90377F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90377F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Gdansk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GSC-16 (Groupe de collaboration pour la normalisation mondial</w:t>
            </w:r>
            <w:r w:rsidR="00577CDF">
              <w:rPr>
                <w:sz w:val="20"/>
                <w:lang w:val="fr-CH" w:eastAsia="zh-CN"/>
              </w:rPr>
              <w:t>e)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90377F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Halifax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Le temps UTC pour le XXIème siècle, Royal Society Meeting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Chicheley</w:t>
            </w:r>
            <w:proofErr w:type="spellEnd"/>
            <w:r w:rsidRPr="00B34854">
              <w:rPr>
                <w:sz w:val="20"/>
                <w:lang w:val="en-US" w:eastAsia="zh-CN"/>
              </w:rPr>
              <w:t xml:space="preserve"> Hall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de consultation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UNIDROIT sur la </w:t>
            </w:r>
            <w:r w:rsidR="002E1FE7" w:rsidRPr="00B34854">
              <w:rPr>
                <w:sz w:val="20"/>
                <w:lang w:val="fr-CH" w:eastAsia="zh-CN"/>
              </w:rPr>
              <w:t xml:space="preserve">responsabilité </w:t>
            </w:r>
            <w:r w:rsidRPr="00B34854">
              <w:rPr>
                <w:sz w:val="20"/>
                <w:lang w:val="fr-CH" w:eastAsia="zh-CN"/>
              </w:rPr>
              <w:t xml:space="preserve">civile pour les services fournis par le </w:t>
            </w:r>
            <w:r w:rsidR="002E1FE7" w:rsidRPr="00B34854">
              <w:rPr>
                <w:sz w:val="20"/>
                <w:lang w:val="fr-CH" w:eastAsia="zh-CN"/>
              </w:rPr>
              <w:t>système</w:t>
            </w:r>
            <w:r w:rsidRPr="00B34854">
              <w:rPr>
                <w:sz w:val="20"/>
                <w:lang w:val="fr-CH" w:eastAsia="zh-CN"/>
              </w:rPr>
              <w:t xml:space="preserve"> GNSS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Rome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CCWMC2011 (Conférence internationale des télécommunications sur les systèmes hertz</w:t>
            </w:r>
            <w:r w:rsidR="00C90D9F">
              <w:rPr>
                <w:sz w:val="20"/>
                <w:lang w:val="fr-CH" w:eastAsia="zh-CN"/>
              </w:rPr>
              <w:t>iens, mobiles et informatiques)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Shanghai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Forum 2011 sur la gestion du spectre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Paris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1er Congrès international </w:t>
            </w:r>
            <w:r w:rsidR="002E1FE7" w:rsidRPr="00B34854">
              <w:rPr>
                <w:sz w:val="20"/>
                <w:lang w:val="fr-CH" w:eastAsia="zh-CN"/>
              </w:rPr>
              <w:t xml:space="preserve">de l'ANE </w:t>
            </w:r>
            <w:r w:rsidRPr="00B34854">
              <w:rPr>
                <w:sz w:val="20"/>
                <w:lang w:val="fr-CH" w:eastAsia="zh-CN"/>
              </w:rPr>
              <w:t xml:space="preserve">sur la gestion du spectre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Bogota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ICSSC (Conférence internationale sur les systèmes de té</w:t>
            </w:r>
            <w:r w:rsidR="00C90D9F">
              <w:rPr>
                <w:sz w:val="20"/>
                <w:lang w:val="fr-CH" w:eastAsia="zh-CN"/>
              </w:rPr>
              <w:t>lécommunication par satellite),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1</w:t>
            </w:r>
            <w:r w:rsidR="009D79C9" w:rsidRPr="00B34854">
              <w:rPr>
                <w:sz w:val="20"/>
                <w:lang w:val="en-US" w:eastAsia="zh-CN"/>
              </w:rPr>
              <w:t>er</w:t>
            </w:r>
            <w:r w:rsidRPr="00B34854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Nara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D9D9D9"/>
            <w:noWrap/>
            <w:vAlign w:val="bottom"/>
            <w:hideMark/>
          </w:tcPr>
          <w:p w:rsidR="00F03F83" w:rsidRPr="00C90D9F" w:rsidRDefault="002E1FE7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C90D9F">
              <w:rPr>
                <w:b/>
                <w:bCs/>
                <w:sz w:val="20"/>
                <w:lang w:val="fr-CH" w:eastAsia="zh-CN"/>
              </w:rPr>
              <w:t>SÉMINAIRES, ATELIERS ET RÉUNIONS DE L'UIT</w:t>
            </w:r>
          </w:p>
        </w:tc>
        <w:tc>
          <w:tcPr>
            <w:tcW w:w="1418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</w:p>
        </w:tc>
        <w:tc>
          <w:tcPr>
            <w:tcW w:w="1701" w:type="dxa"/>
            <w:shd w:val="clear" w:color="auto" w:fill="D9D9D9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DF51DF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UIT/</w:t>
            </w:r>
            <w:r w:rsidR="00F03F83" w:rsidRPr="00B34854">
              <w:rPr>
                <w:sz w:val="20"/>
                <w:lang w:val="fr-CH" w:eastAsia="zh-CN"/>
              </w:rPr>
              <w:t xml:space="preserve">ANFR sur </w:t>
            </w:r>
            <w:r w:rsidR="00C90D9F">
              <w:rPr>
                <w:sz w:val="20"/>
                <w:lang w:val="fr-CH" w:eastAsia="zh-CN"/>
              </w:rPr>
              <w:t>la gestion du spectre dans les î</w:t>
            </w:r>
            <w:r w:rsidR="00F03F83" w:rsidRPr="00B34854">
              <w:rPr>
                <w:sz w:val="20"/>
                <w:lang w:val="fr-CH" w:eastAsia="zh-CN"/>
              </w:rPr>
              <w:t>les du Pacifique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Noumé</w:t>
            </w:r>
            <w:r w:rsidR="00F03F83" w:rsidRPr="00B34854">
              <w:rPr>
                <w:sz w:val="20"/>
                <w:lang w:val="en-US" w:eastAsia="zh-CN"/>
              </w:rPr>
              <w:t>a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Séminaire </w:t>
            </w:r>
            <w:proofErr w:type="spellStart"/>
            <w:r w:rsidRPr="00B34854">
              <w:rPr>
                <w:sz w:val="20"/>
                <w:lang w:val="fr-CH" w:eastAsia="zh-CN"/>
              </w:rPr>
              <w:t>sous-régional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 sur la radiodiffusion télévisuelle numérique de Terre.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Györ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AICTO sur les radiocommunications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Amman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régional sur le passage à la radiodiffusion numérique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Hanoi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régional sur le passage à la radiodiffusion numérique et le dividende numérique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Hanoi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90D9F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3ème</w:t>
            </w:r>
            <w:r w:rsidR="00F03F83" w:rsidRPr="00B34854">
              <w:rPr>
                <w:sz w:val="20"/>
                <w:lang w:val="fr-CH" w:eastAsia="zh-CN"/>
              </w:rPr>
              <w:t xml:space="preserve"> réunion de la Commission «Le large bande au service du développement numérique</w:t>
            </w:r>
            <w:r w:rsidR="002E1FE7" w:rsidRPr="00B34854">
              <w:rPr>
                <w:sz w:val="20"/>
                <w:lang w:val="fr-CH" w:eastAsia="zh-CN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Paris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régional sur la réduction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écart en matière de normalisation dans les pays insulaires du Pacifique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Fiji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de formation du Centre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577CDF">
              <w:rPr>
                <w:sz w:val="20"/>
                <w:lang w:val="fr-CH" w:eastAsia="zh-CN"/>
              </w:rPr>
              <w:t>excellence de la région Asie</w:t>
            </w:r>
            <w:r w:rsidR="00577CDF">
              <w:rPr>
                <w:sz w:val="20"/>
                <w:lang w:val="fr-CH" w:eastAsia="zh-CN"/>
              </w:rPr>
              <w:noBreakHyphen/>
            </w:r>
            <w:r w:rsidRPr="00B34854">
              <w:rPr>
                <w:sz w:val="20"/>
                <w:lang w:val="fr-CH" w:eastAsia="zh-CN"/>
              </w:rPr>
              <w:t>Pacifique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 sur la gestion du spectre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Bangkok</w:t>
            </w:r>
          </w:p>
        </w:tc>
      </w:tr>
      <w:tr w:rsidR="00DF51DF" w:rsidRPr="00B34854" w:rsidTr="006053E1">
        <w:tc>
          <w:tcPr>
            <w:tcW w:w="5259" w:type="dxa"/>
            <w:shd w:val="clear" w:color="auto" w:fill="auto"/>
            <w:noWrap/>
            <w:vAlign w:val="bottom"/>
          </w:tcPr>
          <w:p w:rsidR="00DF51DF" w:rsidRPr="00B34854" w:rsidRDefault="00DF51DF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UIT/Novartis: «Dialogue à Genève sur les services de santé mobile» faisant appel à la technologie mobile</w:t>
            </w:r>
          </w:p>
        </w:tc>
        <w:tc>
          <w:tcPr>
            <w:tcW w:w="1418" w:type="dxa"/>
            <w:shd w:val="clear" w:color="auto" w:fill="auto"/>
            <w:noWrap/>
          </w:tcPr>
          <w:p w:rsidR="00DF51DF" w:rsidRPr="00B34854" w:rsidRDefault="00DF51DF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27 juin</w:t>
            </w:r>
          </w:p>
        </w:tc>
        <w:tc>
          <w:tcPr>
            <w:tcW w:w="1559" w:type="dxa"/>
            <w:shd w:val="clear" w:color="auto" w:fill="auto"/>
            <w:noWrap/>
          </w:tcPr>
          <w:p w:rsidR="00DF51DF" w:rsidRPr="00B34854" w:rsidRDefault="00DF51DF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27 juin</w:t>
            </w:r>
          </w:p>
        </w:tc>
        <w:tc>
          <w:tcPr>
            <w:tcW w:w="1701" w:type="dxa"/>
            <w:shd w:val="clear" w:color="auto" w:fill="auto"/>
            <w:noWrap/>
          </w:tcPr>
          <w:p w:rsidR="00DF51DF" w:rsidRPr="00B34854" w:rsidRDefault="00DF51DF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90D9F" w:rsidP="00B34854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6</w:t>
            </w:r>
            <w:r w:rsidR="00F03F83" w:rsidRPr="00B34854">
              <w:rPr>
                <w:sz w:val="20"/>
                <w:lang w:val="fr-CH" w:eastAsia="zh-CN"/>
              </w:rPr>
              <w:t>ème colloque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UIT sur les TIC,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>environnement et les changements</w:t>
            </w:r>
            <w:r w:rsidR="00577CDF">
              <w:rPr>
                <w:sz w:val="20"/>
                <w:lang w:val="fr-CH" w:eastAsia="zh-CN"/>
              </w:rPr>
              <w:t xml:space="preserve"> climatiques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C91310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Ghana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Séminaire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UIT sur </w:t>
            </w:r>
            <w:r w:rsidR="00577CDF">
              <w:rPr>
                <w:sz w:val="20"/>
                <w:lang w:val="fr-CH" w:eastAsia="zh-CN"/>
              </w:rPr>
              <w:t>la «gestion avancée du spectre»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Almaty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 sur le thème «Faire avancer le programme d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action pour le climat grâce aux TIC vertes</w:t>
            </w:r>
            <w:r w:rsidR="002E1FE7" w:rsidRPr="00B34854">
              <w:rPr>
                <w:sz w:val="20"/>
                <w:lang w:val="fr-CH" w:eastAsia="zh-CN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Sé</w:t>
            </w:r>
            <w:r w:rsidR="00F03F83" w:rsidRPr="00B34854">
              <w:rPr>
                <w:sz w:val="20"/>
                <w:lang w:val="en-US" w:eastAsia="zh-CN"/>
              </w:rPr>
              <w:t>oul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C91310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</w:t>
            </w:r>
            <w:r w:rsidR="00F03F83" w:rsidRPr="00B34854">
              <w:rPr>
                <w:sz w:val="20"/>
                <w:lang w:val="fr-CH" w:eastAsia="zh-CN"/>
              </w:rPr>
              <w:t xml:space="preserve"> de la CE 5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F03F83" w:rsidRPr="00B34854">
              <w:rPr>
                <w:sz w:val="20"/>
                <w:lang w:val="fr-CH" w:eastAsia="zh-CN"/>
              </w:rPr>
              <w:t xml:space="preserve">UIT-T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Sé</w:t>
            </w:r>
            <w:r w:rsidR="00F03F83" w:rsidRPr="00B34854">
              <w:rPr>
                <w:sz w:val="20"/>
                <w:lang w:val="en-US" w:eastAsia="zh-CN"/>
              </w:rPr>
              <w:t>oul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Colloque mondial des régulateurs (GSR)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Arménie</w:t>
            </w:r>
            <w:proofErr w:type="spellEnd"/>
            <w:r w:rsidR="00F03F83" w:rsidRPr="00B34854">
              <w:rPr>
                <w:sz w:val="20"/>
                <w:lang w:val="en-US" w:eastAsia="zh-CN"/>
              </w:rPr>
              <w:t xml:space="preserve"> (CLM)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régional sur la réduction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éc</w:t>
            </w:r>
            <w:r w:rsidR="00C90D9F">
              <w:rPr>
                <w:sz w:val="20"/>
                <w:lang w:val="fr-CH" w:eastAsia="zh-CN"/>
              </w:rPr>
              <w:t>art en matière de normalisation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Alg</w:t>
            </w:r>
            <w:r w:rsidR="002E1FE7" w:rsidRPr="00B34854">
              <w:rPr>
                <w:sz w:val="20"/>
                <w:lang w:val="en-US" w:eastAsia="zh-CN"/>
              </w:rPr>
              <w:t>érie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vAlign w:val="center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Séminaire régional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 sur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577CDF">
              <w:rPr>
                <w:sz w:val="20"/>
                <w:lang w:val="fr-CH" w:eastAsia="zh-CN"/>
              </w:rPr>
              <w:t>accès large bande pour la </w:t>
            </w:r>
            <w:r w:rsidRPr="00B34854">
              <w:rPr>
                <w:sz w:val="20"/>
                <w:lang w:val="fr-CH" w:eastAsia="zh-CN"/>
              </w:rPr>
              <w:t>CEI, la région Asie</w:t>
            </w:r>
            <w:r w:rsidRPr="00B34854">
              <w:rPr>
                <w:sz w:val="20"/>
                <w:lang w:val="fr-CH" w:eastAsia="zh-CN"/>
              </w:rPr>
              <w:noBreakHyphen/>
              <w:t>Pacifique et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Europe</w:t>
            </w:r>
          </w:p>
        </w:tc>
        <w:tc>
          <w:tcPr>
            <w:tcW w:w="1418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Chisinau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center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UIT/Serbie sur le passage à la télévision numérique et le dividende numérique</w:t>
            </w:r>
          </w:p>
        </w:tc>
        <w:tc>
          <w:tcPr>
            <w:tcW w:w="1418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Belgrade</w:t>
            </w:r>
          </w:p>
        </w:tc>
      </w:tr>
      <w:tr w:rsidR="00DF51DF" w:rsidRPr="00B34854" w:rsidTr="006053E1">
        <w:tc>
          <w:tcPr>
            <w:tcW w:w="5259" w:type="dxa"/>
            <w:shd w:val="clear" w:color="auto" w:fill="auto"/>
            <w:noWrap/>
            <w:vAlign w:val="center"/>
          </w:tcPr>
          <w:p w:rsidR="00DF51DF" w:rsidRPr="00B34854" w:rsidRDefault="00DF51DF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Telecom World 2011</w:t>
            </w:r>
          </w:p>
        </w:tc>
        <w:tc>
          <w:tcPr>
            <w:tcW w:w="1418" w:type="dxa"/>
            <w:shd w:val="clear" w:color="auto" w:fill="auto"/>
          </w:tcPr>
          <w:p w:rsidR="00DF51DF" w:rsidRPr="00B34854" w:rsidRDefault="00DF51DF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F51DF" w:rsidRPr="00B34854" w:rsidRDefault="00DF51DF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Pr="00B34854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F51DF" w:rsidRPr="00B34854" w:rsidRDefault="00DF51DF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center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régional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 sur le passage à la télévision numérique</w:t>
            </w:r>
          </w:p>
        </w:tc>
        <w:tc>
          <w:tcPr>
            <w:tcW w:w="1418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center"/>
            <w:hideMark/>
          </w:tcPr>
          <w:p w:rsidR="00F03F83" w:rsidRPr="00B34854" w:rsidRDefault="002E1FE7" w:rsidP="00C90D9F">
            <w:pPr>
              <w:pStyle w:val="Tabletext"/>
              <w:keepNext/>
              <w:keepLines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Conférence </w:t>
            </w:r>
            <w:r w:rsidR="00C90D9F">
              <w:rPr>
                <w:sz w:val="20"/>
                <w:lang w:val="fr-CH" w:eastAsia="zh-CN"/>
              </w:rPr>
              <w:t>r</w:t>
            </w:r>
            <w:r w:rsidRPr="00B34854">
              <w:rPr>
                <w:sz w:val="20"/>
                <w:lang w:val="fr-CH" w:eastAsia="zh-CN"/>
              </w:rPr>
              <w:t>é</w:t>
            </w:r>
            <w:r w:rsidR="00F03F83" w:rsidRPr="00B34854">
              <w:rPr>
                <w:sz w:val="20"/>
                <w:lang w:val="fr-CH" w:eastAsia="zh-CN"/>
              </w:rPr>
              <w:t xml:space="preserve">gionale sur les processus liés au passage au numérique </w:t>
            </w:r>
          </w:p>
        </w:tc>
        <w:tc>
          <w:tcPr>
            <w:tcW w:w="1418" w:type="dxa"/>
            <w:shd w:val="clear" w:color="auto" w:fill="auto"/>
            <w:hideMark/>
          </w:tcPr>
          <w:p w:rsidR="00F03F83" w:rsidRPr="00B34854" w:rsidRDefault="00F03F83" w:rsidP="00577CDF">
            <w:pPr>
              <w:pStyle w:val="Tabletext"/>
              <w:keepNext/>
              <w:keepLines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F03F83" w:rsidRPr="00B34854" w:rsidRDefault="00F03F83" w:rsidP="00577CDF">
            <w:pPr>
              <w:pStyle w:val="Tabletext"/>
              <w:keepNext/>
              <w:keepLines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03F83" w:rsidRPr="00B34854" w:rsidRDefault="00F03F83" w:rsidP="00577CDF">
            <w:pPr>
              <w:pStyle w:val="Tabletext"/>
              <w:keepNext/>
              <w:keepLines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Belgrade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 sur le passage à la télévision numérique et le dividende numérique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Tegucigalpa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Cours sur les politiques géné</w:t>
            </w:r>
            <w:r w:rsidR="00F03F83" w:rsidRPr="00B34854">
              <w:rPr>
                <w:sz w:val="20"/>
                <w:lang w:val="fr-CH" w:eastAsia="zh-CN"/>
              </w:rPr>
              <w:t>rales applicables à la radiodiffusion et aux communications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Corée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Atelier sur la gestion d</w:t>
            </w:r>
            <w:r w:rsidR="002E1FE7" w:rsidRPr="00B34854">
              <w:rPr>
                <w:sz w:val="20"/>
                <w:lang w:val="fr-CH" w:eastAsia="zh-CN"/>
              </w:rPr>
              <w:t xml:space="preserve">u spectre pour les </w:t>
            </w:r>
            <w:proofErr w:type="spellStart"/>
            <w:r w:rsidR="002E1FE7" w:rsidRPr="00B34854">
              <w:rPr>
                <w:sz w:val="20"/>
                <w:lang w:val="fr-CH" w:eastAsia="zh-CN"/>
              </w:rPr>
              <w:t>Etats</w:t>
            </w:r>
            <w:proofErr w:type="spellEnd"/>
            <w:r w:rsidR="002E1FE7" w:rsidRPr="00B34854">
              <w:rPr>
                <w:sz w:val="20"/>
                <w:lang w:val="fr-CH" w:eastAsia="zh-CN"/>
              </w:rPr>
              <w:t xml:space="preserve"> arabes</w:t>
            </w:r>
            <w:r w:rsidRPr="00B34854">
              <w:rPr>
                <w:sz w:val="20"/>
                <w:lang w:val="fr-CH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Amman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Séminaire UIT/UAT/ITSO consacré aux services spatiaux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Niamey (Niger)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Atelier sur la coordination du contrôle des </w:t>
            </w:r>
            <w:r w:rsidR="00C91310" w:rsidRPr="00B34854">
              <w:rPr>
                <w:sz w:val="20"/>
                <w:lang w:val="fr-CH" w:eastAsia="zh-CN"/>
              </w:rPr>
              <w:t>émissions</w:t>
            </w:r>
            <w:r w:rsidRPr="00B34854">
              <w:rPr>
                <w:sz w:val="20"/>
                <w:lang w:val="fr-CH" w:eastAsia="zh-CN"/>
              </w:rPr>
              <w:t xml:space="preserve"> en ondes décamétriques pour les pays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2E1FE7" w:rsidRPr="00B34854">
              <w:rPr>
                <w:sz w:val="20"/>
                <w:lang w:val="fr-CH" w:eastAsia="zh-CN"/>
              </w:rPr>
              <w:t>ANASE</w:t>
            </w:r>
            <w:r w:rsidRPr="00B34854">
              <w:rPr>
                <w:sz w:val="20"/>
                <w:lang w:val="fr-CH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</w:rPr>
              <w:t>Nha</w:t>
            </w:r>
            <w:proofErr w:type="spellEnd"/>
            <w:r w:rsidRPr="00B34854">
              <w:rPr>
                <w:sz w:val="20"/>
              </w:rPr>
              <w:t xml:space="preserve"> </w:t>
            </w:r>
            <w:proofErr w:type="spellStart"/>
            <w:r w:rsidRPr="00B34854">
              <w:rPr>
                <w:sz w:val="20"/>
              </w:rPr>
              <w:t>Trang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Réunion pluridisciplinaire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UIT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Le Cap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 xml:space="preserve">Atelier </w:t>
            </w:r>
            <w:r w:rsidR="00C91310" w:rsidRPr="00B34854">
              <w:rPr>
                <w:sz w:val="20"/>
                <w:lang w:val="fr-CH" w:eastAsia="zh-CN"/>
              </w:rPr>
              <w:t>régional</w:t>
            </w:r>
            <w:r w:rsidRPr="00B34854">
              <w:rPr>
                <w:sz w:val="20"/>
                <w:lang w:val="fr-CH" w:eastAsia="zh-CN"/>
              </w:rPr>
              <w:t xml:space="preserve">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2E1FE7" w:rsidRPr="00B34854">
              <w:rPr>
                <w:sz w:val="20"/>
                <w:lang w:val="fr-CH" w:eastAsia="zh-CN"/>
              </w:rPr>
              <w:t>UIT sur les services spatiaux</w:t>
            </w:r>
            <w:r w:rsidRPr="00B34854">
              <w:rPr>
                <w:sz w:val="20"/>
                <w:lang w:val="fr-CH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C90D9F" w:rsidTr="006053E1">
        <w:tc>
          <w:tcPr>
            <w:tcW w:w="5259" w:type="dxa"/>
            <w:shd w:val="clear" w:color="auto" w:fill="D9D9D9"/>
            <w:noWrap/>
            <w:vAlign w:val="bottom"/>
            <w:hideMark/>
          </w:tcPr>
          <w:p w:rsidR="00F03F83" w:rsidRPr="00C90D9F" w:rsidRDefault="002E1FE7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C90D9F">
              <w:rPr>
                <w:b/>
                <w:bCs/>
                <w:sz w:val="20"/>
                <w:lang w:val="fr-CH" w:eastAsia="zh-CN"/>
              </w:rPr>
              <w:t xml:space="preserve">DEMANDES </w:t>
            </w:r>
            <w:r w:rsidR="00044378" w:rsidRPr="00C90D9F">
              <w:rPr>
                <w:b/>
                <w:bCs/>
                <w:sz w:val="20"/>
                <w:lang w:val="fr-CH" w:eastAsia="zh-CN"/>
              </w:rPr>
              <w:t>D</w:t>
            </w:r>
            <w:r w:rsidR="007A68A3" w:rsidRPr="00C90D9F">
              <w:rPr>
                <w:b/>
                <w:bCs/>
                <w:sz w:val="20"/>
                <w:lang w:val="fr-CH" w:eastAsia="zh-CN"/>
              </w:rPr>
              <w:t>'</w:t>
            </w:r>
            <w:r w:rsidR="00F03F83" w:rsidRPr="00C90D9F">
              <w:rPr>
                <w:b/>
                <w:bCs/>
                <w:sz w:val="20"/>
                <w:lang w:val="fr-CH" w:eastAsia="zh-CN"/>
              </w:rPr>
              <w:t>ASSISTANCE/</w:t>
            </w:r>
            <w:r w:rsidR="00044378" w:rsidRPr="00C90D9F">
              <w:rPr>
                <w:b/>
                <w:bCs/>
                <w:sz w:val="20"/>
                <w:lang w:val="fr-CH" w:eastAsia="zh-CN"/>
              </w:rPr>
              <w:t>D</w:t>
            </w:r>
            <w:r w:rsidR="007A68A3" w:rsidRPr="00C90D9F">
              <w:rPr>
                <w:b/>
                <w:bCs/>
                <w:sz w:val="20"/>
                <w:lang w:val="fr-CH" w:eastAsia="zh-CN"/>
              </w:rPr>
              <w:t>'</w:t>
            </w:r>
            <w:r w:rsidR="00F03F83" w:rsidRPr="00C90D9F">
              <w:rPr>
                <w:b/>
                <w:bCs/>
                <w:sz w:val="20"/>
                <w:lang w:val="fr-CH" w:eastAsia="zh-CN"/>
              </w:rPr>
              <w:t xml:space="preserve">INFORMATION </w:t>
            </w:r>
          </w:p>
        </w:tc>
        <w:tc>
          <w:tcPr>
            <w:tcW w:w="1418" w:type="dxa"/>
            <w:shd w:val="clear" w:color="auto" w:fill="D9D9D9"/>
            <w:noWrap/>
            <w:vAlign w:val="bottom"/>
            <w:hideMark/>
          </w:tcPr>
          <w:p w:rsidR="00F03F83" w:rsidRPr="00C90D9F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:rsidR="00F03F83" w:rsidRPr="00C90D9F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701" w:type="dxa"/>
            <w:shd w:val="clear" w:color="auto" w:fill="D9D9D9"/>
            <w:noWrap/>
            <w:vAlign w:val="bottom"/>
            <w:hideMark/>
          </w:tcPr>
          <w:p w:rsidR="00F03F83" w:rsidRPr="00C90D9F" w:rsidRDefault="00F03F83" w:rsidP="00B34854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au Mali</w:t>
            </w:r>
            <w:r w:rsidRPr="00B34854">
              <w:rPr>
                <w:sz w:val="20"/>
                <w:lang w:val="fr-CH"/>
              </w:rPr>
              <w:t xml:space="preserve"> concernant la </w:t>
            </w:r>
            <w:r w:rsidRPr="00B34854">
              <w:rPr>
                <w:sz w:val="20"/>
                <w:lang w:val="fr-CH" w:eastAsia="zh-CN"/>
              </w:rPr>
              <w:t xml:space="preserve">feuille de route pour le passage à la télévision numérique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Bamako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au Mali concernant la feuille de route pour le passage à la télévision numérique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10 </w:t>
            </w:r>
            <w:r w:rsidR="009D79C9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17 </w:t>
            </w:r>
            <w:r w:rsidR="009D79C9" w:rsidRPr="00B34854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Bamako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à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="00C91310" w:rsidRPr="00B34854">
              <w:rPr>
                <w:sz w:val="20"/>
                <w:lang w:val="fr-CH" w:eastAsia="zh-CN"/>
              </w:rPr>
              <w:t>Azerbaïdjan</w:t>
            </w:r>
            <w:r w:rsidRPr="00B34854">
              <w:rPr>
                <w:sz w:val="20"/>
                <w:lang w:val="fr-CH" w:eastAsia="zh-CN"/>
              </w:rPr>
              <w:t xml:space="preserve"> concernant les réseaux à satellite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Baku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Présentation de communications (2 jours) à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invitation de la Radio </w:t>
            </w:r>
            <w:proofErr w:type="spellStart"/>
            <w:r w:rsidRPr="00B34854">
              <w:rPr>
                <w:sz w:val="20"/>
                <w:lang w:val="fr-CH" w:eastAsia="zh-CN"/>
              </w:rPr>
              <w:t>Research</w:t>
            </w:r>
            <w:proofErr w:type="spellEnd"/>
            <w:r w:rsidRPr="00B34854">
              <w:rPr>
                <w:sz w:val="20"/>
                <w:lang w:val="fr-CH" w:eastAsia="zh-CN"/>
              </w:rPr>
              <w:t xml:space="preserve"> Agency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Seoul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à la Serbie - passage à la radiodiffusion numérique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Belgrade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Visite auprès du Ministère des TIC</w:t>
            </w:r>
            <w:r w:rsidR="002E1FE7" w:rsidRPr="00B34854">
              <w:rPr>
                <w:sz w:val="20"/>
                <w:lang w:val="fr-CH" w:eastAsia="zh-CN"/>
              </w:rPr>
              <w:t xml:space="preserve"> + Sé</w:t>
            </w:r>
            <w:r w:rsidRPr="00B34854">
              <w:rPr>
                <w:sz w:val="20"/>
                <w:lang w:val="fr-CH" w:eastAsia="zh-CN"/>
              </w:rPr>
              <w:t>minaire sur les politiques nationales relative</w:t>
            </w:r>
            <w:r w:rsidR="002E1FE7" w:rsidRPr="00B34854">
              <w:rPr>
                <w:sz w:val="20"/>
                <w:lang w:val="fr-CH" w:eastAsia="zh-CN"/>
              </w:rPr>
              <w:t>s aux sciences et techniques spa</w:t>
            </w:r>
            <w:r w:rsidRPr="00B34854">
              <w:rPr>
                <w:sz w:val="20"/>
                <w:lang w:val="fr-CH" w:eastAsia="zh-CN"/>
              </w:rPr>
              <w:t>tiales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Première réunion des groupes de travail technique de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>ANE en vue de la CMR-12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Bogota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au Soudan du Sud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2E1FE7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Soudan du </w:t>
            </w:r>
            <w:proofErr w:type="spellStart"/>
            <w:r w:rsidRPr="00B34854">
              <w:rPr>
                <w:sz w:val="20"/>
                <w:lang w:val="en-US" w:eastAsia="zh-CN"/>
              </w:rPr>
              <w:t>Sud</w:t>
            </w:r>
            <w:proofErr w:type="spellEnd"/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B34854">
              <w:rPr>
                <w:sz w:val="20"/>
                <w:lang w:val="en-US" w:eastAsia="zh-CN"/>
              </w:rPr>
              <w:t>Visite</w:t>
            </w:r>
            <w:proofErr w:type="spellEnd"/>
            <w:r w:rsidRPr="00B34854">
              <w:rPr>
                <w:sz w:val="20"/>
                <w:lang w:val="en-US" w:eastAsia="zh-CN"/>
              </w:rPr>
              <w:t xml:space="preserve"> à </w:t>
            </w:r>
            <w:proofErr w:type="spellStart"/>
            <w:r w:rsidRPr="00B34854">
              <w:rPr>
                <w:sz w:val="20"/>
                <w:lang w:val="en-US" w:eastAsia="zh-CN"/>
              </w:rPr>
              <w:t>Yahsat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Abu Dhabi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au Niger sur le plan stratégique pour le passage à la télévision numérique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Niamey</w:t>
            </w:r>
          </w:p>
        </w:tc>
      </w:tr>
      <w:tr w:rsidR="00F03F83" w:rsidRPr="00B34854" w:rsidTr="006053E1">
        <w:tc>
          <w:tcPr>
            <w:tcW w:w="5259" w:type="dxa"/>
            <w:shd w:val="clear" w:color="auto" w:fill="auto"/>
            <w:noWrap/>
            <w:vAlign w:val="bottom"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fr-CH" w:eastAsia="zh-CN"/>
              </w:rPr>
            </w:pPr>
            <w:r w:rsidRPr="00B34854">
              <w:rPr>
                <w:sz w:val="20"/>
                <w:lang w:val="fr-CH" w:eastAsia="zh-CN"/>
              </w:rPr>
              <w:t>Assistance à l</w:t>
            </w:r>
            <w:r w:rsidR="007A68A3" w:rsidRPr="00B34854">
              <w:rPr>
                <w:sz w:val="20"/>
                <w:lang w:val="fr-CH" w:eastAsia="zh-CN"/>
              </w:rPr>
              <w:t>'</w:t>
            </w:r>
            <w:r w:rsidRPr="00B34854">
              <w:rPr>
                <w:sz w:val="20"/>
                <w:lang w:val="fr-CH" w:eastAsia="zh-CN"/>
              </w:rPr>
              <w:t xml:space="preserve">Albanie sur le plan stratégique pour le passage à la télévision numérique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9D79C9" w:rsidRPr="00B34854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03F83" w:rsidRPr="00B34854" w:rsidRDefault="00F03F83" w:rsidP="00B34854">
            <w:pPr>
              <w:pStyle w:val="Tabletext"/>
              <w:rPr>
                <w:sz w:val="20"/>
                <w:lang w:val="en-US" w:eastAsia="zh-CN"/>
              </w:rPr>
            </w:pPr>
            <w:r w:rsidRPr="00B34854">
              <w:rPr>
                <w:sz w:val="20"/>
                <w:lang w:val="en-US" w:eastAsia="zh-CN"/>
              </w:rPr>
              <w:t>Tirana</w:t>
            </w:r>
          </w:p>
        </w:tc>
      </w:tr>
    </w:tbl>
    <w:p w:rsidR="00F03F83" w:rsidRDefault="00F03F83" w:rsidP="00C91310">
      <w:pPr>
        <w:pStyle w:val="BodyText2"/>
        <w:spacing w:before="60" w:after="100" w:line="240" w:lineRule="auto"/>
        <w:jc w:val="center"/>
        <w:rPr>
          <w:bCs/>
          <w:lang w:eastAsia="zh-CN"/>
        </w:rPr>
        <w:sectPr w:rsidR="00F03F83" w:rsidSect="004509EE">
          <w:headerReference w:type="default" r:id="rId27"/>
          <w:footerReference w:type="default" r:id="rId28"/>
          <w:footerReference w:type="first" r:id="rId29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259"/>
        <w:gridCol w:w="1559"/>
        <w:gridCol w:w="1418"/>
        <w:gridCol w:w="1701"/>
      </w:tblGrid>
      <w:tr w:rsidR="00C90D9F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</w:p>
        </w:tc>
      </w:tr>
      <w:tr w:rsidR="00C90D9F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2E1FE7" w:rsidP="00C90D9F">
            <w:pPr>
              <w:pStyle w:val="Tablehead"/>
              <w:rPr>
                <w:sz w:val="20"/>
                <w:lang w:val="en-US" w:eastAsia="zh-CN"/>
              </w:rPr>
            </w:pPr>
            <w:bookmarkStart w:id="5" w:name="RANGE!A1:D139"/>
            <w:proofErr w:type="spellStart"/>
            <w:r w:rsidRPr="00C90D9F">
              <w:rPr>
                <w:sz w:val="20"/>
                <w:lang w:val="en-US" w:eastAsia="zh-CN"/>
              </w:rPr>
              <w:t>Titr</w:t>
            </w:r>
            <w:r w:rsidR="00F03F83" w:rsidRPr="00C90D9F">
              <w:rPr>
                <w:sz w:val="20"/>
                <w:lang w:val="en-US" w:eastAsia="zh-CN"/>
              </w:rPr>
              <w:t>e</w:t>
            </w:r>
            <w:bookmarkEnd w:id="5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Début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Fin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head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Lieu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C90D9F" w:rsidRDefault="002E1FE7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C90D9F">
              <w:rPr>
                <w:b/>
                <w:bCs/>
                <w:sz w:val="20"/>
                <w:lang w:val="fr-CH" w:eastAsia="zh-CN"/>
              </w:rPr>
              <w:t>INSTITUTIONS SPÉCIALISÉES DE L'ONU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83" w:rsidRPr="00C90D9F" w:rsidRDefault="00C90D9F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42ème</w:t>
            </w:r>
            <w:r w:rsidR="00F03F83" w:rsidRPr="00C90D9F">
              <w:rPr>
                <w:sz w:val="20"/>
                <w:lang w:val="fr-CH" w:eastAsia="zh-CN"/>
              </w:rPr>
              <w:t xml:space="preserve"> session du Sous-Comité scientifique et technique du COPUOS (STS-49)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32ème </w:t>
            </w:r>
            <w:r w:rsidR="004901E2" w:rsidRPr="00C90D9F">
              <w:rPr>
                <w:sz w:val="20"/>
                <w:lang w:val="fr-CH" w:eastAsia="zh-CN"/>
              </w:rPr>
              <w:t>session de la r</w:t>
            </w:r>
            <w:r w:rsidRPr="00C90D9F">
              <w:rPr>
                <w:sz w:val="20"/>
                <w:lang w:val="fr-CH" w:eastAsia="zh-CN"/>
              </w:rPr>
              <w:t xml:space="preserve">éunion </w:t>
            </w:r>
            <w:proofErr w:type="spellStart"/>
            <w:r w:rsidRPr="00C90D9F">
              <w:rPr>
                <w:sz w:val="20"/>
                <w:lang w:val="fr-CH" w:eastAsia="zh-CN"/>
              </w:rPr>
              <w:t>interinstitutions</w:t>
            </w:r>
            <w:proofErr w:type="spellEnd"/>
            <w:r w:rsidRPr="00C90D9F">
              <w:rPr>
                <w:sz w:val="20"/>
                <w:lang w:val="fr-CH" w:eastAsia="zh-CN"/>
              </w:rPr>
              <w:t xml:space="preserve"> sur les activités liées à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4901E2" w:rsidRPr="00C90D9F">
              <w:rPr>
                <w:sz w:val="20"/>
                <w:lang w:val="fr-CH" w:eastAsia="zh-CN"/>
              </w:rPr>
              <w:t>espace extra</w:t>
            </w:r>
            <w:r w:rsidR="004901E2" w:rsidRPr="00C90D9F">
              <w:rPr>
                <w:sz w:val="20"/>
                <w:lang w:val="fr-CH" w:eastAsia="zh-CN"/>
              </w:rPr>
              <w:noBreakHyphen/>
            </w:r>
            <w:r w:rsidRPr="00C90D9F">
              <w:rPr>
                <w:sz w:val="20"/>
                <w:lang w:val="fr-CH" w:eastAsia="zh-CN"/>
              </w:rPr>
              <w:t>atmosphérique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Rome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C90D9F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16ème</w:t>
            </w:r>
            <w:r w:rsidR="00F03F83" w:rsidRPr="00C90D9F">
              <w:rPr>
                <w:sz w:val="20"/>
                <w:lang w:val="fr-CH" w:eastAsia="zh-CN"/>
              </w:rPr>
              <w:t xml:space="preserve"> session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OMI-COMSAR,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Londres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C90D9F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26ème</w:t>
            </w:r>
            <w:r w:rsidR="00F03F83" w:rsidRPr="00C90D9F">
              <w:rPr>
                <w:sz w:val="20"/>
                <w:lang w:val="fr-CH" w:eastAsia="zh-CN"/>
              </w:rPr>
              <w:t xml:space="preserve"> réunion du Groupe de travail F du Groupe d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experts des communications aéronautiques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OACI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30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533E5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Montré</w:t>
            </w:r>
            <w:r w:rsidR="00F03F83" w:rsidRPr="00C90D9F">
              <w:rPr>
                <w:sz w:val="20"/>
                <w:lang w:val="en-US" w:eastAsia="zh-CN"/>
              </w:rPr>
              <w:t>al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C90D9F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51ème</w:t>
            </w:r>
            <w:r w:rsidR="00F03F83" w:rsidRPr="00C90D9F">
              <w:rPr>
                <w:sz w:val="20"/>
                <w:lang w:val="fr-CH" w:eastAsia="zh-CN"/>
              </w:rPr>
              <w:t xml:space="preserve"> session du Sous-Comité </w:t>
            </w:r>
            <w:r w:rsidR="004901E2" w:rsidRPr="00C90D9F">
              <w:rPr>
                <w:sz w:val="20"/>
                <w:lang w:val="fr-CH" w:eastAsia="zh-CN"/>
              </w:rPr>
              <w:t>juridique</w:t>
            </w:r>
            <w:r>
              <w:rPr>
                <w:sz w:val="20"/>
                <w:lang w:val="fr-CH" w:eastAsia="zh-CN"/>
              </w:rPr>
              <w:t xml:space="preserve"> du COPUOS (19</w:t>
            </w:r>
            <w:r>
              <w:rPr>
                <w:sz w:val="20"/>
                <w:lang w:val="fr-CH" w:eastAsia="zh-CN"/>
              </w:rPr>
              <w:noBreakHyphen/>
              <w:t>30 m</w:t>
            </w:r>
            <w:r w:rsidR="00F03F83" w:rsidRPr="00C90D9F">
              <w:rPr>
                <w:sz w:val="20"/>
                <w:lang w:val="fr-CH" w:eastAsia="zh-CN"/>
              </w:rPr>
              <w:t>ars)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26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28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12ème </w:t>
            </w:r>
            <w:r w:rsidR="00C91310" w:rsidRPr="00C90D9F">
              <w:rPr>
                <w:sz w:val="20"/>
                <w:lang w:val="fr-CH" w:eastAsia="zh-CN"/>
              </w:rPr>
              <w:t>réunion</w:t>
            </w:r>
            <w:r w:rsidRPr="00C90D9F">
              <w:rPr>
                <w:sz w:val="20"/>
                <w:lang w:val="fr-CH" w:eastAsia="zh-CN"/>
              </w:rPr>
              <w:t xml:space="preserve"> plénière annuelle du Groupe de travail des Nations Unies sur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information géographique</w:t>
            </w:r>
            <w:r w:rsidRPr="00C90D9F">
              <w:rPr>
                <w:sz w:val="20"/>
                <w:lang w:val="fr-CH"/>
              </w:rPr>
              <w:t xml:space="preserve"> </w:t>
            </w:r>
            <w:r w:rsidRPr="00C90D9F">
              <w:rPr>
                <w:sz w:val="20"/>
                <w:lang w:val="fr-CH" w:eastAsia="zh-CN"/>
              </w:rPr>
              <w:t>(</w:t>
            </w:r>
            <w:bookmarkStart w:id="6" w:name="hit1"/>
            <w:bookmarkEnd w:id="6"/>
            <w:r w:rsidRPr="00C90D9F">
              <w:rPr>
                <w:sz w:val="20"/>
                <w:lang w:val="fr-CH" w:eastAsia="zh-CN"/>
              </w:rPr>
              <w:t xml:space="preserve">UNGIWG) (28-30 </w:t>
            </w:r>
            <w:r w:rsidR="00C90D9F">
              <w:rPr>
                <w:sz w:val="20"/>
                <w:lang w:val="fr-CH" w:eastAsia="zh-CN"/>
              </w:rPr>
              <w:t>m</w:t>
            </w:r>
            <w:r w:rsidRPr="00C90D9F">
              <w:rPr>
                <w:sz w:val="20"/>
                <w:lang w:val="fr-CH" w:eastAsia="zh-CN"/>
              </w:rPr>
              <w:t>ars)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30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sur la sécurité spatiale 2011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962C6E">
              <w:rPr>
                <w:sz w:val="20"/>
                <w:lang w:val="fr-CH" w:eastAsia="zh-CN"/>
              </w:rPr>
              <w:t>UNIDIR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29 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30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Cinquante-cinquième session du COPUOS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Vienne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Dialogue sur le développement durable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Rio de Janeiro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>
              <w:rPr>
                <w:sz w:val="20"/>
                <w:lang w:val="en-US" w:eastAsia="zh-CN"/>
              </w:rPr>
              <w:t>Sommet</w:t>
            </w:r>
            <w:proofErr w:type="spellEnd"/>
            <w:r>
              <w:rPr>
                <w:sz w:val="20"/>
                <w:lang w:val="en-US" w:eastAsia="zh-CN"/>
              </w:rPr>
              <w:t xml:space="preserve"> Rio</w:t>
            </w:r>
            <w:r w:rsidR="00F03F83" w:rsidRPr="00C90D9F">
              <w:rPr>
                <w:sz w:val="20"/>
                <w:lang w:val="en-US" w:eastAsia="zh-CN"/>
              </w:rPr>
              <w:t xml:space="preserve">+20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Rio de Janeiro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27ème</w:t>
            </w:r>
            <w:r w:rsidR="00F03F83" w:rsidRPr="00C90D9F">
              <w:rPr>
                <w:sz w:val="20"/>
                <w:lang w:val="fr-CH" w:eastAsia="zh-CN"/>
              </w:rPr>
              <w:t xml:space="preserve"> réunion du Groupe de travail F du Groupe d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experts des communications aéronautiques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OACI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C90D9F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26 Sept.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Montré</w:t>
            </w:r>
            <w:r w:rsidR="00F03F83" w:rsidRPr="00C90D9F">
              <w:rPr>
                <w:sz w:val="20"/>
                <w:lang w:val="en-US" w:eastAsia="zh-CN"/>
              </w:rPr>
              <w:t>al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8</w:t>
            </w:r>
            <w:r w:rsidR="004901E2" w:rsidRPr="00C90D9F">
              <w:rPr>
                <w:sz w:val="20"/>
                <w:lang w:val="fr-CH" w:eastAsia="zh-CN"/>
              </w:rPr>
              <w:t>ème</w:t>
            </w:r>
            <w:r w:rsidR="00F03F83" w:rsidRPr="00C90D9F">
              <w:rPr>
                <w:sz w:val="20"/>
                <w:lang w:val="fr-CH" w:eastAsia="zh-CN"/>
              </w:rPr>
              <w:t xml:space="preserve"> réunion du Groupe mixte d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experts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970B21">
              <w:rPr>
                <w:sz w:val="20"/>
                <w:lang w:val="fr-CH" w:eastAsia="zh-CN"/>
              </w:rPr>
              <w:t>OMI/UIT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Londres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,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Royaume</w:t>
            </w:r>
            <w:r w:rsidR="004901E2" w:rsidRPr="00C90D9F">
              <w:rPr>
                <w:sz w:val="20"/>
                <w:lang w:val="en-US" w:eastAsia="zh-CN"/>
              </w:rPr>
              <w:noBreakHyphen/>
              <w:t>Uni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internationale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4901E2" w:rsidRPr="00C90D9F">
              <w:rPr>
                <w:sz w:val="20"/>
                <w:lang w:val="fr-CH" w:eastAsia="zh-CN"/>
              </w:rPr>
              <w:t xml:space="preserve">OMI </w:t>
            </w:r>
            <w:r w:rsidRPr="00C90D9F">
              <w:rPr>
                <w:sz w:val="20"/>
                <w:lang w:val="fr-CH" w:eastAsia="zh-CN"/>
              </w:rPr>
              <w:t>sur la sécurité des navires de pêche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L</w:t>
            </w:r>
            <w:r w:rsidR="004901E2" w:rsidRPr="00C90D9F">
              <w:rPr>
                <w:sz w:val="20"/>
                <w:lang w:val="en-US" w:eastAsia="zh-CN"/>
              </w:rPr>
              <w:t>e Cap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Colloque ONU/Japon sur les </w:t>
            </w:r>
            <w:r w:rsidR="004901E2" w:rsidRPr="00C90D9F">
              <w:rPr>
                <w:sz w:val="20"/>
                <w:lang w:val="fr-CH" w:eastAsia="zh-CN"/>
              </w:rPr>
              <w:t>nano</w:t>
            </w:r>
            <w:r w:rsidRPr="00C90D9F">
              <w:rPr>
                <w:sz w:val="20"/>
                <w:lang w:val="fr-CH" w:eastAsia="zh-CN"/>
              </w:rPr>
              <w:t>-</w:t>
            </w:r>
            <w:r w:rsidR="004901E2" w:rsidRPr="00C90D9F">
              <w:rPr>
                <w:sz w:val="20"/>
                <w:lang w:val="fr-CH" w:eastAsia="zh-CN"/>
              </w:rPr>
              <w:t xml:space="preserve">satellites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Nagoya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F03F83" w:rsidRPr="00C90D9F" w:rsidRDefault="004901E2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C90D9F">
              <w:rPr>
                <w:b/>
                <w:bCs/>
                <w:sz w:val="20"/>
                <w:lang w:val="en-US" w:eastAsia="zh-CN"/>
              </w:rPr>
              <w:t xml:space="preserve">ORGANISATIONS RÉGIONALES DE TÉLÉCOMMUNICATION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C90D9F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C90D9F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C90D9F">
              <w:rPr>
                <w:b/>
                <w:bCs/>
                <w:sz w:val="20"/>
                <w:lang w:val="en-US" w:eastAsia="zh-CN"/>
              </w:rPr>
              <w:t> 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2ème</w:t>
            </w:r>
            <w:r w:rsidR="004901E2" w:rsidRPr="00C90D9F">
              <w:rPr>
                <w:sz w:val="20"/>
                <w:lang w:val="fr-CH" w:eastAsia="zh-CN"/>
              </w:rPr>
              <w:t xml:space="preserve"> ré</w:t>
            </w:r>
            <w:r w:rsidRPr="00C90D9F">
              <w:rPr>
                <w:sz w:val="20"/>
                <w:lang w:val="fr-CH" w:eastAsia="zh-CN"/>
              </w:rPr>
              <w:t xml:space="preserve">union du </w:t>
            </w:r>
            <w:r w:rsidR="004901E2" w:rsidRPr="00C90D9F">
              <w:rPr>
                <w:sz w:val="20"/>
                <w:lang w:val="fr-CH" w:eastAsia="zh-CN"/>
              </w:rPr>
              <w:t xml:space="preserve">Groupe </w:t>
            </w:r>
            <w:r w:rsidRPr="00C90D9F">
              <w:rPr>
                <w:sz w:val="20"/>
                <w:lang w:val="fr-CH" w:eastAsia="zh-CN"/>
              </w:rPr>
              <w:t xml:space="preserve">du </w:t>
            </w:r>
            <w:r w:rsidR="004901E2" w:rsidRPr="00C90D9F">
              <w:rPr>
                <w:sz w:val="20"/>
                <w:lang w:val="fr-CH" w:eastAsia="zh-CN"/>
              </w:rPr>
              <w:t xml:space="preserve">Forum </w:t>
            </w:r>
            <w:r w:rsidR="00962C6E">
              <w:rPr>
                <w:sz w:val="20"/>
                <w:lang w:val="fr-CH" w:eastAsia="zh-CN"/>
              </w:rPr>
              <w:t>maritime (ancien groupe </w:t>
            </w:r>
            <w:r w:rsidRPr="00C90D9F">
              <w:rPr>
                <w:sz w:val="20"/>
                <w:lang w:val="fr-CH" w:eastAsia="zh-CN"/>
              </w:rPr>
              <w:t>FM46)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8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Hamburg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3ème</w:t>
            </w:r>
            <w:r w:rsidR="00F03F83" w:rsidRPr="00C90D9F">
              <w:rPr>
                <w:sz w:val="20"/>
                <w:lang w:val="fr-CH" w:eastAsia="zh-CN"/>
              </w:rPr>
              <w:t xml:space="preserve"> réunion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proofErr w:type="spellStart"/>
            <w:r w:rsidR="00F03F83" w:rsidRPr="00C90D9F">
              <w:rPr>
                <w:sz w:val="20"/>
                <w:lang w:val="fr-CH" w:eastAsia="zh-CN"/>
              </w:rPr>
              <w:t>Equipe</w:t>
            </w:r>
            <w:proofErr w:type="spellEnd"/>
            <w:r w:rsidR="00F03F83" w:rsidRPr="00C90D9F">
              <w:rPr>
                <w:sz w:val="20"/>
                <w:lang w:val="fr-CH" w:eastAsia="zh-CN"/>
              </w:rPr>
              <w:t xml:space="preserve"> de projet 49</w:t>
            </w:r>
            <w:r w:rsidR="004901E2" w:rsidRPr="00C90D9F">
              <w:rPr>
                <w:sz w:val="20"/>
                <w:lang w:val="fr-CH" w:eastAsia="zh-CN"/>
              </w:rPr>
              <w:t xml:space="preserve"> </w:t>
            </w:r>
            <w:r w:rsidR="00F03F83" w:rsidRPr="00C90D9F">
              <w:rPr>
                <w:sz w:val="20"/>
                <w:lang w:val="fr-CH" w:eastAsia="zh-CN"/>
              </w:rPr>
              <w:t>sur la gestion des fréquences (FM PT 49</w:t>
            </w:r>
            <w:r w:rsidR="004901E2" w:rsidRPr="00C90D9F">
              <w:rPr>
                <w:sz w:val="20"/>
                <w:lang w:val="fr-CH"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Copenhag</w:t>
            </w:r>
            <w:r w:rsidR="004901E2" w:rsidRPr="00C90D9F">
              <w:rPr>
                <w:sz w:val="20"/>
                <w:lang w:val="en-US" w:eastAsia="zh-CN"/>
              </w:rPr>
              <w:t>ue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R</w:t>
            </w:r>
            <w:r w:rsidR="004901E2" w:rsidRPr="00C90D9F">
              <w:rPr>
                <w:sz w:val="20"/>
                <w:lang w:val="fr-CH" w:eastAsia="zh-CN"/>
              </w:rPr>
              <w:t>é</w:t>
            </w:r>
            <w:r w:rsidRPr="00C90D9F">
              <w:rPr>
                <w:sz w:val="20"/>
                <w:lang w:val="fr-CH" w:eastAsia="zh-CN"/>
              </w:rPr>
              <w:t>union régionale d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ANCOM sur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harmonisation du spectre pour les communications mobiles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30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Buc</w:t>
            </w:r>
            <w:r w:rsidR="00F03F83" w:rsidRPr="00C90D9F">
              <w:rPr>
                <w:sz w:val="20"/>
                <w:lang w:val="en-US" w:eastAsia="zh-CN"/>
              </w:rPr>
              <w:t>arest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12</w:t>
            </w:r>
            <w:r w:rsidR="00962C6E">
              <w:rPr>
                <w:sz w:val="20"/>
                <w:lang w:val="fr-CH" w:eastAsia="zh-CN"/>
              </w:rPr>
              <w:t>è</w:t>
            </w:r>
            <w:r w:rsidR="004901E2" w:rsidRPr="00C90D9F">
              <w:rPr>
                <w:sz w:val="20"/>
                <w:lang w:val="fr-CH" w:eastAsia="zh-CN"/>
              </w:rPr>
              <w:t>me</w:t>
            </w:r>
            <w:r w:rsidRPr="00C90D9F">
              <w:rPr>
                <w:sz w:val="20"/>
                <w:lang w:val="fr-CH" w:eastAsia="zh-CN"/>
              </w:rPr>
              <w:t xml:space="preserve"> réunion du Groupe sur les communications hertziennes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APT (AWG-12)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Xiamen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Réunion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 CEPT/CPG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Mainz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16ème Réunion générale annuelle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Association des télécommunications des Iles du Pacifique (PITA)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Norfolk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74ème</w:t>
            </w:r>
            <w:r w:rsidR="00F03F83" w:rsidRPr="00C90D9F">
              <w:rPr>
                <w:sz w:val="20"/>
                <w:lang w:val="fr-CH" w:eastAsia="zh-CN"/>
              </w:rPr>
              <w:t xml:space="preserve"> réunion du Groupe de travail sur la</w:t>
            </w:r>
            <w:r>
              <w:rPr>
                <w:sz w:val="20"/>
                <w:lang w:val="fr-CH" w:eastAsia="zh-CN"/>
              </w:rPr>
              <w:t xml:space="preserve"> gestion des fréquences (WG FM)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Bern</w:t>
            </w:r>
            <w:r w:rsidR="004901E2" w:rsidRPr="00C90D9F">
              <w:rPr>
                <w:sz w:val="20"/>
                <w:lang w:val="en-US" w:eastAsia="zh-CN"/>
              </w:rPr>
              <w:t>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DF54AE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Atelier commun </w:t>
            </w:r>
            <w:r w:rsidR="004901E2" w:rsidRPr="00C90D9F">
              <w:rPr>
                <w:sz w:val="20"/>
                <w:lang w:val="fr-CH" w:eastAsia="zh-CN"/>
              </w:rPr>
              <w:t>CEE</w:t>
            </w:r>
            <w:r w:rsidRPr="00C90D9F">
              <w:rPr>
                <w:sz w:val="20"/>
                <w:lang w:val="fr-CH" w:eastAsia="zh-CN"/>
              </w:rPr>
              <w:t>/ETSI/COST-TERRA su</w:t>
            </w:r>
            <w:r w:rsidR="00DF54AE">
              <w:rPr>
                <w:sz w:val="20"/>
                <w:lang w:val="fr-CH" w:eastAsia="zh-CN"/>
              </w:rPr>
              <w:t>r</w:t>
            </w:r>
            <w:r w:rsidRPr="00C90D9F">
              <w:rPr>
                <w:sz w:val="20"/>
                <w:lang w:val="fr-CH" w:eastAsia="zh-CN"/>
              </w:rPr>
              <w:t xml:space="preserve"> les systèmes de radiocommunication cognitifs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Mainz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Groupe de travail de la RCC sur les travaux préparatoires en vue de la CMR-15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Moscou</w:t>
            </w:r>
            <w:proofErr w:type="spellEnd"/>
          </w:p>
        </w:tc>
      </w:tr>
      <w:tr w:rsidR="00F03F83" w:rsidRPr="00C90D9F" w:rsidTr="00970B21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COSPAS SARSAT JC-26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Montré</w:t>
            </w:r>
            <w:r w:rsidR="00F03F83" w:rsidRPr="00C90D9F">
              <w:rPr>
                <w:sz w:val="20"/>
                <w:lang w:val="en-US" w:eastAsia="zh-CN"/>
              </w:rPr>
              <w:t>al</w:t>
            </w:r>
          </w:p>
        </w:tc>
      </w:tr>
      <w:tr w:rsidR="00F03F83" w:rsidRPr="00C90D9F" w:rsidTr="00970B21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CEPT FM 49 (PPDR) (Protection du public et secours en cas de catastrophe</w:t>
            </w:r>
            <w:r w:rsidR="004901E2" w:rsidRPr="00C90D9F">
              <w:rPr>
                <w:sz w:val="20"/>
                <w:lang w:val="fr-CH"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Allemagne</w:t>
            </w:r>
            <w:proofErr w:type="spellEnd"/>
          </w:p>
        </w:tc>
      </w:tr>
      <w:tr w:rsidR="00F03F83" w:rsidRPr="00C90D9F" w:rsidTr="00970B21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Réunion du CPG PTA de la CEPT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Londres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3ème </w:t>
            </w:r>
            <w:r w:rsidR="00C91310" w:rsidRPr="00C90D9F">
              <w:rPr>
                <w:sz w:val="20"/>
                <w:lang w:val="fr-CH" w:eastAsia="zh-CN"/>
              </w:rPr>
              <w:t>réunion</w:t>
            </w:r>
            <w:r w:rsidRPr="00C90D9F">
              <w:rPr>
                <w:sz w:val="20"/>
                <w:lang w:val="fr-CH" w:eastAsia="zh-CN"/>
              </w:rPr>
              <w:t xml:space="preserve"> du </w:t>
            </w:r>
            <w:r w:rsidR="004901E2" w:rsidRPr="00C90D9F">
              <w:rPr>
                <w:sz w:val="20"/>
                <w:lang w:val="fr-CH" w:eastAsia="zh-CN"/>
              </w:rPr>
              <w:t xml:space="preserve">Groupe </w:t>
            </w:r>
            <w:r w:rsidRPr="00C90D9F">
              <w:rPr>
                <w:sz w:val="20"/>
                <w:lang w:val="fr-CH" w:eastAsia="zh-CN"/>
              </w:rPr>
              <w:t xml:space="preserve">du </w:t>
            </w:r>
            <w:r w:rsidR="004901E2" w:rsidRPr="00C90D9F">
              <w:rPr>
                <w:sz w:val="20"/>
                <w:lang w:val="fr-CH" w:eastAsia="zh-CN"/>
              </w:rPr>
              <w:t xml:space="preserve">Forum </w:t>
            </w:r>
            <w:r w:rsidRPr="00C90D9F">
              <w:rPr>
                <w:sz w:val="20"/>
                <w:lang w:val="fr-CH" w:eastAsia="zh-CN"/>
              </w:rPr>
              <w:t xml:space="preserve">maritime (ancien </w:t>
            </w:r>
            <w:r w:rsidR="00962C6E">
              <w:rPr>
                <w:sz w:val="20"/>
                <w:lang w:val="fr-CH" w:eastAsia="zh-CN"/>
              </w:rPr>
              <w:t>Groupe </w:t>
            </w:r>
            <w:r w:rsidRPr="00C90D9F">
              <w:rPr>
                <w:sz w:val="20"/>
                <w:lang w:val="fr-CH" w:eastAsia="zh-CN"/>
              </w:rPr>
              <w:t>FM46)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Malte</w:t>
            </w:r>
            <w:proofErr w:type="spellEnd"/>
          </w:p>
        </w:tc>
      </w:tr>
      <w:tr w:rsidR="00F03F83" w:rsidRPr="00962C6E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4901E2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962C6E">
              <w:rPr>
                <w:b/>
                <w:bCs/>
                <w:sz w:val="20"/>
                <w:lang w:val="fr-CH" w:eastAsia="zh-CN"/>
              </w:rPr>
              <w:t>CONFÉRENCES ET COLLOQUES NON ORGANISÉ</w:t>
            </w:r>
            <w:r w:rsidR="00044378" w:rsidRPr="00962C6E">
              <w:rPr>
                <w:b/>
                <w:bCs/>
                <w:sz w:val="20"/>
                <w:lang w:val="fr-CH" w:eastAsia="zh-CN"/>
              </w:rPr>
              <w:t>S PAR </w:t>
            </w:r>
            <w:r w:rsidRPr="00962C6E">
              <w:rPr>
                <w:b/>
                <w:bCs/>
                <w:sz w:val="20"/>
                <w:lang w:val="fr-CH" w:eastAsia="zh-CN"/>
              </w:rPr>
              <w:t>L'UIT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Réunions de coordination ABU-HFC est HFCC/ASBU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Kuala Lumpur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63ème EMMY </w:t>
            </w:r>
            <w:proofErr w:type="spellStart"/>
            <w:r w:rsidRPr="00C90D9F">
              <w:rPr>
                <w:sz w:val="20"/>
                <w:lang w:val="fr-CH" w:eastAsia="zh-CN"/>
              </w:rPr>
              <w:t>Award</w:t>
            </w:r>
            <w:proofErr w:type="spellEnd"/>
            <w:r w:rsidRPr="00C90D9F">
              <w:rPr>
                <w:sz w:val="20"/>
                <w:lang w:val="fr-CH" w:eastAsia="zh-CN"/>
              </w:rPr>
              <w:t xml:space="preserve"> dans le domaine de la technologie et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 xml:space="preserve">ingénierie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Las Vegas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UNIDROIT –</w:t>
            </w:r>
            <w:r w:rsidR="004901E2" w:rsidRPr="00C90D9F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Confé</w:t>
            </w:r>
            <w:r w:rsidRPr="00C90D9F">
              <w:rPr>
                <w:sz w:val="20"/>
                <w:lang w:val="en-US" w:eastAsia="zh-CN"/>
              </w:rPr>
              <w:t>rence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C91310" w:rsidRPr="00C90D9F">
              <w:rPr>
                <w:sz w:val="20"/>
                <w:lang w:val="en-US" w:eastAsia="zh-CN"/>
              </w:rPr>
              <w:t>diplomatique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Berlin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Congrès mondial 201</w:t>
            </w:r>
            <w:r w:rsidR="004901E2" w:rsidRPr="00C90D9F">
              <w:rPr>
                <w:sz w:val="20"/>
                <w:lang w:val="fr-CH" w:eastAsia="zh-CN"/>
              </w:rPr>
              <w:t>2 sur la téléphonie mobile de la GSMA Programme ministériel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>
              <w:rPr>
                <w:sz w:val="20"/>
                <w:lang w:val="en-US" w:eastAsia="zh-CN"/>
              </w:rPr>
              <w:t>Barcelone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Salon CABSAT &amp; Satellite MENA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4901E2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Dubai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Sommet du Digital TV Group (DTG)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Londres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C91310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</w:t>
            </w:r>
            <w:r w:rsidR="00F03F83" w:rsidRPr="00C90D9F">
              <w:rPr>
                <w:sz w:val="20"/>
                <w:lang w:val="fr-CH" w:eastAsia="zh-CN"/>
              </w:rPr>
              <w:t xml:space="preserve"> sur le spectre </w:t>
            </w:r>
            <w:r w:rsidR="004901E2" w:rsidRPr="00C90D9F">
              <w:rPr>
                <w:sz w:val="20"/>
                <w:lang w:val="fr-CH" w:eastAsia="zh-CN"/>
              </w:rPr>
              <w:t xml:space="preserve">dynamique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Bruxelle</w:t>
            </w:r>
            <w:r w:rsidR="00F03F83" w:rsidRPr="00C90D9F">
              <w:rPr>
                <w:sz w:val="20"/>
                <w:lang w:val="en-US" w:eastAsia="zh-CN"/>
              </w:rPr>
              <w:t>s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Satellite 2012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Washington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DF54AE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Sommet de la navigation par satellite de Munich </w:t>
            </w:r>
            <w:r w:rsidR="00DF54AE" w:rsidRPr="00DF54AE">
              <w:rPr>
                <w:sz w:val="20"/>
                <w:lang w:val="fr-CH" w:eastAsia="zh-CN"/>
              </w:rPr>
              <w:t>–</w:t>
            </w:r>
            <w:r w:rsidR="00DF54AE">
              <w:rPr>
                <w:sz w:val="20"/>
                <w:lang w:val="fr-CH" w:eastAsia="zh-CN"/>
              </w:rPr>
              <w:t xml:space="preserve"> </w:t>
            </w:r>
            <w:r w:rsidRPr="00C90D9F">
              <w:rPr>
                <w:sz w:val="20"/>
                <w:lang w:val="fr-CH" w:eastAsia="zh-CN"/>
              </w:rPr>
              <w:t>GNSS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Munich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Colloque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 </w:t>
            </w:r>
            <w:proofErr w:type="spellStart"/>
            <w:r w:rsidRPr="00C90D9F">
              <w:rPr>
                <w:sz w:val="20"/>
                <w:lang w:val="en-US" w:eastAsia="zh-CN"/>
              </w:rPr>
              <w:t>sur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 les </w:t>
            </w:r>
            <w:proofErr w:type="spellStart"/>
            <w:r w:rsidRPr="00C90D9F">
              <w:rPr>
                <w:sz w:val="20"/>
                <w:lang w:val="en-US" w:eastAsia="zh-CN"/>
              </w:rPr>
              <w:t>radiocommunications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Tokyo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4901E2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Ré</w:t>
            </w:r>
            <w:r w:rsidR="00F03F83" w:rsidRPr="00C90D9F">
              <w:rPr>
                <w:sz w:val="20"/>
                <w:lang w:val="en-US" w:eastAsia="zh-CN"/>
              </w:rPr>
              <w:t>union</w:t>
            </w:r>
            <w:proofErr w:type="spellEnd"/>
            <w:r w:rsidR="00F03F83" w:rsidRPr="00C90D9F">
              <w:rPr>
                <w:sz w:val="20"/>
                <w:lang w:val="en-US" w:eastAsia="zh-CN"/>
              </w:rPr>
              <w:t xml:space="preserve"> du CJK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14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Miyazaki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8</w:t>
            </w:r>
            <w:r w:rsidR="00F03F83" w:rsidRPr="00C90D9F">
              <w:rPr>
                <w:sz w:val="20"/>
                <w:lang w:val="fr-CH" w:eastAsia="zh-CN"/>
              </w:rPr>
              <w:t>ème conférence professionnelle annuelle CERD 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Bratislava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sur le spectre pour le Moyen</w:t>
            </w:r>
            <w:r w:rsidR="004901E2" w:rsidRPr="00C90D9F">
              <w:rPr>
                <w:sz w:val="20"/>
                <w:lang w:val="fr-CH" w:eastAsia="zh-CN"/>
              </w:rPr>
              <w:noBreakHyphen/>
              <w:t>O</w:t>
            </w:r>
            <w:r w:rsidRPr="00C90D9F">
              <w:rPr>
                <w:sz w:val="20"/>
                <w:lang w:val="fr-CH" w:eastAsia="zh-CN"/>
              </w:rPr>
              <w:t>rient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r w:rsidR="004901E2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Bahrain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Colloque annuel du Journal de régulation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22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22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Paris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2</w:t>
            </w:r>
            <w:r w:rsidR="00F03F83" w:rsidRPr="00C90D9F">
              <w:rPr>
                <w:sz w:val="20"/>
                <w:lang w:val="fr-CH" w:eastAsia="zh-CN"/>
              </w:rPr>
              <w:t>ème séminaire sur la gesti</w:t>
            </w:r>
            <w:r w:rsidR="006966C1" w:rsidRPr="00C90D9F">
              <w:rPr>
                <w:sz w:val="20"/>
                <w:lang w:val="fr-CH" w:eastAsia="zh-CN"/>
              </w:rPr>
              <w:t>on du spectre pour les Caraïbes</w:t>
            </w:r>
            <w:r w:rsidR="00F03F83" w:rsidRPr="00C90D9F">
              <w:rPr>
                <w:sz w:val="20"/>
                <w:lang w:val="fr-CH" w:eastAsia="zh-CN"/>
              </w:rPr>
              <w:t>: passage au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Port of Spain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2012 sur le spectre radi</w:t>
            </w:r>
            <w:r w:rsidR="00962C6E">
              <w:rPr>
                <w:sz w:val="20"/>
                <w:lang w:val="fr-CH" w:eastAsia="zh-CN"/>
              </w:rPr>
              <w:t>oélectrique pour la région Asie-</w:t>
            </w:r>
            <w:r w:rsidRPr="00C90D9F">
              <w:rPr>
                <w:sz w:val="20"/>
                <w:lang w:val="fr-CH" w:eastAsia="zh-CN"/>
              </w:rPr>
              <w:t>Pacifique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Hong Kong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962C6E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sur la télévision numérique pour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Europe du Sud</w:t>
            </w:r>
            <w:r w:rsidR="00962C6E">
              <w:rPr>
                <w:sz w:val="20"/>
                <w:lang w:val="fr-CH" w:eastAsia="zh-CN"/>
              </w:rPr>
              <w:noBreakHyphen/>
            </w:r>
            <w:r w:rsidRPr="00C90D9F">
              <w:rPr>
                <w:sz w:val="20"/>
                <w:lang w:val="fr-CH" w:eastAsia="zh-CN"/>
              </w:rPr>
              <w:t xml:space="preserve">Est (digi.TV)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Trieste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Ateliers IISC concernant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A909A5" w:rsidRPr="00C90D9F">
              <w:rPr>
                <w:sz w:val="20"/>
                <w:lang w:val="fr-CH" w:eastAsia="zh-CN"/>
              </w:rPr>
              <w:t>A</w:t>
            </w:r>
            <w:r w:rsidRPr="00C90D9F">
              <w:rPr>
                <w:sz w:val="20"/>
                <w:lang w:val="fr-CH" w:eastAsia="zh-CN"/>
              </w:rPr>
              <w:t>ssociation des données satellitaires (SDA)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A909A5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Ile de</w:t>
            </w:r>
            <w:r w:rsidR="00F03F83" w:rsidRPr="00C90D9F">
              <w:rPr>
                <w:sz w:val="20"/>
                <w:lang w:val="en-US" w:eastAsia="zh-CN"/>
              </w:rPr>
              <w:t xml:space="preserve"> Man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Forum SMPTE sur les nouvelles technologies multimédias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ASBU sur les questions relatives à la radiodiffusion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Tunisi</w:t>
            </w:r>
            <w:r w:rsidR="00A909A5" w:rsidRPr="00C90D9F">
              <w:rPr>
                <w:sz w:val="20"/>
                <w:lang w:val="en-US" w:eastAsia="zh-CN"/>
              </w:rPr>
              <w:t>e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Ateliers sur les TIC et les femmes à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occasion de la Journée mondiale des télécommunications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Izmir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12</w:t>
            </w:r>
            <w:r w:rsidR="006966C1" w:rsidRPr="00C90D9F">
              <w:rPr>
                <w:sz w:val="20"/>
                <w:lang w:val="fr-CH" w:eastAsia="zh-CN"/>
              </w:rPr>
              <w:t>è</w:t>
            </w:r>
            <w:r w:rsidR="00A909A5" w:rsidRPr="00C90D9F">
              <w:rPr>
                <w:sz w:val="20"/>
                <w:lang w:val="fr-CH" w:eastAsia="zh-CN"/>
              </w:rPr>
              <w:t>me</w:t>
            </w:r>
            <w:r w:rsidR="00962C6E">
              <w:rPr>
                <w:sz w:val="20"/>
                <w:lang w:val="fr-CH" w:eastAsia="zh-CN"/>
              </w:rPr>
              <w:t xml:space="preserve"> C</w:t>
            </w:r>
            <w:r w:rsidRPr="00C90D9F">
              <w:rPr>
                <w:sz w:val="20"/>
                <w:lang w:val="fr-CH" w:eastAsia="zh-CN"/>
              </w:rPr>
              <w:t>onférence annuelle internationale de Rio sur les techniques hertziennes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044378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Rio de Janeiro</w:t>
            </w:r>
          </w:p>
        </w:tc>
      </w:tr>
      <w:tr w:rsidR="00F03F83" w:rsidRPr="00C90D9F" w:rsidTr="00962C6E">
        <w:trPr>
          <w:trHeight w:val="45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Séminaire international sur le passage au tout numérique dans le secteur de la radiodiffusion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Conakry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sur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exploration spatiale à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échelle mondiale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Washington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962C6E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international consacré aux services spatiaux compte tenu des résultats de la CMR-12</w:t>
            </w:r>
            <w:r w:rsidR="00962C6E">
              <w:rPr>
                <w:sz w:val="20"/>
                <w:lang w:val="fr-CH" w:eastAsia="zh-CN"/>
              </w:rPr>
              <w:t xml:space="preserve"> </w:t>
            </w:r>
            <w:r w:rsidR="00962C6E" w:rsidRPr="00962C6E">
              <w:rPr>
                <w:sz w:val="20"/>
                <w:lang w:val="fr-CH" w:eastAsia="zh-CN"/>
              </w:rPr>
              <w:t>–</w:t>
            </w:r>
            <w:r w:rsidRPr="00C90D9F">
              <w:rPr>
                <w:sz w:val="20"/>
                <w:lang w:val="fr-CH" w:eastAsia="zh-CN"/>
              </w:rPr>
              <w:t xml:space="preserve"> SES </w:t>
            </w:r>
            <w:proofErr w:type="spellStart"/>
            <w:r w:rsidRPr="00C90D9F">
              <w:rPr>
                <w:sz w:val="20"/>
                <w:lang w:val="fr-CH" w:eastAsia="zh-CN"/>
              </w:rPr>
              <w:t>University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Luxembourg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s-ES_tradnl" w:eastAsia="zh-CN"/>
              </w:rPr>
            </w:pPr>
            <w:r w:rsidRPr="00C90D9F">
              <w:rPr>
                <w:sz w:val="20"/>
                <w:lang w:val="es-ES_tradnl" w:eastAsia="zh-CN"/>
              </w:rPr>
              <w:t xml:space="preserve">CASETEL </w:t>
            </w:r>
            <w:r w:rsidR="00A909A5" w:rsidRPr="00C90D9F">
              <w:rPr>
                <w:sz w:val="20"/>
                <w:lang w:val="es-ES_tradnl" w:eastAsia="zh-CN"/>
              </w:rPr>
              <w:t>«</w:t>
            </w:r>
            <w:r w:rsidRPr="00C90D9F">
              <w:rPr>
                <w:sz w:val="20"/>
                <w:lang w:val="es-ES_tradnl" w:eastAsia="zh-CN"/>
              </w:rPr>
              <w:t>Lineamientos para una Agenda Digital</w:t>
            </w:r>
            <w:r w:rsidR="00A909A5" w:rsidRPr="00C90D9F">
              <w:rPr>
                <w:sz w:val="20"/>
                <w:lang w:val="es-ES_tradnl" w:eastAsia="zh-CN"/>
              </w:rPr>
              <w:t>»</w:t>
            </w:r>
            <w:r w:rsidRPr="00C90D9F">
              <w:rPr>
                <w:sz w:val="20"/>
                <w:lang w:val="es-ES_tradnl" w:eastAsia="zh-CN"/>
              </w:rPr>
              <w:t xml:space="preserve"> (Grandes </w:t>
            </w:r>
            <w:proofErr w:type="spellStart"/>
            <w:r w:rsidRPr="00C90D9F">
              <w:rPr>
                <w:sz w:val="20"/>
                <w:lang w:val="es-ES_tradnl" w:eastAsia="zh-CN"/>
              </w:rPr>
              <w:t>lignes</w:t>
            </w:r>
            <w:proofErr w:type="spellEnd"/>
            <w:r w:rsidRPr="00C90D9F">
              <w:rPr>
                <w:sz w:val="20"/>
                <w:lang w:val="es-ES_tradnl" w:eastAsia="zh-CN"/>
              </w:rPr>
              <w:t xml:space="preserve"> </w:t>
            </w:r>
            <w:r w:rsidR="00A909A5" w:rsidRPr="00C90D9F">
              <w:rPr>
                <w:sz w:val="20"/>
                <w:lang w:val="es-ES_tradnl" w:eastAsia="zh-CN"/>
              </w:rPr>
              <w:t>du</w:t>
            </w:r>
            <w:r w:rsidRPr="00C90D9F">
              <w:rPr>
                <w:sz w:val="20"/>
                <w:lang w:val="es-ES_tradnl" w:eastAsia="zh-CN"/>
              </w:rPr>
              <w:t xml:space="preserve"> </w:t>
            </w:r>
            <w:proofErr w:type="spellStart"/>
            <w:r w:rsidRPr="00C90D9F">
              <w:rPr>
                <w:sz w:val="20"/>
                <w:lang w:val="es-ES_tradnl" w:eastAsia="zh-CN"/>
              </w:rPr>
              <w:t>programme</w:t>
            </w:r>
            <w:proofErr w:type="spellEnd"/>
            <w:r w:rsidRPr="00C90D9F">
              <w:rPr>
                <w:sz w:val="20"/>
                <w:lang w:val="es-ES_tradnl" w:eastAsia="zh-CN"/>
              </w:rPr>
              <w:t xml:space="preserve"> </w:t>
            </w:r>
            <w:proofErr w:type="spellStart"/>
            <w:r w:rsidRPr="00C90D9F">
              <w:rPr>
                <w:sz w:val="20"/>
                <w:lang w:val="es-ES_tradnl" w:eastAsia="zh-CN"/>
              </w:rPr>
              <w:t>numérique</w:t>
            </w:r>
            <w:proofErr w:type="spellEnd"/>
            <w:r w:rsidRPr="00C90D9F">
              <w:rPr>
                <w:sz w:val="20"/>
                <w:lang w:val="es-ES_tradnl"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Caracas</w:t>
            </w:r>
          </w:p>
        </w:tc>
      </w:tr>
      <w:tr w:rsidR="00F03F83" w:rsidRPr="00C90D9F" w:rsidTr="00970B21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32</w:t>
            </w:r>
            <w:r w:rsidR="00970B21">
              <w:rPr>
                <w:sz w:val="20"/>
                <w:lang w:val="fr-CH" w:eastAsia="zh-CN"/>
              </w:rPr>
              <w:t>è</w:t>
            </w:r>
            <w:r w:rsidR="00A909A5" w:rsidRPr="00C90D9F">
              <w:rPr>
                <w:sz w:val="20"/>
                <w:lang w:val="fr-CH" w:eastAsia="zh-CN"/>
              </w:rPr>
              <w:t>me</w:t>
            </w:r>
            <w:r w:rsidRPr="00C90D9F">
              <w:rPr>
                <w:sz w:val="20"/>
                <w:lang w:val="fr-CH" w:eastAsia="zh-CN"/>
              </w:rPr>
              <w:t xml:space="preserve"> réunion annuelle du Groupe sur la coordination des fréquences pour les services spatiaux (SFCG)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Darmstadt</w:t>
            </w:r>
          </w:p>
        </w:tc>
      </w:tr>
      <w:tr w:rsidR="00F03F83" w:rsidRPr="00C90D9F" w:rsidTr="00970B21">
        <w:trPr>
          <w:trHeight w:val="214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Conférence sur la gestion du spectre dans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union européenne (UE)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A909A5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Bruxel</w:t>
            </w:r>
            <w:r w:rsidR="00F03F83" w:rsidRPr="00C90D9F">
              <w:rPr>
                <w:sz w:val="20"/>
                <w:lang w:val="en-US" w:eastAsia="zh-CN"/>
              </w:rPr>
              <w:t>l</w:t>
            </w:r>
            <w:r w:rsidRPr="00C90D9F">
              <w:rPr>
                <w:sz w:val="20"/>
                <w:lang w:val="en-US" w:eastAsia="zh-CN"/>
              </w:rPr>
              <w:t>e</w:t>
            </w:r>
            <w:r w:rsidR="00F03F83" w:rsidRPr="00C90D9F">
              <w:rPr>
                <w:sz w:val="20"/>
                <w:lang w:val="en-US" w:eastAsia="zh-CN"/>
              </w:rPr>
              <w:t>s</w:t>
            </w:r>
            <w:proofErr w:type="spellEnd"/>
          </w:p>
        </w:tc>
      </w:tr>
      <w:tr w:rsidR="00F03F83" w:rsidRPr="00C90D9F" w:rsidTr="00970B21">
        <w:trPr>
          <w:trHeight w:val="214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962C6E">
            <w:pPr>
              <w:pStyle w:val="Tabletext"/>
              <w:keepNext/>
              <w:keepLines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Sommet CommunicAsia2012 - Satellite Communications </w:t>
            </w:r>
            <w:proofErr w:type="spellStart"/>
            <w:r w:rsidRPr="00C90D9F">
              <w:rPr>
                <w:sz w:val="20"/>
                <w:lang w:val="fr-CH" w:eastAsia="zh-CN"/>
              </w:rPr>
              <w:t>Track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962C6E">
            <w:pPr>
              <w:pStyle w:val="Tabletext"/>
              <w:keepNext/>
              <w:keepLines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A909A5" w:rsidP="00962C6E">
            <w:pPr>
              <w:pStyle w:val="Tabletext"/>
              <w:keepNext/>
              <w:keepLines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962C6E">
            <w:pPr>
              <w:pStyle w:val="Tabletext"/>
              <w:keepNext/>
              <w:keepLines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Singapo</w:t>
            </w:r>
            <w:r w:rsidR="00A909A5" w:rsidRPr="00C90D9F">
              <w:rPr>
                <w:sz w:val="20"/>
                <w:lang w:val="en-US" w:eastAsia="zh-CN"/>
              </w:rPr>
              <w:t>u</w:t>
            </w:r>
            <w:r w:rsidRPr="00C90D9F">
              <w:rPr>
                <w:sz w:val="20"/>
                <w:lang w:val="en-US" w:eastAsia="zh-CN"/>
              </w:rPr>
              <w:t>re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Toulouse </w:t>
            </w:r>
            <w:proofErr w:type="spellStart"/>
            <w:r w:rsidRPr="00C90D9F">
              <w:rPr>
                <w:sz w:val="20"/>
                <w:lang w:val="fr-CH" w:eastAsia="zh-CN"/>
              </w:rPr>
              <w:t>Space</w:t>
            </w:r>
            <w:proofErr w:type="spellEnd"/>
            <w:r w:rsidRPr="00C90D9F">
              <w:rPr>
                <w:sz w:val="20"/>
                <w:lang w:val="fr-CH" w:eastAsia="zh-CN"/>
              </w:rPr>
              <w:t xml:space="preserve"> Show</w:t>
            </w:r>
            <w:r w:rsidRPr="00C90D9F">
              <w:rPr>
                <w:sz w:val="20"/>
                <w:lang w:val="fr-CH"/>
              </w:rPr>
              <w:t xml:space="preserve"> (</w:t>
            </w:r>
            <w:r w:rsidRPr="00C90D9F">
              <w:rPr>
                <w:sz w:val="20"/>
                <w:lang w:val="fr-CH" w:eastAsia="zh-CN"/>
              </w:rPr>
              <w:t>Semaine internationale des applications spatiales)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Toulouse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proofErr w:type="gramStart"/>
            <w:r w:rsidRPr="00C90D9F">
              <w:rPr>
                <w:sz w:val="20"/>
                <w:lang w:val="fr-CH" w:eastAsia="zh-CN"/>
              </w:rPr>
              <w:t>Le</w:t>
            </w:r>
            <w:proofErr w:type="gramEnd"/>
            <w:r w:rsidRPr="00C90D9F">
              <w:rPr>
                <w:sz w:val="20"/>
                <w:lang w:val="fr-CH" w:eastAsia="zh-CN"/>
              </w:rPr>
              <w:t xml:space="preserve"> large bande pour tou</w:t>
            </w:r>
            <w:r w:rsidR="00A909A5" w:rsidRPr="00C90D9F">
              <w:rPr>
                <w:sz w:val="20"/>
                <w:lang w:val="fr-CH" w:eastAsia="zh-CN"/>
              </w:rPr>
              <w:t xml:space="preserve">s </w:t>
            </w:r>
            <w:r w:rsidR="00962C6E" w:rsidRPr="00962C6E">
              <w:rPr>
                <w:sz w:val="20"/>
                <w:lang w:val="fr-CH" w:eastAsia="zh-CN"/>
              </w:rPr>
              <w:t>–</w:t>
            </w:r>
            <w:r w:rsidR="00A909A5" w:rsidRPr="00C90D9F">
              <w:rPr>
                <w:sz w:val="20"/>
                <w:lang w:val="fr-CH" w:eastAsia="zh-CN"/>
              </w:rPr>
              <w:t xml:space="preserve"> S</w:t>
            </w:r>
            <w:r w:rsidRPr="00C90D9F">
              <w:rPr>
                <w:sz w:val="20"/>
                <w:lang w:val="fr-CH" w:eastAsia="zh-CN"/>
              </w:rPr>
              <w:t>éminaire annue</w:t>
            </w:r>
            <w:r w:rsidR="00A909A5" w:rsidRPr="00C90D9F">
              <w:rPr>
                <w:sz w:val="20"/>
                <w:lang w:val="fr-CH" w:eastAsia="zh-CN"/>
              </w:rPr>
              <w:t>l</w:t>
            </w:r>
            <w:r w:rsidRPr="00C90D9F">
              <w:rPr>
                <w:sz w:val="20"/>
                <w:lang w:val="fr-CH" w:eastAsia="zh-CN"/>
              </w:rPr>
              <w:t xml:space="preserve"> d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Ericsson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Stockholm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Tall Ships Race</w:t>
            </w:r>
            <w:r w:rsidRPr="00C90D9F">
              <w:rPr>
                <w:sz w:val="20"/>
              </w:rPr>
              <w:t xml:space="preserve"> (</w:t>
            </w:r>
            <w:r w:rsidR="00A909A5" w:rsidRPr="00C90D9F">
              <w:rPr>
                <w:sz w:val="20"/>
                <w:lang w:eastAsia="zh-CN"/>
              </w:rPr>
              <w:t xml:space="preserve">Course </w:t>
            </w:r>
            <w:r w:rsidRPr="00C90D9F">
              <w:rPr>
                <w:sz w:val="20"/>
                <w:lang w:eastAsia="zh-CN"/>
              </w:rPr>
              <w:t>des grands voiliers)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Saint</w:t>
            </w:r>
            <w:r w:rsidR="00F03F83" w:rsidRPr="00C90D9F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F03F83" w:rsidRPr="00C90D9F">
              <w:rPr>
                <w:sz w:val="20"/>
                <w:lang w:val="en-US" w:eastAsia="zh-CN"/>
              </w:rPr>
              <w:t>Malo</w:t>
            </w:r>
            <w:proofErr w:type="spellEnd"/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Utilisation et gestion du spectre-Colloque de</w:t>
            </w:r>
            <w:r w:rsidR="00A909A5" w:rsidRPr="00C90D9F">
              <w:rPr>
                <w:sz w:val="20"/>
                <w:lang w:val="fr-CH" w:eastAsia="zh-CN"/>
              </w:rPr>
              <w:t xml:space="preserve"> </w:t>
            </w:r>
            <w:r w:rsidRPr="00C90D9F">
              <w:rPr>
                <w:sz w:val="20"/>
                <w:lang w:val="fr-CH" w:eastAsia="zh-CN"/>
              </w:rPr>
              <w:t>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 xml:space="preserve">URSI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A909A5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Le Cap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proofErr w:type="spellStart"/>
            <w:r>
              <w:rPr>
                <w:sz w:val="20"/>
                <w:lang w:val="fr-CH" w:eastAsia="zh-CN"/>
              </w:rPr>
              <w:t>Mintel</w:t>
            </w:r>
            <w:proofErr w:type="spellEnd"/>
            <w:r>
              <w:rPr>
                <w:sz w:val="20"/>
                <w:lang w:val="fr-CH" w:eastAsia="zh-CN"/>
              </w:rPr>
              <w:t xml:space="preserve"> </w:t>
            </w:r>
            <w:r w:rsidRPr="00962C6E">
              <w:rPr>
                <w:sz w:val="20"/>
                <w:lang w:val="fr-CH" w:eastAsia="zh-CN"/>
              </w:rPr>
              <w:t>–</w:t>
            </w:r>
            <w:r>
              <w:rPr>
                <w:sz w:val="20"/>
                <w:lang w:val="fr-CH" w:eastAsia="zh-CN"/>
              </w:rPr>
              <w:t xml:space="preserve"> </w:t>
            </w:r>
            <w:r w:rsidR="00F03F83" w:rsidRPr="00C90D9F">
              <w:rPr>
                <w:sz w:val="20"/>
                <w:lang w:val="fr-CH" w:eastAsia="zh-CN"/>
              </w:rPr>
              <w:t>Séminaire sur la gestion du spectre pour les services scientifiques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Quito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Premier congrès annuel mondial sur les océans-techniques hertziennes (BIT)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Dalian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63ème Congrès Astronautique </w:t>
            </w:r>
            <w:r w:rsidR="00A909A5" w:rsidRPr="00C90D9F">
              <w:rPr>
                <w:sz w:val="20"/>
                <w:lang w:val="fr-CH" w:eastAsia="zh-CN"/>
              </w:rPr>
              <w:t xml:space="preserve">international </w:t>
            </w:r>
            <w:r w:rsidR="00DF54AE" w:rsidRPr="00DF54AE">
              <w:rPr>
                <w:sz w:val="20"/>
                <w:lang w:val="fr-CH" w:eastAsia="zh-CN"/>
              </w:rPr>
              <w:t>–</w:t>
            </w:r>
            <w:r w:rsidR="00DF54AE">
              <w:rPr>
                <w:sz w:val="20"/>
                <w:lang w:val="fr-CH" w:eastAsia="zh-CN"/>
              </w:rPr>
              <w:t xml:space="preserve"> C</w:t>
            </w:r>
            <w:r w:rsidRPr="00C90D9F">
              <w:rPr>
                <w:sz w:val="20"/>
                <w:lang w:val="fr-CH" w:eastAsia="zh-CN"/>
              </w:rPr>
              <w:t xml:space="preserve">ommunication sur les résultats de la </w:t>
            </w:r>
            <w:r w:rsidR="00A909A5" w:rsidRPr="00C90D9F">
              <w:rPr>
                <w:sz w:val="20"/>
                <w:lang w:val="fr-CH" w:eastAsia="zh-CN"/>
              </w:rPr>
              <w:t>CMR</w:t>
            </w:r>
            <w:r w:rsidRPr="00C90D9F">
              <w:rPr>
                <w:sz w:val="20"/>
                <w:lang w:val="fr-CH" w:eastAsia="zh-CN"/>
              </w:rPr>
              <w:t xml:space="preserve">-12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Naples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WWRF </w:t>
            </w:r>
            <w:r w:rsidRPr="00962C6E">
              <w:rPr>
                <w:sz w:val="20"/>
                <w:lang w:val="en-US" w:eastAsia="zh-CN"/>
              </w:rPr>
              <w:t>–</w:t>
            </w:r>
            <w:r w:rsidR="00F03F83" w:rsidRPr="00C90D9F">
              <w:rPr>
                <w:sz w:val="20"/>
                <w:lang w:val="en-US" w:eastAsia="zh-CN"/>
              </w:rPr>
              <w:t xml:space="preserve"> Atelier 2012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Berlin</w:t>
            </w:r>
          </w:p>
        </w:tc>
      </w:tr>
      <w:tr w:rsidR="00F03F83" w:rsidRPr="00962C6E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A909A5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  <w:r w:rsidRPr="00962C6E">
              <w:rPr>
                <w:b/>
                <w:bCs/>
                <w:sz w:val="20"/>
                <w:lang w:val="fr-CH" w:eastAsia="zh-CN"/>
              </w:rPr>
              <w:t>SÉMINAIRES, ATELIERS ET RÉUNIONS DE L'UIT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fr-CH" w:eastAsia="zh-CN"/>
              </w:rPr>
            </w:pP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régional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UIT sur le passage à la télévision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Séminaire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 UIT/AICTO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février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Tunis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Sommet Connecter les </w:t>
            </w:r>
            <w:proofErr w:type="spellStart"/>
            <w:r w:rsidR="00A909A5" w:rsidRPr="00C90D9F">
              <w:rPr>
                <w:sz w:val="20"/>
                <w:lang w:val="fr-CH" w:eastAsia="zh-CN"/>
              </w:rPr>
              <w:t>E</w:t>
            </w:r>
            <w:r w:rsidRPr="00C90D9F">
              <w:rPr>
                <w:sz w:val="20"/>
                <w:lang w:val="fr-CH" w:eastAsia="zh-CN"/>
              </w:rPr>
              <w:t>tats</w:t>
            </w:r>
            <w:proofErr w:type="spellEnd"/>
            <w:r w:rsidRPr="00C90D9F">
              <w:rPr>
                <w:sz w:val="20"/>
                <w:lang w:val="fr-CH" w:eastAsia="zh-CN"/>
              </w:rPr>
              <w:t xml:space="preserve"> arabes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5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Doha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Atelier et réunion de coordination des fréquences UAT/UIT sur le passage à la télévision numérique et le dividende numérique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12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Bamako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Formation du </w:t>
            </w:r>
            <w:r w:rsidR="00A909A5" w:rsidRPr="00C90D9F">
              <w:rPr>
                <w:sz w:val="20"/>
                <w:lang w:val="fr-CH" w:eastAsia="zh-CN"/>
              </w:rPr>
              <w:t xml:space="preserve">Centre </w:t>
            </w:r>
            <w:r w:rsidRPr="00C90D9F">
              <w:rPr>
                <w:sz w:val="20"/>
                <w:lang w:val="fr-CH" w:eastAsia="zh-CN"/>
              </w:rPr>
              <w:t>d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excellence sur le passage au numérique et sur le dividende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14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r w:rsidR="00A909A5" w:rsidRPr="00C90D9F">
              <w:rPr>
                <w:sz w:val="20"/>
                <w:lang w:val="en-US" w:eastAsia="zh-CN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Ath</w:t>
            </w:r>
            <w:r w:rsidR="00A909A5" w:rsidRPr="00C90D9F">
              <w:rPr>
                <w:sz w:val="20"/>
                <w:lang w:val="en-US" w:eastAsia="zh-CN"/>
              </w:rPr>
              <w:t>ènes</w:t>
            </w:r>
            <w:proofErr w:type="spellEnd"/>
          </w:p>
        </w:tc>
      </w:tr>
      <w:tr w:rsidR="00F03F83" w:rsidRPr="00C90D9F" w:rsidTr="00962C6E">
        <w:trPr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Atelier et réunion de coordination des fréquences UAT/UIT sur le passage à la télévision numérique et le dividende numérique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20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Kampala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Forum de développement régional pour la région Amérique</w:t>
            </w:r>
            <w:r w:rsidR="00A909A5" w:rsidRPr="00C90D9F">
              <w:rPr>
                <w:sz w:val="20"/>
                <w:lang w:val="fr-CH" w:eastAsia="zh-CN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Mexico City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régional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UIT sur les services spatiaux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avril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sur la gestion du spectre et le dividende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Warsaw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Forum de </w:t>
            </w:r>
            <w:r w:rsidR="00962C6E">
              <w:rPr>
                <w:sz w:val="20"/>
                <w:lang w:val="fr-CH" w:eastAsia="zh-CN"/>
              </w:rPr>
              <w:t>développement régional pour la r</w:t>
            </w:r>
            <w:r w:rsidRPr="00C90D9F">
              <w:rPr>
                <w:sz w:val="20"/>
                <w:lang w:val="fr-CH" w:eastAsia="zh-CN"/>
              </w:rPr>
              <w:t>égion Afrique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11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Kigali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962C6E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Réunion préparatoire de la r</w:t>
            </w:r>
            <w:r w:rsidR="00F03F83" w:rsidRPr="00C90D9F">
              <w:rPr>
                <w:sz w:val="20"/>
                <w:lang w:val="fr-CH" w:eastAsia="zh-CN"/>
              </w:rPr>
              <w:t>égion Amérique</w:t>
            </w:r>
            <w:r>
              <w:rPr>
                <w:sz w:val="20"/>
                <w:lang w:val="fr-CH" w:eastAsia="zh-CN"/>
              </w:rPr>
              <w:t>s</w:t>
            </w:r>
            <w:r w:rsidR="00F03F83" w:rsidRPr="00C90D9F">
              <w:rPr>
                <w:sz w:val="20"/>
                <w:lang w:val="fr-CH" w:eastAsia="zh-CN"/>
              </w:rPr>
              <w:t xml:space="preserve"> pour </w:t>
            </w:r>
            <w:r>
              <w:rPr>
                <w:sz w:val="20"/>
                <w:lang w:val="fr-CH" w:eastAsia="zh-CN"/>
              </w:rPr>
              <w:t>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>
              <w:rPr>
                <w:sz w:val="20"/>
                <w:lang w:val="fr-CH" w:eastAsia="zh-CN"/>
              </w:rPr>
              <w:t>AMNT</w:t>
            </w:r>
            <w:r>
              <w:rPr>
                <w:sz w:val="20"/>
                <w:lang w:val="fr-CH" w:eastAsia="zh-CN"/>
              </w:rPr>
              <w:noBreakHyphen/>
            </w:r>
            <w:r w:rsidR="00F03F83" w:rsidRPr="00C90D9F">
              <w:rPr>
                <w:sz w:val="20"/>
                <w:lang w:val="fr-CH" w:eastAsia="zh-C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Buenos Aires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A909A5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Forum</w:t>
            </w:r>
            <w:r w:rsidR="00F03F83" w:rsidRPr="00C90D9F">
              <w:rPr>
                <w:sz w:val="20"/>
                <w:lang w:val="fr-CH" w:eastAsia="zh-CN"/>
              </w:rPr>
              <w:t xml:space="preserve"> de développement régiona</w:t>
            </w:r>
            <w:r w:rsidR="00962C6E">
              <w:rPr>
                <w:sz w:val="20"/>
                <w:lang w:val="fr-CH" w:eastAsia="zh-CN"/>
              </w:rPr>
              <w:t>l pour la région Asie</w:t>
            </w:r>
            <w:r w:rsidR="00962C6E">
              <w:rPr>
                <w:sz w:val="20"/>
                <w:lang w:val="fr-CH" w:eastAsia="zh-CN"/>
              </w:rPr>
              <w:noBreakHyphen/>
            </w:r>
            <w:r w:rsidR="00F03F83" w:rsidRPr="00C90D9F">
              <w:rPr>
                <w:sz w:val="20"/>
                <w:lang w:val="fr-CH" w:eastAsia="zh-CN"/>
              </w:rPr>
              <w:t>Pacifique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16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Bangkok</w:t>
            </w:r>
          </w:p>
        </w:tc>
      </w:tr>
      <w:tr w:rsidR="00F03F83" w:rsidRPr="00C90D9F" w:rsidTr="00962C6E">
        <w:trPr>
          <w:trHeight w:val="33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et réunion de coordination des fréquences UIT/CTU/CBU sur le passage à la télévision numérique et le dividende numérique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25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A909A5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Barbade</w:t>
            </w:r>
            <w:proofErr w:type="spellEnd"/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Fo</w:t>
            </w:r>
            <w:r w:rsidR="00A909A5" w:rsidRPr="00C90D9F">
              <w:rPr>
                <w:sz w:val="20"/>
                <w:lang w:val="fr-CH" w:eastAsia="zh-CN"/>
              </w:rPr>
              <w:t>rum</w:t>
            </w:r>
            <w:r w:rsidRPr="00C90D9F">
              <w:rPr>
                <w:sz w:val="20"/>
                <w:lang w:val="fr-CH" w:eastAsia="zh-CN"/>
              </w:rPr>
              <w:t xml:space="preserve"> de développement régional pour les pays de la CEI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23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Chisinau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962C6E" w:rsidP="00C90D9F">
            <w:pPr>
              <w:pStyle w:val="Tabletext"/>
              <w:rPr>
                <w:sz w:val="20"/>
                <w:lang w:val="fr-CH" w:eastAsia="zh-CN"/>
              </w:rPr>
            </w:pPr>
            <w:r>
              <w:rPr>
                <w:sz w:val="20"/>
                <w:lang w:val="fr-CH" w:eastAsia="zh-CN"/>
              </w:rPr>
              <w:t>7ème</w:t>
            </w:r>
            <w:r w:rsidR="00F03F83" w:rsidRPr="00C90D9F">
              <w:rPr>
                <w:sz w:val="20"/>
                <w:lang w:val="fr-CH" w:eastAsia="zh-CN"/>
              </w:rPr>
              <w:t xml:space="preserve"> colloque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UIT sur les TIC,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environnement et les changements climatiques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31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A909A5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Montré</w:t>
            </w:r>
            <w:r w:rsidR="00F03F83" w:rsidRPr="00C90D9F">
              <w:rPr>
                <w:sz w:val="20"/>
                <w:lang w:val="en-US" w:eastAsia="zh-CN"/>
              </w:rPr>
              <w:t>al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sur le passage à la télévision numérique et le dividende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30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mai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1</w:t>
            </w:r>
            <w:r w:rsidR="00A909A5" w:rsidRPr="00C90D9F">
              <w:rPr>
                <w:sz w:val="20"/>
                <w:lang w:val="en-US" w:eastAsia="zh-CN"/>
              </w:rPr>
              <w:t>er</w:t>
            </w:r>
            <w:r w:rsidRPr="00C90D9F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Uruguay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sur le développement des radiocommunications à la lumière des résultats de la CMR-12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St. Petersburg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UIT sur la gestion du spectre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21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Bogota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proofErr w:type="spellStart"/>
            <w:r w:rsidRPr="00C90D9F">
              <w:rPr>
                <w:sz w:val="20"/>
                <w:lang w:val="en-US" w:eastAsia="zh-CN"/>
              </w:rPr>
              <w:t>Sommet</w:t>
            </w:r>
            <w:proofErr w:type="spellEnd"/>
            <w:r w:rsidRPr="00C90D9F">
              <w:rPr>
                <w:sz w:val="20"/>
                <w:lang w:val="en-US" w:eastAsia="zh-CN"/>
              </w:rPr>
              <w:t xml:space="preserve"> Connecter les</w:t>
            </w:r>
            <w:r w:rsidR="00A909A5" w:rsidRPr="00C90D9F">
              <w:rPr>
                <w:sz w:val="20"/>
                <w:lang w:val="en-US" w:eastAsia="zh-CN"/>
              </w:rPr>
              <w:t xml:space="preserve">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Amériques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17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19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Panama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Forum multi</w:t>
            </w:r>
            <w:r w:rsidR="00A909A5" w:rsidRPr="00C90D9F">
              <w:rPr>
                <w:sz w:val="20"/>
                <w:lang w:val="fr-CH" w:eastAsia="zh-CN"/>
              </w:rPr>
              <w:noBreakHyphen/>
            </w:r>
            <w:r w:rsidRPr="00C90D9F">
              <w:rPr>
                <w:sz w:val="20"/>
                <w:lang w:val="fr-CH" w:eastAsia="zh-CN"/>
              </w:rPr>
              <w:t>parties</w:t>
            </w:r>
            <w:r w:rsidR="00962C6E">
              <w:rPr>
                <w:sz w:val="20"/>
                <w:lang w:val="fr-CH" w:eastAsia="zh-CN"/>
              </w:rPr>
              <w:t xml:space="preserve"> prenantes CLM/</w:t>
            </w:r>
            <w:r w:rsidRPr="00C90D9F">
              <w:rPr>
                <w:sz w:val="20"/>
                <w:lang w:val="fr-CH" w:eastAsia="zh-CN"/>
              </w:rPr>
              <w:t xml:space="preserve">UIT </w:t>
            </w:r>
            <w:r w:rsidR="00962C6E" w:rsidRPr="00962C6E">
              <w:rPr>
                <w:sz w:val="20"/>
                <w:lang w:val="fr-CH" w:eastAsia="zh-CN"/>
              </w:rPr>
              <w:t>–</w:t>
            </w:r>
            <w:r w:rsidRPr="00C90D9F">
              <w:rPr>
                <w:sz w:val="20"/>
                <w:lang w:val="fr-CH" w:eastAsia="zh-CN"/>
              </w:rPr>
              <w:t xml:space="preserve"> Rôle des TIC </w:t>
            </w:r>
            <w:r w:rsidR="00A909A5" w:rsidRPr="00C90D9F">
              <w:rPr>
                <w:sz w:val="20"/>
                <w:lang w:val="fr-CH" w:eastAsia="zh-CN"/>
              </w:rPr>
              <w:t>en cas de</w:t>
            </w:r>
            <w:r w:rsidRPr="00C90D9F">
              <w:rPr>
                <w:sz w:val="20"/>
                <w:lang w:val="fr-CH" w:eastAsia="zh-CN"/>
              </w:rPr>
              <w:t xml:space="preserve"> catastrophe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24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26 </w:t>
            </w:r>
            <w:proofErr w:type="spellStart"/>
            <w:r w:rsidR="00A909A5" w:rsidRPr="00C90D9F">
              <w:rPr>
                <w:sz w:val="20"/>
                <w:lang w:val="en-US" w:eastAsia="zh-CN"/>
              </w:rPr>
              <w:t>juillet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Bogota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 xml:space="preserve">Sommet UAT/ UIT sur </w:t>
            </w:r>
            <w:r w:rsidR="00A909A5" w:rsidRPr="00C90D9F">
              <w:rPr>
                <w:sz w:val="20"/>
                <w:lang w:val="fr-CH" w:eastAsia="zh-CN"/>
              </w:rPr>
              <w:t xml:space="preserve">le passage au numérique et </w:t>
            </w:r>
            <w:r w:rsidRPr="00C90D9F">
              <w:rPr>
                <w:sz w:val="20"/>
                <w:lang w:val="fr-CH" w:eastAsia="zh-CN"/>
              </w:rPr>
              <w:t>les politiques applicables au spectre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6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Abuja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Atelier sur les télécommunications par satellite dans</w:t>
            </w:r>
            <w:r w:rsidR="00962C6E">
              <w:rPr>
                <w:sz w:val="20"/>
                <w:lang w:val="fr-CH" w:eastAsia="zh-CN"/>
              </w:rPr>
              <w:t xml:space="preserve"> la bande 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5 Sept.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Kazakhstan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C91310" w:rsidP="00962C6E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Séminaire</w:t>
            </w:r>
            <w:r w:rsidR="00962C6E">
              <w:rPr>
                <w:sz w:val="20"/>
                <w:lang w:val="fr-CH" w:eastAsia="zh-CN"/>
              </w:rPr>
              <w:t xml:space="preserve"> RAPAF </w:t>
            </w:r>
            <w:r w:rsidR="00962C6E" w:rsidRPr="00962C6E">
              <w:rPr>
                <w:sz w:val="20"/>
                <w:lang w:val="fr-CH" w:eastAsia="zh-CN"/>
              </w:rPr>
              <w:t>–</w:t>
            </w:r>
            <w:r w:rsidR="00962C6E">
              <w:rPr>
                <w:sz w:val="20"/>
                <w:lang w:val="fr-CH" w:eastAsia="zh-CN"/>
              </w:rPr>
              <w:t xml:space="preserve"> R</w:t>
            </w:r>
            <w:r w:rsidR="00F03F83" w:rsidRPr="00C90D9F">
              <w:rPr>
                <w:sz w:val="20"/>
                <w:lang w:val="fr-CH" w:eastAsia="zh-CN"/>
              </w:rPr>
              <w:t xml:space="preserve">égulateurs </w:t>
            </w:r>
            <w:r w:rsidR="00962C6E">
              <w:rPr>
                <w:sz w:val="20"/>
                <w:lang w:val="fr-CH" w:eastAsia="zh-CN"/>
              </w:rPr>
              <w:t xml:space="preserve">du secteur de la radiodiffusion </w:t>
            </w:r>
            <w:r w:rsidR="00962C6E" w:rsidRPr="00962C6E">
              <w:rPr>
                <w:sz w:val="20"/>
                <w:lang w:val="fr-CH" w:eastAsia="zh-CN"/>
              </w:rPr>
              <w:t>–</w:t>
            </w:r>
            <w:r w:rsidR="00962C6E">
              <w:rPr>
                <w:sz w:val="20"/>
                <w:lang w:val="fr-CH" w:eastAsia="zh-CN"/>
              </w:rPr>
              <w:t xml:space="preserve"> P</w:t>
            </w:r>
            <w:r w:rsidR="00F03F83" w:rsidRPr="00C90D9F">
              <w:rPr>
                <w:sz w:val="20"/>
                <w:lang w:val="fr-CH" w:eastAsia="zh-CN"/>
              </w:rPr>
              <w:t>assage à la télévision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26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28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Libreville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GSR-12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Colombo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3B0E81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Séminaire</w:t>
            </w:r>
            <w:r w:rsidR="00F03F83" w:rsidRPr="00C90D9F">
              <w:rPr>
                <w:sz w:val="20"/>
                <w:lang w:val="fr-CH" w:eastAsia="zh-CN"/>
              </w:rPr>
              <w:t xml:space="preserve"> régional UIT/APBU sur les TIC,</w:t>
            </w:r>
            <w:r w:rsidRPr="00C90D9F">
              <w:rPr>
                <w:sz w:val="20"/>
                <w:lang w:val="fr-CH" w:eastAsia="zh-CN"/>
              </w:rPr>
              <w:t xml:space="preserve"> l'environnement et</w:t>
            </w:r>
            <w:r w:rsidR="00F03F83" w:rsidRPr="00C90D9F">
              <w:rPr>
                <w:sz w:val="20"/>
                <w:lang w:val="fr-CH" w:eastAsia="zh-CN"/>
              </w:rPr>
              <w:t xml:space="preserve"> les changements climatiques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31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octobre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2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Jakarta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83" w:rsidRPr="00C90D9F" w:rsidRDefault="003B0E81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Séminaire</w:t>
            </w:r>
            <w:r w:rsidR="00F03F83" w:rsidRPr="00C90D9F">
              <w:rPr>
                <w:sz w:val="20"/>
                <w:lang w:val="fr-CH" w:eastAsia="zh-CN"/>
              </w:rPr>
              <w:t xml:space="preserve"> de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="00F03F83" w:rsidRPr="00C90D9F">
              <w:rPr>
                <w:sz w:val="20"/>
                <w:lang w:val="fr-CH" w:eastAsia="zh-CN"/>
              </w:rPr>
              <w:t>UIT sur les radiocommunications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3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Genève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GSS &amp; AMNT-12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18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29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novembre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Dubai</w:t>
            </w:r>
          </w:p>
        </w:tc>
      </w:tr>
      <w:tr w:rsidR="00F03F83" w:rsidRPr="00C90D9F" w:rsidTr="00962C6E">
        <w:trPr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CMTI-12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2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14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décembre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Dubai</w:t>
            </w:r>
          </w:p>
        </w:tc>
      </w:tr>
      <w:tr w:rsidR="00F03F83" w:rsidRPr="00962C6E" w:rsidTr="00962C6E">
        <w:trPr>
          <w:trHeight w:val="214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3B0E81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962C6E">
              <w:rPr>
                <w:b/>
                <w:bCs/>
                <w:sz w:val="20"/>
                <w:lang w:val="en-US" w:eastAsia="zh-CN"/>
              </w:rPr>
              <w:t>DEMANDES D'ASSISTANCE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  <w:r w:rsidRPr="00962C6E">
              <w:rPr>
                <w:b/>
                <w:bCs/>
                <w:sz w:val="20"/>
                <w:lang w:val="en-US"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F03F83" w:rsidRPr="00962C6E" w:rsidRDefault="00F03F83" w:rsidP="00C90D9F">
            <w:pPr>
              <w:pStyle w:val="Tabletext"/>
              <w:rPr>
                <w:b/>
                <w:bCs/>
                <w:sz w:val="20"/>
                <w:lang w:val="en-US" w:eastAsia="zh-CN"/>
              </w:rPr>
            </w:pP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Assistance à l</w:t>
            </w:r>
            <w:r w:rsidR="007A68A3" w:rsidRPr="00C90D9F">
              <w:rPr>
                <w:sz w:val="20"/>
                <w:lang w:val="fr-CH" w:eastAsia="zh-CN"/>
              </w:rPr>
              <w:t>'</w:t>
            </w:r>
            <w:r w:rsidRPr="00C90D9F">
              <w:rPr>
                <w:sz w:val="20"/>
                <w:lang w:val="fr-CH" w:eastAsia="zh-CN"/>
              </w:rPr>
              <w:t>Albanie sur le plan stratégique en vue du passage à la télévision numérique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10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janvier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Tirana</w:t>
            </w:r>
          </w:p>
        </w:tc>
      </w:tr>
      <w:tr w:rsidR="00F03F83" w:rsidRPr="00C90D9F" w:rsidTr="00962C6E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fr-CH" w:eastAsia="zh-CN"/>
              </w:rPr>
            </w:pPr>
            <w:r w:rsidRPr="00C90D9F">
              <w:rPr>
                <w:sz w:val="20"/>
                <w:lang w:val="fr-CH" w:eastAsia="zh-CN"/>
              </w:rPr>
              <w:t>Formation sur les services spatiaux et les services de Terre pour le Venezuela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4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 xml:space="preserve">7 </w:t>
            </w:r>
            <w:proofErr w:type="spellStart"/>
            <w:r w:rsidR="003B0E81" w:rsidRPr="00C90D9F">
              <w:rPr>
                <w:sz w:val="20"/>
                <w:lang w:val="en-US" w:eastAsia="zh-CN"/>
              </w:rPr>
              <w:t>septembre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F83" w:rsidRPr="00C90D9F" w:rsidRDefault="00F03F83" w:rsidP="00C90D9F">
            <w:pPr>
              <w:pStyle w:val="Tabletext"/>
              <w:rPr>
                <w:sz w:val="20"/>
                <w:lang w:val="en-US" w:eastAsia="zh-CN"/>
              </w:rPr>
            </w:pPr>
            <w:r w:rsidRPr="00C90D9F">
              <w:rPr>
                <w:sz w:val="20"/>
                <w:lang w:val="en-US" w:eastAsia="zh-CN"/>
              </w:rPr>
              <w:t>Genève</w:t>
            </w:r>
          </w:p>
        </w:tc>
      </w:tr>
    </w:tbl>
    <w:p w:rsidR="00F03F83" w:rsidRPr="00B31C84" w:rsidRDefault="00F03F83" w:rsidP="00962C6E">
      <w:pPr>
        <w:spacing w:before="240"/>
        <w:rPr>
          <w:bCs/>
          <w:lang w:val="fr-CH" w:eastAsia="zh-CN"/>
        </w:rPr>
      </w:pPr>
      <w:r w:rsidRPr="00B31C84">
        <w:rPr>
          <w:bCs/>
          <w:lang w:val="fr-CH" w:eastAsia="zh-CN"/>
        </w:rPr>
        <w:t>On trouvera une liste complète des séminaires et ateliers organisés directement par l</w:t>
      </w:r>
      <w:r w:rsidR="007A68A3">
        <w:rPr>
          <w:bCs/>
          <w:lang w:val="fr-CH" w:eastAsia="zh-CN"/>
        </w:rPr>
        <w:t>'</w:t>
      </w:r>
      <w:r w:rsidR="00D466C5">
        <w:rPr>
          <w:bCs/>
          <w:lang w:val="fr-CH" w:eastAsia="zh-CN"/>
        </w:rPr>
        <w:t>UIT ou en </w:t>
      </w:r>
      <w:r w:rsidRPr="00B31C84">
        <w:rPr>
          <w:bCs/>
          <w:lang w:val="fr-CH" w:eastAsia="zh-CN"/>
        </w:rPr>
        <w:t>coopération avec d</w:t>
      </w:r>
      <w:r w:rsidR="007A68A3">
        <w:rPr>
          <w:bCs/>
          <w:lang w:val="fr-CH" w:eastAsia="zh-CN"/>
        </w:rPr>
        <w:t>'</w:t>
      </w:r>
      <w:r w:rsidRPr="00B31C84">
        <w:rPr>
          <w:bCs/>
          <w:lang w:val="fr-CH" w:eastAsia="zh-CN"/>
        </w:rPr>
        <w:t>autres entités régionales ou nationales à l</w:t>
      </w:r>
      <w:r w:rsidR="007A68A3">
        <w:rPr>
          <w:bCs/>
          <w:lang w:val="fr-CH" w:eastAsia="zh-CN"/>
        </w:rPr>
        <w:t>'</w:t>
      </w:r>
      <w:r w:rsidRPr="00B31C84">
        <w:rPr>
          <w:bCs/>
          <w:lang w:val="fr-CH" w:eastAsia="zh-CN"/>
        </w:rPr>
        <w:t xml:space="preserve">adresse: </w:t>
      </w:r>
      <w:hyperlink r:id="rId30" w:history="1">
        <w:r w:rsidR="00D466C5" w:rsidRPr="009F4570">
          <w:rPr>
            <w:rStyle w:val="Hyperlink"/>
            <w:bCs/>
            <w:lang w:val="fr-CH" w:eastAsia="zh-CN"/>
          </w:rPr>
          <w:t>http://www.itu.int/ITU</w:t>
        </w:r>
        <w:r w:rsidR="00D466C5" w:rsidRPr="009F4570">
          <w:rPr>
            <w:rStyle w:val="Hyperlink"/>
            <w:bCs/>
            <w:lang w:val="fr-CH" w:eastAsia="zh-CN"/>
          </w:rPr>
          <w:noBreakHyphen/>
          <w:t>R/go/seminars</w:t>
        </w:r>
      </w:hyperlink>
      <w:r w:rsidRPr="00B31C84">
        <w:rPr>
          <w:bCs/>
          <w:lang w:val="fr-CH" w:eastAsia="zh-CN"/>
        </w:rPr>
        <w:t>.</w:t>
      </w:r>
    </w:p>
    <w:p w:rsidR="00F03F83" w:rsidRPr="00B31C84" w:rsidRDefault="00F03F83" w:rsidP="00C91310">
      <w:pPr>
        <w:pStyle w:val="Heading1"/>
        <w:rPr>
          <w:rFonts w:eastAsiaTheme="minorEastAsia"/>
          <w:lang w:val="fr-CH"/>
        </w:rPr>
      </w:pPr>
      <w:r w:rsidRPr="00B31C84">
        <w:rPr>
          <w:rFonts w:eastAsiaTheme="minorEastAsia"/>
          <w:lang w:val="fr-CH"/>
        </w:rPr>
        <w:t>8</w:t>
      </w:r>
      <w:r w:rsidRPr="00B31C84">
        <w:rPr>
          <w:rFonts w:eastAsiaTheme="minorEastAsia"/>
          <w:lang w:val="fr-CH"/>
        </w:rPr>
        <w:tab/>
        <w:t>Circulaire internationale d</w:t>
      </w:r>
      <w:r w:rsidR="007A68A3">
        <w:rPr>
          <w:rFonts w:eastAsiaTheme="minorEastAsia"/>
          <w:lang w:val="fr-CH"/>
        </w:rPr>
        <w:t>'</w:t>
      </w:r>
      <w:r w:rsidRPr="00B31C84">
        <w:rPr>
          <w:rFonts w:eastAsiaTheme="minorEastAsia"/>
          <w:lang w:val="fr-CH"/>
        </w:rPr>
        <w:t>information sur les fréquences du BR (BR IFIC)</w:t>
      </w:r>
    </w:p>
    <w:p w:rsidR="00F03F83" w:rsidRPr="00B31C84" w:rsidRDefault="00F03F83" w:rsidP="00C91310">
      <w:pPr>
        <w:rPr>
          <w:rFonts w:eastAsiaTheme="minorEastAsia"/>
          <w:lang w:val="fr-CH"/>
        </w:rPr>
      </w:pPr>
      <w:r w:rsidRPr="00B31C84">
        <w:rPr>
          <w:lang w:val="fr-CH"/>
        </w:rPr>
        <w:t>Cette question fait l</w:t>
      </w:r>
      <w:r w:rsidR="007A68A3">
        <w:rPr>
          <w:lang w:val="fr-CH"/>
        </w:rPr>
        <w:t>'</w:t>
      </w:r>
      <w:r w:rsidRPr="00B31C84">
        <w:rPr>
          <w:lang w:val="fr-CH"/>
        </w:rPr>
        <w:t>objet d</w:t>
      </w:r>
      <w:r w:rsidR="007A68A3">
        <w:rPr>
          <w:lang w:val="fr-CH"/>
        </w:rPr>
        <w:t>'</w:t>
      </w:r>
      <w:r w:rsidR="003B0E81">
        <w:rPr>
          <w:lang w:val="fr-CH"/>
        </w:rPr>
        <w:t>un Addendum au présent document.</w:t>
      </w:r>
    </w:p>
    <w:p w:rsidR="00F03F83" w:rsidRPr="00B31C84" w:rsidRDefault="003B0E81" w:rsidP="00C91310">
      <w:pPr>
        <w:pStyle w:val="Heading1"/>
        <w:rPr>
          <w:lang w:val="fr-CH"/>
        </w:rPr>
      </w:pPr>
      <w:r>
        <w:rPr>
          <w:rFonts w:asciiTheme="majorBidi" w:eastAsiaTheme="minorEastAsia" w:hAnsiTheme="majorBidi" w:cstheme="majorBidi"/>
          <w:szCs w:val="24"/>
          <w:lang w:val="fr-CH"/>
        </w:rPr>
        <w:t>9</w:t>
      </w:r>
      <w:r w:rsidR="00F03F83" w:rsidRPr="00B31C84">
        <w:rPr>
          <w:rFonts w:asciiTheme="majorBidi" w:eastAsiaTheme="minorEastAsia" w:hAnsiTheme="majorBidi" w:cstheme="majorBidi"/>
          <w:szCs w:val="24"/>
          <w:lang w:val="fr-CH"/>
        </w:rPr>
        <w:tab/>
      </w:r>
      <w:r w:rsidR="00F03F83" w:rsidRPr="00B31C84">
        <w:rPr>
          <w:lang w:val="fr-CH"/>
        </w:rPr>
        <w:t>Statistiques relatives aux Membres de Secteur, au</w:t>
      </w:r>
      <w:r w:rsidR="00F03F83">
        <w:rPr>
          <w:lang w:val="fr-CH"/>
        </w:rPr>
        <w:t>x</w:t>
      </w:r>
      <w:r w:rsidR="00F03F83" w:rsidRPr="00B31C84">
        <w:rPr>
          <w:lang w:val="fr-CH"/>
        </w:rPr>
        <w:t xml:space="preserve"> Associés et aux établissements universitaires</w:t>
      </w:r>
    </w:p>
    <w:p w:rsidR="00F03F83" w:rsidRPr="00B31C84" w:rsidRDefault="00F03F83" w:rsidP="00C91310">
      <w:pPr>
        <w:ind w:right="-284"/>
        <w:rPr>
          <w:lang w:val="fr-CH"/>
        </w:rPr>
      </w:pPr>
      <w:r w:rsidRPr="00B31C84">
        <w:rPr>
          <w:lang w:val="fr-CH"/>
        </w:rPr>
        <w:t>Cette question fait l</w:t>
      </w:r>
      <w:r w:rsidR="007A68A3">
        <w:rPr>
          <w:lang w:val="fr-CH"/>
        </w:rPr>
        <w:t>'</w:t>
      </w:r>
      <w:r w:rsidRPr="00B31C84">
        <w:rPr>
          <w:lang w:val="fr-CH"/>
        </w:rPr>
        <w:t>objet d</w:t>
      </w:r>
      <w:r w:rsidR="007A68A3">
        <w:rPr>
          <w:lang w:val="fr-CH"/>
        </w:rPr>
        <w:t>'</w:t>
      </w:r>
      <w:r w:rsidRPr="00B31C84">
        <w:rPr>
          <w:lang w:val="fr-CH"/>
        </w:rPr>
        <w:t>un Addendum au présent document.</w:t>
      </w:r>
    </w:p>
    <w:p w:rsidR="00F03F83" w:rsidRPr="00B31C84" w:rsidRDefault="00F03F83" w:rsidP="00C91310">
      <w:pPr>
        <w:ind w:right="-284"/>
        <w:rPr>
          <w:lang w:val="fr-CH"/>
        </w:rPr>
      </w:pPr>
    </w:p>
    <w:p w:rsidR="00F03F83" w:rsidRPr="00B31C84" w:rsidRDefault="00F03F83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Theme="minorEastAsia" w:hAnsiTheme="majorBidi" w:cstheme="majorBidi"/>
          <w:szCs w:val="24"/>
          <w:lang w:val="fr-CH"/>
        </w:rPr>
      </w:pPr>
    </w:p>
    <w:p w:rsidR="00F03F83" w:rsidRDefault="00F03F83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507BC" w:rsidRDefault="006507BC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966C1" w:rsidRDefault="006966C1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966C1" w:rsidRDefault="006966C1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507BC" w:rsidRPr="00B31C84" w:rsidRDefault="006507BC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03F83" w:rsidRPr="00F50533" w:rsidRDefault="00F03F83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 w:rsidRPr="00F50533">
        <w:rPr>
          <w:b/>
          <w:bCs/>
          <w:lang w:val="fr-CH"/>
        </w:rPr>
        <w:t>Annexe</w:t>
      </w:r>
      <w:r w:rsidRPr="00D466C5">
        <w:rPr>
          <w:lang w:val="fr-CH"/>
        </w:rPr>
        <w:t>:</w:t>
      </w:r>
      <w:r w:rsidR="00D466C5">
        <w:rPr>
          <w:b/>
          <w:bCs/>
          <w:lang w:val="fr-CH"/>
        </w:rPr>
        <w:t xml:space="preserve"> </w:t>
      </w:r>
      <w:r w:rsidRPr="00F50533">
        <w:rPr>
          <w:lang w:val="fr-CH"/>
        </w:rPr>
        <w:t>1</w:t>
      </w:r>
    </w:p>
    <w:p w:rsidR="00F03F83" w:rsidRPr="00F50533" w:rsidRDefault="00F03F83" w:rsidP="00C913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 w:rsidRPr="00F50533">
        <w:rPr>
          <w:b/>
          <w:bCs/>
          <w:lang w:val="fr-CH"/>
        </w:rPr>
        <w:br w:type="page"/>
      </w:r>
    </w:p>
    <w:p w:rsidR="00F03F83" w:rsidRPr="00F50533" w:rsidRDefault="00F03F83" w:rsidP="00C91310">
      <w:pPr>
        <w:pStyle w:val="BodyText2"/>
        <w:spacing w:before="60" w:after="100" w:line="240" w:lineRule="auto"/>
        <w:rPr>
          <w:lang w:val="fr-CH"/>
        </w:rPr>
        <w:sectPr w:rsidR="00F03F83" w:rsidRPr="00F50533" w:rsidSect="007A68A3">
          <w:headerReference w:type="default" r:id="rId31"/>
          <w:headerReference w:type="first" r:id="rId3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03F83" w:rsidRPr="00F50533" w:rsidRDefault="00F03F83" w:rsidP="00D466C5">
      <w:pPr>
        <w:pStyle w:val="AnnexNotitle"/>
        <w:spacing w:before="120" w:after="240"/>
        <w:rPr>
          <w:lang w:val="fr-CH"/>
        </w:rPr>
      </w:pPr>
      <w:r w:rsidRPr="00F50533">
        <w:rPr>
          <w:lang w:val="fr-CH"/>
        </w:rPr>
        <w:t>Annex</w:t>
      </w:r>
      <w:r w:rsidR="00870B64" w:rsidRPr="00F50533">
        <w:rPr>
          <w:lang w:val="fr-CH"/>
        </w:rPr>
        <w:t>e</w:t>
      </w:r>
    </w:p>
    <w:p w:rsidR="00664AD7" w:rsidRPr="005C7AE3" w:rsidRDefault="004509EE" w:rsidP="00C91310">
      <w:pPr>
        <w:pStyle w:val="Header"/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BE5F1" w:themeFill="accent1" w:themeFillTint="33"/>
        <w:tabs>
          <w:tab w:val="left" w:pos="720"/>
          <w:tab w:val="left" w:pos="1080"/>
        </w:tabs>
        <w:rPr>
          <w:rFonts w:asciiTheme="minorHAnsi" w:hAnsiTheme="minorHAnsi" w:cstheme="minorHAnsi"/>
          <w:color w:val="000099"/>
          <w:szCs w:val="28"/>
          <w:lang w:val="fr-CH"/>
        </w:rPr>
      </w:pPr>
      <w:r w:rsidRPr="005C7AE3">
        <w:rPr>
          <w:rFonts w:asciiTheme="minorHAnsi" w:hAnsiTheme="minorHAnsi" w:cstheme="minorHAnsi"/>
          <w:caps/>
          <w:color w:val="000099"/>
          <w:sz w:val="28"/>
          <w:szCs w:val="28"/>
          <w:lang w:val="fr-CH"/>
        </w:rPr>
        <w:t>extrait du Budget biennal</w:t>
      </w:r>
      <w:r w:rsidR="00664AD7" w:rsidRPr="005C7AE3">
        <w:rPr>
          <w:rFonts w:asciiTheme="minorHAnsi" w:hAnsiTheme="minorHAnsi" w:cstheme="minorHAnsi"/>
          <w:caps/>
          <w:color w:val="000099"/>
          <w:sz w:val="28"/>
          <w:szCs w:val="28"/>
          <w:lang w:val="fr-CH"/>
        </w:rPr>
        <w:t xml:space="preserve"> de l'uit pour 2012-2013 (Résolution 1337 du conseil)</w:t>
      </w:r>
    </w:p>
    <w:tbl>
      <w:tblPr>
        <w:tblW w:w="5202" w:type="pct"/>
        <w:tblLook w:val="04A0" w:firstRow="1" w:lastRow="0" w:firstColumn="1" w:lastColumn="0" w:noHBand="0" w:noVBand="1"/>
      </w:tblPr>
      <w:tblGrid>
        <w:gridCol w:w="1169"/>
        <w:gridCol w:w="5365"/>
        <w:gridCol w:w="331"/>
        <w:gridCol w:w="890"/>
        <w:gridCol w:w="710"/>
        <w:gridCol w:w="512"/>
        <w:gridCol w:w="668"/>
        <w:gridCol w:w="905"/>
        <w:gridCol w:w="695"/>
        <w:gridCol w:w="526"/>
        <w:gridCol w:w="654"/>
        <w:gridCol w:w="568"/>
        <w:gridCol w:w="609"/>
        <w:gridCol w:w="618"/>
        <w:gridCol w:w="568"/>
      </w:tblGrid>
      <w:tr w:rsidR="00664AD7" w:rsidRPr="005C7AE3" w:rsidTr="00664AD7">
        <w:trPr>
          <w:gridAfter w:val="1"/>
          <w:wAfter w:w="194" w:type="pct"/>
          <w:trHeight w:val="465"/>
        </w:trPr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99"/>
                <w:sz w:val="40"/>
                <w:szCs w:val="40"/>
                <w:lang w:val="fr-CH" w:eastAsia="zh-CN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99"/>
                <w:sz w:val="40"/>
                <w:szCs w:val="40"/>
                <w:lang w:val="fr-CH" w:eastAsia="zh-CN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99"/>
                <w:sz w:val="40"/>
                <w:szCs w:val="40"/>
                <w:lang w:val="fr-CH" w:eastAsia="zh-CN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99"/>
                <w:sz w:val="40"/>
                <w:szCs w:val="40"/>
                <w:lang w:val="fr-CH" w:eastAsia="zh-CN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99"/>
                <w:sz w:val="40"/>
                <w:szCs w:val="40"/>
                <w:lang w:val="fr-CH" w:eastAsia="zh-CN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99"/>
                <w:sz w:val="40"/>
                <w:szCs w:val="40"/>
                <w:lang w:val="fr-CH" w:eastAsia="zh-CN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AD7" w:rsidRPr="005C7AE3" w:rsidRDefault="00664AD7" w:rsidP="00C913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99"/>
                <w:sz w:val="40"/>
                <w:szCs w:val="40"/>
                <w:lang w:val="fr-CH" w:eastAsia="zh-CN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Budget pour 2012-2013 </w:t>
            </w:r>
            <w:r w:rsidR="00962C6E" w:rsidRPr="005C7AE3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  <w:t>–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Secteur des radiocommunications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21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Charges opérationnelles par chapitre</w:t>
            </w:r>
          </w:p>
        </w:tc>
        <w:tc>
          <w:tcPr>
            <w:tcW w:w="2679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En milliers CHF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Montants effectifs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2008-2009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Budget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2010-2011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Montants 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  <w:t>effectifs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2010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Estimations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2012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Estimations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2013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Estimations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2012-2013</w:t>
            </w: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br/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3.1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Conférences mondiales des radiocommunications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256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3 000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3 000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3.2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Assemblées des radiocommunications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375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4.1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Conférences régionales des radiocommunications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5.1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Comité du Règlement des radiocommunications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1 088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1 250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506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681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682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1 363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5.2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Groupe consultatif des radiocommunications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123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6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</w:t>
            </w: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ko-KR"/>
              </w:rPr>
              <w:t>ommissions d'études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1 441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2 565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694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875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875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1 750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7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Activités et programmes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2 959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2 490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1 303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1 920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8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Séminaires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474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309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944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Chapitre 9</w:t>
            </w: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Bureau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54 621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58 843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27 894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26 168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26 157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52 325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– Charges communes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1 489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1 655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1 260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1 034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1 034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2 068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– Bureau du Directeur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1 107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1 116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582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639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639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1 278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– Département des </w:t>
            </w: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ko-KR"/>
              </w:rPr>
              <w:t>commissions d'études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5 722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6 070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3 245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3 122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3 121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6 243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– Département des services spatiaux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18 898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18 946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8 784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8 254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8 242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16 496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– Département des services de Terre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13 762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15 170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7 138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6 565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6 566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13 131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– Département de l'informatique, de l'administration et des publicat</w:t>
            </w:r>
            <w:bookmarkStart w:id="7" w:name="_GoBack"/>
            <w:bookmarkEnd w:id="7"/>
            <w:r w:rsidRPr="005C7AE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ions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13 643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15 886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6 884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6 554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sz w:val="18"/>
                <w:szCs w:val="18"/>
              </w:rPr>
              <w:t>6 555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13 109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6" w:after="6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99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hAnsiTheme="minorHAnsi" w:cstheme="minorHAnsi"/>
                <w:color w:val="000099"/>
                <w:sz w:val="18"/>
                <w:szCs w:val="18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99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hAnsiTheme="minorHAnsi" w:cstheme="minorHAnsi"/>
                <w:color w:val="000099"/>
                <w:sz w:val="18"/>
                <w:szCs w:val="18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99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hAnsiTheme="minorHAnsi" w:cstheme="minorHAnsi"/>
                <w:color w:val="000099"/>
                <w:sz w:val="18"/>
                <w:szCs w:val="18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99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hAnsiTheme="minorHAnsi" w:cstheme="minorHAnsi"/>
                <w:color w:val="000099"/>
                <w:sz w:val="18"/>
                <w:szCs w:val="18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99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hAnsiTheme="minorHAnsi" w:cstheme="minorHAnsi"/>
                <w:color w:val="000099"/>
                <w:sz w:val="18"/>
                <w:szCs w:val="1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99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hAnsiTheme="minorHAnsi" w:cstheme="minorHAnsi"/>
                <w:color w:val="000099"/>
                <w:sz w:val="18"/>
                <w:szCs w:val="18"/>
              </w:rPr>
              <w:t> </w:t>
            </w:r>
          </w:p>
        </w:tc>
      </w:tr>
      <w:tr w:rsidR="00664AD7" w:rsidRPr="005C7AE3" w:rsidTr="00664AD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5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color w:val="800000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1926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color w:val="800000"/>
                <w:sz w:val="18"/>
                <w:szCs w:val="1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  <w:t>60 834</w:t>
            </w:r>
          </w:p>
        </w:tc>
        <w:tc>
          <w:tcPr>
            <w:tcW w:w="399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  <w:t>65 772</w:t>
            </w:r>
          </w:p>
        </w:tc>
        <w:tc>
          <w:tcPr>
            <w:tcW w:w="541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  <w:t>30 749</w:t>
            </w:r>
          </w:p>
        </w:tc>
        <w:tc>
          <w:tcPr>
            <w:tcW w:w="399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  <w:t>32 593</w:t>
            </w:r>
          </w:p>
        </w:tc>
        <w:tc>
          <w:tcPr>
            <w:tcW w:w="398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  <w:t>29 207</w:t>
            </w:r>
          </w:p>
        </w:tc>
        <w:tc>
          <w:tcPr>
            <w:tcW w:w="402" w:type="pct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8"/>
                <w:szCs w:val="18"/>
              </w:rPr>
              <w:t>61 800</w:t>
            </w:r>
          </w:p>
        </w:tc>
      </w:tr>
    </w:tbl>
    <w:p w:rsidR="00664AD7" w:rsidRPr="005C7AE3" w:rsidRDefault="00664AD7" w:rsidP="00C91310">
      <w:pPr>
        <w:pStyle w:val="Heading1"/>
        <w:rPr>
          <w:rFonts w:asciiTheme="minorHAnsi" w:hAnsiTheme="minorHAnsi" w:cstheme="minorHAnsi"/>
          <w:sz w:val="4"/>
          <w:szCs w:val="4"/>
          <w:lang w:eastAsia="zh-CN"/>
        </w:rPr>
      </w:pPr>
    </w:p>
    <w:tbl>
      <w:tblPr>
        <w:tblW w:w="5005" w:type="pct"/>
        <w:tblInd w:w="-2" w:type="dxa"/>
        <w:tblLook w:val="0000" w:firstRow="0" w:lastRow="0" w:firstColumn="0" w:lastColumn="0" w:noHBand="0" w:noVBand="0"/>
      </w:tblPr>
      <w:tblGrid>
        <w:gridCol w:w="3831"/>
        <w:gridCol w:w="936"/>
        <w:gridCol w:w="936"/>
        <w:gridCol w:w="942"/>
        <w:gridCol w:w="1101"/>
        <w:gridCol w:w="1158"/>
        <w:gridCol w:w="1016"/>
        <w:gridCol w:w="1013"/>
        <w:gridCol w:w="908"/>
        <w:gridCol w:w="1525"/>
        <w:gridCol w:w="862"/>
      </w:tblGrid>
      <w:tr w:rsidR="00664AD7" w:rsidRPr="005C7AE3" w:rsidTr="00664AD7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Budget pour 2012-2013 </w:t>
            </w:r>
            <w:r w:rsidR="00962C6E" w:rsidRPr="005C7AE3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  <w:t>–</w:t>
            </w:r>
            <w:r w:rsidRPr="005C7AE3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Secteur des radiocommunications</w:t>
            </w:r>
          </w:p>
        </w:tc>
      </w:tr>
      <w:tr w:rsidR="00664AD7" w:rsidRPr="005C7AE3" w:rsidTr="00664AD7">
        <w:trPr>
          <w:trHeight w:val="170"/>
        </w:trPr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Charges opérationnelles par chapitre et par catégorie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En milliers CHF</w:t>
            </w:r>
          </w:p>
        </w:tc>
      </w:tr>
      <w:tr w:rsidR="00664AD7" w:rsidRPr="005C7AE3" w:rsidTr="00664AD7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Charges de personnel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Autres charges de personnel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Frais de mission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Services contractuels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Location et entretien des locaux et des équipements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Matériels et fournitures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Acquisition de locaux, de mobilier et de matériel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Services publics et services intérieurs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Vérification des comptes, contributions interorganisations et divers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i/>
                <w:i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Cat. 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0"/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  <w:t>Estimations pour 2012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eastAsia="SimSun" w:hAnsiTheme="minorHAnsi" w:cstheme="minorHAnsi"/>
                <w:b/>
                <w:bCs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sz w:val="14"/>
                <w:szCs w:val="14"/>
                <w:lang w:eastAsia="zh-CN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Conférence mondiale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2 059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3 000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Assemblée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251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375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Comité du Règlement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252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681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Groupe consultatif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62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</w:t>
            </w: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ko-KR"/>
              </w:rPr>
              <w:t>ommissions d'études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692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875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Activités et programmes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584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960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Séminaires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231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472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Bureau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zh-CN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 xml:space="preserve"> – Bureau du Directeur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427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639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 xml:space="preserve"> – Départements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19 371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5 124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25 529</w:t>
            </w:r>
          </w:p>
        </w:tc>
      </w:tr>
      <w:tr w:rsidR="00664AD7" w:rsidRPr="005C7AE3" w:rsidTr="00664AD7">
        <w:trPr>
          <w:trHeight w:hRule="exact" w:val="5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  <w:t>TOTAL</w:t>
            </w:r>
          </w:p>
        </w:tc>
        <w:tc>
          <w:tcPr>
            <w:tcW w:w="32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23 335</w:t>
            </w:r>
          </w:p>
        </w:tc>
        <w:tc>
          <w:tcPr>
            <w:tcW w:w="32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5 479</w:t>
            </w:r>
          </w:p>
        </w:tc>
        <w:tc>
          <w:tcPr>
            <w:tcW w:w="331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1 344</w:t>
            </w:r>
          </w:p>
        </w:tc>
        <w:tc>
          <w:tcPr>
            <w:tcW w:w="38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1 424</w:t>
            </w:r>
          </w:p>
        </w:tc>
        <w:tc>
          <w:tcPr>
            <w:tcW w:w="40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210</w:t>
            </w:r>
          </w:p>
        </w:tc>
        <w:tc>
          <w:tcPr>
            <w:tcW w:w="35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178</w:t>
            </w:r>
          </w:p>
        </w:tc>
        <w:tc>
          <w:tcPr>
            <w:tcW w:w="35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80</w:t>
            </w:r>
          </w:p>
        </w:tc>
        <w:tc>
          <w:tcPr>
            <w:tcW w:w="31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441</w:t>
            </w:r>
          </w:p>
        </w:tc>
        <w:tc>
          <w:tcPr>
            <w:tcW w:w="53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102</w:t>
            </w:r>
          </w:p>
        </w:tc>
        <w:tc>
          <w:tcPr>
            <w:tcW w:w="303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32 593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0"/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  <w:t>Estimations pour 2013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Conférence mondiale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Assemblée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Comité du Règlement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253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682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Groupe consultatif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61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</w:t>
            </w: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ko-KR"/>
              </w:rPr>
              <w:t>ommissions d'études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692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875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Activités et programmes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960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Séminaires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230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472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Bureau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 xml:space="preserve"> – Bureau du Directeur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427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639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 xml:space="preserve"> – Départements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19 361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5 123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25 518</w:t>
            </w:r>
          </w:p>
        </w:tc>
      </w:tr>
      <w:tr w:rsidR="00664AD7" w:rsidRPr="005C7AE3" w:rsidTr="00664AD7">
        <w:trPr>
          <w:trHeight w:hRule="exact" w:val="5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  <w:t>TOTAL</w:t>
            </w:r>
          </w:p>
        </w:tc>
        <w:tc>
          <w:tcPr>
            <w:tcW w:w="32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21 015</w:t>
            </w:r>
          </w:p>
        </w:tc>
        <w:tc>
          <w:tcPr>
            <w:tcW w:w="32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5 362</w:t>
            </w:r>
          </w:p>
        </w:tc>
        <w:tc>
          <w:tcPr>
            <w:tcW w:w="331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1 111</w:t>
            </w:r>
          </w:p>
        </w:tc>
        <w:tc>
          <w:tcPr>
            <w:tcW w:w="38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920</w:t>
            </w:r>
          </w:p>
        </w:tc>
        <w:tc>
          <w:tcPr>
            <w:tcW w:w="40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105</w:t>
            </w:r>
          </w:p>
        </w:tc>
        <w:tc>
          <w:tcPr>
            <w:tcW w:w="35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111</w:t>
            </w:r>
          </w:p>
        </w:tc>
        <w:tc>
          <w:tcPr>
            <w:tcW w:w="35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80</w:t>
            </w:r>
          </w:p>
        </w:tc>
        <w:tc>
          <w:tcPr>
            <w:tcW w:w="31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430</w:t>
            </w:r>
          </w:p>
        </w:tc>
        <w:tc>
          <w:tcPr>
            <w:tcW w:w="53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73</w:t>
            </w:r>
          </w:p>
        </w:tc>
        <w:tc>
          <w:tcPr>
            <w:tcW w:w="303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29 207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0"/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  <w:t>Estimations pour 2012-2013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Conférence mondiale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2 059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3 000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Assemblée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251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375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Comité du Règlement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505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1 363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Groupe consultatif des radiocommunications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123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C</w:t>
            </w: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ko-KR"/>
              </w:rPr>
              <w:t>ommissions d'études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1 384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1 750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Activités et programmes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1 174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1 920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Séminaires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461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944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>Bureau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 xml:space="preserve"> – Bureau du Directeur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854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1 278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  <w:t xml:space="preserve"> – Départements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38 732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10 247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150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160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110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51 047</w:t>
            </w:r>
          </w:p>
        </w:tc>
      </w:tr>
      <w:tr w:rsidR="00664AD7" w:rsidRPr="005C7AE3" w:rsidTr="00664AD7">
        <w:trPr>
          <w:trHeight w:hRule="exact" w:val="5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664AD7" w:rsidRPr="005C7AE3" w:rsidTr="00664AD7">
        <w:trPr>
          <w:trHeight w:val="170"/>
        </w:trPr>
        <w:tc>
          <w:tcPr>
            <w:tcW w:w="134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</w:pPr>
            <w:r w:rsidRPr="005C7AE3">
              <w:rPr>
                <w:rFonts w:asciiTheme="minorHAnsi" w:eastAsia="SimSun" w:hAnsiTheme="minorHAnsi" w:cstheme="minorHAnsi"/>
                <w:b/>
                <w:bCs/>
                <w:color w:val="800000"/>
                <w:sz w:val="14"/>
                <w:szCs w:val="14"/>
                <w:lang w:eastAsia="zh-CN"/>
              </w:rPr>
              <w:t>TOTAL</w:t>
            </w:r>
          </w:p>
        </w:tc>
        <w:tc>
          <w:tcPr>
            <w:tcW w:w="32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44 350</w:t>
            </w:r>
          </w:p>
        </w:tc>
        <w:tc>
          <w:tcPr>
            <w:tcW w:w="32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10 841</w:t>
            </w:r>
          </w:p>
        </w:tc>
        <w:tc>
          <w:tcPr>
            <w:tcW w:w="331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2 455</w:t>
            </w:r>
          </w:p>
        </w:tc>
        <w:tc>
          <w:tcPr>
            <w:tcW w:w="38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2 344</w:t>
            </w:r>
          </w:p>
        </w:tc>
        <w:tc>
          <w:tcPr>
            <w:tcW w:w="40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315</w:t>
            </w:r>
          </w:p>
        </w:tc>
        <w:tc>
          <w:tcPr>
            <w:tcW w:w="357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289</w:t>
            </w:r>
          </w:p>
        </w:tc>
        <w:tc>
          <w:tcPr>
            <w:tcW w:w="35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160</w:t>
            </w:r>
          </w:p>
        </w:tc>
        <w:tc>
          <w:tcPr>
            <w:tcW w:w="319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871</w:t>
            </w:r>
          </w:p>
        </w:tc>
        <w:tc>
          <w:tcPr>
            <w:tcW w:w="536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175</w:t>
            </w:r>
          </w:p>
        </w:tc>
        <w:tc>
          <w:tcPr>
            <w:tcW w:w="303" w:type="pc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E3E3E3"/>
            <w:noWrap/>
            <w:vAlign w:val="center"/>
          </w:tcPr>
          <w:p w:rsidR="00664AD7" w:rsidRPr="005C7AE3" w:rsidRDefault="00664AD7" w:rsidP="00C91310">
            <w:pPr>
              <w:spacing w:before="6" w:after="6"/>
              <w:jc w:val="right"/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</w:pPr>
            <w:r w:rsidRPr="005C7AE3">
              <w:rPr>
                <w:rFonts w:asciiTheme="minorHAnsi" w:hAnsiTheme="minorHAnsi" w:cstheme="minorHAnsi"/>
                <w:b/>
                <w:bCs/>
                <w:color w:val="000099"/>
                <w:sz w:val="14"/>
                <w:szCs w:val="14"/>
              </w:rPr>
              <w:t>61 800</w:t>
            </w:r>
          </w:p>
        </w:tc>
      </w:tr>
    </w:tbl>
    <w:p w:rsidR="00664AD7" w:rsidRPr="005C7AE3" w:rsidRDefault="00664AD7" w:rsidP="00C91310">
      <w:pPr>
        <w:pStyle w:val="Reasons"/>
        <w:rPr>
          <w:rFonts w:asciiTheme="minorHAnsi" w:hAnsiTheme="minorHAnsi" w:cstheme="minorHAnsi"/>
        </w:rPr>
      </w:pPr>
    </w:p>
    <w:p w:rsidR="00664AD7" w:rsidRPr="00664AD7" w:rsidRDefault="00664AD7" w:rsidP="00D466C5">
      <w:pPr>
        <w:jc w:val="center"/>
        <w:rPr>
          <w:lang w:val="en-US"/>
        </w:rPr>
      </w:pPr>
      <w:r>
        <w:t>______________</w:t>
      </w:r>
    </w:p>
    <w:sectPr w:rsidR="00664AD7" w:rsidRPr="00664AD7" w:rsidSect="00870B6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E3" w:rsidRDefault="005C7AE3">
      <w:r>
        <w:separator/>
      </w:r>
    </w:p>
  </w:endnote>
  <w:endnote w:type="continuationSeparator" w:id="0">
    <w:p w:rsidR="005C7AE3" w:rsidRDefault="005C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>
    <w:pPr>
      <w:pStyle w:val="Footer"/>
    </w:pPr>
    <w:fldSimple w:instr=" FILENAME \p  \* MERGEFORMAT ">
      <w:r w:rsidR="00591B72">
        <w:t>P:\FRA\ITU-R\AG\RAG12\RAG-1\000\001F.docx</w:t>
      </w:r>
    </w:fldSimple>
    <w:r>
      <w:t xml:space="preserve"> (325518)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91B72">
      <w:t>22.05.12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91B72">
      <w:t>22.05.12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>
    <w:pPr>
      <w:pStyle w:val="Footer"/>
    </w:pPr>
    <w:fldSimple w:instr=" FILENAME \p  \* MERGEFORMAT ">
      <w:r w:rsidR="00591B72">
        <w:t>P:\FRA\ITU-R\AG\RAG12\RAG-1\000\001F.docx</w:t>
      </w:r>
    </w:fldSimple>
    <w:r>
      <w:t xml:space="preserve"> (325518)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91B72">
      <w:t>22.05.12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91B72">
      <w:t>22.05.12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91B72">
      <w:rPr>
        <w:lang w:val="en-US"/>
      </w:rPr>
      <w:t>P:\FRA\ITU-R\AG\RAG12\RAG-1\000\001F.docx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1B72">
      <w:t>22.05.12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1B72">
      <w:t>22.05.12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91B72">
      <w:rPr>
        <w:lang w:val="en-US"/>
      </w:rPr>
      <w:t>P:\FRA\ITU-R\AG\RAG12\RAG-1\000\001F.docx</w:t>
    </w:r>
    <w:r>
      <w:rPr>
        <w:lang w:val="en-US"/>
      </w:rPr>
      <w:fldChar w:fldCharType="end"/>
    </w:r>
    <w:r>
      <w:rPr>
        <w:lang w:val="en-US"/>
      </w:rPr>
      <w:t xml:space="preserve"> (325518)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1B72">
      <w:t>22.05.12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1B72">
      <w:t>22.05.12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>
    <w:pPr>
      <w:pStyle w:val="Footer"/>
    </w:pPr>
    <w:fldSimple w:instr=" FILENAME \p  \* MERGEFORMAT ">
      <w:r w:rsidR="00591B72">
        <w:t>P:\FRA\ITU-R\AG\RAG12\RAG-1\000\001F.docx</w:t>
      </w:r>
    </w:fldSimple>
    <w:r>
      <w:t xml:space="preserve"> (325518)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91B72">
      <w:t>22.05.12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91B72">
      <w:t>22.05.12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E3" w:rsidRDefault="005C7AE3">
      <w:r>
        <w:t>____________________</w:t>
      </w:r>
    </w:p>
  </w:footnote>
  <w:footnote w:type="continuationSeparator" w:id="0">
    <w:p w:rsidR="005C7AE3" w:rsidRDefault="005C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Pr="00465F3E" w:rsidRDefault="005C7AE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1B72">
      <w:rPr>
        <w:noProof/>
      </w:rPr>
      <w:t>9</w:t>
    </w:r>
    <w:r>
      <w:rPr>
        <w:noProof/>
      </w:rPr>
      <w:fldChar w:fldCharType="end"/>
    </w:r>
  </w:p>
  <w:p w:rsidR="005C7AE3" w:rsidRPr="00465F3E" w:rsidRDefault="005C7AE3" w:rsidP="00664AD7">
    <w:pPr>
      <w:pStyle w:val="Header"/>
      <w:rPr>
        <w:lang w:val="en-US"/>
      </w:rPr>
    </w:pPr>
    <w:r>
      <w:rPr>
        <w:lang w:val="en-US"/>
      </w:rPr>
      <w:t>RAG12-1/1</w:t>
    </w:r>
    <w:r w:rsidRPr="00465F3E">
      <w:rPr>
        <w:lang w:val="en-US"/>
      </w:rPr>
      <w:t>-</w:t>
    </w:r>
    <w:r>
      <w:rPr>
        <w:lang w:val="en-US"/>
      </w:rPr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Pr="00465F3E" w:rsidRDefault="005C7AE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1B72">
      <w:rPr>
        <w:noProof/>
      </w:rPr>
      <w:t>18</w:t>
    </w:r>
    <w:r>
      <w:rPr>
        <w:noProof/>
      </w:rPr>
      <w:fldChar w:fldCharType="end"/>
    </w:r>
  </w:p>
  <w:p w:rsidR="005C7AE3" w:rsidRPr="00465F3E" w:rsidRDefault="005C7AE3" w:rsidP="00664AD7">
    <w:pPr>
      <w:pStyle w:val="Header"/>
      <w:rPr>
        <w:lang w:val="en-US"/>
      </w:rPr>
    </w:pPr>
    <w:r>
      <w:rPr>
        <w:lang w:val="en-US"/>
      </w:rPr>
      <w:t>RAG12-1/1</w:t>
    </w:r>
    <w:r w:rsidRPr="00465F3E">
      <w:rPr>
        <w:lang w:val="en-US"/>
      </w:rPr>
      <w:t>-</w:t>
    </w:r>
    <w:r>
      <w:rPr>
        <w:lang w:val="en-US"/>
      </w:rPr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Pr="00465F3E" w:rsidRDefault="005C7AE3" w:rsidP="005C7AE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1B72">
      <w:rPr>
        <w:noProof/>
      </w:rPr>
      <w:t>19</w:t>
    </w:r>
    <w:r>
      <w:rPr>
        <w:noProof/>
      </w:rPr>
      <w:fldChar w:fldCharType="end"/>
    </w:r>
  </w:p>
  <w:p w:rsidR="005C7AE3" w:rsidRDefault="005C7AE3" w:rsidP="005C7AE3">
    <w:pPr>
      <w:pStyle w:val="Header"/>
    </w:pPr>
    <w:r>
      <w:rPr>
        <w:lang w:val="en-US"/>
      </w:rPr>
      <w:t>RAG12-1/1</w:t>
    </w:r>
    <w:r w:rsidRPr="00465F3E">
      <w:rPr>
        <w:lang w:val="en-US"/>
      </w:rPr>
      <w:t>-</w:t>
    </w:r>
    <w:r>
      <w:rPr>
        <w:lang w:val="en-US"/>
      </w:rPr>
      <w:t>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91B72">
      <w:rPr>
        <w:noProof/>
      </w:rPr>
      <w:t>19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E3" w:rsidRDefault="005C7AE3" w:rsidP="00925627">
    <w:pPr>
      <w:pStyle w:val="Header"/>
      <w:rPr>
        <w:lang w:val="es-ES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91B72">
      <w:rPr>
        <w:noProof/>
      </w:rPr>
      <w:t>20</w:t>
    </w:r>
    <w:r>
      <w:rPr>
        <w:noProof/>
      </w:rPr>
      <w:fldChar w:fldCharType="end"/>
    </w:r>
    <w:r>
      <w:rPr>
        <w:noProof/>
      </w:rPr>
      <w:t xml:space="preserve"> -</w:t>
    </w:r>
  </w:p>
  <w:p w:rsidR="005C7AE3" w:rsidRDefault="005C7AE3" w:rsidP="00C91310">
    <w:pPr>
      <w:pStyle w:val="Header"/>
      <w:rPr>
        <w:lang w:val="es-ES"/>
      </w:rPr>
    </w:pPr>
    <w:r>
      <w:rPr>
        <w:lang w:val="es-ES"/>
      </w:rPr>
      <w:t>RAG12-1/1-F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2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AE3" w:rsidRDefault="005C7A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B7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C7AE3" w:rsidRDefault="005C7AE3">
    <w:pPr>
      <w:pStyle w:val="Header"/>
    </w:pPr>
    <w:r>
      <w:rPr>
        <w:lang w:val="en-US"/>
      </w:rPr>
      <w:t>RAG12-1/1</w:t>
    </w:r>
    <w:r w:rsidRPr="00465F3E">
      <w:rPr>
        <w:lang w:val="en-US"/>
      </w:rPr>
      <w:t>-</w:t>
    </w:r>
    <w:r>
      <w:rPr>
        <w:lang w:val="en-US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35EB4"/>
    <w:multiLevelType w:val="multilevel"/>
    <w:tmpl w:val="EEDCF7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810AC"/>
    <w:multiLevelType w:val="hybridMultilevel"/>
    <w:tmpl w:val="7076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70B62"/>
    <w:multiLevelType w:val="hybridMultilevel"/>
    <w:tmpl w:val="79009158"/>
    <w:lvl w:ilvl="0" w:tplc="ED62498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1276A6"/>
    <w:multiLevelType w:val="hybridMultilevel"/>
    <w:tmpl w:val="3F8C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42106"/>
    <w:multiLevelType w:val="hybridMultilevel"/>
    <w:tmpl w:val="34C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4B4007"/>
    <w:multiLevelType w:val="hybridMultilevel"/>
    <w:tmpl w:val="3A84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157FC"/>
    <w:multiLevelType w:val="hybridMultilevel"/>
    <w:tmpl w:val="F5C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15759F1"/>
    <w:multiLevelType w:val="hybridMultilevel"/>
    <w:tmpl w:val="8036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5"/>
  </w:num>
  <w:num w:numId="13">
    <w:abstractNumId w:val="37"/>
  </w:num>
  <w:num w:numId="14">
    <w:abstractNumId w:val="30"/>
  </w:num>
  <w:num w:numId="15">
    <w:abstractNumId w:val="26"/>
  </w:num>
  <w:num w:numId="16">
    <w:abstractNumId w:val="36"/>
  </w:num>
  <w:num w:numId="17">
    <w:abstractNumId w:val="23"/>
  </w:num>
  <w:num w:numId="18">
    <w:abstractNumId w:val="10"/>
  </w:num>
  <w:num w:numId="19">
    <w:abstractNumId w:val="14"/>
  </w:num>
  <w:num w:numId="20">
    <w:abstractNumId w:val="16"/>
  </w:num>
  <w:num w:numId="21">
    <w:abstractNumId w:val="21"/>
  </w:num>
  <w:num w:numId="22">
    <w:abstractNumId w:val="41"/>
  </w:num>
  <w:num w:numId="23">
    <w:abstractNumId w:val="27"/>
  </w:num>
  <w:num w:numId="24">
    <w:abstractNumId w:val="29"/>
  </w:num>
  <w:num w:numId="25">
    <w:abstractNumId w:val="11"/>
  </w:num>
  <w:num w:numId="26">
    <w:abstractNumId w:val="22"/>
  </w:num>
  <w:num w:numId="27">
    <w:abstractNumId w:val="13"/>
  </w:num>
  <w:num w:numId="28">
    <w:abstractNumId w:val="19"/>
  </w:num>
  <w:num w:numId="29">
    <w:abstractNumId w:val="33"/>
  </w:num>
  <w:num w:numId="30">
    <w:abstractNumId w:val="44"/>
  </w:num>
  <w:num w:numId="31">
    <w:abstractNumId w:val="40"/>
  </w:num>
  <w:num w:numId="32">
    <w:abstractNumId w:val="34"/>
  </w:num>
  <w:num w:numId="33">
    <w:abstractNumId w:val="2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3"/>
  </w:num>
  <w:num w:numId="38">
    <w:abstractNumId w:val="38"/>
  </w:num>
  <w:num w:numId="39">
    <w:abstractNumId w:val="25"/>
  </w:num>
  <w:num w:numId="40">
    <w:abstractNumId w:val="39"/>
  </w:num>
  <w:num w:numId="41">
    <w:abstractNumId w:val="24"/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D"/>
    <w:rsid w:val="00030B74"/>
    <w:rsid w:val="00044378"/>
    <w:rsid w:val="00093AF6"/>
    <w:rsid w:val="000A4EA0"/>
    <w:rsid w:val="000F2640"/>
    <w:rsid w:val="00140AE6"/>
    <w:rsid w:val="001C2BDB"/>
    <w:rsid w:val="00275822"/>
    <w:rsid w:val="002D238A"/>
    <w:rsid w:val="002E1FE7"/>
    <w:rsid w:val="003B0E81"/>
    <w:rsid w:val="004509EE"/>
    <w:rsid w:val="00454931"/>
    <w:rsid w:val="004901E2"/>
    <w:rsid w:val="004F5F02"/>
    <w:rsid w:val="005430E4"/>
    <w:rsid w:val="00565109"/>
    <w:rsid w:val="00577CDF"/>
    <w:rsid w:val="00591B72"/>
    <w:rsid w:val="005C7AE3"/>
    <w:rsid w:val="006053E1"/>
    <w:rsid w:val="006507BC"/>
    <w:rsid w:val="00664AD7"/>
    <w:rsid w:val="0067019B"/>
    <w:rsid w:val="006966C1"/>
    <w:rsid w:val="007407CF"/>
    <w:rsid w:val="00765898"/>
    <w:rsid w:val="00773E5E"/>
    <w:rsid w:val="007A68A3"/>
    <w:rsid w:val="00847AAC"/>
    <w:rsid w:val="00870B64"/>
    <w:rsid w:val="0090377F"/>
    <w:rsid w:val="00925627"/>
    <w:rsid w:val="0093101F"/>
    <w:rsid w:val="00962C6E"/>
    <w:rsid w:val="00970B21"/>
    <w:rsid w:val="0097156E"/>
    <w:rsid w:val="009D77AD"/>
    <w:rsid w:val="009D79C9"/>
    <w:rsid w:val="00A026C2"/>
    <w:rsid w:val="00A41743"/>
    <w:rsid w:val="00A9055C"/>
    <w:rsid w:val="00A909A5"/>
    <w:rsid w:val="00AB7F92"/>
    <w:rsid w:val="00B34854"/>
    <w:rsid w:val="00C90D9F"/>
    <w:rsid w:val="00C91310"/>
    <w:rsid w:val="00CA58CD"/>
    <w:rsid w:val="00CC5B9E"/>
    <w:rsid w:val="00CC7208"/>
    <w:rsid w:val="00D172D6"/>
    <w:rsid w:val="00D228F7"/>
    <w:rsid w:val="00D466C5"/>
    <w:rsid w:val="00D6220E"/>
    <w:rsid w:val="00DD553C"/>
    <w:rsid w:val="00DE2CF5"/>
    <w:rsid w:val="00DF51DF"/>
    <w:rsid w:val="00DF54AE"/>
    <w:rsid w:val="00E80303"/>
    <w:rsid w:val="00EE1B2B"/>
    <w:rsid w:val="00F03F83"/>
    <w:rsid w:val="00F453E4"/>
    <w:rsid w:val="00F50533"/>
    <w:rsid w:val="00F533E5"/>
    <w:rsid w:val="00F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F03F83"/>
    <w:rPr>
      <w:rFonts w:ascii="Times New Roman" w:hAnsi="Times New Roman"/>
      <w:b/>
      <w:sz w:val="24"/>
      <w:lang w:val="fr-FR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rsid w:val="00F03F83"/>
    <w:rPr>
      <w:rFonts w:ascii="Times New Roman" w:hAnsi="Times New Roman"/>
      <w:sz w:val="22"/>
      <w:lang w:val="fr-FR" w:eastAsia="en-US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F03F83"/>
    <w:rPr>
      <w:rFonts w:ascii="Times New Roman" w:hAnsi="Times New Roman"/>
      <w:i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F03F83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03F83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rsid w:val="00F03F83"/>
    <w:rPr>
      <w:rFonts w:ascii="Times New Roman" w:hAnsi="Times New Roman"/>
      <w:sz w:val="24"/>
      <w:lang w:val="fr-FR" w:eastAsia="en-US"/>
    </w:r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F03F83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F03F83"/>
    <w:rPr>
      <w:rFonts w:ascii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RestitleChar">
    <w:name w:val="Res_title Char"/>
    <w:basedOn w:val="DefaultParagraphFont"/>
    <w:link w:val="Restitle"/>
    <w:uiPriority w:val="99"/>
    <w:locked/>
    <w:rsid w:val="00F03F83"/>
    <w:rPr>
      <w:rFonts w:ascii="Times New Roman" w:hAnsi="Times New Roman"/>
      <w:b/>
      <w:sz w:val="28"/>
      <w:lang w:val="fr-FR" w:eastAsia="en-US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F03F83"/>
    <w:rPr>
      <w:color w:val="0000FF"/>
      <w:u w:val="single"/>
    </w:rPr>
  </w:style>
  <w:style w:type="paragraph" w:styleId="BodyText">
    <w:name w:val="Body Text"/>
    <w:basedOn w:val="Normal"/>
    <w:link w:val="BodyTextChar"/>
    <w:rsid w:val="00F03F83"/>
    <w:rPr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03F83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F03F8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  <w:lang w:val="en-GB"/>
    </w:rPr>
  </w:style>
  <w:style w:type="paragraph" w:customStyle="1" w:styleId="Car">
    <w:name w:val="Car"/>
    <w:basedOn w:val="Normal"/>
    <w:rsid w:val="00F03F8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F03F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03F83"/>
    <w:rPr>
      <w:color w:val="606420"/>
      <w:u w:val="single"/>
    </w:rPr>
  </w:style>
  <w:style w:type="character" w:customStyle="1" w:styleId="itur-title1">
    <w:name w:val="itur-title1"/>
    <w:basedOn w:val="DefaultParagraphFont"/>
    <w:rsid w:val="00F03F83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F03F83"/>
    <w:rPr>
      <w:b/>
      <w:bCs/>
    </w:rPr>
  </w:style>
  <w:style w:type="paragraph" w:customStyle="1" w:styleId="Char">
    <w:name w:val="Char"/>
    <w:basedOn w:val="Normal"/>
    <w:rsid w:val="00F03F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BalloonText">
    <w:name w:val="Balloon Text"/>
    <w:basedOn w:val="Normal"/>
    <w:link w:val="BalloonTextChar"/>
    <w:rsid w:val="00F03F83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03F83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rsid w:val="00F03F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F03F83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F03F83"/>
  </w:style>
  <w:style w:type="character" w:customStyle="1" w:styleId="msoins00">
    <w:name w:val="msoins0"/>
    <w:basedOn w:val="DefaultParagraphFont"/>
    <w:rsid w:val="00F03F83"/>
  </w:style>
  <w:style w:type="paragraph" w:customStyle="1" w:styleId="CharCharCharCharCharChar">
    <w:name w:val="Char Char Char Char Char Char"/>
    <w:basedOn w:val="Normal"/>
    <w:rsid w:val="00F03F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F03F8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03F83"/>
    <w:pPr>
      <w:ind w:left="720"/>
      <w:contextualSpacing/>
      <w:jc w:val="both"/>
      <w:textAlignment w:val="auto"/>
    </w:pPr>
    <w:rPr>
      <w:lang w:val="en-GB"/>
    </w:rPr>
  </w:style>
  <w:style w:type="paragraph" w:customStyle="1" w:styleId="DecimalAligned">
    <w:name w:val="Decimal Aligned"/>
    <w:basedOn w:val="Normal"/>
    <w:uiPriority w:val="40"/>
    <w:rsid w:val="00F03F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F8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03F8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03F83"/>
    <w:pPr>
      <w:spacing w:after="120" w:line="480" w:lineRule="auto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03F83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03F83"/>
    <w:pPr>
      <w:spacing w:after="120"/>
      <w:ind w:left="36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F83"/>
    <w:rPr>
      <w:rFonts w:ascii="Times New Roman" w:hAnsi="Times New Roman"/>
      <w:sz w:val="24"/>
      <w:lang w:val="en-GB" w:eastAsia="en-US"/>
    </w:rPr>
  </w:style>
  <w:style w:type="paragraph" w:customStyle="1" w:styleId="Tabletitle">
    <w:name w:val="Table_title"/>
    <w:basedOn w:val="Normal"/>
    <w:next w:val="Tabletext"/>
    <w:rsid w:val="00F03F8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paragraph" w:customStyle="1" w:styleId="Reasons">
    <w:name w:val="Reasons"/>
    <w:basedOn w:val="Normal"/>
    <w:qFormat/>
    <w:rsid w:val="00664A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F03F83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F03F83"/>
    <w:rPr>
      <w:rFonts w:ascii="Times New Roman" w:hAnsi="Times New Roman"/>
      <w:b/>
      <w:sz w:val="24"/>
      <w:lang w:val="fr-FR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link w:val="Tabletext"/>
    <w:rsid w:val="00F03F83"/>
    <w:rPr>
      <w:rFonts w:ascii="Times New Roman" w:hAnsi="Times New Roman"/>
      <w:sz w:val="22"/>
      <w:lang w:val="fr-FR" w:eastAsia="en-US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F03F83"/>
    <w:rPr>
      <w:rFonts w:ascii="Times New Roman" w:hAnsi="Times New Roman"/>
      <w:i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F03F83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03F83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rsid w:val="00F03F83"/>
    <w:rPr>
      <w:rFonts w:ascii="Times New Roman" w:hAnsi="Times New Roman"/>
      <w:sz w:val="24"/>
      <w:lang w:val="fr-FR" w:eastAsia="en-US"/>
    </w:r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F03F83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F03F83"/>
    <w:rPr>
      <w:rFonts w:ascii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RestitleChar">
    <w:name w:val="Res_title Char"/>
    <w:basedOn w:val="DefaultParagraphFont"/>
    <w:link w:val="Restitle"/>
    <w:uiPriority w:val="99"/>
    <w:locked/>
    <w:rsid w:val="00F03F83"/>
    <w:rPr>
      <w:rFonts w:ascii="Times New Roman" w:hAnsi="Times New Roman"/>
      <w:b/>
      <w:sz w:val="28"/>
      <w:lang w:val="fr-FR" w:eastAsia="en-US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F03F83"/>
    <w:rPr>
      <w:color w:val="0000FF"/>
      <w:u w:val="single"/>
    </w:rPr>
  </w:style>
  <w:style w:type="paragraph" w:styleId="BodyText">
    <w:name w:val="Body Text"/>
    <w:basedOn w:val="Normal"/>
    <w:link w:val="BodyTextChar"/>
    <w:rsid w:val="00F03F83"/>
    <w:rPr>
      <w:b/>
      <w:bCs/>
      <w:i/>
      <w:i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03F83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F03F8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  <w:lang w:val="en-GB"/>
    </w:rPr>
  </w:style>
  <w:style w:type="paragraph" w:customStyle="1" w:styleId="Car">
    <w:name w:val="Car"/>
    <w:basedOn w:val="Normal"/>
    <w:rsid w:val="00F03F8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F03F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03F83"/>
    <w:rPr>
      <w:color w:val="606420"/>
      <w:u w:val="single"/>
    </w:rPr>
  </w:style>
  <w:style w:type="character" w:customStyle="1" w:styleId="itur-title1">
    <w:name w:val="itur-title1"/>
    <w:basedOn w:val="DefaultParagraphFont"/>
    <w:rsid w:val="00F03F83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F03F83"/>
    <w:rPr>
      <w:b/>
      <w:bCs/>
    </w:rPr>
  </w:style>
  <w:style w:type="paragraph" w:customStyle="1" w:styleId="Char">
    <w:name w:val="Char"/>
    <w:basedOn w:val="Normal"/>
    <w:rsid w:val="00F03F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BalloonText">
    <w:name w:val="Balloon Text"/>
    <w:basedOn w:val="Normal"/>
    <w:link w:val="BalloonTextChar"/>
    <w:rsid w:val="00F03F83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03F83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rsid w:val="00F03F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F03F83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F03F83"/>
  </w:style>
  <w:style w:type="character" w:customStyle="1" w:styleId="msoins00">
    <w:name w:val="msoins0"/>
    <w:basedOn w:val="DefaultParagraphFont"/>
    <w:rsid w:val="00F03F83"/>
  </w:style>
  <w:style w:type="paragraph" w:customStyle="1" w:styleId="CharCharCharCharCharChar">
    <w:name w:val="Char Char Char Char Char Char"/>
    <w:basedOn w:val="Normal"/>
    <w:rsid w:val="00F03F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F03F8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03F83"/>
    <w:pPr>
      <w:ind w:left="720"/>
      <w:contextualSpacing/>
      <w:jc w:val="both"/>
      <w:textAlignment w:val="auto"/>
    </w:pPr>
    <w:rPr>
      <w:lang w:val="en-GB"/>
    </w:rPr>
  </w:style>
  <w:style w:type="paragraph" w:customStyle="1" w:styleId="DecimalAligned">
    <w:name w:val="Decimal Aligned"/>
    <w:basedOn w:val="Normal"/>
    <w:uiPriority w:val="40"/>
    <w:rsid w:val="00F03F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F8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03F8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03F83"/>
    <w:pPr>
      <w:spacing w:after="120" w:line="480" w:lineRule="auto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03F83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03F83"/>
    <w:pPr>
      <w:spacing w:after="120"/>
      <w:ind w:left="36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F83"/>
    <w:rPr>
      <w:rFonts w:ascii="Times New Roman" w:hAnsi="Times New Roman"/>
      <w:sz w:val="24"/>
      <w:lang w:val="en-GB" w:eastAsia="en-US"/>
    </w:rPr>
  </w:style>
  <w:style w:type="paragraph" w:customStyle="1" w:styleId="Tabletitle">
    <w:name w:val="Table_title"/>
    <w:basedOn w:val="Normal"/>
    <w:next w:val="Tabletext"/>
    <w:rsid w:val="00F03F8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paragraph" w:customStyle="1" w:styleId="Reasons">
    <w:name w:val="Reasons"/>
    <w:basedOn w:val="Normal"/>
    <w:qFormat/>
    <w:rsid w:val="00664A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1-CL-C-0089/fr" TargetMode="External"/><Relationship Id="rId18" Type="http://schemas.openxmlformats.org/officeDocument/2006/relationships/hyperlink" Target="http://www.itu.int/md/R12-RA12-C-0031/en" TargetMode="External"/><Relationship Id="rId26" Type="http://schemas.openxmlformats.org/officeDocument/2006/relationships/hyperlink" Target="http://www.itu.int/ITU-R/go/performance-reports/%2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ITU-R/go/wrc-12-sync/en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WRC12-C-0033/fr" TargetMode="External"/><Relationship Id="rId17" Type="http://schemas.openxmlformats.org/officeDocument/2006/relationships/hyperlink" Target="http://www.itu.int/md/R12-RA12-C-0010/en" TargetMode="External"/><Relationship Id="rId25" Type="http://schemas.openxmlformats.org/officeDocument/2006/relationships/hyperlink" Target="http://www.itu.int/ITU-R/go/operational-plans/en" TargetMode="External"/><Relationship Id="rId33" Type="http://schemas.openxmlformats.org/officeDocument/2006/relationships/header" Target="header4.xm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12-C-0016/en" TargetMode="External"/><Relationship Id="rId20" Type="http://schemas.openxmlformats.org/officeDocument/2006/relationships/hyperlink" Target="http://www.itu.int/md/R12-RA12-C-0012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C2011/" TargetMode="External"/><Relationship Id="rId24" Type="http://schemas.openxmlformats.org/officeDocument/2006/relationships/hyperlink" Target="http://www.itu.int/md/R00-CA-CIR-0201/en" TargetMode="External"/><Relationship Id="rId32" Type="http://schemas.openxmlformats.org/officeDocument/2006/relationships/header" Target="head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12-C-0116/en" TargetMode="External"/><Relationship Id="rId23" Type="http://schemas.openxmlformats.org/officeDocument/2006/relationships/hyperlink" Target="https://extranet.itu.int/sites/wrc-ra/wrc-12/" TargetMode="External"/><Relationship Id="rId28" Type="http://schemas.openxmlformats.org/officeDocument/2006/relationships/footer" Target="footer1.xml"/><Relationship Id="rId36" Type="http://schemas.openxmlformats.org/officeDocument/2006/relationships/footer" Target="footer4.xml"/><Relationship Id="rId10" Type="http://schemas.openxmlformats.org/officeDocument/2006/relationships/hyperlink" Target="http://www.itu.int/md/R00-CA-CIR-0194/en" TargetMode="External"/><Relationship Id="rId19" Type="http://schemas.openxmlformats.org/officeDocument/2006/relationships/hyperlink" Target="http://www.itu.int/md/R12-RA12-C-0096/en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nidroit.org/english/workprogramme/study072/spaceprotocol/conference/documents/dcme-sp-40-corr-e.pdf" TargetMode="External"/><Relationship Id="rId22" Type="http://schemas.openxmlformats.org/officeDocument/2006/relationships/hyperlink" Target="http://www.itu.int/ITU-R/go/wrc-12-proposals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itu.int/ITUR/go/seminars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ier\Application%20Data\Microsoft\Templates\POOL%20F%20-%20ITU\PF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C853-E2A9-496F-8C22-3AC09429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PF_RAG11.dotm</Template>
  <TotalTime>684</TotalTime>
  <Pages>20</Pages>
  <Words>8929</Words>
  <Characters>48858</Characters>
  <Application>Microsoft Office Word</Application>
  <DocSecurity>0</DocSecurity>
  <Lines>407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>RAPPORT À LA DIX-NEUVIÈME RÉUNION DU GROUPE CONSULTATIF DES RADIOCOMMUNICATIONS</vt:lpstr>
      <vt:lpstr>1	Introduction</vt:lpstr>
      <vt:lpstr>2	Questions relatives au Conseil </vt:lpstr>
      <vt:lpstr>    2.1	Calendrier des conférences futures</vt:lpstr>
      <vt:lpstr>    2.2	Budget pour 2012-2013</vt:lpstr>
      <vt:lpstr>    2.3	Questions relatives aux Membres</vt:lpstr>
      <vt:lpstr>    2.4	Publications</vt:lpstr>
      <vt:lpstr>    2.5	Recouvrement des coûts pour le traitement des fiches de notification des rés</vt:lpstr>
      <vt:lpstr>    2.6	Rôle de l'UIT en tant qu'Autorité de surveillance du futur système internati</vt:lpstr>
      <vt:lpstr>3	Résultats de l'AR-12 et de la CMR-12</vt:lpstr>
      <vt:lpstr>    3.1	Résultats de l'AR-12 </vt:lpstr>
      <vt:lpstr>        3.1.1	Groupes de travail par correspondance </vt:lpstr>
      <vt:lpstr>    3.2	Résultats de la CMR-12</vt:lpstr>
      <vt:lpstr>        3.2.1	Incidences financières des décisions de la conférence</vt:lpstr>
      <vt:lpstr>        3.2.2	Conception de logiciels en application des décisions de la Conférence </vt:lpstr>
      <vt:lpstr>        3.2.3	Mesures générales à prendre en application des décisions de la Conférence</vt:lpstr>
      <vt:lpstr>4	Activités des Commissions d'études</vt:lpstr>
      <vt:lpstr>5	Travaux préparatoires en vue de la CMR-15</vt:lpstr>
      <vt:lpstr>    </vt:lpstr>
      <vt:lpstr>    5.1	Première session de la RPC-15 (RPC15-1)</vt:lpstr>
      <vt:lpstr>6	Planification opérationnelle</vt:lpstr>
      <vt:lpstr>7	Information et assistance aux membres</vt:lpstr>
      <vt:lpstr>8	Circulaire internationale d'information sur les fréquences du BR (BR IFIC)</vt:lpstr>
      <vt:lpstr>9	Statistiques relatives aux Membres de Secteur, aux Associés et aux établisseme</vt:lpstr>
      <vt:lpstr/>
    </vt:vector>
  </TitlesOfParts>
  <Manager>General Secretariat - Pool</Manager>
  <Company>International Telecommunication Union (ITU)</Company>
  <LinksUpToDate>false</LinksUpToDate>
  <CharactersWithSpaces>57672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DIX-NEUVIÈME RÉUNION DU GROUPE CONSULTATIF DES RADIOCOMMUNICATIONS</dc:title>
  <dc:subject>GROUPE CONSULTATIF DES RADIOCOMMUNICATIONS</dc:subject>
  <dc:creator>Directeur du Bureau des radiocommunications</dc:creator>
  <cp:keywords>RAG03-1</cp:keywords>
  <dc:description>Document RAG12-1/1-F  For: _x000d_Document date: 30 avril 2012_x000d_Saved by MCB106296 at 16:45:49 on 14.05.2012</dc:description>
  <cp:lastModifiedBy>royer</cp:lastModifiedBy>
  <cp:revision>23</cp:revision>
  <cp:lastPrinted>2012-05-22T09:21:00Z</cp:lastPrinted>
  <dcterms:created xsi:type="dcterms:W3CDTF">2012-05-14T13:21:00Z</dcterms:created>
  <dcterms:modified xsi:type="dcterms:W3CDTF">2012-05-22T09:22:00Z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RAG12-1/1-F</vt:lpwstr>
  </property>
  <property fmtid="{D5CDD505-2E9C-101B-9397-08002B2CF9AE}" pid="3" name="Docdate">
    <vt:lpwstr>30 avril 2012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