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659"/>
        <w:gridCol w:w="3230"/>
      </w:tblGrid>
      <w:tr w:rsidR="006E291F" w:rsidRPr="0030104E" w:rsidTr="00B05CD8">
        <w:trPr>
          <w:cantSplit/>
        </w:trPr>
        <w:tc>
          <w:tcPr>
            <w:tcW w:w="6659" w:type="dxa"/>
          </w:tcPr>
          <w:p w:rsidR="006E291F" w:rsidRPr="0030104E" w:rsidRDefault="006E291F" w:rsidP="00D26A0A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30104E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30104E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30104E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 w:rsidRPr="0030104E">
              <w:rPr>
                <w:b/>
                <w:caps/>
                <w:sz w:val="32"/>
              </w:rPr>
              <w:br/>
            </w:r>
            <w:r w:rsidRPr="0030104E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D26A0A" w:rsidRPr="0030104E">
              <w:rPr>
                <w:rFonts w:ascii="Verdana" w:hAnsi="Verdana" w:cs="Times New Roman Bold"/>
                <w:b/>
                <w:bCs/>
                <w:sz w:val="20"/>
              </w:rPr>
              <w:t>8</w:t>
            </w:r>
            <w:r w:rsidRPr="0030104E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B05CD8" w:rsidRPr="0030104E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D26A0A" w:rsidRPr="0030104E">
              <w:rPr>
                <w:rFonts w:ascii="Verdana" w:hAnsi="Verdana" w:cs="Times New Roman Bold"/>
                <w:b/>
                <w:bCs/>
                <w:sz w:val="20"/>
              </w:rPr>
              <w:t>0</w:t>
            </w:r>
            <w:r w:rsidRPr="0030104E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D26A0A" w:rsidRPr="0030104E">
              <w:rPr>
                <w:rFonts w:ascii="Verdana" w:hAnsi="Verdana" w:cs="Times New Roman Bold"/>
                <w:b/>
                <w:bCs/>
                <w:sz w:val="20"/>
              </w:rPr>
              <w:t xml:space="preserve">junio </w:t>
            </w:r>
            <w:r w:rsidRPr="0030104E">
              <w:rPr>
                <w:rFonts w:ascii="Verdana" w:hAnsi="Verdana" w:cs="Times New Roman Bold"/>
                <w:b/>
                <w:bCs/>
                <w:sz w:val="20"/>
              </w:rPr>
              <w:t>de 20</w:t>
            </w:r>
            <w:r w:rsidR="00B05CD8" w:rsidRPr="0030104E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D26A0A" w:rsidRPr="0030104E">
              <w:rPr>
                <w:rFonts w:ascii="Verdana" w:hAnsi="Verdana" w:cs="Times New Roman Bold"/>
                <w:b/>
                <w:bCs/>
                <w:sz w:val="20"/>
              </w:rPr>
              <w:t>1</w:t>
            </w:r>
          </w:p>
        </w:tc>
        <w:tc>
          <w:tcPr>
            <w:tcW w:w="3230" w:type="dxa"/>
          </w:tcPr>
          <w:p w:rsidR="006E291F" w:rsidRPr="0030104E" w:rsidRDefault="00930237" w:rsidP="00CB7A43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30104E" w:rsidTr="00B05CD8">
        <w:trPr>
          <w:cantSplit/>
        </w:trPr>
        <w:tc>
          <w:tcPr>
            <w:tcW w:w="6659" w:type="dxa"/>
            <w:tcBorders>
              <w:bottom w:val="single" w:sz="12" w:space="0" w:color="auto"/>
            </w:tcBorders>
          </w:tcPr>
          <w:p w:rsidR="006E291F" w:rsidRPr="0030104E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12" w:space="0" w:color="auto"/>
            </w:tcBorders>
          </w:tcPr>
          <w:p w:rsidR="006E291F" w:rsidRPr="0030104E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6E291F" w:rsidRPr="0030104E" w:rsidTr="00B05CD8">
        <w:trPr>
          <w:cantSplit/>
        </w:trPr>
        <w:tc>
          <w:tcPr>
            <w:tcW w:w="6659" w:type="dxa"/>
            <w:tcBorders>
              <w:top w:val="single" w:sz="12" w:space="0" w:color="auto"/>
            </w:tcBorders>
          </w:tcPr>
          <w:p w:rsidR="006E291F" w:rsidRPr="0030104E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12" w:space="0" w:color="auto"/>
            </w:tcBorders>
          </w:tcPr>
          <w:p w:rsidR="006E291F" w:rsidRPr="0030104E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6E291F" w:rsidRPr="0030104E" w:rsidTr="00B05CD8">
        <w:trPr>
          <w:cantSplit/>
        </w:trPr>
        <w:tc>
          <w:tcPr>
            <w:tcW w:w="6659" w:type="dxa"/>
            <w:vMerge w:val="restart"/>
          </w:tcPr>
          <w:p w:rsidR="006E291F" w:rsidRPr="0030104E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230" w:type="dxa"/>
          </w:tcPr>
          <w:p w:rsidR="006E291F" w:rsidRPr="0030104E" w:rsidRDefault="00D26A0A" w:rsidP="005277E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30104E">
              <w:rPr>
                <w:rFonts w:ascii="Verdana" w:hAnsi="Verdana"/>
                <w:b/>
                <w:sz w:val="20"/>
              </w:rPr>
              <w:t>Documento RAG11-1/</w:t>
            </w:r>
            <w:r w:rsidR="005277E0">
              <w:rPr>
                <w:rFonts w:ascii="Verdana" w:hAnsi="Verdana"/>
                <w:b/>
                <w:sz w:val="20"/>
              </w:rPr>
              <w:t>4</w:t>
            </w:r>
            <w:r w:rsidR="00B05CD8" w:rsidRPr="0030104E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6E291F" w:rsidRPr="0030104E" w:rsidTr="00B05CD8">
        <w:trPr>
          <w:cantSplit/>
        </w:trPr>
        <w:tc>
          <w:tcPr>
            <w:tcW w:w="6659" w:type="dxa"/>
            <w:vMerge/>
          </w:tcPr>
          <w:p w:rsidR="006E291F" w:rsidRPr="0030104E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230" w:type="dxa"/>
          </w:tcPr>
          <w:p w:rsidR="006E291F" w:rsidRPr="0030104E" w:rsidRDefault="00D26A0A" w:rsidP="005277E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30104E">
              <w:rPr>
                <w:rFonts w:ascii="Verdana" w:hAnsi="Verdana"/>
                <w:b/>
                <w:sz w:val="20"/>
              </w:rPr>
              <w:t>2</w:t>
            </w:r>
            <w:r w:rsidR="005277E0">
              <w:rPr>
                <w:rFonts w:ascii="Verdana" w:hAnsi="Verdana"/>
                <w:b/>
                <w:sz w:val="20"/>
              </w:rPr>
              <w:t>8</w:t>
            </w:r>
            <w:r w:rsidR="00B05CD8" w:rsidRPr="0030104E">
              <w:rPr>
                <w:rFonts w:ascii="Verdana" w:hAnsi="Verdana"/>
                <w:b/>
                <w:sz w:val="20"/>
              </w:rPr>
              <w:t xml:space="preserve"> de </w:t>
            </w:r>
            <w:r w:rsidR="005277E0">
              <w:rPr>
                <w:rFonts w:ascii="Verdana" w:hAnsi="Verdana"/>
                <w:b/>
                <w:sz w:val="20"/>
              </w:rPr>
              <w:t>marzo</w:t>
            </w:r>
            <w:r w:rsidRPr="0030104E">
              <w:rPr>
                <w:rFonts w:ascii="Verdana" w:hAnsi="Verdana"/>
                <w:b/>
                <w:sz w:val="20"/>
              </w:rPr>
              <w:t xml:space="preserve"> </w:t>
            </w:r>
            <w:r w:rsidR="00B05CD8" w:rsidRPr="0030104E">
              <w:rPr>
                <w:rFonts w:ascii="Verdana" w:hAnsi="Verdana"/>
                <w:b/>
                <w:sz w:val="20"/>
              </w:rPr>
              <w:t>de 20</w:t>
            </w:r>
            <w:r w:rsidRPr="0030104E">
              <w:rPr>
                <w:rFonts w:ascii="Verdana" w:hAnsi="Verdana"/>
                <w:b/>
                <w:sz w:val="20"/>
              </w:rPr>
              <w:t>11</w:t>
            </w:r>
          </w:p>
        </w:tc>
      </w:tr>
      <w:tr w:rsidR="006E291F" w:rsidRPr="0030104E" w:rsidTr="00B05CD8">
        <w:trPr>
          <w:cantSplit/>
        </w:trPr>
        <w:tc>
          <w:tcPr>
            <w:tcW w:w="6659" w:type="dxa"/>
            <w:vMerge/>
          </w:tcPr>
          <w:p w:rsidR="006E291F" w:rsidRPr="0030104E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230" w:type="dxa"/>
          </w:tcPr>
          <w:p w:rsidR="006E291F" w:rsidRPr="0030104E" w:rsidRDefault="00B05CD8" w:rsidP="005277E0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30104E">
              <w:rPr>
                <w:rFonts w:ascii="Verdana" w:hAnsi="Verdana"/>
                <w:b/>
                <w:sz w:val="20"/>
              </w:rPr>
              <w:t xml:space="preserve">Original: </w:t>
            </w:r>
            <w:r w:rsidR="005277E0">
              <w:rPr>
                <w:rFonts w:ascii="Verdana" w:hAnsi="Verdana"/>
                <w:b/>
                <w:sz w:val="20"/>
              </w:rPr>
              <w:t>chino</w:t>
            </w:r>
          </w:p>
        </w:tc>
      </w:tr>
      <w:tr w:rsidR="006E291F" w:rsidRPr="0030104E">
        <w:trPr>
          <w:cantSplit/>
        </w:trPr>
        <w:tc>
          <w:tcPr>
            <w:tcW w:w="9889" w:type="dxa"/>
            <w:gridSpan w:val="2"/>
          </w:tcPr>
          <w:p w:rsidR="006E291F" w:rsidRPr="0030104E" w:rsidRDefault="005277E0" w:rsidP="00CB7A43">
            <w:pPr>
              <w:pStyle w:val="Source"/>
            </w:pPr>
            <w:bookmarkStart w:id="3" w:name="dsource" w:colFirst="0" w:colLast="0"/>
            <w:bookmarkEnd w:id="2"/>
            <w:r>
              <w:t>China (República Popular de)</w:t>
            </w:r>
          </w:p>
        </w:tc>
      </w:tr>
      <w:tr w:rsidR="006E291F" w:rsidRPr="0030104E">
        <w:trPr>
          <w:cantSplit/>
        </w:trPr>
        <w:tc>
          <w:tcPr>
            <w:tcW w:w="9889" w:type="dxa"/>
            <w:gridSpan w:val="2"/>
          </w:tcPr>
          <w:p w:rsidR="006E291F" w:rsidRPr="0030104E" w:rsidRDefault="005277E0" w:rsidP="00195CA5">
            <w:pPr>
              <w:pStyle w:val="Title1"/>
            </w:pPr>
            <w:bookmarkStart w:id="4" w:name="dtitle1" w:colFirst="0" w:colLast="0"/>
            <w:bookmarkEnd w:id="3"/>
            <w:r>
              <w:t>Cuestiones de conformidad e interoperabilidad en lo</w:t>
            </w:r>
            <w:r w:rsidR="00195CA5">
              <w:br/>
            </w:r>
            <w:r>
              <w:t>que respecta a los equipos de radiocomunicaciones</w:t>
            </w:r>
          </w:p>
        </w:tc>
      </w:tr>
    </w:tbl>
    <w:bookmarkEnd w:id="4"/>
    <w:p w:rsidR="005277E0" w:rsidRPr="005277E0" w:rsidRDefault="005277E0" w:rsidP="00195CA5">
      <w:pPr>
        <w:pStyle w:val="Heading1"/>
      </w:pPr>
      <w:r w:rsidRPr="005277E0">
        <w:t>1</w:t>
      </w:r>
      <w:r w:rsidRPr="005277E0">
        <w:tab/>
        <w:t>Introducción</w:t>
      </w:r>
    </w:p>
    <w:p w:rsidR="00801376" w:rsidRDefault="005277E0" w:rsidP="00195CA5">
      <w:r>
        <w:t>En la Resolución 76 (Johannesburgo, 2008) de la Asamblea Mundial de Normalización de las Telecomunicaciones</w:t>
      </w:r>
      <w:r w:rsidR="0005707F">
        <w:t>,</w:t>
      </w:r>
      <w:r>
        <w:t xml:space="preserve"> se insta a </w:t>
      </w:r>
      <w:r w:rsidRPr="005277E0">
        <w:t>ayudar a los países en desarrollo a definir las oportunidades de capacitación y formación de personas e instituciones para la realización de pruebas de conformidad e interoperabilidad</w:t>
      </w:r>
      <w:r>
        <w:t>. En la Resolución 47 (</w:t>
      </w:r>
      <w:r w:rsidR="00801376">
        <w:t xml:space="preserve">Rev. </w:t>
      </w:r>
      <w:r>
        <w:t>Hyderabad, 2010) de la Conferencia Mundial de Desarrollo de las Telecomunicaciones</w:t>
      </w:r>
      <w:r w:rsidR="0005707F">
        <w:t>,</w:t>
      </w:r>
      <w:r w:rsidRPr="005277E0">
        <w:t xml:space="preserve"> </w:t>
      </w:r>
      <w:r>
        <w:t xml:space="preserve">se </w:t>
      </w:r>
      <w:r w:rsidRPr="005277E0">
        <w:t>encarga al Director de la Oficina de Desarrollo de las Telecomunicaciones que, en estrecha colaboración de los Directores de la Oficina de Normalización de las Telecomunicaciones y de la Oficina de Radiocomunicaciones</w:t>
      </w:r>
      <w:r>
        <w:t xml:space="preserve">, </w:t>
      </w:r>
      <w:r w:rsidRPr="005277E0">
        <w:t>llev</w:t>
      </w:r>
      <w:r>
        <w:t>e</w:t>
      </w:r>
      <w:r w:rsidRPr="005277E0">
        <w:t xml:space="preserve"> a cabo un estudio práctico de la </w:t>
      </w:r>
      <w:r w:rsidR="00801376">
        <w:t>necesidad</w:t>
      </w:r>
      <w:r w:rsidR="00801376" w:rsidRPr="005277E0">
        <w:t xml:space="preserve"> </w:t>
      </w:r>
      <w:r w:rsidR="00801376">
        <w:t xml:space="preserve">y </w:t>
      </w:r>
      <w:r w:rsidRPr="005277E0">
        <w:t>viabilidad económica de la creación de laboratorios regionales para la realización de pruebas de conformidad e interfuncionamiento de los sistemas fabricados en relación con las Recomendaciones del UIT-R y UIT-T</w:t>
      </w:r>
      <w:r w:rsidR="00801376">
        <w:t>. En la Resolución 177 (Guadalajara, 2010) de la Conferencia de Plenipotenciarios de la Unión Internacional de Telecomunicaciones se invita a los Estados Miembros a</w:t>
      </w:r>
      <w:r w:rsidR="00801376" w:rsidRPr="00801376">
        <w:t xml:space="preserve"> contribuir a la próxima Asamblea de Radiocomunicaciones (2012) para que ésta considere y tome las medidas que estime necesarias</w:t>
      </w:r>
      <w:r w:rsidR="00801376">
        <w:t>.</w:t>
      </w:r>
    </w:p>
    <w:p w:rsidR="00801376" w:rsidRPr="00195CA5" w:rsidRDefault="00801376" w:rsidP="00195CA5">
      <w:pPr>
        <w:pStyle w:val="Heading1"/>
      </w:pPr>
      <w:r w:rsidRPr="00195CA5">
        <w:t>2</w:t>
      </w:r>
      <w:r w:rsidRPr="00195CA5">
        <w:tab/>
        <w:t>Discusiones</w:t>
      </w:r>
    </w:p>
    <w:p w:rsidR="00801376" w:rsidRDefault="00801376" w:rsidP="00195CA5">
      <w:r>
        <w:t xml:space="preserve">En aplicación de la Resolución 177 (Guadalajara, 2010) de la Conferencia de Plenipotenciarios, la UIT seguirá </w:t>
      </w:r>
      <w:r w:rsidR="0005707F">
        <w:t>con la puesta en práctica de</w:t>
      </w:r>
      <w:r>
        <w:t xml:space="preserve"> los objetivos de la Resolución 76 (Johannesburgo, 2008) y la Resolución 47 (Rev. Hyderabad, 2010), así como </w:t>
      </w:r>
      <w:r w:rsidR="0005707F">
        <w:t xml:space="preserve">de </w:t>
      </w:r>
      <w:r>
        <w:t>las recomendaciones del Director de la TSB refrendadas por el Consejo en su reunión de 2009.</w:t>
      </w:r>
      <w:r w:rsidR="004F7AC5">
        <w:t xml:space="preserve"> </w:t>
      </w:r>
      <w:r>
        <w:t xml:space="preserve">Los proyectos detallados pueden incluir una base de datos de conformidad en pleno funcionamiento y estudios de viabilidad sobre la introducción de un posible programa de </w:t>
      </w:r>
      <w:r w:rsidR="0005707F">
        <w:t xml:space="preserve">la </w:t>
      </w:r>
      <w:r>
        <w:t>Marca de la UIT.</w:t>
      </w:r>
    </w:p>
    <w:p w:rsidR="0005707F" w:rsidRDefault="00801376" w:rsidP="008D3BFD">
      <w:r>
        <w:t xml:space="preserve">Como parte integrante de </w:t>
      </w:r>
      <w:r w:rsidR="00AF7ABD">
        <w:t xml:space="preserve">las </w:t>
      </w:r>
      <w:r w:rsidR="008D3BFD">
        <w:t>R</w:t>
      </w:r>
      <w:r>
        <w:t xml:space="preserve">ecomendaciones de la UIT, ciertas Recomendaciones del UIT-R sirven también de base para la realización de pruebas de conformidad e interoperabilidad de los equipos de telecomunicaciones/TIC o </w:t>
      </w:r>
      <w:r w:rsidR="0005707F">
        <w:t xml:space="preserve">de los </w:t>
      </w:r>
      <w:r>
        <w:t xml:space="preserve">sistemas dotados de funciones de radiocomunicación. En particular, una serie de </w:t>
      </w:r>
      <w:r w:rsidR="00AF7ABD">
        <w:t>R</w:t>
      </w:r>
      <w:r>
        <w:t xml:space="preserve">ecomendaciones relativas </w:t>
      </w:r>
      <w:r w:rsidR="00AF7ABD">
        <w:t>a la interfaz aérea de las IMT</w:t>
      </w:r>
      <w:r w:rsidR="00AF7ABD" w:rsidRPr="00AF7ABD">
        <w:t xml:space="preserve"> </w:t>
      </w:r>
      <w:r w:rsidR="00AF7ABD">
        <w:t>tiene implicaciones de alcance mundial.</w:t>
      </w:r>
      <w:r w:rsidR="004F7AC5">
        <w:t xml:space="preserve"> </w:t>
      </w:r>
      <w:r w:rsidR="00454DE9">
        <w:t xml:space="preserve">Además, las Recomendaciones incorporadas por referencia al Reglamento de Radiocomunicaciones forman parte integrante del mismo. Los Estados Miembros tienen la obligación de velar por que los equipos de radiocomunicaciones o las estaciones transmisoras pertinentes cumplan con las disposiciones de las Recomendaciones correspondientes. Es deber del UIT-R asumir un papel </w:t>
      </w:r>
      <w:r w:rsidR="0018378D">
        <w:t>particular en relación con</w:t>
      </w:r>
      <w:r w:rsidR="00454DE9">
        <w:t xml:space="preserve"> la prestación de asistencia a los países en desarrollo para la realización de pruebas de conformidad de los equipos y sistemas de </w:t>
      </w:r>
      <w:r w:rsidR="00454DE9">
        <w:lastRenderedPageBreak/>
        <w:t xml:space="preserve">radiocomunicaciones. La futura base de datos de conformidad de la UIT o el posible Programa de </w:t>
      </w:r>
      <w:r w:rsidR="0018378D">
        <w:t xml:space="preserve">la </w:t>
      </w:r>
      <w:r w:rsidR="00454DE9">
        <w:t>Marca de la UIT</w:t>
      </w:r>
      <w:r w:rsidR="0005707F">
        <w:t xml:space="preserve"> deberían reflejar las citadas consideraciones. </w:t>
      </w:r>
    </w:p>
    <w:p w:rsidR="0005707F" w:rsidRDefault="0005707F" w:rsidP="00195CA5">
      <w:r>
        <w:t xml:space="preserve">Algunos Estados Miembros ya han creado el sistema de aprobación </w:t>
      </w:r>
      <w:r w:rsidR="0018378D">
        <w:t xml:space="preserve">tipo </w:t>
      </w:r>
      <w:r>
        <w:t xml:space="preserve">para los equipos de radiotransmisiones, y las normas elaboradas por otras organizaciones normativas parecen más apropiadas para la realización de pruebas de conformidad e interoperabilidad de los equipos o sistemas de radiocomunicaciones. </w:t>
      </w:r>
    </w:p>
    <w:p w:rsidR="0005707F" w:rsidRPr="00195CA5" w:rsidRDefault="0005707F" w:rsidP="00195CA5">
      <w:pPr>
        <w:pStyle w:val="Heading1"/>
      </w:pPr>
      <w:r w:rsidRPr="00195CA5">
        <w:t>3</w:t>
      </w:r>
      <w:r w:rsidRPr="00195CA5">
        <w:tab/>
        <w:t>Propuestas</w:t>
      </w:r>
    </w:p>
    <w:p w:rsidR="006C506B" w:rsidRPr="0030104E" w:rsidRDefault="0005707F" w:rsidP="00195CA5">
      <w:pPr>
        <w:rPr>
          <w:szCs w:val="24"/>
        </w:rPr>
      </w:pPr>
      <w:r>
        <w:t xml:space="preserve">Se propone celebrar debates en profundidad sobre las citadas cuestiones en el marco de la reunión del GAR y someter </w:t>
      </w:r>
      <w:bookmarkStart w:id="5" w:name="_GoBack"/>
      <w:r w:rsidR="008D3BFD">
        <w:t>R</w:t>
      </w:r>
      <w:bookmarkEnd w:id="5"/>
      <w:r>
        <w:t>ecomendaciones al Director de la Oficina de Radiocomunicaciones y a las Comisiones de Estudio. Esto facilitará la preparación de la Asamblea de Radiocomunicaciones de</w:t>
      </w:r>
      <w:r w:rsidR="00195CA5">
        <w:t> </w:t>
      </w:r>
      <w:r>
        <w:t xml:space="preserve">2012. </w:t>
      </w:r>
    </w:p>
    <w:p w:rsidR="006C506B" w:rsidRDefault="006C506B" w:rsidP="008D3623">
      <w:pPr>
        <w:rPr>
          <w:rFonts w:eastAsia="SimSun"/>
          <w:lang w:eastAsia="zh-CN"/>
        </w:rPr>
      </w:pPr>
    </w:p>
    <w:p w:rsidR="00195CA5" w:rsidRDefault="00195CA5">
      <w:pPr>
        <w:jc w:val="center"/>
      </w:pPr>
      <w:r>
        <w:t>______________</w:t>
      </w:r>
    </w:p>
    <w:p w:rsidR="00195CA5" w:rsidRPr="0030104E" w:rsidRDefault="00195CA5" w:rsidP="008D3623">
      <w:pPr>
        <w:rPr>
          <w:rFonts w:eastAsia="SimSun"/>
          <w:lang w:eastAsia="zh-CN"/>
        </w:rPr>
      </w:pPr>
    </w:p>
    <w:sectPr w:rsidR="00195CA5" w:rsidRPr="0030104E" w:rsidSect="008D3623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BE" w:rsidRDefault="006F34BE">
      <w:r>
        <w:separator/>
      </w:r>
    </w:p>
  </w:endnote>
  <w:endnote w:type="continuationSeparator" w:id="0">
    <w:p w:rsidR="006F34BE" w:rsidRDefault="006F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E" w:rsidRPr="00195CA5" w:rsidRDefault="006F34BE" w:rsidP="00195CA5">
    <w:pPr>
      <w:pStyle w:val="Footer"/>
    </w:pPr>
    <w:fldSimple w:instr=" FILENAME \p  \* MERGEFORMAT ">
      <w:r w:rsidR="008D3BFD">
        <w:t>P:\ESP\ITU-R\AG\RAG11\RAG-1\000\004S.docx</w:t>
      </w:r>
    </w:fldSimple>
    <w:r>
      <w:t xml:space="preserve"> (304937)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8D3BFD">
      <w:t>11.04.11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8D3BFD">
      <w:t>11.04.11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E" w:rsidRPr="0018378D" w:rsidRDefault="006F34BE" w:rsidP="00195CA5">
    <w:pPr>
      <w:pStyle w:val="Footer"/>
      <w:rPr>
        <w:lang w:val="en-US"/>
      </w:rPr>
    </w:pPr>
    <w:fldSimple w:instr=" FILENAME \p  \* MERGEFORMAT ">
      <w:r w:rsidR="008D3BFD">
        <w:t>P:\ESP\ITU-R\AG\RAG11\RAG-1\000\004S.docx</w:t>
      </w:r>
    </w:fldSimple>
    <w:r>
      <w:t xml:space="preserve"> (304937)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8D3BFD">
      <w:t>11.04.11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8D3BFD">
      <w:t>11.04.11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BE" w:rsidRDefault="006F34BE">
      <w:r>
        <w:t>____________________</w:t>
      </w:r>
    </w:p>
  </w:footnote>
  <w:footnote w:type="continuationSeparator" w:id="0">
    <w:p w:rsidR="006F34BE" w:rsidRDefault="006F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E" w:rsidRDefault="006F34BE">
    <w:pPr>
      <w:pStyle w:val="Header"/>
    </w:pPr>
    <w:r>
      <w:t xml:space="preserve">- </w:t>
    </w:r>
    <w:sdt>
      <w:sdtPr>
        <w:id w:val="-9422254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BF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6F34BE" w:rsidRPr="002402DC" w:rsidRDefault="006F34BE" w:rsidP="0018378D">
    <w:pPr>
      <w:pStyle w:val="Header"/>
    </w:pPr>
    <w:r>
      <w:t>RAG11-1/4-S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0E3"/>
    <w:multiLevelType w:val="hybridMultilevel"/>
    <w:tmpl w:val="90C66B52"/>
    <w:lvl w:ilvl="0" w:tplc="4F62D51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209D8"/>
    <w:multiLevelType w:val="hybridMultilevel"/>
    <w:tmpl w:val="5D6A17CE"/>
    <w:lvl w:ilvl="0" w:tplc="13AAB954">
      <w:start w:val="3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8"/>
    <w:rsid w:val="00011430"/>
    <w:rsid w:val="00025EA9"/>
    <w:rsid w:val="000451E2"/>
    <w:rsid w:val="0005707F"/>
    <w:rsid w:val="00097808"/>
    <w:rsid w:val="000C77AA"/>
    <w:rsid w:val="000D5D3B"/>
    <w:rsid w:val="000F3DEA"/>
    <w:rsid w:val="00112445"/>
    <w:rsid w:val="001156E4"/>
    <w:rsid w:val="0012592F"/>
    <w:rsid w:val="00167358"/>
    <w:rsid w:val="001710EC"/>
    <w:rsid w:val="0018199B"/>
    <w:rsid w:val="0018378D"/>
    <w:rsid w:val="00195CA5"/>
    <w:rsid w:val="001968C9"/>
    <w:rsid w:val="0020150A"/>
    <w:rsid w:val="00234017"/>
    <w:rsid w:val="00236C87"/>
    <w:rsid w:val="002402DC"/>
    <w:rsid w:val="00242FF4"/>
    <w:rsid w:val="002544A6"/>
    <w:rsid w:val="00271973"/>
    <w:rsid w:val="00271C71"/>
    <w:rsid w:val="002B4729"/>
    <w:rsid w:val="0030104E"/>
    <w:rsid w:val="0034043B"/>
    <w:rsid w:val="003614FC"/>
    <w:rsid w:val="00361BB7"/>
    <w:rsid w:val="00364D28"/>
    <w:rsid w:val="00372055"/>
    <w:rsid w:val="003728C2"/>
    <w:rsid w:val="00381A11"/>
    <w:rsid w:val="00397F80"/>
    <w:rsid w:val="003D5C7A"/>
    <w:rsid w:val="003E7403"/>
    <w:rsid w:val="004111BC"/>
    <w:rsid w:val="00412542"/>
    <w:rsid w:val="00414D8B"/>
    <w:rsid w:val="00454DE9"/>
    <w:rsid w:val="00473B48"/>
    <w:rsid w:val="00475C75"/>
    <w:rsid w:val="004D06F8"/>
    <w:rsid w:val="004F7AC5"/>
    <w:rsid w:val="005277E0"/>
    <w:rsid w:val="00557CC1"/>
    <w:rsid w:val="00566AFE"/>
    <w:rsid w:val="00572780"/>
    <w:rsid w:val="00582FA3"/>
    <w:rsid w:val="00590CC3"/>
    <w:rsid w:val="005D46C6"/>
    <w:rsid w:val="005D5872"/>
    <w:rsid w:val="00607CEF"/>
    <w:rsid w:val="00610642"/>
    <w:rsid w:val="0061459E"/>
    <w:rsid w:val="006145AB"/>
    <w:rsid w:val="00616601"/>
    <w:rsid w:val="0068001E"/>
    <w:rsid w:val="00686915"/>
    <w:rsid w:val="006A1D81"/>
    <w:rsid w:val="006C506B"/>
    <w:rsid w:val="006E291F"/>
    <w:rsid w:val="006F34BE"/>
    <w:rsid w:val="00715574"/>
    <w:rsid w:val="00725149"/>
    <w:rsid w:val="00726EED"/>
    <w:rsid w:val="007314CB"/>
    <w:rsid w:val="00773C99"/>
    <w:rsid w:val="0077727D"/>
    <w:rsid w:val="007A01A7"/>
    <w:rsid w:val="007A7E7A"/>
    <w:rsid w:val="007E237C"/>
    <w:rsid w:val="007F0172"/>
    <w:rsid w:val="00801376"/>
    <w:rsid w:val="0080489D"/>
    <w:rsid w:val="0082232E"/>
    <w:rsid w:val="0083502C"/>
    <w:rsid w:val="008364F1"/>
    <w:rsid w:val="00842C9D"/>
    <w:rsid w:val="008B77C4"/>
    <w:rsid w:val="008D22E9"/>
    <w:rsid w:val="008D3623"/>
    <w:rsid w:val="008D3BFD"/>
    <w:rsid w:val="00920026"/>
    <w:rsid w:val="00930237"/>
    <w:rsid w:val="009444CF"/>
    <w:rsid w:val="009532B5"/>
    <w:rsid w:val="00954A6F"/>
    <w:rsid w:val="00962FE2"/>
    <w:rsid w:val="00997E1B"/>
    <w:rsid w:val="009B3A39"/>
    <w:rsid w:val="009C0FFD"/>
    <w:rsid w:val="009D2382"/>
    <w:rsid w:val="00A80ADD"/>
    <w:rsid w:val="00A82777"/>
    <w:rsid w:val="00A8307F"/>
    <w:rsid w:val="00A93BD5"/>
    <w:rsid w:val="00AB0ACF"/>
    <w:rsid w:val="00AD3286"/>
    <w:rsid w:val="00AF7ABD"/>
    <w:rsid w:val="00B048EB"/>
    <w:rsid w:val="00B05A9D"/>
    <w:rsid w:val="00B05CD8"/>
    <w:rsid w:val="00B1611E"/>
    <w:rsid w:val="00B9385B"/>
    <w:rsid w:val="00BB11BF"/>
    <w:rsid w:val="00BB3168"/>
    <w:rsid w:val="00BB56AD"/>
    <w:rsid w:val="00C10747"/>
    <w:rsid w:val="00C31194"/>
    <w:rsid w:val="00C33D3B"/>
    <w:rsid w:val="00C53D86"/>
    <w:rsid w:val="00C560C4"/>
    <w:rsid w:val="00C71722"/>
    <w:rsid w:val="00CB7A43"/>
    <w:rsid w:val="00CE6C8F"/>
    <w:rsid w:val="00D2337E"/>
    <w:rsid w:val="00D26A0A"/>
    <w:rsid w:val="00D55E4E"/>
    <w:rsid w:val="00D85D16"/>
    <w:rsid w:val="00D862F2"/>
    <w:rsid w:val="00DA1356"/>
    <w:rsid w:val="00DC6FE2"/>
    <w:rsid w:val="00DC7A59"/>
    <w:rsid w:val="00DD0752"/>
    <w:rsid w:val="00DE57F7"/>
    <w:rsid w:val="00DE7A62"/>
    <w:rsid w:val="00E646E6"/>
    <w:rsid w:val="00E73BD6"/>
    <w:rsid w:val="00E800F0"/>
    <w:rsid w:val="00E93117"/>
    <w:rsid w:val="00EC6F93"/>
    <w:rsid w:val="00EE2A51"/>
    <w:rsid w:val="00EF5C36"/>
    <w:rsid w:val="00EF77D1"/>
    <w:rsid w:val="00F316D3"/>
    <w:rsid w:val="00F4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aliases w:val="Appel note de bas de p,Footnote Reference/"/>
    <w:uiPriority w:val="99"/>
    <w:semiHidden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PageNumber">
    <w:name w:val="page number"/>
    <w:basedOn w:val="DefaultParagraphFont"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Heading3Char1">
    <w:name w:val="Heading 3 Char1"/>
    <w:aliases w:val="Heading 3 Char Char,h3 Char,H3 Char,H31 Char"/>
    <w:link w:val="Heading3"/>
    <w:semiHidden/>
    <w:rsid w:val="00B05CD8"/>
    <w:rPr>
      <w:b/>
      <w:sz w:val="24"/>
      <w:lang w:val="es-ES_tradnl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semiHidden/>
    <w:rsid w:val="00B05CD8"/>
    <w:rPr>
      <w:sz w:val="24"/>
      <w:lang w:val="es-ES_tradnl" w:eastAsia="en-US" w:bidi="ar-SA"/>
    </w:rPr>
  </w:style>
  <w:style w:type="character" w:styleId="Hyperlink">
    <w:name w:val="Hyperlink"/>
    <w:rsid w:val="00B05CD8"/>
    <w:rPr>
      <w:color w:val="0000FF"/>
      <w:u w:val="single"/>
    </w:rPr>
  </w:style>
  <w:style w:type="character" w:styleId="Strong">
    <w:name w:val="Strong"/>
    <w:qFormat/>
    <w:rsid w:val="00EF77D1"/>
    <w:rPr>
      <w:b/>
      <w:bCs/>
    </w:rPr>
  </w:style>
  <w:style w:type="character" w:customStyle="1" w:styleId="msoins0">
    <w:name w:val="msoins"/>
    <w:basedOn w:val="DefaultParagraphFont"/>
    <w:rsid w:val="00DE57F7"/>
  </w:style>
  <w:style w:type="character" w:styleId="FollowedHyperlink">
    <w:name w:val="FollowedHyperlink"/>
    <w:rsid w:val="00773C99"/>
    <w:rPr>
      <w:color w:val="800080"/>
      <w:u w:val="single"/>
    </w:rPr>
  </w:style>
  <w:style w:type="paragraph" w:customStyle="1" w:styleId="call0">
    <w:name w:val="call"/>
    <w:basedOn w:val="Normal"/>
    <w:next w:val="Normal"/>
    <w:rsid w:val="00997E1B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i/>
      <w:sz w:val="20"/>
    </w:rPr>
  </w:style>
  <w:style w:type="paragraph" w:styleId="BodyText">
    <w:name w:val="Body Text"/>
    <w:basedOn w:val="Normal"/>
    <w:link w:val="BodyTextChar"/>
    <w:rsid w:val="007A7E7A"/>
    <w:pPr>
      <w:spacing w:before="200"/>
      <w:jc w:val="both"/>
    </w:pPr>
    <w:rPr>
      <w:lang w:val="fr-FR"/>
    </w:rPr>
  </w:style>
  <w:style w:type="character" w:customStyle="1" w:styleId="BodyTextChar">
    <w:name w:val="Body Text Char"/>
    <w:link w:val="BodyText"/>
    <w:rsid w:val="007A7E7A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Title"/>
    <w:basedOn w:val="Normal"/>
    <w:next w:val="Normalaftertitle"/>
    <w:uiPriority w:val="99"/>
    <w:rsid w:val="006C506B"/>
    <w:pPr>
      <w:keepNext/>
      <w:keepLines/>
      <w:spacing w:before="720" w:after="120" w:line="280" w:lineRule="exact"/>
      <w:jc w:val="center"/>
    </w:pPr>
    <w:rPr>
      <w:b/>
      <w:lang w:val="fr-FR"/>
    </w:rPr>
  </w:style>
  <w:style w:type="character" w:customStyle="1" w:styleId="FooterChar">
    <w:name w:val="Footer Char"/>
    <w:link w:val="Footer"/>
    <w:uiPriority w:val="99"/>
    <w:rsid w:val="0030104E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3623"/>
    <w:rPr>
      <w:rFonts w:ascii="Times New Roman" w:hAnsi="Times New Roman"/>
      <w:sz w:val="18"/>
      <w:lang w:val="es-ES_tradnl" w:eastAsia="en-US"/>
    </w:rPr>
  </w:style>
  <w:style w:type="paragraph" w:styleId="BalloonText">
    <w:name w:val="Balloon Text"/>
    <w:basedOn w:val="Normal"/>
    <w:link w:val="BalloonTextChar"/>
    <w:rsid w:val="009532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2B5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aliases w:val="Appel note de bas de p,Footnote Reference/"/>
    <w:uiPriority w:val="99"/>
    <w:semiHidden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PageNumber">
    <w:name w:val="page number"/>
    <w:basedOn w:val="DefaultParagraphFont"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customStyle="1" w:styleId="Heading3Char1">
    <w:name w:val="Heading 3 Char1"/>
    <w:aliases w:val="Heading 3 Char Char,h3 Char,H3 Char,H31 Char"/>
    <w:link w:val="Heading3"/>
    <w:semiHidden/>
    <w:rsid w:val="00B05CD8"/>
    <w:rPr>
      <w:b/>
      <w:sz w:val="24"/>
      <w:lang w:val="es-ES_tradnl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semiHidden/>
    <w:rsid w:val="00B05CD8"/>
    <w:rPr>
      <w:sz w:val="24"/>
      <w:lang w:val="es-ES_tradnl" w:eastAsia="en-US" w:bidi="ar-SA"/>
    </w:rPr>
  </w:style>
  <w:style w:type="character" w:styleId="Hyperlink">
    <w:name w:val="Hyperlink"/>
    <w:rsid w:val="00B05CD8"/>
    <w:rPr>
      <w:color w:val="0000FF"/>
      <w:u w:val="single"/>
    </w:rPr>
  </w:style>
  <w:style w:type="character" w:styleId="Strong">
    <w:name w:val="Strong"/>
    <w:qFormat/>
    <w:rsid w:val="00EF77D1"/>
    <w:rPr>
      <w:b/>
      <w:bCs/>
    </w:rPr>
  </w:style>
  <w:style w:type="character" w:customStyle="1" w:styleId="msoins0">
    <w:name w:val="msoins"/>
    <w:basedOn w:val="DefaultParagraphFont"/>
    <w:rsid w:val="00DE57F7"/>
  </w:style>
  <w:style w:type="character" w:styleId="FollowedHyperlink">
    <w:name w:val="FollowedHyperlink"/>
    <w:rsid w:val="00773C99"/>
    <w:rPr>
      <w:color w:val="800080"/>
      <w:u w:val="single"/>
    </w:rPr>
  </w:style>
  <w:style w:type="paragraph" w:customStyle="1" w:styleId="call0">
    <w:name w:val="call"/>
    <w:basedOn w:val="Normal"/>
    <w:next w:val="Normal"/>
    <w:rsid w:val="00997E1B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i/>
      <w:sz w:val="20"/>
    </w:rPr>
  </w:style>
  <w:style w:type="paragraph" w:styleId="BodyText">
    <w:name w:val="Body Text"/>
    <w:basedOn w:val="Normal"/>
    <w:link w:val="BodyTextChar"/>
    <w:rsid w:val="007A7E7A"/>
    <w:pPr>
      <w:spacing w:before="200"/>
      <w:jc w:val="both"/>
    </w:pPr>
    <w:rPr>
      <w:lang w:val="fr-FR"/>
    </w:rPr>
  </w:style>
  <w:style w:type="character" w:customStyle="1" w:styleId="BodyTextChar">
    <w:name w:val="Body Text Char"/>
    <w:link w:val="BodyText"/>
    <w:rsid w:val="007A7E7A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Title"/>
    <w:basedOn w:val="Normal"/>
    <w:next w:val="Normalaftertitle"/>
    <w:uiPriority w:val="99"/>
    <w:rsid w:val="006C506B"/>
    <w:pPr>
      <w:keepNext/>
      <w:keepLines/>
      <w:spacing w:before="720" w:after="120" w:line="280" w:lineRule="exact"/>
      <w:jc w:val="center"/>
    </w:pPr>
    <w:rPr>
      <w:b/>
      <w:lang w:val="fr-FR"/>
    </w:rPr>
  </w:style>
  <w:style w:type="character" w:customStyle="1" w:styleId="FooterChar">
    <w:name w:val="Footer Char"/>
    <w:link w:val="Footer"/>
    <w:uiPriority w:val="99"/>
    <w:rsid w:val="0030104E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3623"/>
    <w:rPr>
      <w:rFonts w:ascii="Times New Roman" w:hAnsi="Times New Roman"/>
      <w:sz w:val="18"/>
      <w:lang w:val="es-ES_tradnl" w:eastAsia="en-US"/>
    </w:rPr>
  </w:style>
  <w:style w:type="paragraph" w:styleId="BalloonText">
    <w:name w:val="Balloon Text"/>
    <w:basedOn w:val="Normal"/>
    <w:link w:val="BalloonTextChar"/>
    <w:rsid w:val="009532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2B5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RAG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D5E3-8013-4A25-A112-48DF9720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PS_RAG09.DOT</Template>
  <TotalTime>17</TotalTime>
  <Pages>2</Pages>
  <Words>556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 LA DECIMOSÉPTIMA REUNIÓN DEL GRUPO ASESOR DE RADIOCOMUNICACIONES</vt:lpstr>
    </vt:vector>
  </TitlesOfParts>
  <Manager>General Secretariat - Pool</Manager>
  <Company>International Telecommunication Union (ITU)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DECIMOSÉPTIMA REUNIÓN DEL GRUPO ASESOR DE RADIOCOMUNICACIONES</dc:title>
  <dc:subject>GRUPO ASESOR DE RADIOCOMUNICACIONES</dc:subject>
  <dc:creator>Director de la Oficina de Radiocomunicaciones</dc:creator>
  <cp:keywords>RAG03-1</cp:keywords>
  <dc:description>Documento RAG010-1/1-S  For: _x000d_Document date: 1 de diciembre de 2009_x000d_Saved by MJT106334 at 09:05:06 on 14.12.2009</dc:description>
  <cp:lastModifiedBy>tello</cp:lastModifiedBy>
  <cp:revision>5</cp:revision>
  <cp:lastPrinted>2011-04-11T08:21:00Z</cp:lastPrinted>
  <dcterms:created xsi:type="dcterms:W3CDTF">2011-04-11T08:08:00Z</dcterms:created>
  <dcterms:modified xsi:type="dcterms:W3CDTF">2011-04-11T08:24:00Z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RAG010-1/1-S</vt:lpwstr>
  </property>
  <property fmtid="{D5CDD505-2E9C-101B-9397-08002B2CF9AE}" pid="3" name="Docdate">
    <vt:lpwstr>1 de diciembre de 2009</vt:lpwstr>
  </property>
  <property fmtid="{D5CDD505-2E9C-101B-9397-08002B2CF9AE}" pid="4" name="Docorlang">
    <vt:lpwstr>Original: inglés</vt:lpwstr>
  </property>
  <property fmtid="{D5CDD505-2E9C-101B-9397-08002B2CF9AE}" pid="5" name="Docauthor">
    <vt:lpwstr>Director de la Oficina de Radiocomunicaciones</vt:lpwstr>
  </property>
</Properties>
</file>