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D228F7">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D228F7">
              <w:rPr>
                <w:rFonts w:ascii="Verdana" w:hAnsi="Verdana"/>
                <w:b/>
                <w:bCs/>
                <w:sz w:val="20"/>
              </w:rPr>
              <w:t>8</w:t>
            </w:r>
            <w:r w:rsidRPr="002D238A">
              <w:rPr>
                <w:rFonts w:ascii="Verdana" w:hAnsi="Verdana"/>
                <w:b/>
                <w:bCs/>
                <w:sz w:val="20"/>
              </w:rPr>
              <w:t>-</w:t>
            </w:r>
            <w:r w:rsidR="00925627">
              <w:rPr>
                <w:rFonts w:ascii="Verdana" w:hAnsi="Verdana"/>
                <w:b/>
                <w:bCs/>
                <w:sz w:val="20"/>
              </w:rPr>
              <w:t>1</w:t>
            </w:r>
            <w:r w:rsidR="00D228F7">
              <w:rPr>
                <w:rFonts w:ascii="Verdana" w:hAnsi="Verdana"/>
                <w:b/>
                <w:bCs/>
                <w:sz w:val="20"/>
              </w:rPr>
              <w:t>0</w:t>
            </w:r>
            <w:r>
              <w:rPr>
                <w:rFonts w:ascii="Verdana" w:hAnsi="Verdana"/>
                <w:b/>
                <w:bCs/>
                <w:sz w:val="20"/>
              </w:rPr>
              <w:t xml:space="preserve"> </w:t>
            </w:r>
            <w:r w:rsidR="00D228F7">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D228F7">
              <w:rPr>
                <w:rFonts w:ascii="Verdana" w:hAnsi="Verdana"/>
                <w:b/>
                <w:bCs/>
                <w:sz w:val="20"/>
              </w:rPr>
              <w:t>1</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14:anchorId="306F5AA1" wp14:editId="3AF49B9E">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D74117" w:rsidRDefault="00D74117" w:rsidP="00BF4621">
            <w:pPr>
              <w:shd w:val="solid" w:color="FFFFFF" w:fill="FFFFFF"/>
              <w:spacing w:before="0" w:line="240" w:lineRule="atLeast"/>
              <w:rPr>
                <w:rFonts w:ascii="Verdana" w:hAnsi="Verdana"/>
                <w:b/>
                <w:sz w:val="20"/>
              </w:rPr>
            </w:pPr>
            <w:r>
              <w:rPr>
                <w:rFonts w:ascii="Verdana" w:hAnsi="Verdana"/>
                <w:b/>
                <w:sz w:val="20"/>
              </w:rPr>
              <w:t>Révision 1 au</w:t>
            </w:r>
          </w:p>
          <w:p w:rsidR="002D238A" w:rsidRPr="00BF4621" w:rsidRDefault="00BF4621" w:rsidP="00BF4621">
            <w:pPr>
              <w:shd w:val="solid" w:color="FFFFFF" w:fill="FFFFFF"/>
              <w:spacing w:before="0" w:line="240" w:lineRule="atLeast"/>
              <w:rPr>
                <w:rFonts w:ascii="Verdana" w:hAnsi="Verdana"/>
                <w:sz w:val="20"/>
              </w:rPr>
            </w:pPr>
            <w:r>
              <w:rPr>
                <w:rFonts w:ascii="Verdana" w:hAnsi="Verdana"/>
                <w:b/>
                <w:sz w:val="20"/>
              </w:rPr>
              <w:t>Document RAG11-1/1-F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BF4621" w:rsidRDefault="00D74117" w:rsidP="00D74117">
            <w:pPr>
              <w:shd w:val="solid" w:color="FFFFFF" w:fill="FFFFFF"/>
              <w:spacing w:before="0" w:line="240" w:lineRule="atLeast"/>
              <w:rPr>
                <w:rFonts w:ascii="Verdana" w:hAnsi="Verdana"/>
                <w:sz w:val="20"/>
              </w:rPr>
            </w:pPr>
            <w:r>
              <w:rPr>
                <w:rFonts w:ascii="Verdana" w:hAnsi="Verdana"/>
                <w:b/>
                <w:sz w:val="20"/>
              </w:rPr>
              <w:t>6</w:t>
            </w:r>
            <w:r w:rsidR="00BF4621">
              <w:rPr>
                <w:rFonts w:ascii="Verdana" w:hAnsi="Verdana"/>
                <w:b/>
                <w:sz w:val="20"/>
              </w:rPr>
              <w:t xml:space="preserve"> </w:t>
            </w:r>
            <w:r>
              <w:rPr>
                <w:rFonts w:ascii="Verdana" w:hAnsi="Verdana"/>
                <w:b/>
                <w:sz w:val="20"/>
              </w:rPr>
              <w:t>juin</w:t>
            </w:r>
            <w:r w:rsidR="00BF4621">
              <w:rPr>
                <w:rFonts w:ascii="Verdana" w:hAnsi="Verdana"/>
                <w:b/>
                <w:sz w:val="20"/>
              </w:rPr>
              <w:t xml:space="preserve"> 2011</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BF4621" w:rsidRDefault="00BF4621" w:rsidP="00BF4621">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BF4621" w:rsidP="00535B4B">
            <w:pPr>
              <w:pStyle w:val="Source"/>
              <w:spacing w:before="720" w:after="160"/>
            </w:pPr>
            <w:bookmarkStart w:id="3" w:name="dsource" w:colFirst="0" w:colLast="0"/>
            <w:bookmarkEnd w:id="2"/>
            <w:r>
              <w:t xml:space="preserve">Directeur du Bureau des </w:t>
            </w:r>
            <w:r>
              <w:rPr>
                <w:lang w:val="fr-CH"/>
              </w:rPr>
              <w:t>radiocommunication</w:t>
            </w:r>
            <w:r>
              <w:t>s</w:t>
            </w:r>
          </w:p>
        </w:tc>
      </w:tr>
      <w:tr w:rsidR="002D238A">
        <w:trPr>
          <w:cantSplit/>
        </w:trPr>
        <w:tc>
          <w:tcPr>
            <w:tcW w:w="9889" w:type="dxa"/>
            <w:gridSpan w:val="2"/>
          </w:tcPr>
          <w:p w:rsidR="00446F9D" w:rsidRPr="00446F9D" w:rsidRDefault="00BF4621" w:rsidP="00535B4B">
            <w:pPr>
              <w:pStyle w:val="Title1"/>
              <w:spacing w:before="200" w:after="200"/>
              <w:rPr>
                <w:lang w:val="fr-CH"/>
              </w:rPr>
            </w:pPr>
            <w:bookmarkStart w:id="4" w:name="dtitle1" w:colFirst="0" w:colLast="0"/>
            <w:bookmarkEnd w:id="3"/>
            <w:r>
              <w:t>rapport à la dix-huitième réunion du groupe</w:t>
            </w:r>
            <w:r w:rsidR="00446F9D">
              <w:br/>
              <w:t xml:space="preserve">consultatif des </w:t>
            </w:r>
            <w:r w:rsidR="00446F9D">
              <w:rPr>
                <w:lang w:val="fr-CH"/>
              </w:rPr>
              <w:t>radiocommunications</w:t>
            </w:r>
          </w:p>
        </w:tc>
      </w:tr>
    </w:tbl>
    <w:bookmarkEnd w:id="4"/>
    <w:p w:rsidR="00F55714" w:rsidRPr="00326E0C" w:rsidRDefault="00F55714" w:rsidP="00F55714">
      <w:pPr>
        <w:pStyle w:val="Heading1"/>
      </w:pPr>
      <w:r w:rsidRPr="00326E0C">
        <w:t>1</w:t>
      </w:r>
      <w:r w:rsidRPr="00326E0C">
        <w:tab/>
        <w:t>Introduction</w:t>
      </w:r>
    </w:p>
    <w:p w:rsidR="00F55714" w:rsidRPr="002B237C" w:rsidRDefault="00F55714" w:rsidP="000B0319">
      <w:pPr>
        <w:rPr>
          <w:lang w:val="fr-CH"/>
        </w:rPr>
      </w:pPr>
      <w:r w:rsidRPr="002B237C">
        <w:rPr>
          <w:lang w:val="fr-CH"/>
        </w:rPr>
        <w:t>Le présent rapport vise à faire le point et à donner des informations générales sur certaines questions inscrites à l'o</w:t>
      </w:r>
      <w:r>
        <w:rPr>
          <w:lang w:val="fr-CH"/>
        </w:rPr>
        <w:t>rdre du jour provisoire de la 18</w:t>
      </w:r>
      <w:r w:rsidRPr="002B237C">
        <w:rPr>
          <w:lang w:val="fr-CH"/>
        </w:rPr>
        <w:t>ème réunion du GCR</w:t>
      </w:r>
      <w:r>
        <w:rPr>
          <w:lang w:val="fr-CH"/>
        </w:rPr>
        <w:t xml:space="preserve"> (voir la Circulaire</w:t>
      </w:r>
      <w:r w:rsidR="00E74F59">
        <w:rPr>
          <w:lang w:val="fr-CH"/>
        </w:rPr>
        <w:t> </w:t>
      </w:r>
      <w:hyperlink r:id="rId10" w:history="1">
        <w:r w:rsidRPr="00960542">
          <w:rPr>
            <w:rStyle w:val="Hyperlink"/>
          </w:rPr>
          <w:t>CA/194</w:t>
        </w:r>
      </w:hyperlink>
      <w:r>
        <w:rPr>
          <w:lang w:val="fr-CH"/>
        </w:rPr>
        <w:t xml:space="preserve"> du 17 décembre 2001</w:t>
      </w:r>
      <w:r w:rsidR="00446F9D">
        <w:rPr>
          <w:lang w:val="fr-CH"/>
        </w:rPr>
        <w:t>)</w:t>
      </w:r>
      <w:r>
        <w:rPr>
          <w:lang w:val="fr-CH"/>
        </w:rPr>
        <w:t>,</w:t>
      </w:r>
      <w:r w:rsidRPr="002B237C">
        <w:rPr>
          <w:lang w:val="fr-CH"/>
        </w:rPr>
        <w:t xml:space="preserve"> afin d'aider les participants lorsqu'ils examineront les points correspondants de l'ordre du jour.</w:t>
      </w:r>
    </w:p>
    <w:p w:rsidR="00F55714" w:rsidRPr="00F55714" w:rsidRDefault="00F55714" w:rsidP="00F55714">
      <w:pPr>
        <w:rPr>
          <w:lang w:val="fr-CH"/>
        </w:rPr>
      </w:pPr>
      <w:r w:rsidRPr="002B237C">
        <w:rPr>
          <w:lang w:val="fr-CH"/>
        </w:rPr>
        <w:t xml:space="preserve">Des rapports distincts seront soumis pour certains points de l'ordre du jour. </w:t>
      </w:r>
    </w:p>
    <w:p w:rsidR="00F55714" w:rsidRDefault="00F55714" w:rsidP="00F55714">
      <w:pPr>
        <w:pStyle w:val="Heading1"/>
        <w:rPr>
          <w:lang w:val="fr-CH"/>
        </w:rPr>
      </w:pPr>
      <w:r>
        <w:rPr>
          <w:lang w:val="fr-CH"/>
        </w:rPr>
        <w:t>2</w:t>
      </w:r>
      <w:r>
        <w:rPr>
          <w:lang w:val="fr-CH"/>
        </w:rPr>
        <w:tab/>
        <w:t>Questions relatives au</w:t>
      </w:r>
      <w:r w:rsidRPr="002B237C">
        <w:rPr>
          <w:lang w:val="fr-CH"/>
        </w:rPr>
        <w:t xml:space="preserve"> Conseil</w:t>
      </w:r>
      <w:r>
        <w:rPr>
          <w:lang w:val="fr-CH"/>
        </w:rPr>
        <w:t xml:space="preserve"> </w:t>
      </w:r>
    </w:p>
    <w:p w:rsidR="00F55714" w:rsidRPr="00326E0C" w:rsidRDefault="00F55714" w:rsidP="00446F9D">
      <w:pPr>
        <w:rPr>
          <w:lang w:val="fr-CH"/>
        </w:rPr>
      </w:pPr>
      <w:r>
        <w:rPr>
          <w:lang w:val="fr-CH"/>
        </w:rPr>
        <w:t xml:space="preserve">La présente section traite des </w:t>
      </w:r>
      <w:r w:rsidR="00F36B3E">
        <w:rPr>
          <w:lang w:val="fr-CH"/>
        </w:rPr>
        <w:t xml:space="preserve">questions pertinentes examinées </w:t>
      </w:r>
      <w:r>
        <w:rPr>
          <w:lang w:val="fr-CH"/>
        </w:rPr>
        <w:t>par le Conseil à s</w:t>
      </w:r>
      <w:r w:rsidR="00F36B3E">
        <w:rPr>
          <w:lang w:val="fr-CH"/>
        </w:rPr>
        <w:t>es</w:t>
      </w:r>
      <w:r>
        <w:rPr>
          <w:lang w:val="fr-CH"/>
        </w:rPr>
        <w:t xml:space="preserve"> session</w:t>
      </w:r>
      <w:r w:rsidR="00F36B3E">
        <w:rPr>
          <w:lang w:val="fr-CH"/>
        </w:rPr>
        <w:t>s</w:t>
      </w:r>
      <w:r>
        <w:rPr>
          <w:lang w:val="fr-CH"/>
        </w:rPr>
        <w:t xml:space="preserve"> </w:t>
      </w:r>
      <w:r w:rsidR="00F36B3E">
        <w:rPr>
          <w:lang w:val="fr-CH"/>
        </w:rPr>
        <w:t xml:space="preserve">de </w:t>
      </w:r>
      <w:r>
        <w:rPr>
          <w:lang w:val="fr-CH"/>
        </w:rPr>
        <w:t>20</w:t>
      </w:r>
      <w:r w:rsidR="00F36B3E">
        <w:rPr>
          <w:lang w:val="fr-CH"/>
        </w:rPr>
        <w:t>10</w:t>
      </w:r>
      <w:r>
        <w:rPr>
          <w:lang w:val="fr-CH"/>
        </w:rPr>
        <w:t xml:space="preserve"> (voir le lien: </w:t>
      </w:r>
      <w:hyperlink r:id="rId11" w:history="1">
        <w:r w:rsidR="00446F9D" w:rsidRPr="004D4C01">
          <w:rPr>
            <w:rStyle w:val="Hyperlink"/>
          </w:rPr>
          <w:t>http://www.itu.int/council/C2010/</w:t>
        </w:r>
      </w:hyperlink>
      <w:r w:rsidR="00446F9D" w:rsidRPr="004D4C01">
        <w:t xml:space="preserve"> </w:t>
      </w:r>
      <w:r w:rsidR="00446F9D">
        <w:t>et</w:t>
      </w:r>
      <w:r w:rsidR="00446F9D" w:rsidRPr="004D4C01">
        <w:t xml:space="preserve"> </w:t>
      </w:r>
      <w:hyperlink r:id="rId12" w:history="1">
        <w:r w:rsidR="00446F9D" w:rsidRPr="004D4C01">
          <w:rPr>
            <w:rStyle w:val="Hyperlink"/>
          </w:rPr>
          <w:t>http://www.itu.int/council/cext-2010/</w:t>
        </w:r>
      </w:hyperlink>
      <w:r w:rsidRPr="00326E0C">
        <w:t>).</w:t>
      </w:r>
    </w:p>
    <w:p w:rsidR="00F55714" w:rsidRDefault="00F55714" w:rsidP="00446F9D">
      <w:pPr>
        <w:pStyle w:val="Heading2"/>
        <w:rPr>
          <w:lang w:val="fr-CH"/>
        </w:rPr>
      </w:pPr>
      <w:r w:rsidRPr="00326E0C">
        <w:t>2.</w:t>
      </w:r>
      <w:r w:rsidR="00446F9D">
        <w:t>1</w:t>
      </w:r>
      <w:r w:rsidRPr="00326E0C">
        <w:tab/>
        <w:t xml:space="preserve">Recouvrement des coûts </w:t>
      </w:r>
      <w:r w:rsidR="00F36B3E">
        <w:rPr>
          <w:lang w:val="fr-CH"/>
        </w:rPr>
        <w:t>pour le traitement d</w:t>
      </w:r>
      <w:r w:rsidRPr="002B237C">
        <w:rPr>
          <w:lang w:val="fr-CH"/>
        </w:rPr>
        <w:t>es fiche</w:t>
      </w:r>
      <w:r w:rsidR="00F36B3E">
        <w:rPr>
          <w:lang w:val="fr-CH"/>
        </w:rPr>
        <w:t>s de notification des réseaux à </w:t>
      </w:r>
      <w:r w:rsidRPr="002B237C">
        <w:rPr>
          <w:lang w:val="fr-CH"/>
        </w:rPr>
        <w:t>satellite</w:t>
      </w:r>
    </w:p>
    <w:p w:rsidR="00F55714" w:rsidRDefault="00F55714" w:rsidP="00446F9D">
      <w:pPr>
        <w:rPr>
          <w:szCs w:val="24"/>
        </w:rPr>
      </w:pPr>
      <w:r w:rsidRPr="00326E0C">
        <w:rPr>
          <w:rFonts w:eastAsia="SimSun"/>
          <w:lang w:eastAsia="zh-CN"/>
        </w:rPr>
        <w:t xml:space="preserve">Le Conseil a pris note du rapport d'activité sur la mise en oeuvre du recouvrement des coûts pour le traitement des fiches de notification des réseaux à satellite (Document </w:t>
      </w:r>
      <w:hyperlink r:id="rId13" w:history="1">
        <w:r w:rsidR="00F36B3E" w:rsidRPr="00960542">
          <w:rPr>
            <w:rStyle w:val="Hyperlink"/>
          </w:rPr>
          <w:t>C10/14</w:t>
        </w:r>
      </w:hyperlink>
      <w:r w:rsidRPr="00326E0C">
        <w:rPr>
          <w:rFonts w:eastAsia="SimSun"/>
          <w:lang w:eastAsia="zh-CN"/>
        </w:rPr>
        <w:t>).</w:t>
      </w:r>
      <w:r w:rsidR="00446F9D">
        <w:rPr>
          <w:rFonts w:eastAsia="SimSun"/>
          <w:lang w:eastAsia="zh-CN"/>
        </w:rPr>
        <w:t xml:space="preserve"> </w:t>
      </w:r>
      <w:r w:rsidRPr="00326E0C">
        <w:rPr>
          <w:szCs w:val="24"/>
        </w:rPr>
        <w:t xml:space="preserve">Il est indiqué dans ce rapport que </w:t>
      </w:r>
      <w:r>
        <w:rPr>
          <w:lang w:val="fr-CH"/>
        </w:rPr>
        <w:t>99%</w:t>
      </w:r>
      <w:r w:rsidR="002816E8">
        <w:rPr>
          <w:lang w:val="fr-CH"/>
        </w:rPr>
        <w:t xml:space="preserve"> </w:t>
      </w:r>
      <w:r>
        <w:rPr>
          <w:lang w:val="fr-CH"/>
        </w:rPr>
        <w:t>des factures établies en 2</w:t>
      </w:r>
      <w:r w:rsidR="00F36B3E">
        <w:rPr>
          <w:lang w:val="fr-CH"/>
        </w:rPr>
        <w:t>008/2009 et exigibles au 31 </w:t>
      </w:r>
      <w:r>
        <w:rPr>
          <w:lang w:val="fr-CH"/>
        </w:rPr>
        <w:t>décembre 2009 ont été payées</w:t>
      </w:r>
      <w:r w:rsidR="002816E8">
        <w:rPr>
          <w:lang w:val="fr-CH"/>
        </w:rPr>
        <w:t xml:space="preserve"> </w:t>
      </w:r>
      <w:r>
        <w:rPr>
          <w:lang w:val="fr-CH"/>
        </w:rPr>
        <w:t>et que s'agissant des</w:t>
      </w:r>
      <w:r w:rsidR="002816E8">
        <w:rPr>
          <w:lang w:val="fr-CH"/>
        </w:rPr>
        <w:t xml:space="preserve"> </w:t>
      </w:r>
      <w:r>
        <w:rPr>
          <w:lang w:val="fr-CH"/>
        </w:rPr>
        <w:t xml:space="preserve">chiffres du budget relatifs aux recettes tirées du recouvrement des coûts pour le traitement des fiches de notification des réseaux à satellite, l'objectif </w:t>
      </w:r>
      <w:r w:rsidR="0029702C">
        <w:rPr>
          <w:lang w:val="fr-CH"/>
        </w:rPr>
        <w:t>a</w:t>
      </w:r>
      <w:r>
        <w:rPr>
          <w:lang w:val="fr-CH"/>
        </w:rPr>
        <w:t xml:space="preserve"> été </w:t>
      </w:r>
      <w:r w:rsidR="0029702C">
        <w:rPr>
          <w:lang w:val="fr-CH"/>
        </w:rPr>
        <w:t>dépassé. On</w:t>
      </w:r>
      <w:r>
        <w:rPr>
          <w:lang w:val="fr-CH"/>
        </w:rPr>
        <w:t xml:space="preserve"> considère que ces résultats positifs</w:t>
      </w:r>
      <w:r w:rsidR="002816E8">
        <w:rPr>
          <w:lang w:val="fr-CH"/>
        </w:rPr>
        <w:t xml:space="preserve"> </w:t>
      </w:r>
      <w:r>
        <w:rPr>
          <w:lang w:val="fr-CH"/>
        </w:rPr>
        <w:t>montrent que les Etats Membres sont véritablement unanimes quant à la pertinence de la Décision 482 (modifiée en 2008) et souscrivent en général aux principes qui y sont énoncés.</w:t>
      </w:r>
      <w:r w:rsidRPr="00326E0C">
        <w:rPr>
          <w:szCs w:val="24"/>
        </w:rPr>
        <w:t xml:space="preserve"> </w:t>
      </w:r>
    </w:p>
    <w:p w:rsidR="00F55714" w:rsidRDefault="00F55714" w:rsidP="00446F9D">
      <w:pPr>
        <w:rPr>
          <w:lang w:val="fr-CH"/>
        </w:rPr>
      </w:pPr>
      <w:r>
        <w:rPr>
          <w:lang w:val="fr-CH"/>
        </w:rPr>
        <w:t>En ce qui concerne les arriérés pour le</w:t>
      </w:r>
      <w:r w:rsidR="00F36B3E">
        <w:rPr>
          <w:lang w:val="fr-CH"/>
        </w:rPr>
        <w:t xml:space="preserve"> traitement de</w:t>
      </w:r>
      <w:r>
        <w:rPr>
          <w:lang w:val="fr-CH"/>
        </w:rPr>
        <w:t xml:space="preserve">s fiches de notification des réseaux à satellite, il est relevé dans le rapport que sur les 28 administrations/opérateurs qui avaient droit à une révision de leurs factures, 18 ont réglé leurs dettes et </w:t>
      </w:r>
      <w:r w:rsidR="00446F9D">
        <w:rPr>
          <w:lang w:val="fr-CH"/>
        </w:rPr>
        <w:t>deux</w:t>
      </w:r>
      <w:r>
        <w:rPr>
          <w:lang w:val="fr-CH"/>
        </w:rPr>
        <w:t xml:space="preserve"> ont signé des plans d'amortissement</w:t>
      </w:r>
      <w:r w:rsidR="00F0031C">
        <w:rPr>
          <w:lang w:val="fr-CH"/>
        </w:rPr>
        <w:t>.</w:t>
      </w:r>
    </w:p>
    <w:p w:rsidR="00F55714" w:rsidRPr="00C1660A" w:rsidRDefault="00F55714" w:rsidP="00446F9D">
      <w:pPr>
        <w:rPr>
          <w:lang w:val="fr-CH"/>
        </w:rPr>
      </w:pPr>
      <w:r w:rsidRPr="00257CE7">
        <w:rPr>
          <w:szCs w:val="24"/>
        </w:rPr>
        <w:t xml:space="preserve">Le </w:t>
      </w:r>
      <w:r w:rsidR="00F36B3E" w:rsidRPr="00257CE7">
        <w:rPr>
          <w:szCs w:val="24"/>
        </w:rPr>
        <w:t>C</w:t>
      </w:r>
      <w:r w:rsidRPr="00257CE7">
        <w:rPr>
          <w:szCs w:val="24"/>
        </w:rPr>
        <w:t>onseil a décidé</w:t>
      </w:r>
      <w:r>
        <w:rPr>
          <w:rFonts w:cs="Arial"/>
          <w:lang w:val="fr-CH"/>
        </w:rPr>
        <w:t xml:space="preserve"> d'inclure le rapport d'activité sur la mise en oeuvre du recouvrement des coûts pour les fiches de notification des réseaux à satellite dans le même document </w:t>
      </w:r>
      <w:r w:rsidR="00F36B3E">
        <w:rPr>
          <w:rFonts w:cs="Arial"/>
          <w:lang w:val="fr-CH"/>
        </w:rPr>
        <w:t>qu</w:t>
      </w:r>
      <w:r w:rsidR="00446F9D">
        <w:rPr>
          <w:rFonts w:cs="Arial"/>
          <w:lang w:val="fr-CH"/>
        </w:rPr>
        <w:t>e</w:t>
      </w:r>
      <w:r w:rsidR="00F36B3E">
        <w:rPr>
          <w:rFonts w:cs="Arial"/>
          <w:lang w:val="fr-CH"/>
        </w:rPr>
        <w:t xml:space="preserve"> celui décrivant </w:t>
      </w:r>
      <w:r>
        <w:rPr>
          <w:rFonts w:cs="Arial"/>
          <w:lang w:val="fr-CH"/>
        </w:rPr>
        <w:t xml:space="preserve">déjà la </w:t>
      </w:r>
      <w:r w:rsidR="0029702C">
        <w:rPr>
          <w:rFonts w:cs="Arial"/>
          <w:lang w:val="fr-CH"/>
        </w:rPr>
        <w:t>situation</w:t>
      </w:r>
      <w:r>
        <w:rPr>
          <w:rFonts w:cs="Arial"/>
          <w:lang w:val="fr-CH"/>
        </w:rPr>
        <w:t xml:space="preserve"> concernant les arriérés de l'</w:t>
      </w:r>
      <w:r w:rsidR="00F36B3E">
        <w:rPr>
          <w:rFonts w:cs="Arial"/>
          <w:lang w:val="fr-CH"/>
        </w:rPr>
        <w:t>U</w:t>
      </w:r>
      <w:r>
        <w:rPr>
          <w:rFonts w:cs="Arial"/>
          <w:lang w:val="fr-CH"/>
        </w:rPr>
        <w:t xml:space="preserve">nion, </w:t>
      </w:r>
      <w:r w:rsidR="00F36B3E">
        <w:rPr>
          <w:rFonts w:cs="Arial"/>
          <w:lang w:val="fr-CH"/>
        </w:rPr>
        <w:t xml:space="preserve">à condition </w:t>
      </w:r>
      <w:r>
        <w:rPr>
          <w:rFonts w:cs="Arial"/>
          <w:lang w:val="fr-CH"/>
        </w:rPr>
        <w:t>que la Décision 482 reste inchangée.</w:t>
      </w:r>
    </w:p>
    <w:p w:rsidR="00F55714" w:rsidRDefault="00F55714" w:rsidP="00535B4B">
      <w:r w:rsidRPr="00DA55BD">
        <w:t xml:space="preserve">L'adoption de la </w:t>
      </w:r>
      <w:r w:rsidR="00F36B3E" w:rsidRPr="00DA55BD">
        <w:t>D</w:t>
      </w:r>
      <w:r w:rsidRPr="00DA55BD">
        <w:t xml:space="preserve">écision 482 relative au recouvrement des coûts pour le traitement des fiches de notification relative aux réseaux à satellite </w:t>
      </w:r>
      <w:r w:rsidR="00446F9D">
        <w:t>a</w:t>
      </w:r>
      <w:r w:rsidRPr="00DA55BD">
        <w:t xml:space="preserve"> incontestablement </w:t>
      </w:r>
      <w:r w:rsidR="00F36B3E">
        <w:t xml:space="preserve">abouti aux résultats escomptés </w:t>
      </w:r>
      <w:r w:rsidRPr="00DA55BD">
        <w:t>en limitant, notamment, les fiches de notification relative</w:t>
      </w:r>
      <w:r w:rsidR="00F36B3E">
        <w:t>s</w:t>
      </w:r>
      <w:r w:rsidRPr="00DA55BD">
        <w:t xml:space="preserve"> à la coordination au</w:t>
      </w:r>
      <w:r w:rsidR="00F36B3E">
        <w:t>x</w:t>
      </w:r>
      <w:r w:rsidRPr="00DA55BD">
        <w:t xml:space="preserve"> projet</w:t>
      </w:r>
      <w:r w:rsidR="00F36B3E">
        <w:t>s</w:t>
      </w:r>
      <w:r w:rsidRPr="00DA55BD">
        <w:t xml:space="preserve"> </w:t>
      </w:r>
      <w:r w:rsidR="00F36B3E">
        <w:t xml:space="preserve">ayant </w:t>
      </w:r>
      <w:r w:rsidRPr="00DA55BD">
        <w:t xml:space="preserve">le plus </w:t>
      </w:r>
      <w:r w:rsidRPr="00DA55BD">
        <w:lastRenderedPageBreak/>
        <w:t xml:space="preserve">de chances </w:t>
      </w:r>
      <w:r>
        <w:t xml:space="preserve">de </w:t>
      </w:r>
      <w:r w:rsidR="00F36B3E">
        <w:t>se concrétiser</w:t>
      </w:r>
      <w:r>
        <w:t xml:space="preserve">. </w:t>
      </w:r>
      <w:r w:rsidRPr="00DA55BD">
        <w:t xml:space="preserve">Grâce à cette décision, le problème de l'arriéré dans le traitement des fiches de notification relative aux réseaux à satellite qui </w:t>
      </w:r>
      <w:r w:rsidR="00F36B3E">
        <w:t>pers</w:t>
      </w:r>
      <w:r w:rsidRPr="00DA55BD">
        <w:t xml:space="preserve">iste depuis le début </w:t>
      </w:r>
      <w:r w:rsidR="00F36B3E">
        <w:t>des années </w:t>
      </w:r>
      <w:r>
        <w:t xml:space="preserve">90 en raison du flux de </w:t>
      </w:r>
      <w:r w:rsidR="00F36B3E">
        <w:t>«</w:t>
      </w:r>
      <w:r>
        <w:t>satellites fictifs</w:t>
      </w:r>
      <w:r w:rsidR="00F36B3E">
        <w:t>»</w:t>
      </w:r>
      <w:r>
        <w:t xml:space="preserve"> </w:t>
      </w:r>
      <w:r w:rsidR="00F36B3E">
        <w:t xml:space="preserve">notifiés </w:t>
      </w:r>
      <w:r>
        <w:t>a été résolu et il n'y a plus d'arriéré dans aucune des procédures du BR</w:t>
      </w:r>
      <w:r w:rsidR="00F36B3E">
        <w:t xml:space="preserve"> depuis la fin 2010</w:t>
      </w:r>
      <w:r>
        <w:t>.</w:t>
      </w:r>
    </w:p>
    <w:p w:rsidR="00F55714" w:rsidRDefault="00F55714" w:rsidP="001B71FF">
      <w:pPr>
        <w:rPr>
          <w:szCs w:val="24"/>
        </w:rPr>
      </w:pPr>
      <w:r w:rsidRPr="00DA55BD">
        <w:rPr>
          <w:szCs w:val="24"/>
        </w:rPr>
        <w:t xml:space="preserve">Cependant, la </w:t>
      </w:r>
      <w:r w:rsidR="009E45F3">
        <w:rPr>
          <w:szCs w:val="24"/>
        </w:rPr>
        <w:t>Décision</w:t>
      </w:r>
      <w:r w:rsidRPr="00DA55BD">
        <w:rPr>
          <w:szCs w:val="24"/>
        </w:rPr>
        <w:t xml:space="preserve"> 482 n'a pas permis de résoudre le problème des </w:t>
      </w:r>
      <w:r w:rsidR="00F36B3E">
        <w:rPr>
          <w:szCs w:val="24"/>
        </w:rPr>
        <w:t>«</w:t>
      </w:r>
      <w:r w:rsidRPr="00DA55BD">
        <w:rPr>
          <w:szCs w:val="24"/>
        </w:rPr>
        <w:t>satellites fictifs</w:t>
      </w:r>
      <w:r w:rsidR="00F36B3E">
        <w:rPr>
          <w:szCs w:val="24"/>
        </w:rPr>
        <w:t>»</w:t>
      </w:r>
      <w:r w:rsidR="001B71FF">
        <w:rPr>
          <w:szCs w:val="24"/>
        </w:rPr>
        <w:t xml:space="preserve"> dans son intégralité</w:t>
      </w:r>
      <w:r w:rsidRPr="00DA55BD">
        <w:rPr>
          <w:szCs w:val="24"/>
        </w:rPr>
        <w:t>, loin s'en faut</w:t>
      </w:r>
      <w:r w:rsidR="00F0031C">
        <w:rPr>
          <w:szCs w:val="24"/>
        </w:rPr>
        <w:t>:</w:t>
      </w:r>
      <w:r>
        <w:rPr>
          <w:szCs w:val="24"/>
        </w:rPr>
        <w:t xml:space="preserve"> un grand nombre de réseaux à satellite sont inscrits dans le </w:t>
      </w:r>
      <w:r w:rsidR="001B71FF">
        <w:rPr>
          <w:szCs w:val="24"/>
        </w:rPr>
        <w:t>F</w:t>
      </w:r>
      <w:r>
        <w:rPr>
          <w:szCs w:val="24"/>
        </w:rPr>
        <w:t>ichier de référence, mais ne sont plus utilisés, de sorte qu'il</w:t>
      </w:r>
      <w:r w:rsidR="001B71FF">
        <w:rPr>
          <w:szCs w:val="24"/>
        </w:rPr>
        <w:t>s</w:t>
      </w:r>
      <w:r>
        <w:rPr>
          <w:szCs w:val="24"/>
        </w:rPr>
        <w:t xml:space="preserve"> empêche</w:t>
      </w:r>
      <w:r w:rsidR="001B71FF">
        <w:rPr>
          <w:szCs w:val="24"/>
        </w:rPr>
        <w:t>nt</w:t>
      </w:r>
      <w:r>
        <w:rPr>
          <w:szCs w:val="24"/>
        </w:rPr>
        <w:t xml:space="preserve"> artificielle</w:t>
      </w:r>
      <w:r w:rsidR="001B71FF">
        <w:rPr>
          <w:szCs w:val="24"/>
        </w:rPr>
        <w:t>ment</w:t>
      </w:r>
      <w:r>
        <w:rPr>
          <w:szCs w:val="24"/>
        </w:rPr>
        <w:t xml:space="preserve"> de nouveaux réseaux d'avoir accès aux ressources </w:t>
      </w:r>
      <w:r w:rsidR="001B71FF">
        <w:rPr>
          <w:szCs w:val="24"/>
        </w:rPr>
        <w:t>spectre/</w:t>
      </w:r>
      <w:r w:rsidR="0029702C">
        <w:rPr>
          <w:szCs w:val="24"/>
        </w:rPr>
        <w:t>orbites</w:t>
      </w:r>
      <w:r>
        <w:rPr>
          <w:szCs w:val="24"/>
        </w:rPr>
        <w:t xml:space="preserve">. </w:t>
      </w:r>
      <w:r w:rsidRPr="00DA55BD">
        <w:rPr>
          <w:szCs w:val="24"/>
        </w:rPr>
        <w:t xml:space="preserve">Depuis 2009, le BR s'emploie à mettre en oeuvre, </w:t>
      </w:r>
      <w:r w:rsidR="001B71FF">
        <w:rPr>
          <w:szCs w:val="24"/>
        </w:rPr>
        <w:t>le cas échéant</w:t>
      </w:r>
      <w:r w:rsidRPr="00DA55BD">
        <w:rPr>
          <w:szCs w:val="24"/>
        </w:rPr>
        <w:t>,</w:t>
      </w:r>
      <w:r>
        <w:rPr>
          <w:szCs w:val="24"/>
        </w:rPr>
        <w:t xml:space="preserve"> la suppression des assignations de fréquence inutilisée</w:t>
      </w:r>
      <w:r w:rsidR="001B71FF">
        <w:rPr>
          <w:szCs w:val="24"/>
        </w:rPr>
        <w:t>s</w:t>
      </w:r>
      <w:r>
        <w:rPr>
          <w:szCs w:val="24"/>
        </w:rPr>
        <w:t xml:space="preserve"> du </w:t>
      </w:r>
      <w:r w:rsidR="001B71FF">
        <w:rPr>
          <w:szCs w:val="24"/>
        </w:rPr>
        <w:t>F</w:t>
      </w:r>
      <w:r>
        <w:rPr>
          <w:szCs w:val="24"/>
        </w:rPr>
        <w:t>ichier de référence, lorsque ces assignations ne sont pas utilisées normalement.</w:t>
      </w:r>
      <w:r w:rsidR="001B71FF">
        <w:rPr>
          <w:szCs w:val="24"/>
        </w:rPr>
        <w:t xml:space="preserve"> Ces initiatives ont conduit à la suppression</w:t>
      </w:r>
      <w:r>
        <w:rPr>
          <w:szCs w:val="24"/>
        </w:rPr>
        <w:t xml:space="preserve">, en totalité ou en partie, </w:t>
      </w:r>
      <w:r w:rsidR="001B71FF">
        <w:rPr>
          <w:szCs w:val="24"/>
        </w:rPr>
        <w:t xml:space="preserve">de </w:t>
      </w:r>
      <w:r>
        <w:rPr>
          <w:szCs w:val="24"/>
        </w:rPr>
        <w:t>83</w:t>
      </w:r>
      <w:r w:rsidR="001B71FF">
        <w:rPr>
          <w:szCs w:val="24"/>
        </w:rPr>
        <w:t> </w:t>
      </w:r>
      <w:r>
        <w:rPr>
          <w:szCs w:val="24"/>
        </w:rPr>
        <w:t xml:space="preserve">réseaux à satellite au cours des deux dernières années. </w:t>
      </w:r>
      <w:r w:rsidRPr="00DA55BD">
        <w:rPr>
          <w:szCs w:val="24"/>
        </w:rPr>
        <w:t xml:space="preserve">Ce résultat, même s'il est </w:t>
      </w:r>
      <w:r w:rsidR="001B71FF">
        <w:rPr>
          <w:szCs w:val="24"/>
        </w:rPr>
        <w:t>non négligeable</w:t>
      </w:r>
      <w:r w:rsidRPr="00DA55BD">
        <w:rPr>
          <w:szCs w:val="24"/>
        </w:rPr>
        <w:t>, est insuffisant compte tenu du nombre de réseaux à satellite notifié</w:t>
      </w:r>
      <w:r w:rsidR="001B71FF">
        <w:rPr>
          <w:szCs w:val="24"/>
        </w:rPr>
        <w:t>s</w:t>
      </w:r>
      <w:r w:rsidRPr="00DA55BD">
        <w:rPr>
          <w:szCs w:val="24"/>
        </w:rPr>
        <w:t xml:space="preserve"> en cours d'inscription </w:t>
      </w:r>
      <w:r>
        <w:rPr>
          <w:szCs w:val="24"/>
        </w:rPr>
        <w:t xml:space="preserve">dans le </w:t>
      </w:r>
      <w:r w:rsidR="001B71FF">
        <w:rPr>
          <w:szCs w:val="24"/>
        </w:rPr>
        <w:t xml:space="preserve">Fichier de référence </w:t>
      </w:r>
      <w:r>
        <w:rPr>
          <w:szCs w:val="24"/>
        </w:rPr>
        <w:t>(environ 250 par an).</w:t>
      </w:r>
    </w:p>
    <w:p w:rsidR="00F55714" w:rsidRDefault="00F55714" w:rsidP="00446F9D">
      <w:pPr>
        <w:rPr>
          <w:szCs w:val="24"/>
        </w:rPr>
      </w:pPr>
      <w:r w:rsidRPr="00782B46">
        <w:rPr>
          <w:szCs w:val="24"/>
        </w:rPr>
        <w:t xml:space="preserve">En raison de l'encombrement manifeste des ressources </w:t>
      </w:r>
      <w:r w:rsidR="001B71FF">
        <w:rPr>
          <w:szCs w:val="24"/>
        </w:rPr>
        <w:t>spectre/orbites</w:t>
      </w:r>
      <w:r w:rsidRPr="00782B46">
        <w:rPr>
          <w:szCs w:val="24"/>
        </w:rPr>
        <w:t>, de plus en plus de réseau</w:t>
      </w:r>
      <w:r w:rsidR="001B71FF">
        <w:rPr>
          <w:szCs w:val="24"/>
        </w:rPr>
        <w:t>x à satellite ne peuvent ac</w:t>
      </w:r>
      <w:r w:rsidRPr="00782B46">
        <w:rPr>
          <w:szCs w:val="24"/>
        </w:rPr>
        <w:t xml:space="preserve">céder </w:t>
      </w:r>
      <w:r>
        <w:rPr>
          <w:szCs w:val="24"/>
        </w:rPr>
        <w:t>à ces</w:t>
      </w:r>
      <w:r w:rsidRPr="00782B46">
        <w:rPr>
          <w:szCs w:val="24"/>
        </w:rPr>
        <w:t xml:space="preserve"> ressources, ou ne peuvent le faire </w:t>
      </w:r>
      <w:r>
        <w:rPr>
          <w:szCs w:val="24"/>
        </w:rPr>
        <w:t>que dans des conditions précaires (</w:t>
      </w:r>
      <w:r w:rsidR="005A3180" w:rsidRPr="005A3180">
        <w:rPr>
          <w:szCs w:val="24"/>
          <w:lang w:val="fr-CH"/>
        </w:rPr>
        <w:t>c'est</w:t>
      </w:r>
      <w:r w:rsidR="005A3180" w:rsidRPr="005A3180">
        <w:rPr>
          <w:szCs w:val="24"/>
          <w:lang w:val="fr-CH"/>
        </w:rPr>
        <w:noBreakHyphen/>
        <w:t>à</w:t>
      </w:r>
      <w:r w:rsidR="005A3180" w:rsidRPr="005A3180">
        <w:rPr>
          <w:szCs w:val="24"/>
          <w:lang w:val="fr-CH"/>
        </w:rPr>
        <w:noBreakHyphen/>
        <w:t>dire</w:t>
      </w:r>
      <w:r w:rsidR="005A3180">
        <w:rPr>
          <w:szCs w:val="24"/>
        </w:rPr>
        <w:t xml:space="preserve"> </w:t>
      </w:r>
      <w:r>
        <w:rPr>
          <w:szCs w:val="24"/>
        </w:rPr>
        <w:t>sous réserve de ne pas causer de brouillages préjudiciables au</w:t>
      </w:r>
      <w:r w:rsidR="005A3180">
        <w:rPr>
          <w:szCs w:val="24"/>
        </w:rPr>
        <w:t>x</w:t>
      </w:r>
      <w:r>
        <w:rPr>
          <w:szCs w:val="24"/>
        </w:rPr>
        <w:t xml:space="preserve"> réseau</w:t>
      </w:r>
      <w:r w:rsidR="005A3180">
        <w:rPr>
          <w:szCs w:val="24"/>
        </w:rPr>
        <w:t>x</w:t>
      </w:r>
      <w:r>
        <w:rPr>
          <w:szCs w:val="24"/>
        </w:rPr>
        <w:t xml:space="preserve"> inscrit</w:t>
      </w:r>
      <w:r w:rsidR="005A3180">
        <w:rPr>
          <w:szCs w:val="24"/>
        </w:rPr>
        <w:t>s</w:t>
      </w:r>
      <w:r>
        <w:rPr>
          <w:szCs w:val="24"/>
        </w:rPr>
        <w:t xml:space="preserve"> dans le </w:t>
      </w:r>
      <w:r w:rsidR="005A3180">
        <w:rPr>
          <w:szCs w:val="24"/>
        </w:rPr>
        <w:t>Fichier de référence</w:t>
      </w:r>
      <w:r>
        <w:rPr>
          <w:szCs w:val="24"/>
        </w:rPr>
        <w:t xml:space="preserve">, ou de ne pas prétendre à une protection vis-à-vis de </w:t>
      </w:r>
      <w:r w:rsidR="00446F9D">
        <w:rPr>
          <w:szCs w:val="24"/>
        </w:rPr>
        <w:t>c</w:t>
      </w:r>
      <w:r>
        <w:rPr>
          <w:szCs w:val="24"/>
        </w:rPr>
        <w:t xml:space="preserve">es réseaux). </w:t>
      </w:r>
      <w:r w:rsidRPr="00782B46">
        <w:rPr>
          <w:szCs w:val="24"/>
        </w:rPr>
        <w:t xml:space="preserve">En conséquence, il conviendrait de réfléchir à des moyens plus efficaces d'empêcher les </w:t>
      </w:r>
      <w:r w:rsidR="00F36B3E">
        <w:rPr>
          <w:szCs w:val="24"/>
        </w:rPr>
        <w:t>«</w:t>
      </w:r>
      <w:r w:rsidRPr="00782B46">
        <w:rPr>
          <w:szCs w:val="24"/>
        </w:rPr>
        <w:t>satellites fictifs</w:t>
      </w:r>
      <w:r w:rsidR="00446F9D">
        <w:rPr>
          <w:szCs w:val="24"/>
        </w:rPr>
        <w:t>»</w:t>
      </w:r>
      <w:r w:rsidRPr="00782B46">
        <w:rPr>
          <w:szCs w:val="24"/>
        </w:rPr>
        <w:t xml:space="preserve"> de rester dans </w:t>
      </w:r>
      <w:r>
        <w:rPr>
          <w:szCs w:val="24"/>
        </w:rPr>
        <w:t xml:space="preserve">le </w:t>
      </w:r>
      <w:r w:rsidR="005A3180">
        <w:rPr>
          <w:szCs w:val="24"/>
        </w:rPr>
        <w:t>Fichier de référence</w:t>
      </w:r>
      <w:r>
        <w:rPr>
          <w:szCs w:val="24"/>
        </w:rPr>
        <w:t>.</w:t>
      </w:r>
    </w:p>
    <w:p w:rsidR="00F55714" w:rsidRPr="00782B46" w:rsidRDefault="00E74F59" w:rsidP="00446F9D">
      <w:pPr>
        <w:rPr>
          <w:szCs w:val="24"/>
        </w:rPr>
      </w:pPr>
      <w:r>
        <w:rPr>
          <w:szCs w:val="24"/>
        </w:rPr>
        <w:t>L</w:t>
      </w:r>
      <w:r w:rsidR="00F55714" w:rsidRPr="00782B46">
        <w:rPr>
          <w:szCs w:val="24"/>
        </w:rPr>
        <w:t xml:space="preserve">a </w:t>
      </w:r>
      <w:r w:rsidR="009E45F3">
        <w:rPr>
          <w:szCs w:val="24"/>
        </w:rPr>
        <w:t>Décision</w:t>
      </w:r>
      <w:r w:rsidR="00F55714" w:rsidRPr="00782B46">
        <w:rPr>
          <w:szCs w:val="24"/>
        </w:rPr>
        <w:t xml:space="preserve"> 482 repose sur les coûts </w:t>
      </w:r>
      <w:r w:rsidR="00446F9D">
        <w:rPr>
          <w:szCs w:val="24"/>
        </w:rPr>
        <w:t>encouru</w:t>
      </w:r>
      <w:r w:rsidR="00F55714" w:rsidRPr="00782B46">
        <w:rPr>
          <w:szCs w:val="24"/>
        </w:rPr>
        <w:t xml:space="preserve">s </w:t>
      </w:r>
      <w:r w:rsidR="00446F9D">
        <w:rPr>
          <w:szCs w:val="24"/>
        </w:rPr>
        <w:t>pour le</w:t>
      </w:r>
      <w:r w:rsidR="00F55714" w:rsidRPr="00782B46">
        <w:rPr>
          <w:szCs w:val="24"/>
        </w:rPr>
        <w:t xml:space="preserve"> traitement des fiches de notification relative</w:t>
      </w:r>
      <w:r w:rsidR="00446F9D">
        <w:rPr>
          <w:szCs w:val="24"/>
        </w:rPr>
        <w:t>s</w:t>
      </w:r>
      <w:r w:rsidR="00F55714" w:rsidRPr="00782B46">
        <w:rPr>
          <w:szCs w:val="24"/>
        </w:rPr>
        <w:t xml:space="preserve"> aux nouveaux réseaux à satellite </w:t>
      </w:r>
      <w:r w:rsidR="00F55714">
        <w:rPr>
          <w:szCs w:val="24"/>
        </w:rPr>
        <w:t xml:space="preserve">jusqu'à l'inscription des renseignements dans le </w:t>
      </w:r>
      <w:r w:rsidR="001B71FF">
        <w:rPr>
          <w:szCs w:val="24"/>
        </w:rPr>
        <w:t xml:space="preserve">Fichier de référence </w:t>
      </w:r>
      <w:r w:rsidR="006B26B9">
        <w:rPr>
          <w:szCs w:val="24"/>
        </w:rPr>
        <w:t>international</w:t>
      </w:r>
      <w:r w:rsidR="00F55714">
        <w:rPr>
          <w:szCs w:val="24"/>
        </w:rPr>
        <w:t xml:space="preserve"> des fréquences. </w:t>
      </w:r>
      <w:r w:rsidR="00F55714" w:rsidRPr="00782B46">
        <w:rPr>
          <w:szCs w:val="24"/>
        </w:rPr>
        <w:t>Or, les coûts afférents à la tenue à jour de ces renseignements pendant toute la durée de vie du réseau n'ont pas été pris en compte,</w:t>
      </w:r>
      <w:r w:rsidR="006B26B9">
        <w:rPr>
          <w:szCs w:val="24"/>
        </w:rPr>
        <w:t xml:space="preserve"> alors</w:t>
      </w:r>
      <w:r w:rsidR="00F55714" w:rsidRPr="00782B46">
        <w:rPr>
          <w:szCs w:val="24"/>
        </w:rPr>
        <w:t xml:space="preserve"> </w:t>
      </w:r>
      <w:r w:rsidR="00F55714">
        <w:rPr>
          <w:szCs w:val="24"/>
        </w:rPr>
        <w:t xml:space="preserve">même </w:t>
      </w:r>
      <w:r w:rsidR="006B26B9">
        <w:rPr>
          <w:szCs w:val="24"/>
        </w:rPr>
        <w:t>que</w:t>
      </w:r>
      <w:r w:rsidR="00F55714">
        <w:rPr>
          <w:szCs w:val="24"/>
        </w:rPr>
        <w:t xml:space="preserve"> ces renseignements sont pris en considération lors de l'examen technique de nouveaux réseaux à satellite et </w:t>
      </w:r>
      <w:r w:rsidR="006B26B9">
        <w:rPr>
          <w:szCs w:val="24"/>
        </w:rPr>
        <w:t>que</w:t>
      </w:r>
      <w:r w:rsidR="00F55714">
        <w:rPr>
          <w:szCs w:val="24"/>
        </w:rPr>
        <w:t xml:space="preserve"> les</w:t>
      </w:r>
      <w:r w:rsidR="00F36B3E">
        <w:rPr>
          <w:szCs w:val="24"/>
        </w:rPr>
        <w:t xml:space="preserve"> </w:t>
      </w:r>
      <w:r w:rsidR="00F55714">
        <w:rPr>
          <w:szCs w:val="24"/>
        </w:rPr>
        <w:t>calculs de compatibilité effectués par le BR porte</w:t>
      </w:r>
      <w:r w:rsidR="006B26B9">
        <w:rPr>
          <w:szCs w:val="24"/>
        </w:rPr>
        <w:t>nt</w:t>
      </w:r>
      <w:r w:rsidR="00F55714">
        <w:rPr>
          <w:szCs w:val="24"/>
        </w:rPr>
        <w:t xml:space="preserve"> à la fois sur les nouveaux réseaux et sur les réseaux déjà inscrits dans le </w:t>
      </w:r>
      <w:r w:rsidR="005A3180">
        <w:rPr>
          <w:szCs w:val="24"/>
        </w:rPr>
        <w:t>Fichier de référence</w:t>
      </w:r>
      <w:r w:rsidR="00F55714">
        <w:rPr>
          <w:szCs w:val="24"/>
        </w:rPr>
        <w:t xml:space="preserve">. </w:t>
      </w:r>
      <w:r w:rsidR="00F55714" w:rsidRPr="00782B46">
        <w:rPr>
          <w:szCs w:val="24"/>
        </w:rPr>
        <w:t xml:space="preserve">En conséquence, on peut conclure que les </w:t>
      </w:r>
      <w:r w:rsidR="006B26B9">
        <w:rPr>
          <w:szCs w:val="24"/>
        </w:rPr>
        <w:t xml:space="preserve">nouveaux venus sont soumis à des </w:t>
      </w:r>
      <w:r w:rsidR="00F55714" w:rsidRPr="00782B46">
        <w:rPr>
          <w:szCs w:val="24"/>
        </w:rPr>
        <w:t>contraintes financières</w:t>
      </w:r>
      <w:r w:rsidR="006B26B9">
        <w:rPr>
          <w:szCs w:val="24"/>
        </w:rPr>
        <w:t xml:space="preserve"> plus importantes que celles qui pèsent sur les </w:t>
      </w:r>
      <w:r w:rsidR="00F55714">
        <w:rPr>
          <w:szCs w:val="24"/>
        </w:rPr>
        <w:t xml:space="preserve">réseaux en place, dont beaucoup </w:t>
      </w:r>
      <w:r w:rsidR="006B26B9">
        <w:rPr>
          <w:szCs w:val="24"/>
        </w:rPr>
        <w:t>ont été</w:t>
      </w:r>
      <w:r w:rsidR="00F55714">
        <w:rPr>
          <w:szCs w:val="24"/>
        </w:rPr>
        <w:t xml:space="preserve"> inscrits avant l'entrée en vigueur de la </w:t>
      </w:r>
      <w:r w:rsidR="009E45F3">
        <w:rPr>
          <w:szCs w:val="24"/>
        </w:rPr>
        <w:t>Décision</w:t>
      </w:r>
      <w:r w:rsidR="00F55714" w:rsidRPr="00782B46">
        <w:rPr>
          <w:szCs w:val="24"/>
        </w:rPr>
        <w:t xml:space="preserve"> 482.</w:t>
      </w:r>
    </w:p>
    <w:p w:rsidR="00F55714" w:rsidRDefault="00F55714" w:rsidP="006B26B9">
      <w:pPr>
        <w:rPr>
          <w:szCs w:val="24"/>
        </w:rPr>
      </w:pPr>
      <w:r w:rsidRPr="00782B46">
        <w:rPr>
          <w:szCs w:val="24"/>
        </w:rPr>
        <w:t xml:space="preserve">Afin d'assurer une répartition plus équitable des coûts globaux </w:t>
      </w:r>
      <w:r w:rsidR="006B26B9" w:rsidRPr="00782B46">
        <w:rPr>
          <w:szCs w:val="24"/>
        </w:rPr>
        <w:t xml:space="preserve">de traitement </w:t>
      </w:r>
      <w:r w:rsidRPr="00782B46">
        <w:rPr>
          <w:szCs w:val="24"/>
        </w:rPr>
        <w:t>entre les utilisateurs de</w:t>
      </w:r>
      <w:r w:rsidR="006B26B9">
        <w:rPr>
          <w:szCs w:val="24"/>
        </w:rPr>
        <w:t xml:space="preserve"> </w:t>
      </w:r>
      <w:r w:rsidR="006B26B9" w:rsidRPr="006B26B9">
        <w:rPr>
          <w:szCs w:val="24"/>
          <w:lang w:val="fr-CH"/>
        </w:rPr>
        <w:t>système</w:t>
      </w:r>
      <w:r w:rsidR="006B26B9">
        <w:rPr>
          <w:szCs w:val="24"/>
        </w:rPr>
        <w:t>s à</w:t>
      </w:r>
      <w:r w:rsidRPr="00782B46">
        <w:rPr>
          <w:szCs w:val="24"/>
        </w:rPr>
        <w:t xml:space="preserve"> satellite</w:t>
      </w:r>
      <w:r w:rsidR="006B26B9">
        <w:rPr>
          <w:szCs w:val="24"/>
        </w:rPr>
        <w:t>s</w:t>
      </w:r>
      <w:r w:rsidRPr="00782B46">
        <w:rPr>
          <w:szCs w:val="24"/>
        </w:rPr>
        <w:t xml:space="preserve">, s'agissant en particulier des coûts afférents à la tenue à jour des assignations de fréquence pendant la durée </w:t>
      </w:r>
      <w:r>
        <w:rPr>
          <w:szCs w:val="24"/>
        </w:rPr>
        <w:t xml:space="preserve">de vie d'un réseau à satellite, on pourrait envisager d'élaborer un modèle de </w:t>
      </w:r>
      <w:r w:rsidR="006B26B9">
        <w:rPr>
          <w:szCs w:val="24"/>
        </w:rPr>
        <w:t xml:space="preserve">droits à acquitter qui engloberait </w:t>
      </w:r>
      <w:r>
        <w:rPr>
          <w:szCs w:val="24"/>
        </w:rPr>
        <w:t>des redevances annuelles (</w:t>
      </w:r>
      <w:r w:rsidR="006B26B9">
        <w:rPr>
          <w:szCs w:val="24"/>
        </w:rPr>
        <w:t xml:space="preserve">correspondant aux coûts encourus par le Bureau </w:t>
      </w:r>
      <w:r>
        <w:rPr>
          <w:szCs w:val="24"/>
        </w:rPr>
        <w:t xml:space="preserve">pour tenir à jour les renseignements dans le </w:t>
      </w:r>
      <w:r w:rsidR="005A3180">
        <w:rPr>
          <w:szCs w:val="24"/>
        </w:rPr>
        <w:t>Fichier de référence</w:t>
      </w:r>
      <w:r>
        <w:rPr>
          <w:szCs w:val="24"/>
        </w:rPr>
        <w:t>).</w:t>
      </w:r>
    </w:p>
    <w:p w:rsidR="00F55714" w:rsidRDefault="002816E8" w:rsidP="002816E8">
      <w:pPr>
        <w:rPr>
          <w:szCs w:val="24"/>
        </w:rPr>
      </w:pPr>
      <w:r>
        <w:rPr>
          <w:szCs w:val="24"/>
        </w:rPr>
        <w:t xml:space="preserve">Cette question </w:t>
      </w:r>
      <w:r w:rsidR="00F55714" w:rsidRPr="00782B46">
        <w:rPr>
          <w:szCs w:val="24"/>
        </w:rPr>
        <w:t xml:space="preserve">relève de la compétence du </w:t>
      </w:r>
      <w:r w:rsidRPr="00782B46">
        <w:rPr>
          <w:szCs w:val="24"/>
        </w:rPr>
        <w:t>C</w:t>
      </w:r>
      <w:r w:rsidR="00F55714" w:rsidRPr="00782B46">
        <w:rPr>
          <w:szCs w:val="24"/>
        </w:rPr>
        <w:t xml:space="preserve">onseil de l'UIT et, par la suite, de celle de la </w:t>
      </w:r>
      <w:r w:rsidR="00F55714">
        <w:rPr>
          <w:szCs w:val="24"/>
        </w:rPr>
        <w:t>CMR</w:t>
      </w:r>
      <w:r w:rsidR="00F55714" w:rsidRPr="00782B46">
        <w:rPr>
          <w:szCs w:val="24"/>
        </w:rPr>
        <w:t xml:space="preserve"> </w:t>
      </w:r>
      <w:r w:rsidR="00F55714">
        <w:rPr>
          <w:szCs w:val="24"/>
        </w:rPr>
        <w:t xml:space="preserve">s'agissant du statut des assignations en cas de non-paiement. </w:t>
      </w:r>
      <w:r w:rsidR="00F55714" w:rsidRPr="00782B46">
        <w:rPr>
          <w:szCs w:val="24"/>
        </w:rPr>
        <w:t>Toutefois, il serait utile de connaître l'avis du GCR</w:t>
      </w:r>
      <w:r w:rsidR="00F55714" w:rsidRPr="00083790">
        <w:rPr>
          <w:szCs w:val="24"/>
        </w:rPr>
        <w:t xml:space="preserve"> sur cette question</w:t>
      </w:r>
      <w:r w:rsidR="00F55714" w:rsidRPr="00782B46">
        <w:rPr>
          <w:szCs w:val="24"/>
        </w:rPr>
        <w:t>, étant donné qu'elle a des incidences sur</w:t>
      </w:r>
      <w:r w:rsidR="00F55714">
        <w:rPr>
          <w:szCs w:val="24"/>
        </w:rPr>
        <w:t xml:space="preserve"> l'efficacité d'utilisation des ressources </w:t>
      </w:r>
      <w:r w:rsidR="001B71FF">
        <w:rPr>
          <w:szCs w:val="24"/>
        </w:rPr>
        <w:t>spectre/orbites</w:t>
      </w:r>
      <w:r w:rsidR="00F55714">
        <w:rPr>
          <w:szCs w:val="24"/>
        </w:rPr>
        <w:t>.</w:t>
      </w:r>
    </w:p>
    <w:p w:rsidR="00F55714" w:rsidRPr="00083790" w:rsidRDefault="00F55714" w:rsidP="00535B4B">
      <w:pPr>
        <w:pStyle w:val="Heading2"/>
        <w:spacing w:before="200"/>
      </w:pPr>
      <w:r w:rsidRPr="00083790">
        <w:t>2.2</w:t>
      </w:r>
      <w:r w:rsidRPr="00083790">
        <w:tab/>
      </w:r>
      <w:r w:rsidR="002816E8" w:rsidRPr="00083790">
        <w:t>N</w:t>
      </w:r>
      <w:r w:rsidRPr="00083790">
        <w:t xml:space="preserve">ouveaux groupes de travail du </w:t>
      </w:r>
      <w:r w:rsidR="002816E8" w:rsidRPr="00083790">
        <w:t>C</w:t>
      </w:r>
      <w:r w:rsidRPr="00083790">
        <w:t>onseil</w:t>
      </w:r>
    </w:p>
    <w:p w:rsidR="00F55714" w:rsidRPr="00083790" w:rsidRDefault="002816E8" w:rsidP="00535B4B">
      <w:pPr>
        <w:rPr>
          <w:rFonts w:asciiTheme="majorBidi" w:hAnsiTheme="majorBidi" w:cstheme="majorBidi"/>
        </w:rPr>
      </w:pPr>
      <w:r>
        <w:rPr>
          <w:rFonts w:asciiTheme="majorBidi" w:eastAsia="SimSun" w:hAnsiTheme="majorBidi" w:cstheme="majorBidi"/>
          <w:lang w:eastAsia="zh-CN"/>
        </w:rPr>
        <w:t>L</w:t>
      </w:r>
      <w:r w:rsidR="00F55714">
        <w:rPr>
          <w:rFonts w:asciiTheme="majorBidi" w:eastAsia="SimSun" w:hAnsiTheme="majorBidi" w:cstheme="majorBidi"/>
          <w:lang w:eastAsia="zh-CN"/>
        </w:rPr>
        <w:t>ors de sa s</w:t>
      </w:r>
      <w:r w:rsidR="00F55714" w:rsidRPr="00083790">
        <w:rPr>
          <w:rFonts w:asciiTheme="majorBidi" w:eastAsia="SimSun" w:hAnsiTheme="majorBidi" w:cstheme="majorBidi"/>
          <w:lang w:eastAsia="zh-CN"/>
        </w:rPr>
        <w:t>ession extraordinaire tenue en 2010, le</w:t>
      </w:r>
      <w:r>
        <w:rPr>
          <w:rFonts w:asciiTheme="majorBidi" w:eastAsia="SimSun" w:hAnsiTheme="majorBidi" w:cstheme="majorBidi"/>
          <w:lang w:eastAsia="zh-CN"/>
        </w:rPr>
        <w:t xml:space="preserve"> Conseil</w:t>
      </w:r>
      <w:r w:rsidR="00F55714" w:rsidRPr="00083790">
        <w:rPr>
          <w:rFonts w:asciiTheme="majorBidi" w:eastAsia="SimSun" w:hAnsiTheme="majorBidi" w:cstheme="majorBidi"/>
          <w:lang w:eastAsia="zh-CN"/>
        </w:rPr>
        <w:t xml:space="preserve"> a mis en oeuvre les mesures </w:t>
      </w:r>
      <w:r w:rsidR="00F55714">
        <w:rPr>
          <w:rFonts w:asciiTheme="majorBidi" w:eastAsia="SimSun" w:hAnsiTheme="majorBidi" w:cstheme="majorBidi"/>
          <w:lang w:eastAsia="zh-CN"/>
        </w:rPr>
        <w:t xml:space="preserve">préconisées par la </w:t>
      </w:r>
      <w:r w:rsidR="00446F9D">
        <w:rPr>
          <w:rFonts w:asciiTheme="majorBidi" w:eastAsia="SimSun" w:hAnsiTheme="majorBidi" w:cstheme="majorBidi"/>
          <w:lang w:eastAsia="zh-CN"/>
        </w:rPr>
        <w:t>C</w:t>
      </w:r>
      <w:r w:rsidR="00F55714">
        <w:rPr>
          <w:rFonts w:asciiTheme="majorBidi" w:eastAsia="SimSun" w:hAnsiTheme="majorBidi" w:cstheme="majorBidi"/>
          <w:lang w:eastAsia="zh-CN"/>
        </w:rPr>
        <w:t xml:space="preserve">onférence de plénipotentiaires de 2010 </w:t>
      </w:r>
      <w:r w:rsidR="00F55714" w:rsidRPr="00083790">
        <w:rPr>
          <w:rFonts w:asciiTheme="majorBidi" w:hAnsiTheme="majorBidi" w:cstheme="majorBidi"/>
          <w:bCs/>
        </w:rPr>
        <w:t xml:space="preserve">(PP-10). Il a notamment créé le </w:t>
      </w:r>
      <w:r w:rsidR="00446F9D">
        <w:rPr>
          <w:rFonts w:asciiTheme="majorBidi" w:hAnsiTheme="majorBidi" w:cstheme="majorBidi"/>
          <w:bCs/>
        </w:rPr>
        <w:t>G</w:t>
      </w:r>
      <w:r w:rsidR="00F55714" w:rsidRPr="00083790">
        <w:rPr>
          <w:rFonts w:asciiTheme="majorBidi" w:hAnsiTheme="majorBidi" w:cstheme="majorBidi"/>
          <w:bCs/>
        </w:rPr>
        <w:t>roupe de travail du</w:t>
      </w:r>
      <w:r>
        <w:rPr>
          <w:rFonts w:asciiTheme="majorBidi" w:hAnsiTheme="majorBidi" w:cstheme="majorBidi"/>
          <w:bCs/>
        </w:rPr>
        <w:t xml:space="preserve"> Conseil</w:t>
      </w:r>
      <w:r w:rsidR="00F55714" w:rsidRPr="00083790">
        <w:rPr>
          <w:rFonts w:asciiTheme="majorBidi" w:hAnsiTheme="majorBidi" w:cstheme="majorBidi"/>
          <w:bCs/>
        </w:rPr>
        <w:t xml:space="preserve"> sur une const</w:t>
      </w:r>
      <w:r>
        <w:rPr>
          <w:rFonts w:asciiTheme="majorBidi" w:hAnsiTheme="majorBidi" w:cstheme="majorBidi"/>
          <w:bCs/>
        </w:rPr>
        <w:t>itu</w:t>
      </w:r>
      <w:r w:rsidR="00F55714" w:rsidRPr="00083790">
        <w:rPr>
          <w:rFonts w:asciiTheme="majorBidi" w:hAnsiTheme="majorBidi" w:cstheme="majorBidi"/>
          <w:bCs/>
        </w:rPr>
        <w:t>tion stable</w:t>
      </w:r>
      <w:r>
        <w:rPr>
          <w:rFonts w:asciiTheme="majorBidi" w:hAnsiTheme="majorBidi" w:cstheme="majorBidi"/>
          <w:bCs/>
        </w:rPr>
        <w:t xml:space="preserve"> (Ré</w:t>
      </w:r>
      <w:r w:rsidR="00F55714" w:rsidRPr="00083790">
        <w:rPr>
          <w:rFonts w:asciiTheme="majorBidi" w:hAnsiTheme="majorBidi" w:cstheme="majorBidi"/>
          <w:bCs/>
        </w:rPr>
        <w:t xml:space="preserve">solution 163 </w:t>
      </w:r>
      <w:r>
        <w:rPr>
          <w:rFonts w:asciiTheme="majorBidi" w:hAnsiTheme="majorBidi" w:cstheme="majorBidi"/>
          <w:bCs/>
        </w:rPr>
        <w:t>(</w:t>
      </w:r>
      <w:r w:rsidRPr="002816E8">
        <w:rPr>
          <w:rFonts w:asciiTheme="majorBidi" w:hAnsiTheme="majorBidi" w:cstheme="majorBidi"/>
          <w:bCs/>
          <w:caps/>
        </w:rPr>
        <w:t>G</w:t>
      </w:r>
      <w:r w:rsidRPr="002816E8">
        <w:rPr>
          <w:rFonts w:asciiTheme="majorBidi" w:hAnsiTheme="majorBidi" w:cstheme="majorBidi"/>
          <w:bCs/>
        </w:rPr>
        <w:t>uadalajara</w:t>
      </w:r>
      <w:r>
        <w:rPr>
          <w:rFonts w:asciiTheme="majorBidi" w:hAnsiTheme="majorBidi" w:cstheme="majorBidi"/>
          <w:bCs/>
        </w:rPr>
        <w:t>, 2010)</w:t>
      </w:r>
      <w:r w:rsidR="00F55714" w:rsidRPr="00083790">
        <w:rPr>
          <w:rFonts w:asciiTheme="majorBidi" w:hAnsiTheme="majorBidi" w:cstheme="majorBidi"/>
          <w:bCs/>
        </w:rPr>
        <w:t xml:space="preserve">) et a autorisé le </w:t>
      </w:r>
      <w:r w:rsidRPr="00083790">
        <w:rPr>
          <w:rFonts w:asciiTheme="majorBidi" w:hAnsiTheme="majorBidi" w:cstheme="majorBidi"/>
          <w:bCs/>
        </w:rPr>
        <w:t>G</w:t>
      </w:r>
      <w:r w:rsidR="00F55714" w:rsidRPr="00083790">
        <w:rPr>
          <w:rFonts w:asciiTheme="majorBidi" w:hAnsiTheme="majorBidi" w:cstheme="majorBidi"/>
          <w:bCs/>
        </w:rPr>
        <w:t>roupe</w:t>
      </w:r>
      <w:r>
        <w:rPr>
          <w:rFonts w:asciiTheme="majorBidi" w:hAnsiTheme="majorBidi" w:cstheme="majorBidi"/>
          <w:bCs/>
        </w:rPr>
        <w:t xml:space="preserve"> du Conseil</w:t>
      </w:r>
      <w:r w:rsidR="00F55714" w:rsidRPr="00083790">
        <w:rPr>
          <w:rFonts w:asciiTheme="majorBidi" w:hAnsiTheme="majorBidi" w:cstheme="majorBidi"/>
          <w:bCs/>
        </w:rPr>
        <w:t xml:space="preserve"> sur le </w:t>
      </w:r>
      <w:r w:rsidRPr="00083790">
        <w:rPr>
          <w:rFonts w:asciiTheme="majorBidi" w:hAnsiTheme="majorBidi" w:cstheme="majorBidi"/>
          <w:bCs/>
        </w:rPr>
        <w:t>R</w:t>
      </w:r>
      <w:r w:rsidR="00F55714" w:rsidRPr="00083790">
        <w:rPr>
          <w:rFonts w:asciiTheme="majorBidi" w:hAnsiTheme="majorBidi" w:cstheme="majorBidi"/>
          <w:bCs/>
        </w:rPr>
        <w:t xml:space="preserve">èglement financier </w:t>
      </w:r>
      <w:r w:rsidR="00F55714">
        <w:rPr>
          <w:rFonts w:asciiTheme="majorBidi" w:hAnsiTheme="majorBidi" w:cstheme="majorBidi"/>
          <w:bCs/>
        </w:rPr>
        <w:t xml:space="preserve">et questions de gestion financière </w:t>
      </w:r>
      <w:r>
        <w:rPr>
          <w:rFonts w:asciiTheme="majorBidi" w:hAnsiTheme="majorBidi" w:cstheme="majorBidi"/>
          <w:bCs/>
        </w:rPr>
        <w:t xml:space="preserve">associées </w:t>
      </w:r>
      <w:r w:rsidR="00F55714" w:rsidRPr="00083790">
        <w:rPr>
          <w:rFonts w:asciiTheme="majorBidi" w:hAnsiTheme="majorBidi" w:cstheme="majorBidi"/>
        </w:rPr>
        <w:t xml:space="preserve">(FINREGS) </w:t>
      </w:r>
      <w:r w:rsidR="00F55714">
        <w:rPr>
          <w:rFonts w:asciiTheme="majorBidi" w:hAnsiTheme="majorBidi" w:cstheme="majorBidi"/>
        </w:rPr>
        <w:t xml:space="preserve">à effectuer des travaux préparatoires sur le nouveau </w:t>
      </w:r>
      <w:r>
        <w:rPr>
          <w:rFonts w:asciiTheme="majorBidi" w:hAnsiTheme="majorBidi" w:cstheme="majorBidi"/>
        </w:rPr>
        <w:t>C</w:t>
      </w:r>
      <w:r w:rsidR="00F55714">
        <w:rPr>
          <w:rFonts w:asciiTheme="majorBidi" w:hAnsiTheme="majorBidi" w:cstheme="majorBidi"/>
        </w:rPr>
        <w:t xml:space="preserve">omité consultatif indépendant </w:t>
      </w:r>
      <w:r>
        <w:rPr>
          <w:rFonts w:asciiTheme="majorBidi" w:hAnsiTheme="majorBidi" w:cstheme="majorBidi"/>
        </w:rPr>
        <w:t xml:space="preserve">pour les questions de gestion </w:t>
      </w:r>
      <w:r w:rsidR="00F55714" w:rsidRPr="00083790">
        <w:rPr>
          <w:rFonts w:asciiTheme="majorBidi" w:hAnsiTheme="majorBidi" w:cstheme="majorBidi"/>
        </w:rPr>
        <w:t>(C</w:t>
      </w:r>
      <w:r w:rsidR="00A47765">
        <w:rPr>
          <w:rFonts w:asciiTheme="majorBidi" w:hAnsiTheme="majorBidi" w:cstheme="majorBidi"/>
        </w:rPr>
        <w:t>CIQA</w:t>
      </w:r>
      <w:r w:rsidR="00F55714" w:rsidRPr="00083790">
        <w:rPr>
          <w:rFonts w:asciiTheme="majorBidi" w:hAnsiTheme="majorBidi" w:cstheme="majorBidi"/>
        </w:rPr>
        <w:t xml:space="preserve">) </w:t>
      </w:r>
      <w:r w:rsidR="00F55714" w:rsidRPr="00083790">
        <w:rPr>
          <w:rFonts w:asciiTheme="majorBidi" w:hAnsiTheme="majorBidi" w:cstheme="majorBidi"/>
          <w:bCs/>
        </w:rPr>
        <w:t>(R</w:t>
      </w:r>
      <w:r>
        <w:rPr>
          <w:rFonts w:asciiTheme="majorBidi" w:hAnsiTheme="majorBidi" w:cstheme="majorBidi"/>
          <w:bCs/>
        </w:rPr>
        <w:t>é</w:t>
      </w:r>
      <w:r w:rsidR="00F55714" w:rsidRPr="00083790">
        <w:rPr>
          <w:rFonts w:asciiTheme="majorBidi" w:hAnsiTheme="majorBidi" w:cstheme="majorBidi"/>
          <w:bCs/>
        </w:rPr>
        <w:t>solution 162</w:t>
      </w:r>
      <w:r>
        <w:rPr>
          <w:rFonts w:asciiTheme="majorBidi" w:hAnsiTheme="majorBidi" w:cstheme="majorBidi"/>
          <w:bCs/>
        </w:rPr>
        <w:t xml:space="preserve"> (</w:t>
      </w:r>
      <w:r w:rsidRPr="002816E8">
        <w:rPr>
          <w:rFonts w:asciiTheme="majorBidi" w:hAnsiTheme="majorBidi" w:cstheme="majorBidi"/>
          <w:bCs/>
          <w:caps/>
        </w:rPr>
        <w:t>G</w:t>
      </w:r>
      <w:r w:rsidRPr="002816E8">
        <w:rPr>
          <w:rFonts w:asciiTheme="majorBidi" w:hAnsiTheme="majorBidi" w:cstheme="majorBidi"/>
          <w:bCs/>
        </w:rPr>
        <w:t>uadalajara</w:t>
      </w:r>
      <w:r>
        <w:rPr>
          <w:rFonts w:asciiTheme="majorBidi" w:hAnsiTheme="majorBidi" w:cstheme="majorBidi"/>
          <w:bCs/>
        </w:rPr>
        <w:t>, 2010)</w:t>
      </w:r>
      <w:r w:rsidR="00F55714" w:rsidRPr="00083790">
        <w:rPr>
          <w:rFonts w:asciiTheme="majorBidi" w:hAnsiTheme="majorBidi" w:cstheme="majorBidi"/>
          <w:bCs/>
        </w:rPr>
        <w:t>)</w:t>
      </w:r>
      <w:r w:rsidR="00F55714" w:rsidRPr="00083790">
        <w:rPr>
          <w:rFonts w:asciiTheme="majorBidi" w:hAnsiTheme="majorBidi" w:cstheme="majorBidi"/>
        </w:rPr>
        <w:t>.</w:t>
      </w:r>
    </w:p>
    <w:p w:rsidR="00F55714" w:rsidRPr="00083790" w:rsidRDefault="00F55714" w:rsidP="00535B4B">
      <w:pPr>
        <w:pStyle w:val="Heading2"/>
        <w:spacing w:before="200"/>
      </w:pPr>
      <w:r w:rsidRPr="00083790">
        <w:t>2.3</w:t>
      </w:r>
      <w:r w:rsidRPr="00083790">
        <w:tab/>
      </w:r>
      <w:r w:rsidR="00A47765">
        <w:t>Elaboration</w:t>
      </w:r>
      <w:r w:rsidRPr="00083790">
        <w:t xml:space="preserve"> du projet de budget</w:t>
      </w:r>
      <w:r>
        <w:t xml:space="preserve"> pour </w:t>
      </w:r>
      <w:r w:rsidRPr="00083790">
        <w:t>2012-2013</w:t>
      </w:r>
    </w:p>
    <w:p w:rsidR="00F55714" w:rsidRDefault="00A47765" w:rsidP="00535B4B">
      <w:r w:rsidRPr="0020480D">
        <w:t>L</w:t>
      </w:r>
      <w:r w:rsidR="00F55714" w:rsidRPr="0020480D">
        <w:t xml:space="preserve">e projet de budget est en cours d'élaboration </w:t>
      </w:r>
      <w:r w:rsidR="00F55714">
        <w:t>et des précisions seront fournies dans un document distinct.</w:t>
      </w:r>
    </w:p>
    <w:p w:rsidR="00F55714" w:rsidRPr="00DE5436" w:rsidRDefault="00F55714" w:rsidP="00535B4B">
      <w:pPr>
        <w:pStyle w:val="Heading1"/>
        <w:spacing w:before="300"/>
        <w:rPr>
          <w:rFonts w:eastAsia="SimSun"/>
        </w:rPr>
      </w:pPr>
      <w:r w:rsidRPr="00DE5436">
        <w:rPr>
          <w:rFonts w:eastAsia="SimSun"/>
        </w:rPr>
        <w:t>3</w:t>
      </w:r>
      <w:r w:rsidRPr="00DE5436">
        <w:rPr>
          <w:rFonts w:eastAsia="SimSun"/>
        </w:rPr>
        <w:tab/>
      </w:r>
      <w:r w:rsidR="0029702C" w:rsidRPr="00DE5436">
        <w:rPr>
          <w:rFonts w:eastAsia="SimSun"/>
        </w:rPr>
        <w:t>Résultats</w:t>
      </w:r>
      <w:r w:rsidRPr="00DE5436">
        <w:rPr>
          <w:rFonts w:eastAsia="SimSun"/>
        </w:rPr>
        <w:t xml:space="preserve"> de la PP-10</w:t>
      </w:r>
    </w:p>
    <w:p w:rsidR="00F55714" w:rsidRPr="0020480D" w:rsidRDefault="00F55714" w:rsidP="00535B4B">
      <w:pPr>
        <w:pStyle w:val="Heading2"/>
        <w:spacing w:before="200"/>
      </w:pPr>
      <w:r w:rsidRPr="0020480D">
        <w:t>3.1</w:t>
      </w:r>
      <w:r w:rsidRPr="0020480D">
        <w:tab/>
        <w:t>Plan stratégique pour la période 2012-2015 (</w:t>
      </w:r>
      <w:hyperlink r:id="rId14" w:anchor="res71" w:history="1">
        <w:r w:rsidR="00446F9D" w:rsidRPr="004D4C01">
          <w:rPr>
            <w:rStyle w:val="Hyperlink"/>
            <w:bCs/>
            <w:szCs w:val="24"/>
          </w:rPr>
          <w:t>R</w:t>
        </w:r>
        <w:r w:rsidR="00446F9D">
          <w:rPr>
            <w:rStyle w:val="Hyperlink"/>
            <w:bCs/>
            <w:szCs w:val="24"/>
          </w:rPr>
          <w:t>é</w:t>
        </w:r>
        <w:r w:rsidR="00446F9D" w:rsidRPr="004D4C01">
          <w:rPr>
            <w:rStyle w:val="Hyperlink"/>
            <w:bCs/>
            <w:szCs w:val="24"/>
          </w:rPr>
          <w:t>solu</w:t>
        </w:r>
        <w:r w:rsidR="00446F9D">
          <w:rPr>
            <w:rStyle w:val="Hyperlink"/>
            <w:bCs/>
            <w:szCs w:val="24"/>
          </w:rPr>
          <w:t>tio</w:t>
        </w:r>
        <w:r w:rsidR="00446F9D" w:rsidRPr="004D4C01">
          <w:rPr>
            <w:rStyle w:val="Hyperlink"/>
            <w:bCs/>
            <w:szCs w:val="24"/>
          </w:rPr>
          <w:t>n 71 (R</w:t>
        </w:r>
        <w:r w:rsidR="00446F9D">
          <w:rPr>
            <w:rStyle w:val="Hyperlink"/>
            <w:bCs/>
            <w:szCs w:val="24"/>
          </w:rPr>
          <w:t>é</w:t>
        </w:r>
        <w:r w:rsidR="00446F9D" w:rsidRPr="004D4C01">
          <w:rPr>
            <w:rStyle w:val="Hyperlink"/>
            <w:bCs/>
            <w:szCs w:val="24"/>
          </w:rPr>
          <w:t>v. Guadalajara 2010)</w:t>
        </w:r>
      </w:hyperlink>
      <w:r w:rsidRPr="00307017">
        <w:t>)</w:t>
      </w:r>
    </w:p>
    <w:p w:rsidR="00F55714" w:rsidRPr="00ED70F6" w:rsidRDefault="00F55714" w:rsidP="00F55714">
      <w:pPr>
        <w:rPr>
          <w:i/>
          <w:iCs/>
        </w:rPr>
      </w:pPr>
      <w:r w:rsidRPr="00ED70F6">
        <w:t>Le but stratégique du Secteur des radiocommunications de l'UIT (UIT-R) est triple, comme suit:</w:t>
      </w:r>
    </w:p>
    <w:p w:rsidR="00F55714" w:rsidRPr="00ED70F6" w:rsidRDefault="00F55714" w:rsidP="00535B4B">
      <w:pPr>
        <w:pStyle w:val="enumlev1"/>
        <w:spacing w:before="60"/>
      </w:pPr>
      <w:r w:rsidRPr="00ED70F6">
        <w:t>•</w:t>
      </w:r>
      <w:r w:rsidRPr="00ED70F6">
        <w:tab/>
        <w:t>Garantir l'exploitation exempte de brouillages des systèmes de radiocommunication par l'application du Règlement des radiocommunications et d'Accords régionaux, ainsi que par la mise à jour judicieuse et en temps opportun de ces instruments dans le cadre des processus des conférences mondiales et régionales des radiocommunications.</w:t>
      </w:r>
    </w:p>
    <w:p w:rsidR="00F55714" w:rsidRPr="00ED70F6" w:rsidRDefault="00F55714" w:rsidP="00535B4B">
      <w:pPr>
        <w:pStyle w:val="enumlev1"/>
        <w:spacing w:before="60"/>
      </w:pPr>
      <w:r w:rsidRPr="00ED70F6">
        <w:t>•</w:t>
      </w:r>
      <w:r w:rsidRPr="00ED70F6">
        <w:tab/>
        <w:t>Elaborer des Recommandations pour garantir le niveau de fonctionnement et la qualité nécessaires lors de l'exploitation des systèmes de radiocommunication.</w:t>
      </w:r>
    </w:p>
    <w:p w:rsidR="00F55714" w:rsidRDefault="00F55714" w:rsidP="00535B4B">
      <w:pPr>
        <w:pStyle w:val="enumlev1"/>
        <w:spacing w:before="60"/>
      </w:pPr>
      <w:r w:rsidRPr="00ED70F6">
        <w:t>•</w:t>
      </w:r>
      <w:r w:rsidRPr="00ED70F6">
        <w:tab/>
        <w:t>Rechercher des solutions pour assurer l'utilisation rationnelle, équitable, efficace et économique des ressources que const</w:t>
      </w:r>
      <w:r w:rsidR="00F2780A">
        <w:t>itu</w:t>
      </w:r>
      <w:r w:rsidRPr="00ED70F6">
        <w:t>ent le spectre des fréquences radioélectriques et les orbites de satellites, et promouvoir la souplesse qui permettra une expansion future et de nouveaux progrès technologiques.</w:t>
      </w:r>
    </w:p>
    <w:p w:rsidR="00566DD3" w:rsidRPr="00535B4B" w:rsidRDefault="00566DD3" w:rsidP="00671A3A">
      <w:pPr>
        <w:pStyle w:val="enumlev1"/>
        <w:spacing w:before="0"/>
        <w:rPr>
          <w:sz w:val="16"/>
          <w:szCs w:val="16"/>
        </w:rPr>
      </w:pPr>
    </w:p>
    <w:tbl>
      <w:tblPr>
        <w:tblStyle w:val="TableGrid"/>
        <w:tblW w:w="0" w:type="auto"/>
        <w:shd w:val="pct5" w:color="auto" w:fill="auto"/>
        <w:tblLook w:val="04A0" w:firstRow="1" w:lastRow="0" w:firstColumn="1" w:lastColumn="0" w:noHBand="0" w:noVBand="1"/>
      </w:tblPr>
      <w:tblGrid>
        <w:gridCol w:w="9747"/>
      </w:tblGrid>
      <w:tr w:rsidR="00446F9D" w:rsidRPr="00E74F59" w:rsidTr="00BB0C93">
        <w:tc>
          <w:tcPr>
            <w:tcW w:w="9747" w:type="dxa"/>
            <w:shd w:val="pct5" w:color="auto" w:fill="auto"/>
          </w:tcPr>
          <w:p w:rsidR="00446F9D" w:rsidRPr="00E74F59" w:rsidRDefault="00446F9D" w:rsidP="00446F9D">
            <w:pPr>
              <w:rPr>
                <w:i/>
                <w:iCs/>
                <w:sz w:val="21"/>
                <w:szCs w:val="21"/>
              </w:rPr>
            </w:pPr>
            <w:r w:rsidRPr="00E74F59">
              <w:rPr>
                <w:sz w:val="21"/>
                <w:szCs w:val="21"/>
              </w:rPr>
              <w:t>Les objectifs et les produits du Secteur des radiocommunications de l'UIT (UIT-R) sont les suivants:</w:t>
            </w:r>
          </w:p>
          <w:p w:rsidR="00446F9D" w:rsidRPr="00E74F59" w:rsidRDefault="00446F9D" w:rsidP="00671A3A">
            <w:pPr>
              <w:pStyle w:val="Heading3"/>
              <w:spacing w:before="80"/>
              <w:outlineLvl w:val="2"/>
              <w:rPr>
                <w:b w:val="0"/>
                <w:sz w:val="21"/>
                <w:szCs w:val="21"/>
              </w:rPr>
            </w:pPr>
            <w:r w:rsidRPr="00E74F59">
              <w:rPr>
                <w:b w:val="0"/>
                <w:sz w:val="21"/>
                <w:szCs w:val="21"/>
                <w:u w:val="single"/>
              </w:rPr>
              <w:t>Objectif 1</w:t>
            </w:r>
            <w:r w:rsidRPr="00E74F59">
              <w:rPr>
                <w:b w:val="0"/>
                <w:sz w:val="21"/>
                <w:szCs w:val="21"/>
              </w:rPr>
              <w:t xml:space="preserve"> – Coordonner: Encourager, favoriser et assurer la coopération et la coordination entre tous les Etats Membres dans le processus de prise de décisions concernant les questions de radiocommunication, avec la participation, si nécessaire, des Membres de Secteur et des Associés.</w:t>
            </w:r>
          </w:p>
          <w:p w:rsidR="00446F9D" w:rsidRPr="00E74F59" w:rsidRDefault="00446F9D" w:rsidP="00446F9D">
            <w:pPr>
              <w:pStyle w:val="enumlev1"/>
              <w:rPr>
                <w:sz w:val="21"/>
                <w:szCs w:val="21"/>
              </w:rPr>
            </w:pPr>
            <w:r w:rsidRPr="00E74F59">
              <w:rPr>
                <w:sz w:val="21"/>
                <w:szCs w:val="21"/>
              </w:rPr>
              <w:tab/>
            </w:r>
            <w:r w:rsidRPr="00E74F59">
              <w:rPr>
                <w:sz w:val="21"/>
                <w:szCs w:val="21"/>
                <w:u w:val="single"/>
              </w:rPr>
              <w:t>Produits</w:t>
            </w:r>
            <w:r w:rsidRPr="00E74F59">
              <w:rPr>
                <w:sz w:val="21"/>
                <w:szCs w:val="21"/>
              </w:rPr>
              <w:t>: Conférence mondiale des radiocommunications; Conférence régionale des radiocommunications; Assemblée des radiocommunications; Groupe consultatif des radiocommunications et Comité du Règlement des radiocommunications.</w:t>
            </w:r>
          </w:p>
          <w:p w:rsidR="00446F9D" w:rsidRPr="00E74F59" w:rsidRDefault="00446F9D" w:rsidP="00F20E43">
            <w:pPr>
              <w:pStyle w:val="Heading3"/>
              <w:spacing w:before="100"/>
              <w:outlineLvl w:val="2"/>
              <w:rPr>
                <w:b w:val="0"/>
                <w:sz w:val="21"/>
                <w:szCs w:val="21"/>
              </w:rPr>
            </w:pPr>
            <w:r w:rsidRPr="00E74F59">
              <w:rPr>
                <w:b w:val="0"/>
                <w:sz w:val="21"/>
                <w:szCs w:val="21"/>
                <w:u w:val="single"/>
              </w:rPr>
              <w:t>Objectif 2</w:t>
            </w:r>
            <w:r w:rsidRPr="00E74F59">
              <w:rPr>
                <w:b w:val="0"/>
                <w:sz w:val="21"/>
                <w:szCs w:val="21"/>
              </w:rPr>
              <w:t xml:space="preserve"> – Traiter: Satisfaire les besoins des </w:t>
            </w:r>
            <w:r w:rsidR="00566DD3" w:rsidRPr="00E74F59">
              <w:rPr>
                <w:b w:val="0"/>
                <w:sz w:val="21"/>
                <w:szCs w:val="21"/>
              </w:rPr>
              <w:t>m</w:t>
            </w:r>
            <w:r w:rsidRPr="00E74F59">
              <w:rPr>
                <w:b w:val="0"/>
                <w:sz w:val="21"/>
                <w:szCs w:val="21"/>
              </w:rPr>
              <w:t>embres en ce qui concerne l'accès au spectre et aux orbites et l'exploitation, en application de la Constitution, de la Convention et du Règlement des radiocommunications compte tenu, notamment, de l'accélération de la convergence des services de radiocommunication.</w:t>
            </w:r>
          </w:p>
          <w:p w:rsidR="00446F9D" w:rsidRPr="00E74F59" w:rsidRDefault="00446F9D" w:rsidP="00446F9D">
            <w:pPr>
              <w:pStyle w:val="enumlev1"/>
              <w:rPr>
                <w:sz w:val="21"/>
                <w:szCs w:val="21"/>
              </w:rPr>
            </w:pPr>
            <w:r w:rsidRPr="00E74F59">
              <w:rPr>
                <w:sz w:val="21"/>
                <w:szCs w:val="21"/>
              </w:rPr>
              <w:tab/>
            </w:r>
            <w:r w:rsidRPr="00E74F59">
              <w:rPr>
                <w:sz w:val="21"/>
                <w:szCs w:val="21"/>
                <w:u w:val="single"/>
              </w:rPr>
              <w:t>Produits</w:t>
            </w:r>
            <w:r w:rsidRPr="00E74F59">
              <w:rPr>
                <w:sz w:val="21"/>
                <w:szCs w:val="21"/>
              </w:rPr>
              <w:t xml:space="preserve">: Traitement des fiches de notification (services spatiaux et </w:t>
            </w:r>
            <w:r w:rsidRPr="00E74F59">
              <w:rPr>
                <w:sz w:val="21"/>
                <w:szCs w:val="21"/>
                <w:lang w:val="fr-CH"/>
              </w:rPr>
              <w:t>service</w:t>
            </w:r>
            <w:r w:rsidRPr="00E74F59">
              <w:rPr>
                <w:sz w:val="21"/>
                <w:szCs w:val="21"/>
              </w:rPr>
              <w:t>s de Terre) et autres activités connexes. Amélioration (par exemple convivialité) du logiciel du Bureau des radiocommunications.</w:t>
            </w:r>
          </w:p>
          <w:p w:rsidR="00446F9D" w:rsidRPr="00E74F59" w:rsidRDefault="00446F9D" w:rsidP="00535B4B">
            <w:pPr>
              <w:pStyle w:val="Heading3"/>
              <w:spacing w:before="100"/>
              <w:outlineLvl w:val="2"/>
              <w:rPr>
                <w:b w:val="0"/>
                <w:sz w:val="21"/>
                <w:szCs w:val="21"/>
              </w:rPr>
            </w:pPr>
            <w:r w:rsidRPr="00E74F59">
              <w:rPr>
                <w:b w:val="0"/>
                <w:sz w:val="21"/>
                <w:szCs w:val="21"/>
                <w:u w:val="single"/>
              </w:rPr>
              <w:t>Objectif 3</w:t>
            </w:r>
            <w:r w:rsidRPr="00E74F59">
              <w:rPr>
                <w:b w:val="0"/>
                <w:sz w:val="21"/>
                <w:szCs w:val="21"/>
              </w:rPr>
              <w:t xml:space="preserve"> – Produire: Produire des </w:t>
            </w:r>
            <w:r w:rsidR="00566DD3" w:rsidRPr="00E74F59">
              <w:rPr>
                <w:b w:val="0"/>
                <w:sz w:val="21"/>
                <w:szCs w:val="21"/>
              </w:rPr>
              <w:t>R</w:t>
            </w:r>
            <w:r w:rsidRPr="00E74F59">
              <w:rPr>
                <w:b w:val="0"/>
                <w:sz w:val="21"/>
                <w:szCs w:val="21"/>
              </w:rPr>
              <w:t>ecommandations sur les services de radiocommunication, afin d'assurer la connectivité et l'interopérabilité en utilisant des télécommunications/TIC modernes et de favoriser l'utilisation optimale des ressources que constituent le spectre et les orbites.</w:t>
            </w:r>
          </w:p>
          <w:p w:rsidR="00446F9D" w:rsidRPr="00E74F59" w:rsidRDefault="00446F9D" w:rsidP="00446F9D">
            <w:pPr>
              <w:pStyle w:val="enumlev1"/>
              <w:rPr>
                <w:sz w:val="21"/>
                <w:szCs w:val="21"/>
              </w:rPr>
            </w:pPr>
            <w:r w:rsidRPr="00E74F59">
              <w:rPr>
                <w:sz w:val="21"/>
                <w:szCs w:val="21"/>
              </w:rPr>
              <w:tab/>
            </w:r>
            <w:r w:rsidRPr="00E74F59">
              <w:rPr>
                <w:sz w:val="21"/>
                <w:szCs w:val="21"/>
                <w:u w:val="single"/>
              </w:rPr>
              <w:t>Produits</w:t>
            </w:r>
            <w:r w:rsidRPr="00E74F59">
              <w:rPr>
                <w:sz w:val="21"/>
                <w:szCs w:val="21"/>
              </w:rPr>
              <w:t>: Commissions d'études, groupes de travail, groupes d'action et groupes mixtes.</w:t>
            </w:r>
          </w:p>
          <w:p w:rsidR="00446F9D" w:rsidRPr="00E74F59" w:rsidRDefault="00446F9D" w:rsidP="00535B4B">
            <w:pPr>
              <w:pStyle w:val="Heading3"/>
              <w:spacing w:before="100"/>
              <w:outlineLvl w:val="2"/>
              <w:rPr>
                <w:b w:val="0"/>
                <w:sz w:val="21"/>
                <w:szCs w:val="21"/>
              </w:rPr>
            </w:pPr>
            <w:r w:rsidRPr="00E74F59">
              <w:rPr>
                <w:b w:val="0"/>
                <w:sz w:val="21"/>
                <w:szCs w:val="21"/>
                <w:u w:val="single"/>
              </w:rPr>
              <w:t>Objectif 4</w:t>
            </w:r>
            <w:r w:rsidRPr="00E74F59">
              <w:rPr>
                <w:b w:val="0"/>
                <w:sz w:val="21"/>
                <w:szCs w:val="21"/>
              </w:rPr>
              <w:t xml:space="preserve"> – Informer: Répondre aux besoins des membres en diffusant l'information et le savoir-faire sur les questions de radiocommunication, grâce à la publication et à la diffusion des documents pertinents (par exemple des publications de service, des rapports ou des manuels), au besoin, en coordination et en collaboration avec les autres Bureaux et le Secrétariat général.</w:t>
            </w:r>
          </w:p>
          <w:p w:rsidR="00446F9D" w:rsidRPr="00E74F59" w:rsidRDefault="00446F9D" w:rsidP="00446F9D">
            <w:pPr>
              <w:pStyle w:val="enumlev1"/>
              <w:rPr>
                <w:sz w:val="21"/>
                <w:szCs w:val="21"/>
              </w:rPr>
            </w:pPr>
            <w:r w:rsidRPr="00E74F59">
              <w:rPr>
                <w:sz w:val="21"/>
                <w:szCs w:val="21"/>
              </w:rPr>
              <w:tab/>
            </w:r>
            <w:r w:rsidRPr="00E74F59">
              <w:rPr>
                <w:sz w:val="21"/>
                <w:szCs w:val="21"/>
                <w:u w:val="single"/>
              </w:rPr>
              <w:t>Produits</w:t>
            </w:r>
            <w:r w:rsidRPr="00E74F59">
              <w:rPr>
                <w:sz w:val="21"/>
                <w:szCs w:val="21"/>
              </w:rPr>
              <w:t>: Publications UIT-R.</w:t>
            </w:r>
          </w:p>
          <w:p w:rsidR="00446F9D" w:rsidRPr="00E74F59" w:rsidRDefault="00446F9D" w:rsidP="00535B4B">
            <w:pPr>
              <w:pStyle w:val="Heading3"/>
              <w:spacing w:before="100"/>
              <w:outlineLvl w:val="2"/>
              <w:rPr>
                <w:b w:val="0"/>
                <w:sz w:val="21"/>
                <w:szCs w:val="21"/>
              </w:rPr>
            </w:pPr>
            <w:r w:rsidRPr="00E74F59">
              <w:rPr>
                <w:b w:val="0"/>
                <w:sz w:val="21"/>
                <w:szCs w:val="21"/>
                <w:u w:val="single"/>
              </w:rPr>
              <w:t>Objectif 5</w:t>
            </w:r>
            <w:r w:rsidRPr="00E74F59">
              <w:rPr>
                <w:b w:val="0"/>
                <w:sz w:val="21"/>
                <w:szCs w:val="21"/>
              </w:rPr>
              <w:t xml:space="preserve"> – Apporter une assistance: Fournir un appui et une assistance aux membres, essentiellement aux pays en développement, pour les questions de radiocommunication, l'infrastructure des réseaux d'information et de communication et les applications associées, en particulier pour ce qui est de</w:t>
            </w:r>
            <w:r w:rsidR="00F20E43" w:rsidRPr="00E74F59">
              <w:rPr>
                <w:b w:val="0"/>
                <w:sz w:val="21"/>
                <w:szCs w:val="21"/>
              </w:rPr>
              <w:t>:</w:t>
            </w:r>
            <w:r w:rsidRPr="00E74F59">
              <w:rPr>
                <w:b w:val="0"/>
                <w:sz w:val="21"/>
                <w:szCs w:val="21"/>
              </w:rPr>
              <w:t xml:space="preserve"> a) la réduction de la fracture numérique; b) l'accès équitable au spectre des fréquences radioélectriques et aux orbites de satellite; et c) la formation et l'élaboration de matériels didactiques aux fins du renforcement des capacités.</w:t>
            </w:r>
          </w:p>
          <w:p w:rsidR="00446F9D" w:rsidRPr="00E74F59" w:rsidRDefault="00446F9D" w:rsidP="00535B4B">
            <w:pPr>
              <w:keepNext/>
              <w:keepLines/>
              <w:spacing w:before="80"/>
              <w:ind w:left="794" w:hanging="794"/>
              <w:outlineLvl w:val="2"/>
              <w:rPr>
                <w:rFonts w:asciiTheme="majorBidi" w:hAnsiTheme="majorBidi" w:cstheme="majorBidi"/>
                <w:sz w:val="21"/>
                <w:szCs w:val="21"/>
                <w:lang w:val="es-ES"/>
              </w:rPr>
            </w:pPr>
            <w:r w:rsidRPr="00E74F59">
              <w:rPr>
                <w:sz w:val="21"/>
                <w:szCs w:val="21"/>
              </w:rPr>
              <w:tab/>
            </w:r>
            <w:r w:rsidRPr="00E74F59">
              <w:rPr>
                <w:sz w:val="21"/>
                <w:szCs w:val="21"/>
                <w:u w:val="single"/>
              </w:rPr>
              <w:t>Produits</w:t>
            </w:r>
            <w:r w:rsidRPr="00E74F59">
              <w:rPr>
                <w:sz w:val="21"/>
                <w:szCs w:val="21"/>
              </w:rPr>
              <w:t>: Assistance aux membres, en particulier aux pays en développement et aux PMA. Liaison/appui concernant les activités de développement et séminaires.</w:t>
            </w:r>
          </w:p>
        </w:tc>
      </w:tr>
    </w:tbl>
    <w:p w:rsidR="00F55714" w:rsidRDefault="00F55714" w:rsidP="00535B4B">
      <w:pPr>
        <w:pStyle w:val="Heading2"/>
      </w:pPr>
      <w:r w:rsidRPr="0079072B">
        <w:rPr>
          <w:lang w:val="fr-CH"/>
        </w:rPr>
        <w:t>3.2</w:t>
      </w:r>
      <w:r w:rsidRPr="0079072B">
        <w:rPr>
          <w:lang w:val="fr-CH"/>
        </w:rPr>
        <w:tab/>
        <w:t>Plan financier pour 2012-2015 (</w:t>
      </w:r>
      <w:hyperlink r:id="rId15" w:anchor="dec5" w:history="1">
        <w:hyperlink r:id="rId16" w:anchor="dec5" w:history="1">
          <w:r w:rsidR="00E95548" w:rsidRPr="00F0031C">
            <w:rPr>
              <w:rStyle w:val="Hyperlink"/>
              <w:bCs/>
              <w:szCs w:val="24"/>
              <w:lang w:val="fr-CH"/>
            </w:rPr>
            <w:t>Décision 5 (Rév. Guadalajara, 2010)</w:t>
          </w:r>
        </w:hyperlink>
      </w:hyperlink>
      <w:r w:rsidRPr="00307017">
        <w:t>)</w:t>
      </w:r>
    </w:p>
    <w:p w:rsidR="00566DD3" w:rsidRDefault="00566DD3" w:rsidP="00671A3A">
      <w:pPr>
        <w:spacing w:before="0"/>
      </w:pPr>
    </w:p>
    <w:p w:rsidR="00566DD3" w:rsidRPr="00566DD3" w:rsidRDefault="00566DD3" w:rsidP="00566DD3">
      <w:pPr>
        <w:pStyle w:val="TableTitle"/>
        <w:rPr>
          <w:rFonts w:eastAsia="MS Mincho"/>
          <w:lang w:val="fr-CH"/>
        </w:rPr>
      </w:pPr>
      <w:r w:rsidRPr="00566DD3">
        <w:rPr>
          <w:rFonts w:eastAsia="MS Mincho"/>
          <w:lang w:val="fr-CH"/>
        </w:rPr>
        <w:t>PLAN FINANCIER POUR 2012-2015: RECETTES ET D</w:t>
      </w:r>
      <w:r>
        <w:rPr>
          <w:rFonts w:eastAsia="MS Mincho"/>
          <w:lang w:val="fr-CH"/>
        </w:rPr>
        <w:t>É</w:t>
      </w:r>
      <w:r w:rsidRPr="00566DD3">
        <w:rPr>
          <w:rFonts w:eastAsia="MS Mincho"/>
          <w:lang w:val="fr-CH"/>
        </w:rPr>
        <w:t>PENSES</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984"/>
        <w:gridCol w:w="992"/>
        <w:gridCol w:w="993"/>
        <w:gridCol w:w="992"/>
        <w:gridCol w:w="888"/>
        <w:gridCol w:w="888"/>
        <w:gridCol w:w="888"/>
      </w:tblGrid>
      <w:tr w:rsidR="00566DD3" w:rsidRPr="004D4C01" w:rsidTr="00566DD3">
        <w:tc>
          <w:tcPr>
            <w:tcW w:w="540" w:type="dxa"/>
            <w:tcBorders>
              <w:top w:val="single" w:sz="4" w:space="0" w:color="auto"/>
              <w:left w:val="nil"/>
              <w:bottom w:val="nil"/>
            </w:tcBorders>
            <w:vAlign w:val="center"/>
          </w:tcPr>
          <w:p w:rsidR="00566DD3" w:rsidRPr="007429C3" w:rsidRDefault="00566DD3" w:rsidP="00566DD3">
            <w:pPr>
              <w:pStyle w:val="Tablehead"/>
              <w:spacing w:before="40" w:after="40"/>
              <w:jc w:val="left"/>
              <w:rPr>
                <w:rFonts w:ascii="Arial" w:hAnsi="Arial" w:cs="Arial"/>
                <w:i/>
                <w:sz w:val="16"/>
                <w:szCs w:val="16"/>
                <w:lang w:val="fr-CH" w:eastAsia="ko-KR"/>
              </w:rPr>
            </w:pPr>
          </w:p>
        </w:tc>
        <w:tc>
          <w:tcPr>
            <w:tcW w:w="1984" w:type="dxa"/>
            <w:tcBorders>
              <w:top w:val="single" w:sz="4" w:space="0" w:color="auto"/>
              <w:bottom w:val="nil"/>
            </w:tcBorders>
            <w:vAlign w:val="center"/>
          </w:tcPr>
          <w:p w:rsidR="00566DD3" w:rsidRPr="00566DD3" w:rsidRDefault="00566DD3" w:rsidP="00566DD3">
            <w:pPr>
              <w:pStyle w:val="Tablehead"/>
              <w:spacing w:before="40" w:after="40"/>
              <w:jc w:val="left"/>
              <w:rPr>
                <w:rFonts w:asciiTheme="minorHAnsi" w:hAnsiTheme="minorHAnsi"/>
                <w:i/>
                <w:sz w:val="16"/>
                <w:szCs w:val="16"/>
                <w:lang w:val="fr-CH"/>
              </w:rPr>
            </w:pPr>
          </w:p>
        </w:tc>
        <w:tc>
          <w:tcPr>
            <w:tcW w:w="992" w:type="dxa"/>
            <w:tcBorders>
              <w:top w:val="single" w:sz="4" w:space="0" w:color="auto"/>
              <w:bottom w:val="nil"/>
            </w:tcBorders>
            <w:vAlign w:val="center"/>
          </w:tcPr>
          <w:p w:rsidR="00566DD3" w:rsidRPr="004D4C01" w:rsidRDefault="00566DD3" w:rsidP="00566DD3">
            <w:pPr>
              <w:pStyle w:val="Tablehead"/>
              <w:spacing w:before="40" w:after="40"/>
              <w:ind w:left="-57" w:right="-57"/>
              <w:rPr>
                <w:rFonts w:asciiTheme="minorHAnsi" w:hAnsiTheme="minorHAnsi"/>
                <w:i/>
                <w:sz w:val="16"/>
                <w:szCs w:val="16"/>
              </w:rPr>
            </w:pPr>
            <w:r>
              <w:rPr>
                <w:rFonts w:asciiTheme="minorHAnsi" w:hAnsiTheme="minorHAnsi"/>
                <w:sz w:val="16"/>
                <w:szCs w:val="16"/>
              </w:rPr>
              <w:t>Budget</w:t>
            </w:r>
            <w:r w:rsidRPr="004D4C01">
              <w:rPr>
                <w:rFonts w:asciiTheme="minorHAnsi" w:hAnsiTheme="minorHAnsi"/>
                <w:sz w:val="16"/>
                <w:szCs w:val="16"/>
              </w:rPr>
              <w:br/>
              <w:t>2008</w:t>
            </w:r>
            <w:r w:rsidRPr="004D4C01">
              <w:rPr>
                <w:rFonts w:asciiTheme="minorHAnsi" w:hAnsiTheme="minorHAnsi"/>
                <w:sz w:val="16"/>
                <w:szCs w:val="16"/>
              </w:rPr>
              <w:sym w:font="Symbol" w:char="F02D"/>
            </w:r>
            <w:r w:rsidRPr="004D4C01">
              <w:rPr>
                <w:rFonts w:asciiTheme="minorHAnsi" w:hAnsiTheme="minorHAnsi"/>
                <w:sz w:val="16"/>
                <w:szCs w:val="16"/>
              </w:rPr>
              <w:t>2009</w:t>
            </w:r>
          </w:p>
        </w:tc>
        <w:tc>
          <w:tcPr>
            <w:tcW w:w="993" w:type="dxa"/>
            <w:tcBorders>
              <w:top w:val="single" w:sz="4" w:space="0" w:color="auto"/>
              <w:bottom w:val="nil"/>
            </w:tcBorders>
            <w:vAlign w:val="center"/>
          </w:tcPr>
          <w:p w:rsidR="00566DD3" w:rsidRPr="004D4C01" w:rsidRDefault="00566DD3" w:rsidP="00566DD3">
            <w:pPr>
              <w:pStyle w:val="Tablehead"/>
              <w:spacing w:before="40" w:after="40"/>
              <w:ind w:left="-57" w:right="-57"/>
              <w:rPr>
                <w:rFonts w:asciiTheme="minorHAnsi" w:hAnsiTheme="minorHAnsi"/>
                <w:i/>
                <w:sz w:val="16"/>
                <w:szCs w:val="16"/>
              </w:rPr>
            </w:pPr>
            <w:r>
              <w:rPr>
                <w:rFonts w:asciiTheme="minorHAnsi" w:hAnsiTheme="minorHAnsi"/>
                <w:sz w:val="16"/>
                <w:szCs w:val="16"/>
              </w:rPr>
              <w:t>Budget</w:t>
            </w:r>
            <w:r w:rsidRPr="004D4C01">
              <w:rPr>
                <w:rFonts w:asciiTheme="minorHAnsi" w:hAnsiTheme="minorHAnsi"/>
                <w:sz w:val="16"/>
                <w:szCs w:val="16"/>
              </w:rPr>
              <w:t xml:space="preserve"> </w:t>
            </w:r>
            <w:r w:rsidRPr="004D4C01">
              <w:rPr>
                <w:rFonts w:asciiTheme="minorHAnsi" w:hAnsiTheme="minorHAnsi"/>
                <w:sz w:val="16"/>
                <w:szCs w:val="16"/>
              </w:rPr>
              <w:br/>
              <w:t>2010</w:t>
            </w:r>
            <w:r w:rsidRPr="004D4C01">
              <w:rPr>
                <w:rFonts w:asciiTheme="minorHAnsi" w:hAnsiTheme="minorHAnsi"/>
                <w:sz w:val="16"/>
                <w:szCs w:val="16"/>
              </w:rPr>
              <w:sym w:font="Symbol" w:char="F02D"/>
            </w:r>
            <w:r w:rsidRPr="004D4C01">
              <w:rPr>
                <w:rFonts w:asciiTheme="minorHAnsi" w:hAnsiTheme="minorHAnsi"/>
                <w:sz w:val="16"/>
                <w:szCs w:val="16"/>
              </w:rPr>
              <w:t>2011</w:t>
            </w:r>
          </w:p>
        </w:tc>
        <w:tc>
          <w:tcPr>
            <w:tcW w:w="992" w:type="dxa"/>
            <w:tcBorders>
              <w:top w:val="single" w:sz="4" w:space="0" w:color="auto"/>
              <w:bottom w:val="nil"/>
            </w:tcBorders>
            <w:vAlign w:val="center"/>
          </w:tcPr>
          <w:p w:rsidR="00566DD3" w:rsidRPr="004D4C01" w:rsidRDefault="00566DD3" w:rsidP="00566DD3">
            <w:pPr>
              <w:pStyle w:val="Tablehead"/>
              <w:spacing w:before="40" w:after="40"/>
              <w:ind w:left="-57" w:right="-57"/>
              <w:rPr>
                <w:rFonts w:asciiTheme="minorHAnsi" w:hAnsiTheme="minorHAnsi"/>
                <w:i/>
                <w:sz w:val="16"/>
                <w:szCs w:val="16"/>
              </w:rPr>
            </w:pPr>
            <w:r>
              <w:rPr>
                <w:rFonts w:asciiTheme="minorHAnsi" w:hAnsiTheme="minorHAnsi"/>
                <w:sz w:val="16"/>
                <w:szCs w:val="16"/>
              </w:rPr>
              <w:t>Budget</w:t>
            </w:r>
            <w:r w:rsidRPr="004D4C01">
              <w:rPr>
                <w:rFonts w:asciiTheme="minorHAnsi" w:hAnsiTheme="minorHAnsi"/>
                <w:sz w:val="16"/>
                <w:szCs w:val="16"/>
              </w:rPr>
              <w:br/>
              <w:t>2008</w:t>
            </w:r>
            <w:r w:rsidRPr="004D4C01">
              <w:rPr>
                <w:rFonts w:asciiTheme="minorHAnsi" w:hAnsiTheme="minorHAnsi"/>
                <w:sz w:val="16"/>
                <w:szCs w:val="16"/>
              </w:rPr>
              <w:sym w:font="Symbol" w:char="F02D"/>
            </w:r>
            <w:r w:rsidRPr="004D4C01">
              <w:rPr>
                <w:rFonts w:asciiTheme="minorHAnsi" w:hAnsiTheme="minorHAnsi"/>
                <w:sz w:val="16"/>
                <w:szCs w:val="16"/>
              </w:rPr>
              <w:t>2011</w:t>
            </w:r>
          </w:p>
        </w:tc>
        <w:tc>
          <w:tcPr>
            <w:tcW w:w="888" w:type="dxa"/>
            <w:tcBorders>
              <w:bottom w:val="single" w:sz="4" w:space="0" w:color="auto"/>
            </w:tcBorders>
            <w:vAlign w:val="center"/>
          </w:tcPr>
          <w:p w:rsidR="00566DD3" w:rsidRPr="004D4C01" w:rsidRDefault="00566DD3" w:rsidP="00566DD3">
            <w:pPr>
              <w:pStyle w:val="Tablehead"/>
              <w:spacing w:before="40" w:after="40"/>
              <w:rPr>
                <w:rFonts w:asciiTheme="minorHAnsi" w:hAnsiTheme="minorHAnsi"/>
                <w:i/>
                <w:sz w:val="16"/>
                <w:szCs w:val="16"/>
              </w:rPr>
            </w:pPr>
          </w:p>
        </w:tc>
        <w:tc>
          <w:tcPr>
            <w:tcW w:w="888" w:type="dxa"/>
            <w:tcBorders>
              <w:bottom w:val="single" w:sz="4" w:space="0" w:color="auto"/>
            </w:tcBorders>
            <w:vAlign w:val="center"/>
          </w:tcPr>
          <w:p w:rsidR="00566DD3" w:rsidRPr="004D4C01" w:rsidRDefault="00566DD3" w:rsidP="00566DD3">
            <w:pPr>
              <w:pStyle w:val="Tablehead"/>
              <w:spacing w:before="40" w:after="40"/>
              <w:rPr>
                <w:rFonts w:asciiTheme="minorHAnsi" w:hAnsiTheme="minorHAnsi"/>
                <w:i/>
                <w:sz w:val="16"/>
                <w:szCs w:val="16"/>
              </w:rPr>
            </w:pPr>
          </w:p>
        </w:tc>
        <w:tc>
          <w:tcPr>
            <w:tcW w:w="888" w:type="dxa"/>
            <w:tcBorders>
              <w:top w:val="single" w:sz="4" w:space="0" w:color="auto"/>
              <w:bottom w:val="single" w:sz="4" w:space="0" w:color="auto"/>
              <w:right w:val="nil"/>
            </w:tcBorders>
            <w:vAlign w:val="center"/>
          </w:tcPr>
          <w:p w:rsidR="00566DD3" w:rsidRPr="004D4C01" w:rsidRDefault="00566DD3" w:rsidP="00566DD3">
            <w:pPr>
              <w:pStyle w:val="Tablehead"/>
              <w:spacing w:before="40" w:after="40"/>
              <w:rPr>
                <w:rFonts w:asciiTheme="minorHAnsi" w:hAnsiTheme="minorHAnsi"/>
                <w:i/>
                <w:sz w:val="16"/>
                <w:szCs w:val="16"/>
              </w:rPr>
            </w:pPr>
          </w:p>
        </w:tc>
      </w:tr>
      <w:tr w:rsidR="00566DD3" w:rsidRPr="004D4C01" w:rsidTr="00566DD3">
        <w:tc>
          <w:tcPr>
            <w:tcW w:w="540" w:type="dxa"/>
            <w:tcBorders>
              <w:top w:val="nil"/>
              <w:left w:val="nil"/>
              <w:bottom w:val="nil"/>
            </w:tcBorders>
            <w:vAlign w:val="center"/>
          </w:tcPr>
          <w:p w:rsidR="00566DD3" w:rsidRPr="004D4C01" w:rsidRDefault="00566DD3" w:rsidP="00535B4B">
            <w:pPr>
              <w:pStyle w:val="Tablehead"/>
              <w:spacing w:before="20" w:after="20"/>
              <w:jc w:val="left"/>
              <w:rPr>
                <w:rFonts w:asciiTheme="minorHAnsi" w:hAnsiTheme="minorHAnsi"/>
                <w:i/>
                <w:sz w:val="18"/>
                <w:szCs w:val="18"/>
              </w:rPr>
            </w:pPr>
          </w:p>
        </w:tc>
        <w:tc>
          <w:tcPr>
            <w:tcW w:w="1984" w:type="dxa"/>
            <w:tcBorders>
              <w:top w:val="nil"/>
              <w:bottom w:val="nil"/>
            </w:tcBorders>
            <w:vAlign w:val="center"/>
          </w:tcPr>
          <w:p w:rsidR="00566DD3" w:rsidRPr="004D4C01" w:rsidRDefault="00566DD3" w:rsidP="00535B4B">
            <w:pPr>
              <w:pStyle w:val="Tablehead"/>
              <w:spacing w:before="20" w:after="20"/>
              <w:jc w:val="left"/>
              <w:rPr>
                <w:rFonts w:asciiTheme="minorHAnsi" w:hAnsiTheme="minorHAnsi"/>
                <w:i/>
                <w:sz w:val="18"/>
                <w:szCs w:val="18"/>
              </w:rPr>
            </w:pPr>
          </w:p>
        </w:tc>
        <w:tc>
          <w:tcPr>
            <w:tcW w:w="992" w:type="dxa"/>
            <w:tcBorders>
              <w:top w:val="nil"/>
              <w:bottom w:val="nil"/>
            </w:tcBorders>
            <w:vAlign w:val="center"/>
          </w:tcPr>
          <w:p w:rsidR="00566DD3" w:rsidRPr="004D4C01" w:rsidRDefault="00566DD3" w:rsidP="00535B4B">
            <w:pPr>
              <w:pStyle w:val="Tablehead"/>
              <w:spacing w:before="20" w:after="20"/>
              <w:rPr>
                <w:rFonts w:asciiTheme="minorHAnsi" w:hAnsiTheme="minorHAnsi"/>
                <w:i/>
                <w:sz w:val="18"/>
                <w:szCs w:val="18"/>
              </w:rPr>
            </w:pPr>
          </w:p>
        </w:tc>
        <w:tc>
          <w:tcPr>
            <w:tcW w:w="993" w:type="dxa"/>
            <w:tcBorders>
              <w:top w:val="nil"/>
              <w:bottom w:val="nil"/>
            </w:tcBorders>
            <w:vAlign w:val="center"/>
          </w:tcPr>
          <w:p w:rsidR="00566DD3" w:rsidRPr="004D4C01" w:rsidRDefault="00566DD3" w:rsidP="00535B4B">
            <w:pPr>
              <w:pStyle w:val="Tablehead"/>
              <w:spacing w:before="20" w:after="20"/>
              <w:rPr>
                <w:rFonts w:asciiTheme="minorHAnsi" w:hAnsiTheme="minorHAnsi"/>
                <w:i/>
                <w:sz w:val="18"/>
                <w:szCs w:val="18"/>
              </w:rPr>
            </w:pPr>
          </w:p>
        </w:tc>
        <w:tc>
          <w:tcPr>
            <w:tcW w:w="992" w:type="dxa"/>
            <w:tcBorders>
              <w:top w:val="nil"/>
              <w:bottom w:val="nil"/>
              <w:right w:val="single" w:sz="4" w:space="0" w:color="auto"/>
            </w:tcBorders>
            <w:vAlign w:val="center"/>
          </w:tcPr>
          <w:p w:rsidR="00566DD3" w:rsidRPr="004D4C01" w:rsidRDefault="00566DD3" w:rsidP="00535B4B">
            <w:pPr>
              <w:pStyle w:val="Tablehead"/>
              <w:spacing w:before="20" w:after="20"/>
              <w:rPr>
                <w:rFonts w:asciiTheme="minorHAnsi" w:hAnsiTheme="minorHAnsi"/>
                <w:i/>
                <w:sz w:val="18"/>
                <w:szCs w:val="18"/>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566DD3" w:rsidRPr="004D4C01" w:rsidRDefault="00566DD3" w:rsidP="00535B4B">
            <w:pPr>
              <w:pStyle w:val="Tablehead"/>
              <w:spacing w:before="20" w:after="20"/>
              <w:rPr>
                <w:rFonts w:asciiTheme="minorHAnsi" w:hAnsiTheme="minorHAnsi"/>
                <w:i/>
                <w:sz w:val="18"/>
                <w:szCs w:val="18"/>
              </w:rPr>
            </w:pPr>
            <w:r w:rsidRPr="004D4C01">
              <w:rPr>
                <w:rFonts w:asciiTheme="minorHAnsi" w:hAnsiTheme="minorHAnsi"/>
                <w:sz w:val="18"/>
                <w:szCs w:val="18"/>
              </w:rPr>
              <w:t>Pr</w:t>
            </w:r>
            <w:r>
              <w:rPr>
                <w:rFonts w:asciiTheme="minorHAnsi" w:hAnsiTheme="minorHAnsi"/>
                <w:sz w:val="18"/>
                <w:szCs w:val="18"/>
              </w:rPr>
              <w:t>é</w:t>
            </w:r>
            <w:r w:rsidRPr="004D4C01">
              <w:rPr>
                <w:rFonts w:asciiTheme="minorHAnsi" w:hAnsiTheme="minorHAnsi"/>
                <w:sz w:val="18"/>
                <w:szCs w:val="18"/>
              </w:rPr>
              <w:t>vision</w:t>
            </w:r>
            <w:r>
              <w:rPr>
                <w:rFonts w:asciiTheme="minorHAnsi" w:hAnsiTheme="minorHAnsi"/>
                <w:sz w:val="18"/>
                <w:szCs w:val="18"/>
              </w:rPr>
              <w:t>s</w:t>
            </w:r>
            <w:r w:rsidRPr="004D4C01">
              <w:rPr>
                <w:rFonts w:asciiTheme="minorHAnsi" w:hAnsiTheme="minorHAnsi"/>
                <w:sz w:val="18"/>
                <w:szCs w:val="18"/>
              </w:rPr>
              <w:t xml:space="preserve"> 2012</w:t>
            </w:r>
            <w:r w:rsidRPr="004D4C01">
              <w:rPr>
                <w:rFonts w:asciiTheme="minorHAnsi" w:hAnsiTheme="minorHAnsi"/>
                <w:sz w:val="18"/>
                <w:szCs w:val="18"/>
              </w:rPr>
              <w:sym w:font="Symbol" w:char="F02D"/>
            </w:r>
            <w:r w:rsidRPr="004D4C01">
              <w:rPr>
                <w:rFonts w:asciiTheme="minorHAnsi" w:hAnsiTheme="minorHAnsi"/>
                <w:sz w:val="18"/>
                <w:szCs w:val="18"/>
              </w:rPr>
              <w:t>2015</w:t>
            </w:r>
          </w:p>
        </w:tc>
      </w:tr>
      <w:tr w:rsidR="00566DD3" w:rsidRPr="004D4C01" w:rsidTr="00566DD3">
        <w:tc>
          <w:tcPr>
            <w:tcW w:w="540" w:type="dxa"/>
            <w:tcBorders>
              <w:top w:val="nil"/>
              <w:left w:val="nil"/>
              <w:bottom w:val="single" w:sz="4" w:space="0" w:color="auto"/>
            </w:tcBorders>
            <w:vAlign w:val="center"/>
          </w:tcPr>
          <w:p w:rsidR="00566DD3" w:rsidRPr="004D4C01" w:rsidRDefault="00566DD3" w:rsidP="00535B4B">
            <w:pPr>
              <w:pStyle w:val="Tablehead"/>
              <w:spacing w:before="20" w:after="20"/>
              <w:jc w:val="left"/>
              <w:rPr>
                <w:rFonts w:asciiTheme="minorHAnsi" w:hAnsiTheme="minorHAnsi"/>
                <w:i/>
                <w:sz w:val="18"/>
                <w:szCs w:val="18"/>
              </w:rPr>
            </w:pPr>
          </w:p>
        </w:tc>
        <w:tc>
          <w:tcPr>
            <w:tcW w:w="1984" w:type="dxa"/>
            <w:tcBorders>
              <w:top w:val="nil"/>
              <w:bottom w:val="single" w:sz="4" w:space="0" w:color="auto"/>
            </w:tcBorders>
            <w:vAlign w:val="center"/>
          </w:tcPr>
          <w:p w:rsidR="00566DD3" w:rsidRPr="004D4C01" w:rsidRDefault="00566DD3" w:rsidP="00535B4B">
            <w:pPr>
              <w:pStyle w:val="Tablehead"/>
              <w:spacing w:before="20" w:after="20"/>
              <w:rPr>
                <w:rFonts w:asciiTheme="minorHAnsi" w:hAnsiTheme="minorHAnsi"/>
                <w:i/>
                <w:sz w:val="18"/>
                <w:szCs w:val="18"/>
              </w:rPr>
            </w:pPr>
          </w:p>
        </w:tc>
        <w:tc>
          <w:tcPr>
            <w:tcW w:w="992" w:type="dxa"/>
            <w:tcBorders>
              <w:top w:val="nil"/>
              <w:bottom w:val="single" w:sz="4" w:space="0" w:color="auto"/>
            </w:tcBorders>
            <w:vAlign w:val="center"/>
          </w:tcPr>
          <w:p w:rsidR="00566DD3" w:rsidRPr="004D4C01" w:rsidRDefault="00566DD3" w:rsidP="00535B4B">
            <w:pPr>
              <w:pStyle w:val="Tablehead"/>
              <w:spacing w:before="20" w:after="20"/>
              <w:rPr>
                <w:rFonts w:asciiTheme="minorHAnsi" w:hAnsiTheme="minorHAnsi"/>
                <w:i/>
                <w:sz w:val="18"/>
                <w:szCs w:val="18"/>
              </w:rPr>
            </w:pPr>
          </w:p>
        </w:tc>
        <w:tc>
          <w:tcPr>
            <w:tcW w:w="993" w:type="dxa"/>
            <w:tcBorders>
              <w:top w:val="nil"/>
              <w:bottom w:val="single" w:sz="4" w:space="0" w:color="auto"/>
            </w:tcBorders>
            <w:vAlign w:val="center"/>
          </w:tcPr>
          <w:p w:rsidR="00566DD3" w:rsidRPr="004D4C01" w:rsidRDefault="00566DD3" w:rsidP="00535B4B">
            <w:pPr>
              <w:pStyle w:val="Tablehead"/>
              <w:spacing w:before="20" w:after="20"/>
              <w:rPr>
                <w:rFonts w:asciiTheme="minorHAnsi" w:hAnsiTheme="minorHAnsi"/>
                <w:i/>
                <w:sz w:val="18"/>
                <w:szCs w:val="18"/>
              </w:rPr>
            </w:pPr>
          </w:p>
        </w:tc>
        <w:tc>
          <w:tcPr>
            <w:tcW w:w="992" w:type="dxa"/>
            <w:tcBorders>
              <w:top w:val="nil"/>
              <w:bottom w:val="single" w:sz="4" w:space="0" w:color="auto"/>
            </w:tcBorders>
            <w:vAlign w:val="center"/>
          </w:tcPr>
          <w:p w:rsidR="00566DD3" w:rsidRPr="004D4C01" w:rsidRDefault="00566DD3" w:rsidP="00535B4B">
            <w:pPr>
              <w:pStyle w:val="Tablehead"/>
              <w:spacing w:before="20" w:after="20"/>
              <w:rPr>
                <w:rFonts w:asciiTheme="minorHAnsi" w:hAnsiTheme="minorHAnsi"/>
                <w:i/>
                <w:sz w:val="18"/>
                <w:szCs w:val="18"/>
              </w:rPr>
            </w:pPr>
          </w:p>
        </w:tc>
        <w:tc>
          <w:tcPr>
            <w:tcW w:w="2664" w:type="dxa"/>
            <w:gridSpan w:val="3"/>
            <w:tcBorders>
              <w:top w:val="single" w:sz="4" w:space="0" w:color="auto"/>
              <w:bottom w:val="single" w:sz="4" w:space="0" w:color="auto"/>
              <w:right w:val="nil"/>
            </w:tcBorders>
            <w:vAlign w:val="center"/>
          </w:tcPr>
          <w:p w:rsidR="00566DD3" w:rsidRPr="004D4C01" w:rsidRDefault="00671A3A" w:rsidP="00535B4B">
            <w:pPr>
              <w:pStyle w:val="Tablehead"/>
              <w:spacing w:before="20" w:after="20"/>
              <w:rPr>
                <w:rFonts w:asciiTheme="minorHAnsi" w:hAnsiTheme="minorHAnsi"/>
                <w:i/>
                <w:sz w:val="18"/>
                <w:szCs w:val="18"/>
              </w:rPr>
            </w:pPr>
            <w:r>
              <w:rPr>
                <w:rFonts w:asciiTheme="minorHAnsi" w:hAnsiTheme="minorHAnsi"/>
                <w:sz w:val="18"/>
                <w:szCs w:val="18"/>
              </w:rPr>
              <w:t>Ecart</w:t>
            </w:r>
            <w:r w:rsidR="00566DD3" w:rsidRPr="004D4C01">
              <w:rPr>
                <w:rFonts w:asciiTheme="minorHAnsi" w:hAnsiTheme="minorHAnsi"/>
                <w:sz w:val="18"/>
                <w:szCs w:val="18"/>
              </w:rPr>
              <w:t xml:space="preserve"> %</w:t>
            </w:r>
          </w:p>
        </w:tc>
      </w:tr>
      <w:tr w:rsidR="00566DD3" w:rsidRPr="004D4C01" w:rsidTr="00566DD3">
        <w:tc>
          <w:tcPr>
            <w:tcW w:w="540" w:type="dxa"/>
            <w:tcBorders>
              <w:top w:val="single" w:sz="4" w:space="0" w:color="auto"/>
              <w:left w:val="nil"/>
              <w:bottom w:val="nil"/>
            </w:tcBorders>
          </w:tcPr>
          <w:p w:rsidR="00566DD3" w:rsidRPr="004D4C01" w:rsidRDefault="00566DD3" w:rsidP="00566DD3">
            <w:pPr>
              <w:pStyle w:val="Tabletext"/>
              <w:rPr>
                <w:rFonts w:asciiTheme="minorHAnsi" w:hAnsiTheme="minorHAnsi"/>
                <w:i/>
                <w:sz w:val="18"/>
                <w:szCs w:val="18"/>
              </w:rPr>
            </w:pPr>
          </w:p>
        </w:tc>
        <w:tc>
          <w:tcPr>
            <w:tcW w:w="1984" w:type="dxa"/>
            <w:tcBorders>
              <w:top w:val="single" w:sz="4" w:space="0" w:color="auto"/>
              <w:bottom w:val="nil"/>
            </w:tcBorders>
          </w:tcPr>
          <w:p w:rsidR="00566DD3" w:rsidRPr="004D4C01" w:rsidRDefault="00566DD3" w:rsidP="00566DD3">
            <w:pPr>
              <w:pStyle w:val="Tabletext"/>
              <w:rPr>
                <w:rFonts w:asciiTheme="minorHAnsi" w:hAnsiTheme="minorHAnsi"/>
                <w:b/>
                <w:bCs/>
                <w:i/>
                <w:sz w:val="18"/>
                <w:szCs w:val="18"/>
              </w:rPr>
            </w:pPr>
            <w:r w:rsidRPr="00566DD3">
              <w:rPr>
                <w:rFonts w:asciiTheme="minorHAnsi" w:hAnsiTheme="minorHAnsi"/>
                <w:b/>
                <w:bCs/>
                <w:sz w:val="18"/>
                <w:szCs w:val="18"/>
              </w:rPr>
              <w:t>RECETTES</w:t>
            </w:r>
          </w:p>
        </w:tc>
        <w:tc>
          <w:tcPr>
            <w:tcW w:w="992" w:type="dxa"/>
            <w:tcBorders>
              <w:top w:val="single" w:sz="4" w:space="0" w:color="auto"/>
              <w:bottom w:val="nil"/>
            </w:tcBorders>
          </w:tcPr>
          <w:p w:rsidR="00566DD3" w:rsidRPr="004D4C01" w:rsidRDefault="00566DD3" w:rsidP="00566DD3">
            <w:pPr>
              <w:pStyle w:val="Tabletext"/>
              <w:ind w:right="57"/>
              <w:jc w:val="right"/>
              <w:rPr>
                <w:rFonts w:asciiTheme="minorHAnsi" w:hAnsiTheme="minorHAnsi"/>
                <w:i/>
                <w:sz w:val="18"/>
                <w:szCs w:val="18"/>
              </w:rPr>
            </w:pPr>
          </w:p>
        </w:tc>
        <w:tc>
          <w:tcPr>
            <w:tcW w:w="993" w:type="dxa"/>
            <w:tcBorders>
              <w:top w:val="single" w:sz="4" w:space="0" w:color="auto"/>
              <w:bottom w:val="nil"/>
            </w:tcBorders>
          </w:tcPr>
          <w:p w:rsidR="00566DD3" w:rsidRPr="004D4C01" w:rsidRDefault="00566DD3" w:rsidP="00566DD3">
            <w:pPr>
              <w:pStyle w:val="Tabletext"/>
              <w:ind w:right="57"/>
              <w:jc w:val="right"/>
              <w:rPr>
                <w:rFonts w:asciiTheme="minorHAnsi" w:hAnsiTheme="minorHAnsi"/>
                <w:i/>
                <w:sz w:val="18"/>
                <w:szCs w:val="18"/>
              </w:rPr>
            </w:pPr>
          </w:p>
        </w:tc>
        <w:tc>
          <w:tcPr>
            <w:tcW w:w="992" w:type="dxa"/>
            <w:tcBorders>
              <w:top w:val="single" w:sz="4" w:space="0" w:color="auto"/>
              <w:bottom w:val="nil"/>
            </w:tcBorders>
          </w:tcPr>
          <w:p w:rsidR="00566DD3" w:rsidRPr="004D4C01" w:rsidRDefault="00566DD3" w:rsidP="00566DD3">
            <w:pPr>
              <w:pStyle w:val="Tabletext"/>
              <w:ind w:right="57"/>
              <w:jc w:val="right"/>
              <w:rPr>
                <w:rFonts w:asciiTheme="minorHAnsi" w:hAnsiTheme="minorHAnsi"/>
                <w:i/>
                <w:sz w:val="18"/>
                <w:szCs w:val="18"/>
              </w:rPr>
            </w:pPr>
          </w:p>
        </w:tc>
        <w:tc>
          <w:tcPr>
            <w:tcW w:w="888" w:type="dxa"/>
            <w:tcBorders>
              <w:top w:val="single" w:sz="4" w:space="0" w:color="auto"/>
              <w:bottom w:val="nil"/>
            </w:tcBorders>
          </w:tcPr>
          <w:p w:rsidR="00566DD3" w:rsidRPr="004D4C01" w:rsidRDefault="00566DD3" w:rsidP="00566DD3">
            <w:pPr>
              <w:pStyle w:val="Tabletext"/>
              <w:ind w:right="57"/>
              <w:jc w:val="right"/>
              <w:rPr>
                <w:rFonts w:asciiTheme="minorHAnsi" w:hAnsiTheme="minorHAnsi"/>
                <w:i/>
                <w:sz w:val="18"/>
                <w:szCs w:val="18"/>
              </w:rPr>
            </w:pPr>
          </w:p>
        </w:tc>
        <w:tc>
          <w:tcPr>
            <w:tcW w:w="888" w:type="dxa"/>
            <w:tcBorders>
              <w:top w:val="single" w:sz="4" w:space="0" w:color="auto"/>
              <w:bottom w:val="nil"/>
            </w:tcBorders>
          </w:tcPr>
          <w:p w:rsidR="00566DD3" w:rsidRPr="004D4C01" w:rsidRDefault="00566DD3" w:rsidP="00566DD3">
            <w:pPr>
              <w:pStyle w:val="Tabletext"/>
              <w:ind w:right="57"/>
              <w:jc w:val="right"/>
              <w:rPr>
                <w:rFonts w:asciiTheme="minorHAnsi" w:hAnsiTheme="minorHAnsi"/>
                <w:i/>
                <w:sz w:val="18"/>
                <w:szCs w:val="18"/>
              </w:rPr>
            </w:pPr>
          </w:p>
        </w:tc>
        <w:tc>
          <w:tcPr>
            <w:tcW w:w="888" w:type="dxa"/>
            <w:tcBorders>
              <w:top w:val="single" w:sz="4" w:space="0" w:color="auto"/>
              <w:bottom w:val="nil"/>
              <w:right w:val="nil"/>
            </w:tcBorders>
          </w:tcPr>
          <w:p w:rsidR="00566DD3" w:rsidRPr="004D4C01" w:rsidRDefault="00566DD3" w:rsidP="00566DD3">
            <w:pPr>
              <w:pStyle w:val="Tabletext"/>
              <w:ind w:right="57"/>
              <w:jc w:val="right"/>
              <w:rPr>
                <w:rFonts w:asciiTheme="minorHAnsi" w:hAnsiTheme="minorHAnsi"/>
                <w:i/>
                <w:sz w:val="18"/>
                <w:szCs w:val="18"/>
              </w:rPr>
            </w:pPr>
          </w:p>
        </w:tc>
      </w:tr>
      <w:tr w:rsidR="00566DD3" w:rsidRPr="004D4C01" w:rsidTr="00566DD3">
        <w:tc>
          <w:tcPr>
            <w:tcW w:w="540" w:type="dxa"/>
            <w:tcBorders>
              <w:top w:val="nil"/>
              <w:left w:val="nil"/>
              <w:bottom w:val="nil"/>
            </w:tcBorders>
          </w:tcPr>
          <w:p w:rsidR="00566DD3" w:rsidRPr="004D4C01" w:rsidRDefault="00566DD3" w:rsidP="00566DD3">
            <w:pPr>
              <w:pStyle w:val="Tabletext"/>
              <w:spacing w:after="0"/>
              <w:rPr>
                <w:rFonts w:asciiTheme="minorHAnsi" w:hAnsiTheme="minorHAnsi"/>
                <w:i/>
                <w:sz w:val="18"/>
                <w:szCs w:val="18"/>
              </w:rPr>
            </w:pPr>
            <w:r w:rsidRPr="004D4C01">
              <w:rPr>
                <w:rFonts w:asciiTheme="minorHAnsi" w:hAnsiTheme="minorHAnsi"/>
                <w:sz w:val="18"/>
                <w:szCs w:val="18"/>
              </w:rPr>
              <w:t>А.</w:t>
            </w:r>
          </w:p>
        </w:tc>
        <w:tc>
          <w:tcPr>
            <w:tcW w:w="1984" w:type="dxa"/>
            <w:tcBorders>
              <w:top w:val="nil"/>
              <w:bottom w:val="nil"/>
            </w:tcBorders>
          </w:tcPr>
          <w:p w:rsidR="00566DD3" w:rsidRPr="004D4C01" w:rsidRDefault="00566DD3" w:rsidP="00566DD3">
            <w:pPr>
              <w:pStyle w:val="Tabletext"/>
              <w:spacing w:after="0"/>
              <w:rPr>
                <w:rFonts w:asciiTheme="minorHAnsi" w:hAnsiTheme="minorHAnsi"/>
                <w:i/>
                <w:sz w:val="18"/>
                <w:szCs w:val="18"/>
              </w:rPr>
            </w:pPr>
            <w:r w:rsidRPr="00566DD3">
              <w:rPr>
                <w:rFonts w:asciiTheme="minorHAnsi" w:hAnsiTheme="minorHAnsi"/>
                <w:sz w:val="18"/>
                <w:szCs w:val="18"/>
              </w:rPr>
              <w:t>Contributions mises en recouvrement</w:t>
            </w:r>
          </w:p>
        </w:tc>
        <w:tc>
          <w:tcPr>
            <w:tcW w:w="992" w:type="dxa"/>
            <w:tcBorders>
              <w:top w:val="nil"/>
              <w:bottom w:val="nil"/>
            </w:tcBorders>
          </w:tcPr>
          <w:p w:rsidR="00566DD3" w:rsidRPr="004D4C01" w:rsidRDefault="00566DD3" w:rsidP="00566DD3">
            <w:pPr>
              <w:pStyle w:val="Tabletext"/>
              <w:spacing w:after="0"/>
              <w:ind w:right="57"/>
              <w:jc w:val="right"/>
              <w:rPr>
                <w:rFonts w:asciiTheme="minorHAnsi" w:hAnsiTheme="minorHAnsi"/>
                <w:i/>
                <w:sz w:val="18"/>
                <w:szCs w:val="18"/>
              </w:rPr>
            </w:pPr>
          </w:p>
        </w:tc>
        <w:tc>
          <w:tcPr>
            <w:tcW w:w="993" w:type="dxa"/>
            <w:tcBorders>
              <w:top w:val="nil"/>
              <w:bottom w:val="nil"/>
            </w:tcBorders>
          </w:tcPr>
          <w:p w:rsidR="00566DD3" w:rsidRPr="004D4C01" w:rsidRDefault="00566DD3" w:rsidP="00566DD3">
            <w:pPr>
              <w:pStyle w:val="Tabletext"/>
              <w:spacing w:after="0"/>
              <w:ind w:right="57"/>
              <w:jc w:val="right"/>
              <w:rPr>
                <w:rFonts w:asciiTheme="minorHAnsi" w:hAnsiTheme="minorHAnsi"/>
                <w:i/>
                <w:sz w:val="18"/>
                <w:szCs w:val="18"/>
              </w:rPr>
            </w:pPr>
          </w:p>
        </w:tc>
        <w:tc>
          <w:tcPr>
            <w:tcW w:w="992" w:type="dxa"/>
            <w:tcBorders>
              <w:top w:val="nil"/>
              <w:bottom w:val="nil"/>
            </w:tcBorders>
          </w:tcPr>
          <w:p w:rsidR="00566DD3" w:rsidRPr="004D4C01" w:rsidRDefault="00566DD3" w:rsidP="00566DD3">
            <w:pPr>
              <w:pStyle w:val="Tabletext"/>
              <w:spacing w:after="0"/>
              <w:ind w:right="57"/>
              <w:jc w:val="right"/>
              <w:rPr>
                <w:rFonts w:asciiTheme="minorHAnsi" w:hAnsiTheme="minorHAnsi"/>
                <w:i/>
                <w:sz w:val="18"/>
                <w:szCs w:val="18"/>
              </w:rPr>
            </w:pPr>
          </w:p>
        </w:tc>
        <w:tc>
          <w:tcPr>
            <w:tcW w:w="888" w:type="dxa"/>
            <w:tcBorders>
              <w:top w:val="nil"/>
              <w:bottom w:val="nil"/>
            </w:tcBorders>
          </w:tcPr>
          <w:p w:rsidR="00566DD3" w:rsidRPr="004D4C01" w:rsidRDefault="00566DD3" w:rsidP="00566DD3">
            <w:pPr>
              <w:pStyle w:val="Tabletext"/>
              <w:spacing w:after="0"/>
              <w:ind w:right="57"/>
              <w:jc w:val="right"/>
              <w:rPr>
                <w:rFonts w:asciiTheme="minorHAnsi" w:hAnsiTheme="minorHAnsi"/>
                <w:i/>
                <w:sz w:val="18"/>
                <w:szCs w:val="18"/>
              </w:rPr>
            </w:pPr>
          </w:p>
        </w:tc>
        <w:tc>
          <w:tcPr>
            <w:tcW w:w="888" w:type="dxa"/>
            <w:tcBorders>
              <w:top w:val="nil"/>
              <w:bottom w:val="nil"/>
            </w:tcBorders>
          </w:tcPr>
          <w:p w:rsidR="00566DD3" w:rsidRPr="004D4C01" w:rsidRDefault="00566DD3" w:rsidP="00566DD3">
            <w:pPr>
              <w:pStyle w:val="Tabletext"/>
              <w:spacing w:after="0"/>
              <w:ind w:right="57"/>
              <w:jc w:val="right"/>
              <w:rPr>
                <w:rFonts w:asciiTheme="minorHAnsi" w:hAnsiTheme="minorHAnsi"/>
                <w:i/>
                <w:sz w:val="18"/>
                <w:szCs w:val="18"/>
              </w:rPr>
            </w:pPr>
          </w:p>
        </w:tc>
        <w:tc>
          <w:tcPr>
            <w:tcW w:w="888" w:type="dxa"/>
            <w:tcBorders>
              <w:top w:val="nil"/>
              <w:bottom w:val="nil"/>
              <w:right w:val="nil"/>
            </w:tcBorders>
          </w:tcPr>
          <w:p w:rsidR="00566DD3" w:rsidRPr="004D4C01" w:rsidRDefault="00566DD3" w:rsidP="00566DD3">
            <w:pPr>
              <w:pStyle w:val="Tabletext"/>
              <w:spacing w:after="0"/>
              <w:ind w:right="57"/>
              <w:jc w:val="right"/>
              <w:rPr>
                <w:rFonts w:asciiTheme="minorHAnsi" w:hAnsiTheme="minorHAnsi"/>
                <w:i/>
                <w:sz w:val="18"/>
                <w:szCs w:val="18"/>
              </w:rPr>
            </w:pP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А.1</w:t>
            </w:r>
          </w:p>
        </w:tc>
        <w:tc>
          <w:tcPr>
            <w:tcW w:w="1984" w:type="dxa"/>
            <w:tcBorders>
              <w:top w:val="nil"/>
              <w:bottom w:val="nil"/>
            </w:tcBorders>
          </w:tcPr>
          <w:p w:rsidR="00566DD3" w:rsidRPr="00671A3A" w:rsidRDefault="00566DD3" w:rsidP="00566DD3">
            <w:pPr>
              <w:pStyle w:val="Tabletext"/>
              <w:spacing w:before="0" w:after="0"/>
              <w:rPr>
                <w:rFonts w:asciiTheme="minorHAnsi" w:hAnsiTheme="minorHAnsi"/>
                <w:i/>
                <w:sz w:val="18"/>
                <w:szCs w:val="18"/>
                <w:lang w:val="fr-CH"/>
              </w:rPr>
            </w:pPr>
            <w:r w:rsidRPr="00671A3A">
              <w:rPr>
                <w:rFonts w:asciiTheme="minorHAnsi" w:hAnsiTheme="minorHAnsi"/>
                <w:sz w:val="18"/>
                <w:szCs w:val="18"/>
                <w:lang w:val="fr-CH"/>
              </w:rPr>
              <w:t>Contributions des Etats Membres</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217 194</w:t>
            </w:r>
          </w:p>
        </w:tc>
        <w:tc>
          <w:tcPr>
            <w:tcW w:w="993"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221 328</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438 522</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431 367</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7 155</w:t>
            </w:r>
          </w:p>
        </w:tc>
        <w:tc>
          <w:tcPr>
            <w:tcW w:w="888" w:type="dxa"/>
            <w:tcBorders>
              <w:top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1,6%</w:t>
            </w: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rPr>
                <w:rFonts w:asciiTheme="minorHAnsi" w:hAnsiTheme="minorHAnsi"/>
                <w:i/>
                <w:sz w:val="18"/>
                <w:szCs w:val="18"/>
              </w:rPr>
            </w:pPr>
            <w:r w:rsidRPr="004D4C01">
              <w:rPr>
                <w:rFonts w:asciiTheme="minorHAnsi" w:hAnsiTheme="minorHAnsi"/>
                <w:sz w:val="18"/>
                <w:szCs w:val="18"/>
              </w:rPr>
              <w:t>А.2</w:t>
            </w:r>
          </w:p>
        </w:tc>
        <w:tc>
          <w:tcPr>
            <w:tcW w:w="1984" w:type="dxa"/>
            <w:tcBorders>
              <w:top w:val="nil"/>
              <w:bottom w:val="nil"/>
            </w:tcBorders>
          </w:tcPr>
          <w:p w:rsidR="00566DD3" w:rsidRPr="00566DD3" w:rsidRDefault="00566DD3" w:rsidP="00566DD3">
            <w:pPr>
              <w:pStyle w:val="Tabletext"/>
              <w:spacing w:before="0"/>
              <w:rPr>
                <w:rFonts w:asciiTheme="minorHAnsi" w:hAnsiTheme="minorHAnsi"/>
                <w:i/>
                <w:sz w:val="18"/>
                <w:szCs w:val="18"/>
                <w:lang w:val="fr-CH"/>
              </w:rPr>
            </w:pPr>
            <w:r w:rsidRPr="00566DD3">
              <w:rPr>
                <w:rFonts w:asciiTheme="minorHAnsi" w:hAnsiTheme="minorHAnsi"/>
                <w:sz w:val="18"/>
                <w:szCs w:val="18"/>
                <w:lang w:val="fr-CH"/>
              </w:rPr>
              <w:t>Contributions des Membres des Secteurs</w:t>
            </w:r>
          </w:p>
        </w:tc>
        <w:tc>
          <w:tcPr>
            <w:tcW w:w="992" w:type="dxa"/>
            <w:tcBorders>
              <w:top w:val="nil"/>
              <w:bottom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36 833</w:t>
            </w:r>
          </w:p>
        </w:tc>
        <w:tc>
          <w:tcPr>
            <w:tcW w:w="993" w:type="dxa"/>
            <w:tcBorders>
              <w:top w:val="nil"/>
              <w:bottom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35 162</w:t>
            </w:r>
          </w:p>
        </w:tc>
        <w:tc>
          <w:tcPr>
            <w:tcW w:w="992" w:type="dxa"/>
            <w:tcBorders>
              <w:top w:val="nil"/>
              <w:bottom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71 995</w:t>
            </w:r>
          </w:p>
        </w:tc>
        <w:tc>
          <w:tcPr>
            <w:tcW w:w="888" w:type="dxa"/>
            <w:tcBorders>
              <w:top w:val="nil"/>
              <w:bottom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62 932</w:t>
            </w:r>
          </w:p>
        </w:tc>
        <w:tc>
          <w:tcPr>
            <w:tcW w:w="888" w:type="dxa"/>
            <w:tcBorders>
              <w:top w:val="nil"/>
              <w:bottom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9 063</w:t>
            </w:r>
          </w:p>
        </w:tc>
        <w:tc>
          <w:tcPr>
            <w:tcW w:w="888" w:type="dxa"/>
            <w:tcBorders>
              <w:top w:val="nil"/>
              <w:bottom w:val="nil"/>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12,6%</w:t>
            </w: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rPr>
                <w:rFonts w:asciiTheme="minorHAnsi" w:hAnsiTheme="minorHAnsi"/>
                <w:i/>
                <w:sz w:val="18"/>
                <w:szCs w:val="18"/>
              </w:rPr>
            </w:pPr>
            <w:r w:rsidRPr="004D4C01">
              <w:rPr>
                <w:rFonts w:asciiTheme="minorHAnsi" w:hAnsiTheme="minorHAnsi"/>
                <w:sz w:val="18"/>
                <w:szCs w:val="18"/>
              </w:rPr>
              <w:t>А.3</w:t>
            </w:r>
          </w:p>
        </w:tc>
        <w:tc>
          <w:tcPr>
            <w:tcW w:w="1984" w:type="dxa"/>
            <w:tcBorders>
              <w:top w:val="nil"/>
              <w:bottom w:val="nil"/>
            </w:tcBorders>
          </w:tcPr>
          <w:p w:rsidR="00566DD3" w:rsidRPr="004D4C01" w:rsidRDefault="00566DD3" w:rsidP="00566DD3">
            <w:pPr>
              <w:pStyle w:val="Tabletext"/>
              <w:spacing w:before="0"/>
              <w:rPr>
                <w:rFonts w:asciiTheme="minorHAnsi" w:hAnsiTheme="minorHAnsi"/>
                <w:i/>
                <w:sz w:val="18"/>
                <w:szCs w:val="18"/>
              </w:rPr>
            </w:pPr>
            <w:r w:rsidRPr="00566DD3">
              <w:rPr>
                <w:rFonts w:asciiTheme="minorHAnsi" w:hAnsiTheme="minorHAnsi"/>
                <w:sz w:val="18"/>
                <w:szCs w:val="18"/>
              </w:rPr>
              <w:t>Associés</w:t>
            </w:r>
          </w:p>
        </w:tc>
        <w:tc>
          <w:tcPr>
            <w:tcW w:w="992" w:type="dxa"/>
            <w:tcBorders>
              <w:top w:val="nil"/>
              <w:bottom w:val="single" w:sz="4" w:space="0" w:color="auto"/>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2 867</w:t>
            </w:r>
          </w:p>
        </w:tc>
        <w:tc>
          <w:tcPr>
            <w:tcW w:w="993" w:type="dxa"/>
            <w:tcBorders>
              <w:top w:val="nil"/>
              <w:bottom w:val="single" w:sz="4" w:space="0" w:color="auto"/>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3 358</w:t>
            </w:r>
          </w:p>
        </w:tc>
        <w:tc>
          <w:tcPr>
            <w:tcW w:w="992" w:type="dxa"/>
            <w:tcBorders>
              <w:top w:val="nil"/>
              <w:bottom w:val="single" w:sz="4" w:space="0" w:color="auto"/>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6 225</w:t>
            </w:r>
          </w:p>
        </w:tc>
        <w:tc>
          <w:tcPr>
            <w:tcW w:w="888" w:type="dxa"/>
            <w:tcBorders>
              <w:top w:val="nil"/>
              <w:bottom w:val="single" w:sz="4" w:space="0" w:color="auto"/>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6 428</w:t>
            </w:r>
          </w:p>
        </w:tc>
        <w:tc>
          <w:tcPr>
            <w:tcW w:w="888" w:type="dxa"/>
            <w:tcBorders>
              <w:top w:val="nil"/>
              <w:bottom w:val="single" w:sz="4" w:space="0" w:color="auto"/>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203</w:t>
            </w:r>
          </w:p>
        </w:tc>
        <w:tc>
          <w:tcPr>
            <w:tcW w:w="888" w:type="dxa"/>
            <w:tcBorders>
              <w:top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3,3%</w:t>
            </w:r>
          </w:p>
        </w:tc>
      </w:tr>
      <w:tr w:rsidR="00566DD3" w:rsidRPr="004D4C01" w:rsidTr="00566DD3">
        <w:tc>
          <w:tcPr>
            <w:tcW w:w="540" w:type="dxa"/>
            <w:tcBorders>
              <w:top w:val="nil"/>
              <w:left w:val="nil"/>
              <w:bottom w:val="nil"/>
            </w:tcBorders>
          </w:tcPr>
          <w:p w:rsidR="00566DD3" w:rsidRPr="004D4C01" w:rsidRDefault="00566DD3" w:rsidP="00535B4B">
            <w:pPr>
              <w:pStyle w:val="Tabletext"/>
              <w:spacing w:before="20" w:after="0"/>
              <w:rPr>
                <w:rFonts w:asciiTheme="minorHAnsi" w:hAnsiTheme="minorHAnsi"/>
                <w:b/>
                <w:bCs/>
                <w:i/>
                <w:sz w:val="18"/>
                <w:szCs w:val="18"/>
              </w:rPr>
            </w:pPr>
          </w:p>
        </w:tc>
        <w:tc>
          <w:tcPr>
            <w:tcW w:w="1984" w:type="dxa"/>
            <w:tcBorders>
              <w:top w:val="nil"/>
              <w:bottom w:val="nil"/>
            </w:tcBorders>
          </w:tcPr>
          <w:p w:rsidR="00566DD3" w:rsidRPr="004D4C01" w:rsidRDefault="00566DD3" w:rsidP="00535B4B">
            <w:pPr>
              <w:pStyle w:val="Tabletext"/>
              <w:spacing w:before="20" w:after="0"/>
              <w:rPr>
                <w:rFonts w:asciiTheme="minorHAnsi" w:hAnsiTheme="minorHAnsi"/>
                <w:b/>
                <w:bCs/>
                <w:i/>
                <w:sz w:val="18"/>
                <w:szCs w:val="18"/>
              </w:rPr>
            </w:pPr>
            <w:r w:rsidRPr="00566DD3">
              <w:rPr>
                <w:rFonts w:asciiTheme="minorHAnsi" w:hAnsiTheme="minorHAnsi"/>
                <w:b/>
                <w:bCs/>
                <w:sz w:val="18"/>
                <w:szCs w:val="18"/>
              </w:rPr>
              <w:t>Total des contributions mises en recouvrement</w:t>
            </w:r>
          </w:p>
        </w:tc>
        <w:tc>
          <w:tcPr>
            <w:tcW w:w="992" w:type="dxa"/>
            <w:tcBorders>
              <w:top w:val="single" w:sz="4" w:space="0" w:color="auto"/>
              <w:bottom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256 894</w:t>
            </w:r>
          </w:p>
        </w:tc>
        <w:tc>
          <w:tcPr>
            <w:tcW w:w="993" w:type="dxa"/>
            <w:tcBorders>
              <w:top w:val="single" w:sz="4" w:space="0" w:color="auto"/>
              <w:bottom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259 848</w:t>
            </w:r>
          </w:p>
        </w:tc>
        <w:tc>
          <w:tcPr>
            <w:tcW w:w="992" w:type="dxa"/>
            <w:tcBorders>
              <w:top w:val="single" w:sz="4" w:space="0" w:color="auto"/>
              <w:bottom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516 742</w:t>
            </w:r>
          </w:p>
        </w:tc>
        <w:tc>
          <w:tcPr>
            <w:tcW w:w="888" w:type="dxa"/>
            <w:tcBorders>
              <w:top w:val="single" w:sz="4" w:space="0" w:color="auto"/>
              <w:bottom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500 727</w:t>
            </w:r>
          </w:p>
        </w:tc>
        <w:tc>
          <w:tcPr>
            <w:tcW w:w="888" w:type="dxa"/>
            <w:tcBorders>
              <w:top w:val="single" w:sz="4" w:space="0" w:color="auto"/>
              <w:bottom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16 015</w:t>
            </w:r>
          </w:p>
        </w:tc>
        <w:tc>
          <w:tcPr>
            <w:tcW w:w="888" w:type="dxa"/>
            <w:tcBorders>
              <w:top w:val="single" w:sz="4" w:space="0" w:color="auto"/>
              <w:bottom w:val="nil"/>
              <w:right w:val="nil"/>
            </w:tcBorders>
          </w:tcPr>
          <w:p w:rsidR="00566DD3" w:rsidRPr="004D4C01" w:rsidRDefault="00566DD3" w:rsidP="00535B4B">
            <w:pPr>
              <w:pStyle w:val="Tabletext"/>
              <w:spacing w:before="2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3,1%</w:t>
            </w:r>
          </w:p>
        </w:tc>
      </w:tr>
      <w:tr w:rsidR="00566DD3" w:rsidRPr="00535B4B" w:rsidTr="00566DD3">
        <w:tc>
          <w:tcPr>
            <w:tcW w:w="540" w:type="dxa"/>
            <w:tcBorders>
              <w:top w:val="nil"/>
              <w:left w:val="nil"/>
              <w:bottom w:val="nil"/>
            </w:tcBorders>
          </w:tcPr>
          <w:p w:rsidR="00566DD3" w:rsidRPr="00535B4B" w:rsidRDefault="00566DD3" w:rsidP="00566DD3">
            <w:pPr>
              <w:pStyle w:val="Tabletext"/>
              <w:spacing w:before="0" w:after="0"/>
              <w:rPr>
                <w:rFonts w:asciiTheme="minorHAnsi" w:hAnsiTheme="minorHAnsi"/>
                <w:i/>
                <w:sz w:val="16"/>
                <w:szCs w:val="16"/>
              </w:rPr>
            </w:pPr>
          </w:p>
        </w:tc>
        <w:tc>
          <w:tcPr>
            <w:tcW w:w="1984" w:type="dxa"/>
            <w:tcBorders>
              <w:top w:val="nil"/>
              <w:bottom w:val="nil"/>
            </w:tcBorders>
          </w:tcPr>
          <w:p w:rsidR="00566DD3" w:rsidRPr="00535B4B" w:rsidRDefault="00566DD3" w:rsidP="00566DD3">
            <w:pPr>
              <w:pStyle w:val="Tabletext"/>
              <w:spacing w:before="0" w:after="0"/>
              <w:rPr>
                <w:rFonts w:asciiTheme="minorHAnsi" w:hAnsiTheme="minorHAnsi"/>
                <w:i/>
                <w:sz w:val="16"/>
                <w:szCs w:val="16"/>
              </w:rPr>
            </w:pPr>
          </w:p>
        </w:tc>
        <w:tc>
          <w:tcPr>
            <w:tcW w:w="992" w:type="dxa"/>
            <w:tcBorders>
              <w:top w:val="nil"/>
              <w:bottom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993" w:type="dxa"/>
            <w:tcBorders>
              <w:top w:val="nil"/>
              <w:bottom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992" w:type="dxa"/>
            <w:tcBorders>
              <w:top w:val="nil"/>
              <w:bottom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bottom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bottom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В.</w:t>
            </w:r>
          </w:p>
        </w:tc>
        <w:tc>
          <w:tcPr>
            <w:tcW w:w="1984" w:type="dxa"/>
            <w:tcBorders>
              <w:top w:val="nil"/>
              <w:bottom w:val="nil"/>
            </w:tcBorders>
          </w:tcPr>
          <w:p w:rsidR="00566DD3" w:rsidRPr="004D4C01" w:rsidRDefault="00566DD3" w:rsidP="00566DD3">
            <w:pPr>
              <w:pStyle w:val="Tabletext"/>
              <w:spacing w:before="0" w:after="0"/>
              <w:rPr>
                <w:rFonts w:asciiTheme="minorHAnsi" w:hAnsiTheme="minorHAnsi"/>
                <w:i/>
                <w:sz w:val="18"/>
                <w:szCs w:val="18"/>
              </w:rPr>
            </w:pPr>
            <w:r w:rsidRPr="00566DD3">
              <w:rPr>
                <w:rFonts w:asciiTheme="minorHAnsi" w:hAnsiTheme="minorHAnsi"/>
                <w:sz w:val="18"/>
                <w:szCs w:val="18"/>
              </w:rPr>
              <w:t>Recouvrement des coûts</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p>
        </w:tc>
        <w:tc>
          <w:tcPr>
            <w:tcW w:w="993"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p>
        </w:tc>
        <w:tc>
          <w:tcPr>
            <w:tcW w:w="888" w:type="dxa"/>
            <w:tcBorders>
              <w:top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В.1</w:t>
            </w:r>
          </w:p>
        </w:tc>
        <w:tc>
          <w:tcPr>
            <w:tcW w:w="1984" w:type="dxa"/>
            <w:tcBorders>
              <w:top w:val="nil"/>
              <w:bottom w:val="nil"/>
            </w:tcBorders>
          </w:tcPr>
          <w:p w:rsidR="00566DD3" w:rsidRPr="004D4C01" w:rsidRDefault="00566DD3" w:rsidP="00566DD3">
            <w:pPr>
              <w:pStyle w:val="Tabletext"/>
              <w:spacing w:before="0" w:after="0"/>
              <w:rPr>
                <w:rFonts w:asciiTheme="minorHAnsi" w:hAnsiTheme="minorHAnsi"/>
                <w:i/>
                <w:sz w:val="18"/>
                <w:szCs w:val="18"/>
              </w:rPr>
            </w:pPr>
            <w:r w:rsidRPr="00566DD3">
              <w:rPr>
                <w:rFonts w:asciiTheme="minorHAnsi" w:hAnsiTheme="minorHAnsi"/>
                <w:sz w:val="18"/>
                <w:szCs w:val="18"/>
              </w:rPr>
              <w:t>Coûts d'appui aux projets</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3"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2 700</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4 700</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7 000</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2 300</w:t>
            </w:r>
          </w:p>
        </w:tc>
        <w:tc>
          <w:tcPr>
            <w:tcW w:w="888" w:type="dxa"/>
            <w:tcBorders>
              <w:top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48,9%</w:t>
            </w: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В.2</w:t>
            </w:r>
          </w:p>
        </w:tc>
        <w:tc>
          <w:tcPr>
            <w:tcW w:w="1984" w:type="dxa"/>
            <w:tcBorders>
              <w:top w:val="nil"/>
              <w:bottom w:val="nil"/>
            </w:tcBorders>
          </w:tcPr>
          <w:p w:rsidR="00566DD3" w:rsidRPr="004D4C01" w:rsidRDefault="00566DD3" w:rsidP="00566DD3">
            <w:pPr>
              <w:pStyle w:val="Tabletext"/>
              <w:spacing w:before="0" w:after="0"/>
              <w:rPr>
                <w:rFonts w:asciiTheme="minorHAnsi" w:hAnsiTheme="minorHAnsi"/>
                <w:i/>
                <w:sz w:val="18"/>
                <w:szCs w:val="18"/>
              </w:rPr>
            </w:pPr>
            <w:r w:rsidRPr="00566DD3">
              <w:rPr>
                <w:rFonts w:asciiTheme="minorHAnsi" w:hAnsiTheme="minorHAnsi"/>
                <w:sz w:val="18"/>
                <w:szCs w:val="18"/>
              </w:rPr>
              <w:t>Ventes de publications</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24 000</w:t>
            </w:r>
          </w:p>
        </w:tc>
        <w:tc>
          <w:tcPr>
            <w:tcW w:w="993"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30 000</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54 000</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69 000</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15 000</w:t>
            </w:r>
          </w:p>
        </w:tc>
        <w:tc>
          <w:tcPr>
            <w:tcW w:w="888" w:type="dxa"/>
            <w:tcBorders>
              <w:top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27,8%</w:t>
            </w: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В.3</w:t>
            </w:r>
          </w:p>
        </w:tc>
        <w:tc>
          <w:tcPr>
            <w:tcW w:w="1984" w:type="dxa"/>
            <w:tcBorders>
              <w:top w:val="nil"/>
              <w:bottom w:val="nil"/>
            </w:tcBorders>
          </w:tcPr>
          <w:p w:rsidR="00566DD3" w:rsidRPr="004D4C01" w:rsidRDefault="00566DD3" w:rsidP="00566DD3">
            <w:pPr>
              <w:pStyle w:val="Tabletext"/>
              <w:spacing w:before="0" w:after="0"/>
              <w:rPr>
                <w:rFonts w:asciiTheme="minorHAnsi" w:hAnsiTheme="minorHAnsi"/>
                <w:i/>
                <w:sz w:val="18"/>
                <w:szCs w:val="18"/>
              </w:rPr>
            </w:pPr>
            <w:r w:rsidRPr="00566DD3">
              <w:rPr>
                <w:rFonts w:asciiTheme="minorHAnsi" w:hAnsiTheme="minorHAnsi"/>
                <w:sz w:val="18"/>
                <w:szCs w:val="18"/>
              </w:rPr>
              <w:t>ITU TELECOM</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7 452</w:t>
            </w:r>
          </w:p>
        </w:tc>
        <w:tc>
          <w:tcPr>
            <w:tcW w:w="993"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6 285</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13 737</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10 000</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3 737</w:t>
            </w:r>
          </w:p>
        </w:tc>
        <w:tc>
          <w:tcPr>
            <w:tcW w:w="888" w:type="dxa"/>
            <w:tcBorders>
              <w:top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27,2%</w:t>
            </w:r>
          </w:p>
        </w:tc>
      </w:tr>
      <w:tr w:rsidR="00566DD3" w:rsidRPr="004D4C01" w:rsidTr="00566DD3">
        <w:tc>
          <w:tcPr>
            <w:tcW w:w="540" w:type="dxa"/>
            <w:tcBorders>
              <w:top w:val="nil"/>
              <w:left w:val="nil"/>
              <w:bottom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В.4</w:t>
            </w:r>
          </w:p>
        </w:tc>
        <w:tc>
          <w:tcPr>
            <w:tcW w:w="1984" w:type="dxa"/>
            <w:tcBorders>
              <w:top w:val="nil"/>
              <w:bottom w:val="nil"/>
            </w:tcBorders>
          </w:tcPr>
          <w:p w:rsidR="00566DD3" w:rsidRPr="00566DD3" w:rsidRDefault="00566DD3" w:rsidP="00566DD3">
            <w:pPr>
              <w:pStyle w:val="Tabletext"/>
              <w:spacing w:before="0" w:after="0"/>
              <w:rPr>
                <w:rFonts w:asciiTheme="minorHAnsi" w:hAnsiTheme="minorHAnsi"/>
                <w:i/>
                <w:sz w:val="18"/>
                <w:szCs w:val="18"/>
                <w:lang w:val="fr-CH"/>
              </w:rPr>
            </w:pPr>
            <w:r w:rsidRPr="00566DD3">
              <w:rPr>
                <w:rFonts w:asciiTheme="minorHAnsi" w:hAnsiTheme="minorHAnsi"/>
                <w:sz w:val="18"/>
                <w:szCs w:val="18"/>
                <w:lang w:val="fr-CH"/>
              </w:rPr>
              <w:t>Fiches de notification de réseaux à satellite</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14 000</w:t>
            </w:r>
          </w:p>
        </w:tc>
        <w:tc>
          <w:tcPr>
            <w:tcW w:w="993"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16 000</w:t>
            </w:r>
          </w:p>
        </w:tc>
        <w:tc>
          <w:tcPr>
            <w:tcW w:w="992"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30 000</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28 000</w:t>
            </w:r>
          </w:p>
        </w:tc>
        <w:tc>
          <w:tcPr>
            <w:tcW w:w="888" w:type="dxa"/>
            <w:tcBorders>
              <w:top w:val="nil"/>
              <w:bottom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2 000</w:t>
            </w:r>
          </w:p>
        </w:tc>
        <w:tc>
          <w:tcPr>
            <w:tcW w:w="888" w:type="dxa"/>
            <w:tcBorders>
              <w:top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6,7%</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rPr>
                <w:rFonts w:asciiTheme="minorHAnsi" w:hAnsiTheme="minorHAnsi"/>
                <w:i/>
                <w:sz w:val="18"/>
                <w:szCs w:val="18"/>
              </w:rPr>
            </w:pPr>
            <w:r w:rsidRPr="004D4C01">
              <w:rPr>
                <w:rFonts w:asciiTheme="minorHAnsi" w:hAnsiTheme="minorHAnsi"/>
                <w:sz w:val="18"/>
                <w:szCs w:val="18"/>
              </w:rPr>
              <w:t>В.5</w:t>
            </w:r>
          </w:p>
        </w:tc>
        <w:tc>
          <w:tcPr>
            <w:tcW w:w="1984" w:type="dxa"/>
            <w:tcBorders>
              <w:top w:val="nil"/>
              <w:left w:val="nil"/>
              <w:bottom w:val="nil"/>
              <w:right w:val="nil"/>
            </w:tcBorders>
          </w:tcPr>
          <w:p w:rsidR="00566DD3" w:rsidRPr="004D4C01" w:rsidRDefault="00566DD3" w:rsidP="00566DD3">
            <w:pPr>
              <w:pStyle w:val="Tabletext"/>
              <w:spacing w:before="0"/>
              <w:rPr>
                <w:rFonts w:asciiTheme="minorHAnsi" w:hAnsiTheme="minorHAnsi"/>
                <w:i/>
                <w:sz w:val="18"/>
                <w:szCs w:val="18"/>
              </w:rPr>
            </w:pPr>
            <w:r w:rsidRPr="00566DD3">
              <w:rPr>
                <w:rFonts w:asciiTheme="minorHAnsi" w:hAnsiTheme="minorHAnsi"/>
                <w:sz w:val="18"/>
                <w:szCs w:val="18"/>
              </w:rPr>
              <w:t>Autres (registres …)</w:t>
            </w:r>
          </w:p>
        </w:tc>
        <w:tc>
          <w:tcPr>
            <w:tcW w:w="992"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1 149</w:t>
            </w:r>
          </w:p>
        </w:tc>
        <w:tc>
          <w:tcPr>
            <w:tcW w:w="993"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698</w:t>
            </w:r>
          </w:p>
        </w:tc>
        <w:tc>
          <w:tcPr>
            <w:tcW w:w="992"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1 847</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2 000</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153</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8,3%</w:t>
            </w:r>
          </w:p>
        </w:tc>
      </w:tr>
      <w:tr w:rsidR="00566DD3" w:rsidRPr="004D4C01" w:rsidTr="00566DD3">
        <w:tc>
          <w:tcPr>
            <w:tcW w:w="540" w:type="dxa"/>
            <w:tcBorders>
              <w:top w:val="nil"/>
              <w:left w:val="nil"/>
              <w:bottom w:val="nil"/>
              <w:right w:val="nil"/>
            </w:tcBorders>
          </w:tcPr>
          <w:p w:rsidR="00566DD3" w:rsidRPr="004D4C01" w:rsidRDefault="00566DD3" w:rsidP="00535B4B">
            <w:pPr>
              <w:pStyle w:val="Tabletext"/>
              <w:spacing w:before="20" w:after="0"/>
              <w:rPr>
                <w:rFonts w:asciiTheme="minorHAnsi" w:hAnsiTheme="minorHAnsi"/>
                <w:b/>
                <w:bCs/>
                <w:i/>
                <w:sz w:val="18"/>
                <w:szCs w:val="18"/>
              </w:rPr>
            </w:pPr>
          </w:p>
        </w:tc>
        <w:tc>
          <w:tcPr>
            <w:tcW w:w="1984" w:type="dxa"/>
            <w:tcBorders>
              <w:top w:val="nil"/>
              <w:left w:val="nil"/>
              <w:bottom w:val="nil"/>
              <w:right w:val="nil"/>
            </w:tcBorders>
          </w:tcPr>
          <w:p w:rsidR="00566DD3" w:rsidRPr="004D4C01" w:rsidRDefault="00566DD3" w:rsidP="00535B4B">
            <w:pPr>
              <w:pStyle w:val="Tabletext"/>
              <w:spacing w:before="20" w:after="0"/>
              <w:rPr>
                <w:rFonts w:asciiTheme="minorHAnsi" w:hAnsiTheme="minorHAnsi"/>
                <w:b/>
                <w:bCs/>
                <w:i/>
                <w:sz w:val="18"/>
                <w:szCs w:val="18"/>
              </w:rPr>
            </w:pPr>
            <w:r w:rsidRPr="00566DD3">
              <w:rPr>
                <w:rFonts w:asciiTheme="minorHAnsi" w:hAnsiTheme="minorHAnsi"/>
                <w:b/>
                <w:bCs/>
                <w:sz w:val="18"/>
                <w:szCs w:val="18"/>
              </w:rPr>
              <w:t>Total  recouvrement des coûts</w:t>
            </w:r>
          </w:p>
        </w:tc>
        <w:tc>
          <w:tcPr>
            <w:tcW w:w="992"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48 601</w:t>
            </w:r>
          </w:p>
        </w:tc>
        <w:tc>
          <w:tcPr>
            <w:tcW w:w="993"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55 683</w:t>
            </w:r>
          </w:p>
        </w:tc>
        <w:tc>
          <w:tcPr>
            <w:tcW w:w="992"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104 284</w:t>
            </w:r>
          </w:p>
        </w:tc>
        <w:tc>
          <w:tcPr>
            <w:tcW w:w="888"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116 000</w:t>
            </w:r>
          </w:p>
        </w:tc>
        <w:tc>
          <w:tcPr>
            <w:tcW w:w="888"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11 716</w:t>
            </w:r>
          </w:p>
        </w:tc>
        <w:tc>
          <w:tcPr>
            <w:tcW w:w="888"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i/>
                <w:sz w:val="18"/>
                <w:szCs w:val="18"/>
              </w:rPr>
            </w:pPr>
            <w:r w:rsidRPr="004D4C01">
              <w:rPr>
                <w:rFonts w:asciiTheme="minorHAnsi" w:hAnsiTheme="minorHAnsi"/>
                <w:sz w:val="18"/>
                <w:szCs w:val="18"/>
              </w:rPr>
              <w:t>11,2%</w:t>
            </w:r>
          </w:p>
        </w:tc>
      </w:tr>
      <w:tr w:rsidR="00566DD3" w:rsidRPr="004D4C01" w:rsidTr="00566DD3">
        <w:tc>
          <w:tcPr>
            <w:tcW w:w="540" w:type="dxa"/>
            <w:tcBorders>
              <w:top w:val="nil"/>
              <w:left w:val="nil"/>
              <w:bottom w:val="nil"/>
              <w:right w:val="nil"/>
            </w:tcBorders>
          </w:tcPr>
          <w:p w:rsidR="00566DD3" w:rsidRPr="00535B4B" w:rsidRDefault="00566DD3" w:rsidP="00566DD3">
            <w:pPr>
              <w:pStyle w:val="Tabletext"/>
              <w:spacing w:before="0" w:after="0"/>
              <w:rPr>
                <w:rFonts w:asciiTheme="minorHAnsi" w:hAnsiTheme="minorHAnsi"/>
                <w:i/>
                <w:sz w:val="16"/>
                <w:szCs w:val="16"/>
              </w:rPr>
            </w:pPr>
          </w:p>
        </w:tc>
        <w:tc>
          <w:tcPr>
            <w:tcW w:w="1984" w:type="dxa"/>
            <w:tcBorders>
              <w:top w:val="nil"/>
              <w:left w:val="nil"/>
              <w:bottom w:val="nil"/>
              <w:right w:val="nil"/>
            </w:tcBorders>
          </w:tcPr>
          <w:p w:rsidR="00566DD3" w:rsidRPr="00535B4B" w:rsidRDefault="00566DD3" w:rsidP="00566DD3">
            <w:pPr>
              <w:pStyle w:val="Tabletext"/>
              <w:spacing w:before="0" w:after="0"/>
              <w:rPr>
                <w:rFonts w:asciiTheme="minorHAnsi" w:hAnsiTheme="minorHAnsi"/>
                <w:i/>
                <w:sz w:val="16"/>
                <w:szCs w:val="16"/>
              </w:rPr>
            </w:pPr>
          </w:p>
        </w:tc>
        <w:tc>
          <w:tcPr>
            <w:tcW w:w="992"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993"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992"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C.</w:t>
            </w:r>
          </w:p>
        </w:tc>
        <w:tc>
          <w:tcPr>
            <w:tcW w:w="1984"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566DD3">
              <w:rPr>
                <w:rFonts w:asciiTheme="minorHAnsi" w:hAnsiTheme="minorHAnsi"/>
                <w:sz w:val="18"/>
                <w:szCs w:val="18"/>
              </w:rPr>
              <w:t>Produits des intérêts</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5 000</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5 000</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10 000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12 000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20,0%</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D.</w:t>
            </w:r>
          </w:p>
        </w:tc>
        <w:tc>
          <w:tcPr>
            <w:tcW w:w="1984"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566DD3">
              <w:rPr>
                <w:rFonts w:asciiTheme="minorHAnsi" w:hAnsiTheme="minorHAnsi"/>
                <w:sz w:val="18"/>
                <w:szCs w:val="18"/>
              </w:rPr>
              <w:t>Autres recettes</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4 000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3 280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720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18,0%</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rPr>
                <w:rFonts w:asciiTheme="minorHAnsi" w:hAnsiTheme="minorHAnsi"/>
                <w:i/>
                <w:sz w:val="18"/>
                <w:szCs w:val="18"/>
              </w:rPr>
            </w:pPr>
            <w:r w:rsidRPr="004D4C01">
              <w:rPr>
                <w:rFonts w:asciiTheme="minorHAnsi" w:hAnsiTheme="minorHAnsi"/>
                <w:sz w:val="18"/>
                <w:szCs w:val="18"/>
              </w:rPr>
              <w:t>E.</w:t>
            </w:r>
          </w:p>
        </w:tc>
        <w:tc>
          <w:tcPr>
            <w:tcW w:w="1984" w:type="dxa"/>
            <w:tcBorders>
              <w:top w:val="nil"/>
              <w:left w:val="nil"/>
              <w:bottom w:val="nil"/>
              <w:right w:val="nil"/>
            </w:tcBorders>
          </w:tcPr>
          <w:p w:rsidR="00566DD3" w:rsidRPr="004D4C01" w:rsidRDefault="00566DD3" w:rsidP="00566DD3">
            <w:pPr>
              <w:pStyle w:val="Tabletext"/>
              <w:spacing w:before="0"/>
              <w:rPr>
                <w:rFonts w:asciiTheme="minorHAnsi" w:hAnsiTheme="minorHAnsi"/>
                <w:i/>
                <w:sz w:val="18"/>
                <w:szCs w:val="18"/>
              </w:rPr>
            </w:pPr>
            <w:r w:rsidRPr="00566DD3">
              <w:rPr>
                <w:rFonts w:asciiTheme="minorHAnsi" w:hAnsiTheme="minorHAnsi"/>
                <w:sz w:val="18"/>
                <w:szCs w:val="18"/>
              </w:rPr>
              <w:t>Fonds de réserve</w:t>
            </w:r>
          </w:p>
        </w:tc>
        <w:tc>
          <w:tcPr>
            <w:tcW w:w="992"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10 108</w:t>
            </w:r>
          </w:p>
        </w:tc>
        <w:tc>
          <w:tcPr>
            <w:tcW w:w="993"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10 108</w:t>
            </w:r>
          </w:p>
        </w:tc>
        <w:tc>
          <w:tcPr>
            <w:tcW w:w="992"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20 216</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0</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20 216</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n/a</w:t>
            </w:r>
          </w:p>
        </w:tc>
      </w:tr>
      <w:tr w:rsidR="00566DD3" w:rsidRPr="004D4C01" w:rsidTr="00566DD3">
        <w:tc>
          <w:tcPr>
            <w:tcW w:w="2524" w:type="dxa"/>
            <w:gridSpan w:val="2"/>
            <w:tcBorders>
              <w:top w:val="nil"/>
              <w:left w:val="nil"/>
              <w:bottom w:val="nil"/>
              <w:right w:val="nil"/>
            </w:tcBorders>
          </w:tcPr>
          <w:p w:rsidR="00566DD3" w:rsidRPr="004D4C01" w:rsidRDefault="00566DD3" w:rsidP="00566DD3">
            <w:pPr>
              <w:pStyle w:val="Tabletext"/>
              <w:spacing w:before="0"/>
              <w:rPr>
                <w:rFonts w:asciiTheme="minorHAnsi" w:hAnsiTheme="minorHAnsi"/>
                <w:b/>
                <w:bCs/>
                <w:i/>
                <w:sz w:val="18"/>
                <w:szCs w:val="18"/>
              </w:rPr>
            </w:pPr>
            <w:r w:rsidRPr="00566DD3">
              <w:rPr>
                <w:rFonts w:asciiTheme="minorHAnsi" w:hAnsiTheme="minorHAnsi"/>
                <w:b/>
                <w:bCs/>
                <w:sz w:val="18"/>
                <w:szCs w:val="18"/>
              </w:rPr>
              <w:t>TOTAL DES RECETTES</w:t>
            </w:r>
          </w:p>
        </w:tc>
        <w:tc>
          <w:tcPr>
            <w:tcW w:w="992" w:type="dxa"/>
            <w:tcBorders>
              <w:top w:val="single" w:sz="4" w:space="0" w:color="auto"/>
              <w:left w:val="nil"/>
              <w:bottom w:val="nil"/>
              <w:right w:val="nil"/>
            </w:tcBorders>
          </w:tcPr>
          <w:p w:rsidR="00566DD3" w:rsidRPr="004D4C01" w:rsidRDefault="00566DD3" w:rsidP="00566DD3">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322 603</w:t>
            </w:r>
          </w:p>
        </w:tc>
        <w:tc>
          <w:tcPr>
            <w:tcW w:w="993" w:type="dxa"/>
            <w:tcBorders>
              <w:top w:val="single" w:sz="4" w:space="0" w:color="auto"/>
              <w:left w:val="nil"/>
              <w:bottom w:val="nil"/>
              <w:right w:val="nil"/>
            </w:tcBorders>
          </w:tcPr>
          <w:p w:rsidR="00566DD3" w:rsidRPr="004D4C01" w:rsidRDefault="00566DD3" w:rsidP="00566DD3">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332 639</w:t>
            </w:r>
          </w:p>
        </w:tc>
        <w:tc>
          <w:tcPr>
            <w:tcW w:w="992" w:type="dxa"/>
            <w:tcBorders>
              <w:top w:val="single" w:sz="4" w:space="0" w:color="auto"/>
              <w:left w:val="nil"/>
              <w:bottom w:val="nil"/>
              <w:right w:val="nil"/>
            </w:tcBorders>
          </w:tcPr>
          <w:p w:rsidR="00566DD3" w:rsidRPr="004D4C01" w:rsidRDefault="00566DD3" w:rsidP="00566DD3">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655 242</w:t>
            </w:r>
          </w:p>
        </w:tc>
        <w:tc>
          <w:tcPr>
            <w:tcW w:w="888" w:type="dxa"/>
            <w:tcBorders>
              <w:top w:val="single" w:sz="4" w:space="0" w:color="auto"/>
              <w:left w:val="nil"/>
              <w:bottom w:val="nil"/>
              <w:right w:val="nil"/>
            </w:tcBorders>
          </w:tcPr>
          <w:p w:rsidR="00566DD3" w:rsidRPr="004D4C01" w:rsidRDefault="00566DD3" w:rsidP="00566DD3">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632 007</w:t>
            </w:r>
          </w:p>
        </w:tc>
        <w:tc>
          <w:tcPr>
            <w:tcW w:w="888" w:type="dxa"/>
            <w:tcBorders>
              <w:top w:val="single" w:sz="4" w:space="0" w:color="auto"/>
              <w:left w:val="nil"/>
              <w:bottom w:val="nil"/>
              <w:right w:val="nil"/>
            </w:tcBorders>
          </w:tcPr>
          <w:p w:rsidR="00566DD3" w:rsidRPr="004D4C01" w:rsidRDefault="00566DD3" w:rsidP="00566DD3">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23 235</w:t>
            </w:r>
          </w:p>
        </w:tc>
        <w:tc>
          <w:tcPr>
            <w:tcW w:w="888" w:type="dxa"/>
            <w:tcBorders>
              <w:top w:val="single" w:sz="4" w:space="0" w:color="auto"/>
              <w:left w:val="nil"/>
              <w:bottom w:val="nil"/>
              <w:right w:val="nil"/>
            </w:tcBorders>
          </w:tcPr>
          <w:p w:rsidR="00566DD3" w:rsidRPr="004D4C01" w:rsidRDefault="00566DD3" w:rsidP="00566DD3">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3,5%</w:t>
            </w:r>
          </w:p>
        </w:tc>
      </w:tr>
      <w:tr w:rsidR="00566DD3" w:rsidRPr="004D4C01" w:rsidTr="00566DD3">
        <w:tc>
          <w:tcPr>
            <w:tcW w:w="540" w:type="dxa"/>
            <w:tcBorders>
              <w:top w:val="nil"/>
              <w:left w:val="nil"/>
              <w:bottom w:val="nil"/>
              <w:right w:val="nil"/>
            </w:tcBorders>
          </w:tcPr>
          <w:p w:rsidR="00566DD3" w:rsidRPr="00535B4B" w:rsidRDefault="00566DD3" w:rsidP="00566DD3">
            <w:pPr>
              <w:pStyle w:val="Tabletext"/>
              <w:spacing w:before="0" w:after="0"/>
              <w:rPr>
                <w:rFonts w:asciiTheme="minorHAnsi" w:hAnsiTheme="minorHAnsi"/>
                <w:i/>
                <w:sz w:val="16"/>
                <w:szCs w:val="16"/>
              </w:rPr>
            </w:pPr>
          </w:p>
        </w:tc>
        <w:tc>
          <w:tcPr>
            <w:tcW w:w="1984" w:type="dxa"/>
            <w:tcBorders>
              <w:top w:val="nil"/>
              <w:left w:val="nil"/>
              <w:bottom w:val="nil"/>
              <w:right w:val="nil"/>
            </w:tcBorders>
          </w:tcPr>
          <w:p w:rsidR="00566DD3" w:rsidRPr="00535B4B" w:rsidRDefault="00566DD3" w:rsidP="00566DD3">
            <w:pPr>
              <w:pStyle w:val="Tabletext"/>
              <w:spacing w:before="0" w:after="0"/>
              <w:rPr>
                <w:rFonts w:asciiTheme="minorHAnsi" w:hAnsiTheme="minorHAnsi"/>
                <w:i/>
                <w:sz w:val="16"/>
                <w:szCs w:val="16"/>
              </w:rPr>
            </w:pPr>
          </w:p>
        </w:tc>
        <w:tc>
          <w:tcPr>
            <w:tcW w:w="992"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993"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992"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c>
          <w:tcPr>
            <w:tcW w:w="888" w:type="dxa"/>
            <w:tcBorders>
              <w:top w:val="nil"/>
              <w:left w:val="nil"/>
              <w:bottom w:val="nil"/>
              <w:right w:val="nil"/>
            </w:tcBorders>
          </w:tcPr>
          <w:p w:rsidR="00566DD3" w:rsidRPr="00535B4B" w:rsidRDefault="00566DD3" w:rsidP="00566DD3">
            <w:pPr>
              <w:pStyle w:val="Tabletext"/>
              <w:spacing w:before="0" w:after="0"/>
              <w:ind w:right="57"/>
              <w:jc w:val="right"/>
              <w:rPr>
                <w:rFonts w:asciiTheme="minorHAnsi" w:hAnsiTheme="minorHAnsi"/>
                <w:i/>
                <w:sz w:val="16"/>
                <w:szCs w:val="16"/>
              </w:rPr>
            </w:pP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rPr>
                <w:rFonts w:asciiTheme="minorHAnsi" w:hAnsiTheme="minorHAnsi"/>
                <w:i/>
                <w:sz w:val="18"/>
                <w:szCs w:val="18"/>
              </w:rPr>
            </w:pPr>
          </w:p>
        </w:tc>
        <w:tc>
          <w:tcPr>
            <w:tcW w:w="1984" w:type="dxa"/>
            <w:tcBorders>
              <w:top w:val="nil"/>
              <w:left w:val="nil"/>
              <w:bottom w:val="nil"/>
              <w:right w:val="nil"/>
            </w:tcBorders>
          </w:tcPr>
          <w:p w:rsidR="00566DD3" w:rsidRPr="004D4C01" w:rsidRDefault="00566DD3" w:rsidP="003F52BC">
            <w:pPr>
              <w:pStyle w:val="Tabletext"/>
              <w:rPr>
                <w:rFonts w:asciiTheme="minorHAnsi" w:hAnsiTheme="minorHAnsi"/>
                <w:b/>
                <w:bCs/>
                <w:i/>
                <w:sz w:val="18"/>
                <w:szCs w:val="18"/>
              </w:rPr>
            </w:pPr>
            <w:r w:rsidRPr="00566DD3">
              <w:rPr>
                <w:rFonts w:asciiTheme="minorHAnsi" w:hAnsiTheme="minorHAnsi"/>
                <w:b/>
                <w:bCs/>
                <w:sz w:val="18"/>
                <w:szCs w:val="18"/>
              </w:rPr>
              <w:t>D</w:t>
            </w:r>
            <w:r w:rsidR="003F52BC">
              <w:rPr>
                <w:rFonts w:asciiTheme="minorHAnsi" w:hAnsiTheme="minorHAnsi"/>
                <w:b/>
                <w:bCs/>
                <w:sz w:val="18"/>
                <w:szCs w:val="18"/>
              </w:rPr>
              <w:t>É</w:t>
            </w:r>
            <w:r w:rsidRPr="00566DD3">
              <w:rPr>
                <w:rFonts w:asciiTheme="minorHAnsi" w:hAnsiTheme="minorHAnsi"/>
                <w:b/>
                <w:bCs/>
                <w:sz w:val="18"/>
                <w:szCs w:val="18"/>
              </w:rPr>
              <w:t xml:space="preserve">PENSES </w:t>
            </w:r>
            <w:r w:rsidRPr="004D4C01">
              <w:rPr>
                <w:rFonts w:asciiTheme="minorHAnsi" w:hAnsiTheme="minorHAnsi"/>
                <w:b/>
                <w:bCs/>
                <w:sz w:val="18"/>
                <w:szCs w:val="18"/>
              </w:rPr>
              <w:t>*</w:t>
            </w:r>
          </w:p>
        </w:tc>
        <w:tc>
          <w:tcPr>
            <w:tcW w:w="992" w:type="dxa"/>
            <w:tcBorders>
              <w:top w:val="nil"/>
              <w:left w:val="nil"/>
              <w:bottom w:val="nil"/>
              <w:right w:val="nil"/>
            </w:tcBorders>
          </w:tcPr>
          <w:p w:rsidR="00566DD3" w:rsidRPr="004D4C01" w:rsidRDefault="00566DD3" w:rsidP="00566DD3">
            <w:pPr>
              <w:pStyle w:val="Tabletext"/>
              <w:ind w:right="57"/>
              <w:jc w:val="right"/>
              <w:rPr>
                <w:rFonts w:asciiTheme="minorHAnsi" w:hAnsiTheme="minorHAnsi"/>
                <w:i/>
                <w:sz w:val="18"/>
                <w:szCs w:val="18"/>
              </w:rPr>
            </w:pPr>
          </w:p>
        </w:tc>
        <w:tc>
          <w:tcPr>
            <w:tcW w:w="993" w:type="dxa"/>
            <w:tcBorders>
              <w:top w:val="nil"/>
              <w:left w:val="nil"/>
              <w:bottom w:val="nil"/>
              <w:right w:val="nil"/>
            </w:tcBorders>
          </w:tcPr>
          <w:p w:rsidR="00566DD3" w:rsidRPr="004D4C01" w:rsidRDefault="00566DD3" w:rsidP="00566DD3">
            <w:pPr>
              <w:pStyle w:val="Tabletext"/>
              <w:ind w:right="57"/>
              <w:jc w:val="right"/>
              <w:rPr>
                <w:rFonts w:asciiTheme="minorHAnsi" w:hAnsiTheme="minorHAnsi"/>
                <w:i/>
                <w:sz w:val="18"/>
                <w:szCs w:val="18"/>
              </w:rPr>
            </w:pPr>
          </w:p>
        </w:tc>
        <w:tc>
          <w:tcPr>
            <w:tcW w:w="992" w:type="dxa"/>
            <w:tcBorders>
              <w:top w:val="nil"/>
              <w:left w:val="nil"/>
              <w:bottom w:val="nil"/>
              <w:right w:val="nil"/>
            </w:tcBorders>
          </w:tcPr>
          <w:p w:rsidR="00566DD3" w:rsidRPr="004D4C01" w:rsidRDefault="00566DD3" w:rsidP="00566DD3">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566DD3" w:rsidRPr="004D4C01" w:rsidRDefault="00566DD3" w:rsidP="00566DD3">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566DD3" w:rsidRPr="004D4C01" w:rsidRDefault="00566DD3" w:rsidP="00566DD3">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566DD3" w:rsidRPr="004D4C01" w:rsidRDefault="00566DD3" w:rsidP="00566DD3">
            <w:pPr>
              <w:pStyle w:val="Tabletext"/>
              <w:ind w:right="57"/>
              <w:jc w:val="right"/>
              <w:rPr>
                <w:rFonts w:asciiTheme="minorHAnsi" w:hAnsiTheme="minorHAnsi"/>
                <w:i/>
                <w:sz w:val="18"/>
                <w:szCs w:val="18"/>
              </w:rPr>
            </w:pP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after="0"/>
              <w:rPr>
                <w:rFonts w:asciiTheme="minorHAnsi" w:hAnsiTheme="minorHAnsi"/>
                <w:i/>
                <w:sz w:val="18"/>
                <w:szCs w:val="18"/>
              </w:rPr>
            </w:pPr>
            <w:r w:rsidRPr="004D4C01">
              <w:rPr>
                <w:rFonts w:asciiTheme="minorHAnsi" w:hAnsiTheme="minorHAnsi"/>
                <w:sz w:val="18"/>
                <w:szCs w:val="18"/>
              </w:rPr>
              <w:t>1</w:t>
            </w:r>
          </w:p>
        </w:tc>
        <w:tc>
          <w:tcPr>
            <w:tcW w:w="1984" w:type="dxa"/>
            <w:tcBorders>
              <w:top w:val="nil"/>
              <w:left w:val="nil"/>
              <w:bottom w:val="nil"/>
              <w:right w:val="nil"/>
            </w:tcBorders>
          </w:tcPr>
          <w:p w:rsidR="00566DD3" w:rsidRPr="004D4C01" w:rsidRDefault="00566DD3" w:rsidP="00566DD3">
            <w:pPr>
              <w:pStyle w:val="Tabletext"/>
              <w:spacing w:after="0"/>
              <w:rPr>
                <w:rFonts w:asciiTheme="minorHAnsi" w:hAnsiTheme="minorHAnsi"/>
                <w:i/>
                <w:sz w:val="18"/>
                <w:szCs w:val="18"/>
              </w:rPr>
            </w:pPr>
            <w:r w:rsidRPr="00566DD3">
              <w:rPr>
                <w:rFonts w:asciiTheme="minorHAnsi" w:hAnsiTheme="minorHAnsi"/>
                <w:sz w:val="18"/>
                <w:szCs w:val="18"/>
              </w:rPr>
              <w:t>Dépenses de personnel</w:t>
            </w:r>
          </w:p>
        </w:tc>
        <w:tc>
          <w:tcPr>
            <w:tcW w:w="992" w:type="dxa"/>
            <w:tcBorders>
              <w:top w:val="nil"/>
              <w:left w:val="nil"/>
              <w:bottom w:val="nil"/>
              <w:right w:val="nil"/>
            </w:tcBorders>
          </w:tcPr>
          <w:p w:rsidR="00566DD3" w:rsidRPr="004D4C01" w:rsidRDefault="00566DD3" w:rsidP="00566DD3">
            <w:pPr>
              <w:pStyle w:val="Tabletext"/>
              <w:spacing w:after="0"/>
              <w:ind w:right="57"/>
              <w:jc w:val="right"/>
              <w:rPr>
                <w:rFonts w:asciiTheme="minorHAnsi" w:hAnsiTheme="minorHAnsi"/>
                <w:i/>
                <w:sz w:val="18"/>
                <w:szCs w:val="18"/>
              </w:rPr>
            </w:pPr>
            <w:r w:rsidRPr="004D4C01">
              <w:rPr>
                <w:rFonts w:asciiTheme="minorHAnsi" w:hAnsiTheme="minorHAnsi"/>
                <w:sz w:val="18"/>
                <w:szCs w:val="18"/>
              </w:rPr>
              <w:t>206 351</w:t>
            </w:r>
          </w:p>
        </w:tc>
        <w:tc>
          <w:tcPr>
            <w:tcW w:w="993" w:type="dxa"/>
            <w:tcBorders>
              <w:top w:val="nil"/>
              <w:left w:val="nil"/>
              <w:bottom w:val="nil"/>
              <w:right w:val="nil"/>
            </w:tcBorders>
          </w:tcPr>
          <w:p w:rsidR="00566DD3" w:rsidRPr="004D4C01" w:rsidRDefault="00566DD3" w:rsidP="00566DD3">
            <w:pPr>
              <w:pStyle w:val="Tabletext"/>
              <w:spacing w:after="0"/>
              <w:ind w:right="57"/>
              <w:jc w:val="right"/>
              <w:rPr>
                <w:rFonts w:asciiTheme="minorHAnsi" w:hAnsiTheme="minorHAnsi"/>
                <w:i/>
                <w:sz w:val="18"/>
                <w:szCs w:val="18"/>
              </w:rPr>
            </w:pPr>
            <w:r w:rsidRPr="004D4C01">
              <w:rPr>
                <w:rFonts w:asciiTheme="minorHAnsi" w:hAnsiTheme="minorHAnsi"/>
                <w:sz w:val="18"/>
                <w:szCs w:val="18"/>
              </w:rPr>
              <w:t>206 093</w:t>
            </w:r>
          </w:p>
        </w:tc>
        <w:tc>
          <w:tcPr>
            <w:tcW w:w="992" w:type="dxa"/>
            <w:tcBorders>
              <w:top w:val="nil"/>
              <w:left w:val="nil"/>
              <w:bottom w:val="nil"/>
              <w:right w:val="nil"/>
            </w:tcBorders>
          </w:tcPr>
          <w:p w:rsidR="00566DD3" w:rsidRPr="004D4C01" w:rsidRDefault="00566DD3" w:rsidP="00566DD3">
            <w:pPr>
              <w:pStyle w:val="Tabletext"/>
              <w:spacing w:after="0"/>
              <w:ind w:right="57"/>
              <w:jc w:val="right"/>
              <w:rPr>
                <w:rFonts w:asciiTheme="minorHAnsi" w:hAnsiTheme="minorHAnsi"/>
                <w:i/>
                <w:sz w:val="18"/>
                <w:szCs w:val="18"/>
              </w:rPr>
            </w:pPr>
            <w:r w:rsidRPr="004D4C01">
              <w:rPr>
                <w:rFonts w:asciiTheme="minorHAnsi" w:hAnsiTheme="minorHAnsi"/>
                <w:sz w:val="18"/>
                <w:szCs w:val="18"/>
              </w:rPr>
              <w:t>412 444</w:t>
            </w:r>
          </w:p>
        </w:tc>
        <w:tc>
          <w:tcPr>
            <w:tcW w:w="888" w:type="dxa"/>
            <w:tcBorders>
              <w:top w:val="nil"/>
              <w:left w:val="nil"/>
              <w:bottom w:val="nil"/>
              <w:right w:val="nil"/>
            </w:tcBorders>
          </w:tcPr>
          <w:p w:rsidR="00566DD3" w:rsidRPr="004D4C01" w:rsidRDefault="00566DD3" w:rsidP="00566DD3">
            <w:pPr>
              <w:pStyle w:val="Tabletext"/>
              <w:spacing w:after="0"/>
              <w:ind w:right="57"/>
              <w:jc w:val="right"/>
              <w:rPr>
                <w:rFonts w:asciiTheme="minorHAnsi" w:hAnsiTheme="minorHAnsi"/>
                <w:i/>
                <w:sz w:val="18"/>
                <w:szCs w:val="18"/>
              </w:rPr>
            </w:pPr>
            <w:r w:rsidRPr="004D4C01">
              <w:rPr>
                <w:rFonts w:asciiTheme="minorHAnsi" w:hAnsiTheme="minorHAnsi"/>
                <w:sz w:val="18"/>
                <w:szCs w:val="18"/>
              </w:rPr>
              <w:t>389 032</w:t>
            </w:r>
          </w:p>
        </w:tc>
        <w:tc>
          <w:tcPr>
            <w:tcW w:w="888" w:type="dxa"/>
            <w:tcBorders>
              <w:top w:val="nil"/>
              <w:left w:val="nil"/>
              <w:bottom w:val="nil"/>
              <w:right w:val="nil"/>
            </w:tcBorders>
          </w:tcPr>
          <w:p w:rsidR="00566DD3" w:rsidRPr="004D4C01" w:rsidRDefault="00566DD3" w:rsidP="00566DD3">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23 412</w:t>
            </w:r>
          </w:p>
        </w:tc>
        <w:tc>
          <w:tcPr>
            <w:tcW w:w="888" w:type="dxa"/>
            <w:tcBorders>
              <w:top w:val="nil"/>
              <w:left w:val="nil"/>
              <w:bottom w:val="nil"/>
              <w:right w:val="nil"/>
            </w:tcBorders>
          </w:tcPr>
          <w:p w:rsidR="00566DD3" w:rsidRPr="004D4C01" w:rsidRDefault="00566DD3" w:rsidP="00566DD3">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5,7%</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2</w:t>
            </w:r>
          </w:p>
        </w:tc>
        <w:tc>
          <w:tcPr>
            <w:tcW w:w="1984" w:type="dxa"/>
            <w:tcBorders>
              <w:top w:val="nil"/>
              <w:left w:val="nil"/>
              <w:bottom w:val="nil"/>
              <w:right w:val="nil"/>
            </w:tcBorders>
          </w:tcPr>
          <w:p w:rsidR="00566DD3" w:rsidRPr="004D4C01" w:rsidRDefault="003F52BC" w:rsidP="00566DD3">
            <w:pPr>
              <w:pStyle w:val="Tabletext"/>
              <w:spacing w:before="0" w:after="0"/>
              <w:rPr>
                <w:rFonts w:asciiTheme="minorHAnsi" w:hAnsiTheme="minorHAnsi"/>
                <w:i/>
                <w:sz w:val="18"/>
                <w:szCs w:val="18"/>
              </w:rPr>
            </w:pPr>
            <w:r w:rsidRPr="003F52BC">
              <w:rPr>
                <w:rFonts w:asciiTheme="minorHAnsi" w:hAnsiTheme="minorHAnsi"/>
                <w:sz w:val="18"/>
                <w:szCs w:val="18"/>
              </w:rPr>
              <w:t>Autres dépenses de personnel</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58 330</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67 310</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125 640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126 519</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879</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0,7%</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3</w:t>
            </w:r>
          </w:p>
        </w:tc>
        <w:tc>
          <w:tcPr>
            <w:tcW w:w="1984" w:type="dxa"/>
            <w:tcBorders>
              <w:top w:val="nil"/>
              <w:left w:val="nil"/>
              <w:bottom w:val="nil"/>
              <w:right w:val="nil"/>
            </w:tcBorders>
          </w:tcPr>
          <w:p w:rsidR="00566DD3" w:rsidRPr="004D4C01" w:rsidRDefault="003F52BC" w:rsidP="00566DD3">
            <w:pPr>
              <w:pStyle w:val="Tabletext"/>
              <w:spacing w:before="0" w:after="0"/>
              <w:rPr>
                <w:rFonts w:asciiTheme="minorHAnsi" w:hAnsiTheme="minorHAnsi"/>
                <w:i/>
                <w:sz w:val="18"/>
                <w:szCs w:val="18"/>
              </w:rPr>
            </w:pPr>
            <w:r w:rsidRPr="003F52BC">
              <w:rPr>
                <w:rFonts w:asciiTheme="minorHAnsi" w:hAnsiTheme="minorHAnsi"/>
                <w:sz w:val="18"/>
                <w:szCs w:val="18"/>
              </w:rPr>
              <w:t>Frais de mission</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10 060</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10 674</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20 734</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20 734</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0,0%</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4</w:t>
            </w:r>
          </w:p>
        </w:tc>
        <w:tc>
          <w:tcPr>
            <w:tcW w:w="1984" w:type="dxa"/>
            <w:tcBorders>
              <w:top w:val="nil"/>
              <w:left w:val="nil"/>
              <w:bottom w:val="nil"/>
              <w:right w:val="nil"/>
            </w:tcBorders>
          </w:tcPr>
          <w:p w:rsidR="00566DD3" w:rsidRPr="004D4C01" w:rsidRDefault="003F52BC" w:rsidP="00566DD3">
            <w:pPr>
              <w:pStyle w:val="Tabletext"/>
              <w:spacing w:before="0" w:after="0"/>
              <w:rPr>
                <w:rFonts w:asciiTheme="minorHAnsi" w:hAnsiTheme="minorHAnsi"/>
                <w:i/>
                <w:sz w:val="18"/>
                <w:szCs w:val="18"/>
              </w:rPr>
            </w:pPr>
            <w:r w:rsidRPr="003F52BC">
              <w:rPr>
                <w:rFonts w:asciiTheme="minorHAnsi" w:hAnsiTheme="minorHAnsi"/>
                <w:sz w:val="18"/>
                <w:szCs w:val="18"/>
              </w:rPr>
              <w:t>Services contractuels</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11 634</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14 142</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25 776</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27 770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1 994</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7,7%</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5</w:t>
            </w:r>
          </w:p>
        </w:tc>
        <w:tc>
          <w:tcPr>
            <w:tcW w:w="1984" w:type="dxa"/>
            <w:tcBorders>
              <w:top w:val="nil"/>
              <w:left w:val="nil"/>
              <w:bottom w:val="nil"/>
              <w:right w:val="nil"/>
            </w:tcBorders>
          </w:tcPr>
          <w:p w:rsidR="00566DD3" w:rsidRPr="004D4C01" w:rsidRDefault="003F52BC" w:rsidP="00566DD3">
            <w:pPr>
              <w:pStyle w:val="Tabletext"/>
              <w:spacing w:before="0" w:after="0"/>
              <w:rPr>
                <w:rFonts w:asciiTheme="minorHAnsi" w:hAnsiTheme="minorHAnsi"/>
                <w:i/>
                <w:sz w:val="18"/>
                <w:szCs w:val="18"/>
              </w:rPr>
            </w:pPr>
            <w:r w:rsidRPr="003F52BC">
              <w:rPr>
                <w:rFonts w:asciiTheme="minorHAnsi" w:hAnsiTheme="minorHAnsi"/>
                <w:sz w:val="18"/>
                <w:szCs w:val="18"/>
              </w:rPr>
              <w:t>Location et entretien</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13 051</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11 065</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24 116</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22 013</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2 103</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8,7%</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6</w:t>
            </w:r>
          </w:p>
        </w:tc>
        <w:tc>
          <w:tcPr>
            <w:tcW w:w="1984" w:type="dxa"/>
            <w:tcBorders>
              <w:top w:val="nil"/>
              <w:left w:val="nil"/>
              <w:bottom w:val="nil"/>
              <w:right w:val="nil"/>
            </w:tcBorders>
          </w:tcPr>
          <w:p w:rsidR="00566DD3" w:rsidRPr="004D4C01" w:rsidRDefault="003F52BC" w:rsidP="00566DD3">
            <w:pPr>
              <w:pStyle w:val="Tabletext"/>
              <w:spacing w:before="0" w:after="0"/>
              <w:ind w:right="-57"/>
              <w:rPr>
                <w:rFonts w:asciiTheme="minorHAnsi" w:hAnsiTheme="minorHAnsi"/>
                <w:i/>
                <w:sz w:val="18"/>
                <w:szCs w:val="18"/>
              </w:rPr>
            </w:pPr>
            <w:r w:rsidRPr="003F52BC">
              <w:rPr>
                <w:rFonts w:asciiTheme="minorHAnsi" w:hAnsiTheme="minorHAnsi"/>
                <w:sz w:val="18"/>
                <w:szCs w:val="18"/>
              </w:rPr>
              <w:t>Matériels et fournitures</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4 045</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3 454</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7 499</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6 779</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720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9,6%</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7</w:t>
            </w:r>
          </w:p>
        </w:tc>
        <w:tc>
          <w:tcPr>
            <w:tcW w:w="1984" w:type="dxa"/>
            <w:tcBorders>
              <w:top w:val="nil"/>
              <w:left w:val="nil"/>
              <w:bottom w:val="nil"/>
              <w:right w:val="nil"/>
            </w:tcBorders>
          </w:tcPr>
          <w:p w:rsidR="00566DD3" w:rsidRPr="004D4C01" w:rsidRDefault="003F52BC" w:rsidP="00566DD3">
            <w:pPr>
              <w:pStyle w:val="Tabletext"/>
              <w:spacing w:before="0" w:after="0"/>
              <w:rPr>
                <w:rFonts w:asciiTheme="minorHAnsi" w:hAnsiTheme="minorHAnsi"/>
                <w:i/>
                <w:sz w:val="18"/>
                <w:szCs w:val="18"/>
              </w:rPr>
            </w:pPr>
            <w:r w:rsidRPr="003F52BC">
              <w:rPr>
                <w:rFonts w:asciiTheme="minorHAnsi" w:hAnsiTheme="minorHAnsi"/>
                <w:sz w:val="18"/>
                <w:szCs w:val="18"/>
              </w:rPr>
              <w:t>Acquisitions</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7 121</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6 799</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13 920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13 430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490</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3,5%</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after="0"/>
              <w:rPr>
                <w:rFonts w:asciiTheme="minorHAnsi" w:hAnsiTheme="minorHAnsi"/>
                <w:i/>
                <w:sz w:val="18"/>
                <w:szCs w:val="18"/>
              </w:rPr>
            </w:pPr>
            <w:r w:rsidRPr="004D4C01">
              <w:rPr>
                <w:rFonts w:asciiTheme="minorHAnsi" w:hAnsiTheme="minorHAnsi"/>
                <w:sz w:val="18"/>
                <w:szCs w:val="18"/>
              </w:rPr>
              <w:t>8</w:t>
            </w:r>
          </w:p>
        </w:tc>
        <w:tc>
          <w:tcPr>
            <w:tcW w:w="1984" w:type="dxa"/>
            <w:tcBorders>
              <w:top w:val="nil"/>
              <w:left w:val="nil"/>
              <w:bottom w:val="nil"/>
              <w:right w:val="nil"/>
            </w:tcBorders>
          </w:tcPr>
          <w:p w:rsidR="00566DD3" w:rsidRPr="004D4C01" w:rsidRDefault="003F52BC" w:rsidP="00566DD3">
            <w:pPr>
              <w:pStyle w:val="Tabletext"/>
              <w:spacing w:before="0" w:after="0"/>
              <w:rPr>
                <w:rFonts w:asciiTheme="minorHAnsi" w:hAnsiTheme="minorHAnsi"/>
                <w:i/>
                <w:sz w:val="18"/>
                <w:szCs w:val="18"/>
              </w:rPr>
            </w:pPr>
            <w:r w:rsidRPr="003F52BC">
              <w:rPr>
                <w:rFonts w:asciiTheme="minorHAnsi" w:hAnsiTheme="minorHAnsi"/>
                <w:sz w:val="18"/>
                <w:szCs w:val="18"/>
              </w:rPr>
              <w:t>Services fournis au public</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6 564</w:t>
            </w:r>
          </w:p>
        </w:tc>
        <w:tc>
          <w:tcPr>
            <w:tcW w:w="993"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5 979</w:t>
            </w:r>
          </w:p>
        </w:tc>
        <w:tc>
          <w:tcPr>
            <w:tcW w:w="992"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12 543</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11 728</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815</w:t>
            </w:r>
          </w:p>
        </w:tc>
        <w:tc>
          <w:tcPr>
            <w:tcW w:w="888" w:type="dxa"/>
            <w:tcBorders>
              <w:top w:val="nil"/>
              <w:left w:val="nil"/>
              <w:bottom w:val="nil"/>
              <w:right w:val="nil"/>
            </w:tcBorders>
          </w:tcPr>
          <w:p w:rsidR="00566DD3" w:rsidRPr="004D4C01" w:rsidRDefault="00566DD3" w:rsidP="00566DD3">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6,5%</w:t>
            </w:r>
          </w:p>
        </w:tc>
      </w:tr>
      <w:tr w:rsidR="00566DD3" w:rsidRPr="004D4C01" w:rsidTr="00566DD3">
        <w:tc>
          <w:tcPr>
            <w:tcW w:w="540" w:type="dxa"/>
            <w:tcBorders>
              <w:top w:val="nil"/>
              <w:left w:val="nil"/>
              <w:bottom w:val="nil"/>
              <w:right w:val="nil"/>
            </w:tcBorders>
          </w:tcPr>
          <w:p w:rsidR="00566DD3" w:rsidRPr="004D4C01" w:rsidRDefault="00566DD3" w:rsidP="00566DD3">
            <w:pPr>
              <w:pStyle w:val="Tabletext"/>
              <w:spacing w:before="0"/>
              <w:rPr>
                <w:rFonts w:asciiTheme="minorHAnsi" w:hAnsiTheme="minorHAnsi"/>
                <w:i/>
                <w:sz w:val="18"/>
                <w:szCs w:val="18"/>
              </w:rPr>
            </w:pPr>
            <w:r w:rsidRPr="004D4C01">
              <w:rPr>
                <w:rFonts w:asciiTheme="minorHAnsi" w:hAnsiTheme="minorHAnsi"/>
                <w:sz w:val="18"/>
                <w:szCs w:val="18"/>
              </w:rPr>
              <w:t>9</w:t>
            </w:r>
          </w:p>
        </w:tc>
        <w:tc>
          <w:tcPr>
            <w:tcW w:w="1984" w:type="dxa"/>
            <w:tcBorders>
              <w:top w:val="nil"/>
              <w:left w:val="nil"/>
              <w:bottom w:val="nil"/>
              <w:right w:val="nil"/>
            </w:tcBorders>
          </w:tcPr>
          <w:p w:rsidR="00566DD3" w:rsidRPr="004D4C01" w:rsidRDefault="007429C3" w:rsidP="00566DD3">
            <w:pPr>
              <w:pStyle w:val="Tabletext"/>
              <w:spacing w:before="0"/>
              <w:rPr>
                <w:rFonts w:asciiTheme="minorHAnsi" w:hAnsiTheme="minorHAnsi"/>
                <w:i/>
                <w:sz w:val="18"/>
                <w:szCs w:val="18"/>
              </w:rPr>
            </w:pPr>
            <w:r w:rsidRPr="007429C3">
              <w:rPr>
                <w:rFonts w:asciiTheme="minorHAnsi" w:hAnsiTheme="minorHAnsi"/>
                <w:sz w:val="18"/>
                <w:szCs w:val="18"/>
              </w:rPr>
              <w:t>Audit et divers</w:t>
            </w:r>
          </w:p>
        </w:tc>
        <w:tc>
          <w:tcPr>
            <w:tcW w:w="992"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5 447</w:t>
            </w:r>
          </w:p>
        </w:tc>
        <w:tc>
          <w:tcPr>
            <w:tcW w:w="993"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7 123</w:t>
            </w:r>
          </w:p>
        </w:tc>
        <w:tc>
          <w:tcPr>
            <w:tcW w:w="992"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12 570</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14 002</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1 432</w:t>
            </w:r>
          </w:p>
        </w:tc>
        <w:tc>
          <w:tcPr>
            <w:tcW w:w="888" w:type="dxa"/>
            <w:tcBorders>
              <w:top w:val="nil"/>
              <w:left w:val="nil"/>
              <w:bottom w:val="single" w:sz="4" w:space="0" w:color="auto"/>
              <w:right w:val="nil"/>
            </w:tcBorders>
          </w:tcPr>
          <w:p w:rsidR="00566DD3" w:rsidRPr="004D4C01" w:rsidRDefault="00566DD3" w:rsidP="00566DD3">
            <w:pPr>
              <w:pStyle w:val="Tabletext"/>
              <w:spacing w:before="0"/>
              <w:ind w:right="57"/>
              <w:jc w:val="right"/>
              <w:rPr>
                <w:rFonts w:asciiTheme="minorHAnsi" w:hAnsiTheme="minorHAnsi"/>
                <w:i/>
                <w:sz w:val="18"/>
                <w:szCs w:val="18"/>
              </w:rPr>
            </w:pPr>
            <w:r w:rsidRPr="004D4C01">
              <w:rPr>
                <w:rFonts w:asciiTheme="minorHAnsi" w:hAnsiTheme="minorHAnsi"/>
                <w:sz w:val="18"/>
                <w:szCs w:val="18"/>
              </w:rPr>
              <w:t>11,4%</w:t>
            </w:r>
          </w:p>
        </w:tc>
      </w:tr>
      <w:tr w:rsidR="00566DD3" w:rsidRPr="004D4C01" w:rsidTr="00566DD3">
        <w:tc>
          <w:tcPr>
            <w:tcW w:w="2524" w:type="dxa"/>
            <w:gridSpan w:val="2"/>
            <w:tcBorders>
              <w:top w:val="nil"/>
              <w:left w:val="nil"/>
              <w:bottom w:val="nil"/>
              <w:right w:val="nil"/>
            </w:tcBorders>
          </w:tcPr>
          <w:p w:rsidR="00566DD3" w:rsidRPr="004D4C01" w:rsidRDefault="007429C3" w:rsidP="00535B4B">
            <w:pPr>
              <w:pStyle w:val="Tabletext"/>
              <w:spacing w:before="20" w:after="0"/>
              <w:rPr>
                <w:rFonts w:asciiTheme="minorHAnsi" w:hAnsiTheme="minorHAnsi"/>
                <w:b/>
                <w:bCs/>
                <w:i/>
                <w:sz w:val="18"/>
                <w:szCs w:val="18"/>
              </w:rPr>
            </w:pPr>
            <w:r w:rsidRPr="007429C3">
              <w:rPr>
                <w:rFonts w:asciiTheme="minorHAnsi" w:hAnsiTheme="minorHAnsi"/>
                <w:b/>
                <w:bCs/>
                <w:sz w:val="18"/>
                <w:szCs w:val="18"/>
              </w:rPr>
              <w:t>TOTAL DES D</w:t>
            </w:r>
            <w:r>
              <w:rPr>
                <w:rFonts w:asciiTheme="minorHAnsi" w:hAnsiTheme="minorHAnsi"/>
                <w:b/>
                <w:bCs/>
                <w:sz w:val="18"/>
                <w:szCs w:val="18"/>
              </w:rPr>
              <w:t>É</w:t>
            </w:r>
            <w:r w:rsidRPr="007429C3">
              <w:rPr>
                <w:rFonts w:asciiTheme="minorHAnsi" w:hAnsiTheme="minorHAnsi"/>
                <w:b/>
                <w:bCs/>
                <w:sz w:val="18"/>
                <w:szCs w:val="18"/>
              </w:rPr>
              <w:t>PENSES</w:t>
            </w:r>
          </w:p>
        </w:tc>
        <w:tc>
          <w:tcPr>
            <w:tcW w:w="992"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322 603</w:t>
            </w:r>
          </w:p>
        </w:tc>
        <w:tc>
          <w:tcPr>
            <w:tcW w:w="993"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332 639</w:t>
            </w:r>
          </w:p>
        </w:tc>
        <w:tc>
          <w:tcPr>
            <w:tcW w:w="992"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655 242</w:t>
            </w:r>
          </w:p>
        </w:tc>
        <w:tc>
          <w:tcPr>
            <w:tcW w:w="888"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t>632 007</w:t>
            </w:r>
          </w:p>
        </w:tc>
        <w:tc>
          <w:tcPr>
            <w:tcW w:w="888"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23 235</w:t>
            </w:r>
          </w:p>
        </w:tc>
        <w:tc>
          <w:tcPr>
            <w:tcW w:w="888" w:type="dxa"/>
            <w:tcBorders>
              <w:top w:val="single" w:sz="4" w:space="0" w:color="auto"/>
              <w:left w:val="nil"/>
              <w:bottom w:val="nil"/>
              <w:right w:val="nil"/>
            </w:tcBorders>
          </w:tcPr>
          <w:p w:rsidR="00566DD3" w:rsidRPr="004D4C01" w:rsidRDefault="00566DD3" w:rsidP="00535B4B">
            <w:pPr>
              <w:pStyle w:val="Tabletext"/>
              <w:spacing w:before="20"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3,5%</w:t>
            </w:r>
          </w:p>
        </w:tc>
      </w:tr>
      <w:tr w:rsidR="00566DD3" w:rsidRPr="007429C3" w:rsidTr="00566DD3">
        <w:tc>
          <w:tcPr>
            <w:tcW w:w="8165" w:type="dxa"/>
            <w:gridSpan w:val="8"/>
            <w:tcBorders>
              <w:top w:val="nil"/>
              <w:left w:val="nil"/>
              <w:bottom w:val="nil"/>
              <w:right w:val="nil"/>
            </w:tcBorders>
          </w:tcPr>
          <w:p w:rsidR="00566DD3" w:rsidRPr="007429C3" w:rsidRDefault="00566DD3" w:rsidP="00535B4B">
            <w:pPr>
              <w:pStyle w:val="Tabletext"/>
              <w:tabs>
                <w:tab w:val="left" w:pos="142"/>
              </w:tabs>
              <w:spacing w:before="80" w:after="0"/>
              <w:ind w:left="142" w:right="57" w:hanging="142"/>
              <w:rPr>
                <w:rFonts w:asciiTheme="minorHAnsi" w:hAnsiTheme="minorHAnsi"/>
                <w:b/>
                <w:bCs/>
                <w:i/>
                <w:sz w:val="18"/>
                <w:szCs w:val="18"/>
                <w:lang w:val="fr-CH"/>
              </w:rPr>
            </w:pPr>
            <w:r w:rsidRPr="007429C3">
              <w:rPr>
                <w:rFonts w:asciiTheme="minorHAnsi" w:hAnsiTheme="minorHAnsi"/>
                <w:sz w:val="18"/>
                <w:szCs w:val="18"/>
                <w:lang w:val="fr-CH"/>
              </w:rPr>
              <w:t>*</w:t>
            </w:r>
            <w:r w:rsidRPr="007429C3">
              <w:rPr>
                <w:rFonts w:asciiTheme="minorHAnsi" w:hAnsiTheme="minorHAnsi"/>
                <w:sz w:val="18"/>
                <w:szCs w:val="18"/>
                <w:lang w:val="fr-CH"/>
              </w:rPr>
              <w:tab/>
            </w:r>
            <w:r w:rsidR="007429C3" w:rsidRPr="007429C3">
              <w:rPr>
                <w:rFonts w:asciiTheme="minorHAnsi" w:hAnsiTheme="minorHAnsi"/>
                <w:iCs/>
                <w:sz w:val="18"/>
                <w:szCs w:val="18"/>
                <w:lang w:val="fr-CH"/>
              </w:rPr>
              <w:t>Les projections de dépenses jusqu'en 2012-2015 sont établies sur la base d'un taux d'inflation de 1,5% par an</w:t>
            </w:r>
            <w:r w:rsidR="00F20E43">
              <w:rPr>
                <w:rFonts w:asciiTheme="minorHAnsi" w:hAnsiTheme="minorHAnsi"/>
                <w:iCs/>
                <w:sz w:val="18"/>
                <w:szCs w:val="18"/>
                <w:lang w:val="fr-CH"/>
              </w:rPr>
              <w:t>.</w:t>
            </w:r>
          </w:p>
        </w:tc>
      </w:tr>
    </w:tbl>
    <w:p w:rsidR="00535B4B" w:rsidRDefault="00535B4B" w:rsidP="00535B4B">
      <w:pPr>
        <w:pStyle w:val="Normalaftertitle"/>
        <w:jc w:val="both"/>
      </w:pPr>
    </w:p>
    <w:p w:rsidR="00535B4B" w:rsidRDefault="00535B4B"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BB0C93" w:rsidRDefault="00BB0C93" w:rsidP="00535B4B"/>
    <w:p w:rsidR="00F55714" w:rsidRPr="003B4538" w:rsidRDefault="00F55714" w:rsidP="00535B4B">
      <w:r w:rsidRPr="003B4538">
        <w:t xml:space="preserve">Le </w:t>
      </w:r>
      <w:r w:rsidR="00E95548" w:rsidRPr="003B4538">
        <w:t>P</w:t>
      </w:r>
      <w:r w:rsidRPr="003B4538">
        <w:t xml:space="preserve">lan financier prévoit des crédits budgétaires pour la tenue de l'AR/CMR-12 ainsi que des dispositions </w:t>
      </w:r>
      <w:r>
        <w:t xml:space="preserve">pour les </w:t>
      </w:r>
      <w:r w:rsidRPr="003B4538">
        <w:t xml:space="preserve">activités </w:t>
      </w:r>
      <w:r w:rsidR="00E95548">
        <w:rPr>
          <w:u w:val="single"/>
        </w:rPr>
        <w:t>postconfé</w:t>
      </w:r>
      <w:r w:rsidRPr="003B4538">
        <w:rPr>
          <w:u w:val="single"/>
        </w:rPr>
        <w:t>rence</w:t>
      </w:r>
      <w:r>
        <w:rPr>
          <w:u w:val="single"/>
        </w:rPr>
        <w:t xml:space="preserve"> que doit effectuer le </w:t>
      </w:r>
      <w:r w:rsidRPr="003B4538">
        <w:rPr>
          <w:u w:val="single"/>
        </w:rPr>
        <w:t>BR.</w:t>
      </w:r>
    </w:p>
    <w:p w:rsidR="00E74F59" w:rsidRDefault="00E74F59">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F55714" w:rsidRDefault="00E95548" w:rsidP="007429C3">
      <w:r>
        <w:rPr>
          <w:szCs w:val="24"/>
        </w:rPr>
        <w:t>L'Annexe 2 de la Dé</w:t>
      </w:r>
      <w:r w:rsidR="00F55714" w:rsidRPr="003B4538">
        <w:rPr>
          <w:szCs w:val="24"/>
        </w:rPr>
        <w:t xml:space="preserve">cision 5 contient des mesures de réduction des dépenses, parmi lesquelles figurent les </w:t>
      </w:r>
      <w:r>
        <w:rPr>
          <w:szCs w:val="24"/>
        </w:rPr>
        <w:t>mesures</w:t>
      </w:r>
      <w:r w:rsidR="00F55714" w:rsidRPr="003B4538">
        <w:rPr>
          <w:szCs w:val="24"/>
        </w:rPr>
        <w:t xml:space="preserve"> suivant</w:t>
      </w:r>
      <w:r>
        <w:rPr>
          <w:szCs w:val="24"/>
        </w:rPr>
        <w:t>e</w:t>
      </w:r>
      <w:r w:rsidR="00F55714" w:rsidRPr="003B4538">
        <w:rPr>
          <w:szCs w:val="24"/>
        </w:rPr>
        <w:t>s, qui intéressent tout particulièrement l'</w:t>
      </w:r>
      <w:r w:rsidR="00144613">
        <w:rPr>
          <w:szCs w:val="24"/>
        </w:rPr>
        <w:t>UIT-R</w:t>
      </w:r>
      <w:r w:rsidR="00F55714" w:rsidRPr="003B4538">
        <w:rPr>
          <w:szCs w:val="24"/>
        </w:rPr>
        <w:t>:</w:t>
      </w:r>
      <w:r>
        <w:rPr>
          <w:szCs w:val="24"/>
        </w:rPr>
        <w:t xml:space="preserve"> </w:t>
      </w:r>
      <w:r w:rsidRPr="00ED70F6">
        <w:t>e</w:t>
      </w:r>
      <w:r w:rsidR="00F55714" w:rsidRPr="00ED70F6">
        <w:t>xamen des coûts afférents aux commissions d'études e</w:t>
      </w:r>
      <w:r>
        <w:t>t aux autres groupes concernés; l</w:t>
      </w:r>
      <w:r w:rsidR="00F55714" w:rsidRPr="00ED70F6">
        <w:t>imitation du nombre de réunions des commissions d'études et de leur durée</w:t>
      </w:r>
      <w:r>
        <w:t>; l</w:t>
      </w:r>
      <w:r w:rsidR="00F55714" w:rsidRPr="00ED70F6">
        <w:t xml:space="preserve">imitation de la durée des réunions des groupes consultatifs à trois jours par an </w:t>
      </w:r>
      <w:r>
        <w:t>au maximum, avec interprétation; o</w:t>
      </w:r>
      <w:r w:rsidR="00F55714" w:rsidRPr="00ED70F6">
        <w:t>rganisation de la première réunion de préparation en vue de la Conférence mondia</w:t>
      </w:r>
      <w:r w:rsidR="00F55714">
        <w:t>le des radiocommunications de 2015/</w:t>
      </w:r>
      <w:r>
        <w:t>2016</w:t>
      </w:r>
      <w:r w:rsidR="00F55714" w:rsidRPr="00ED70F6">
        <w:t xml:space="preserve"> pendant la période de la Conférence</w:t>
      </w:r>
      <w:r>
        <w:t xml:space="preserve"> (voir le § </w:t>
      </w:r>
      <w:r w:rsidR="00F55714">
        <w:t>3</w:t>
      </w:r>
      <w:r>
        <w:t>.2.1 ci-dessous); c</w:t>
      </w:r>
      <w:r w:rsidR="00F55714" w:rsidRPr="00ED70F6">
        <w:t>ompte tenu du numéro 145 de la Convention, il faut étudier la possibilité de recourir à toute une série de méthodes de travail électroniques, afin de réduire éventuellement le coût, le nombre et la durée des réunions du Comité du Règlement des radiocommunications dans l'avenir et de ramener, par exemple, de 4 à 3 le nombre de</w:t>
      </w:r>
      <w:r>
        <w:t xml:space="preserve"> réunions par année calendaire; p</w:t>
      </w:r>
      <w:r w:rsidR="00F55714" w:rsidRPr="00ED70F6">
        <w:t xml:space="preserve">assage, dans la mesure du possible, de la télécopie pour les communications entre l'Union et les Etats Membres à des méthodes de communication électronique </w:t>
      </w:r>
      <w:r w:rsidR="0029702C" w:rsidRPr="00ED70F6">
        <w:t>modernes.</w:t>
      </w:r>
      <w:r w:rsidR="0029702C">
        <w:t xml:space="preserve"> De</w:t>
      </w:r>
      <w:r w:rsidR="00F55714">
        <w:t xml:space="preserve"> plus, les trois premières mesures de réduction des </w:t>
      </w:r>
      <w:r>
        <w:t>dépenses décrites dans l'Annexe </w:t>
      </w:r>
      <w:r w:rsidR="00F55714">
        <w:t xml:space="preserve">2 de la </w:t>
      </w:r>
      <w:r>
        <w:t>D</w:t>
      </w:r>
      <w:r w:rsidR="00F55714">
        <w:t xml:space="preserve">écision 5 relatives à la coordination </w:t>
      </w:r>
      <w:r>
        <w:t>et à l'</w:t>
      </w:r>
      <w:r w:rsidR="00F55714">
        <w:t xml:space="preserve">harmonisation des séminaires et ateliers dans l'ensemble de l'UIT sont déjà en cours de mise en oeuvre, sous la supervision des trois </w:t>
      </w:r>
      <w:r>
        <w:t>D</w:t>
      </w:r>
      <w:r w:rsidR="00F55714">
        <w:t>irecteurs</w:t>
      </w:r>
      <w:r>
        <w:t>,</w:t>
      </w:r>
      <w:r w:rsidR="00F55714">
        <w:t xml:space="preserve"> depuis le début de 2011 (voir le </w:t>
      </w:r>
      <w:r>
        <w:t>§ </w:t>
      </w:r>
      <w:r w:rsidR="00F55714">
        <w:t>8.1).</w:t>
      </w:r>
    </w:p>
    <w:p w:rsidR="00F55714" w:rsidRPr="00C807DA" w:rsidRDefault="00F55714" w:rsidP="00C32AEC">
      <w:pPr>
        <w:pStyle w:val="Heading3"/>
      </w:pPr>
      <w:r w:rsidRPr="00C807DA">
        <w:t>3.2.1</w:t>
      </w:r>
      <w:r w:rsidRPr="00C807DA">
        <w:tab/>
        <w:t xml:space="preserve">Date de la première session de la RPC </w:t>
      </w:r>
      <w:r w:rsidR="00C32AEC">
        <w:t>en vue de</w:t>
      </w:r>
      <w:r>
        <w:t xml:space="preserve"> la CMR</w:t>
      </w:r>
      <w:r w:rsidRPr="00C807DA">
        <w:t>-15/16</w:t>
      </w:r>
    </w:p>
    <w:p w:rsidR="00F55714" w:rsidRPr="00C807DA" w:rsidRDefault="00C32AEC" w:rsidP="007429C3">
      <w:pPr>
        <w:rPr>
          <w:shd w:val="pct15" w:color="auto" w:fill="FFFFFF"/>
        </w:rPr>
      </w:pPr>
      <w:r w:rsidRPr="00C807DA">
        <w:t>E</w:t>
      </w:r>
      <w:r w:rsidR="00F55714" w:rsidRPr="00C807DA">
        <w:t xml:space="preserve">n ce qui concerne la </w:t>
      </w:r>
      <w:r>
        <w:t>mesure 13 de l'Annexe 2 de la Dé</w:t>
      </w:r>
      <w:r w:rsidR="00F0031C">
        <w:t>cision 5 de la PP-10 relative</w:t>
      </w:r>
      <w:r w:rsidR="00F55714" w:rsidRPr="00C807DA">
        <w:t xml:space="preserve"> à la date de la première</w:t>
      </w:r>
      <w:r w:rsidR="00F0031C">
        <w:t xml:space="preserve"> session de la</w:t>
      </w:r>
      <w:r w:rsidR="00F55714" w:rsidRPr="00C807DA">
        <w:t xml:space="preserve"> réunion de préparation en vue de la </w:t>
      </w:r>
      <w:r w:rsidR="00F0031C" w:rsidRPr="00C807DA">
        <w:t>C</w:t>
      </w:r>
      <w:r w:rsidR="00F55714" w:rsidRPr="00C807DA">
        <w:t xml:space="preserve">onférence mondiale des radiocommunications de [2015] [2016], </w:t>
      </w:r>
      <w:r w:rsidR="00F55714">
        <w:t>le GCR est invité à examiner</w:t>
      </w:r>
      <w:r w:rsidR="00F0031C">
        <w:t xml:space="preserve"> les dates proposées ci</w:t>
      </w:r>
      <w:r w:rsidR="00F0031C">
        <w:noBreakHyphen/>
      </w:r>
      <w:r w:rsidR="00F55714">
        <w:t xml:space="preserve">dessous pour la première session de la RPC </w:t>
      </w:r>
      <w:r w:rsidR="00F55714" w:rsidRPr="00C807DA">
        <w:t>(</w:t>
      </w:r>
      <w:r w:rsidR="00F55714">
        <w:t>RPC</w:t>
      </w:r>
      <w:r w:rsidR="00F55714" w:rsidRPr="00C807DA">
        <w:t xml:space="preserve">15-1), </w:t>
      </w:r>
      <w:r w:rsidR="00F55714">
        <w:t xml:space="preserve">étant donné que cette information doit être annoncée au moins quatre mois avant l'ouverture de la réunion (voir le </w:t>
      </w:r>
      <w:r w:rsidR="00F55714" w:rsidRPr="00C807DA">
        <w:t xml:space="preserve">§ 2.4.3.2 </w:t>
      </w:r>
      <w:r w:rsidR="00F55714">
        <w:t xml:space="preserve">des </w:t>
      </w:r>
      <w:r w:rsidR="00F0031C">
        <w:t>L</w:t>
      </w:r>
      <w:r w:rsidR="00F55714">
        <w:t xml:space="preserve">ignes directrices relatives aux méthodes de travail). </w:t>
      </w:r>
    </w:p>
    <w:p w:rsidR="00F55714" w:rsidRPr="00381B60" w:rsidRDefault="00F0031C" w:rsidP="00F55714">
      <w:pPr>
        <w:rPr>
          <w:szCs w:val="24"/>
        </w:rPr>
      </w:pPr>
      <w:r>
        <w:rPr>
          <w:szCs w:val="24"/>
        </w:rPr>
        <w:t>Etant donné:</w:t>
      </w:r>
    </w:p>
    <w:p w:rsidR="00F55714" w:rsidRDefault="00F55714" w:rsidP="00F0031C">
      <w:pPr>
        <w:pStyle w:val="enumlev1"/>
      </w:pPr>
      <w:r w:rsidRPr="00381B60">
        <w:t>i)</w:t>
      </w:r>
      <w:r w:rsidRPr="00381B60">
        <w:tab/>
      </w:r>
      <w:r w:rsidRPr="00381B60">
        <w:rPr>
          <w:szCs w:val="24"/>
        </w:rPr>
        <w:t>que</w:t>
      </w:r>
      <w:r w:rsidRPr="00381B60">
        <w:t xml:space="preserve"> l'ordre du jour de la </w:t>
      </w:r>
      <w:r>
        <w:t>CMR</w:t>
      </w:r>
      <w:r w:rsidRPr="00381B60">
        <w:t xml:space="preserve">-15/16 </w:t>
      </w:r>
      <w:r>
        <w:t>et l'ordre</w:t>
      </w:r>
      <w:r w:rsidRPr="00381B60">
        <w:t xml:space="preserve"> du jour préliminaire de la </w:t>
      </w:r>
      <w:r>
        <w:t>CMR</w:t>
      </w:r>
      <w:r w:rsidRPr="00381B60">
        <w:t xml:space="preserve"> suiv</w:t>
      </w:r>
      <w:r w:rsidR="00F0031C">
        <w:t>ante seront sans doute approuvé</w:t>
      </w:r>
      <w:r w:rsidRPr="00381B60">
        <w:t xml:space="preserve">s à la fin de la </w:t>
      </w:r>
      <w:r>
        <w:t>CMR</w:t>
      </w:r>
      <w:r w:rsidRPr="00381B60">
        <w:t>-</w:t>
      </w:r>
      <w:r>
        <w:t>12</w:t>
      </w:r>
      <w:r w:rsidR="00F0031C">
        <w:t>;</w:t>
      </w:r>
    </w:p>
    <w:p w:rsidR="00F55714" w:rsidRPr="00F065DF" w:rsidRDefault="00F55714" w:rsidP="007429C3">
      <w:pPr>
        <w:pStyle w:val="enumlev1"/>
      </w:pPr>
      <w:r w:rsidRPr="00381B60">
        <w:t>ii)</w:t>
      </w:r>
      <w:r w:rsidRPr="00381B60">
        <w:tab/>
      </w:r>
      <w:r w:rsidRPr="00381B60">
        <w:rPr>
          <w:szCs w:val="24"/>
        </w:rPr>
        <w:t>que</w:t>
      </w:r>
      <w:r w:rsidRPr="00381B60">
        <w:t xml:space="preserve"> les </w:t>
      </w:r>
      <w:r w:rsidR="00F20E43">
        <w:t>M</w:t>
      </w:r>
      <w:r w:rsidRPr="00381B60">
        <w:t xml:space="preserve">embres et le </w:t>
      </w:r>
      <w:r w:rsidR="00F0031C" w:rsidRPr="00381B60">
        <w:t>S</w:t>
      </w:r>
      <w:r w:rsidRPr="00381B60">
        <w:t>ecrétariat de</w:t>
      </w:r>
      <w:r w:rsidR="00F0031C">
        <w:t>vront</w:t>
      </w:r>
      <w:r w:rsidRPr="00381B60">
        <w:t xml:space="preserve"> procéd</w:t>
      </w:r>
      <w:r w:rsidR="00F0031C">
        <w:t>er</w:t>
      </w:r>
      <w:r w:rsidRPr="00381B60">
        <w:t xml:space="preserve"> à une analyse approfondie des</w:t>
      </w:r>
      <w:r w:rsidR="00F0031C">
        <w:t xml:space="preserve"> points </w:t>
      </w:r>
      <w:r w:rsidRPr="00381B60">
        <w:t xml:space="preserve">inscrits à l'ordre du jour des </w:t>
      </w:r>
      <w:r>
        <w:t>CMR</w:t>
      </w:r>
      <w:r w:rsidRPr="00381B60">
        <w:t xml:space="preserve"> future</w:t>
      </w:r>
      <w:r w:rsidR="00F0031C">
        <w:t>s</w:t>
      </w:r>
      <w:r w:rsidRPr="00381B60">
        <w:t xml:space="preserve">, afin de proposer une organisation appropriée des travaux préparatoires </w:t>
      </w:r>
      <w:r w:rsidR="00F0031C">
        <w:t>de l'UIT</w:t>
      </w:r>
      <w:r w:rsidR="00F0031C">
        <w:noBreakHyphen/>
      </w:r>
      <w:r>
        <w:t>R</w:t>
      </w:r>
      <w:r w:rsidR="00F0031C">
        <w:t>;</w:t>
      </w:r>
    </w:p>
    <w:p w:rsidR="00F55714" w:rsidRPr="00381B60" w:rsidRDefault="00F55714" w:rsidP="007429C3">
      <w:pPr>
        <w:pStyle w:val="enumlev1"/>
      </w:pPr>
      <w:r w:rsidRPr="00381B60">
        <w:t>iii)</w:t>
      </w:r>
      <w:r w:rsidRPr="00381B60">
        <w:tab/>
      </w:r>
      <w:r w:rsidRPr="00381B60">
        <w:rPr>
          <w:szCs w:val="24"/>
        </w:rPr>
        <w:t>que</w:t>
      </w:r>
      <w:r w:rsidRPr="00381B60">
        <w:t xml:space="preserve"> les participants à la RPC15-1 ne participeront pas nécessairement aux travaux </w:t>
      </w:r>
      <w:r w:rsidR="00F0031C">
        <w:t xml:space="preserve">lors </w:t>
      </w:r>
      <w:r w:rsidRPr="00381B60">
        <w:t xml:space="preserve">de la dernière semaine </w:t>
      </w:r>
      <w:r>
        <w:t>de la CMR</w:t>
      </w:r>
      <w:r w:rsidR="00F0031C">
        <w:noBreakHyphen/>
        <w:t>12</w:t>
      </w:r>
      <w:r w:rsidR="007429C3">
        <w:t>,</w:t>
      </w:r>
    </w:p>
    <w:p w:rsidR="00F55714" w:rsidRPr="00381B60" w:rsidRDefault="00F0031C" w:rsidP="007429C3">
      <w:pPr>
        <w:rPr>
          <w:szCs w:val="24"/>
        </w:rPr>
      </w:pPr>
      <w:r>
        <w:rPr>
          <w:szCs w:val="24"/>
        </w:rPr>
        <w:t>l</w:t>
      </w:r>
      <w:r w:rsidR="00F55714" w:rsidRPr="00381B60">
        <w:rPr>
          <w:szCs w:val="24"/>
        </w:rPr>
        <w:t xml:space="preserve">es dates suivantes sont proposées pour la </w:t>
      </w:r>
      <w:r w:rsidR="00F55714" w:rsidRPr="00381B60">
        <w:t>RPC15-1</w:t>
      </w:r>
      <w:r w:rsidR="00F55714" w:rsidRPr="00381B60">
        <w:rPr>
          <w:szCs w:val="24"/>
        </w:rPr>
        <w:t>:</w:t>
      </w:r>
    </w:p>
    <w:p w:rsidR="00F55714" w:rsidRPr="00381B60" w:rsidRDefault="00F55714" w:rsidP="00F0031C">
      <w:pPr>
        <w:pStyle w:val="enumlev1"/>
      </w:pPr>
      <w:r w:rsidRPr="00381B60">
        <w:tab/>
        <w:t>Option 1: samedi 18 et dimanche 19 février 2012;</w:t>
      </w:r>
    </w:p>
    <w:p w:rsidR="00F55714" w:rsidRPr="00381B60" w:rsidRDefault="00F55714" w:rsidP="00F0031C">
      <w:pPr>
        <w:pStyle w:val="enumlev1"/>
      </w:pPr>
      <w:r w:rsidRPr="00381B60">
        <w:tab/>
        <w:t>Option 2: lundi 20 et mardi 21</w:t>
      </w:r>
      <w:r>
        <w:t xml:space="preserve"> février </w:t>
      </w:r>
      <w:r w:rsidRPr="00381B60">
        <w:t>2012.</w:t>
      </w:r>
    </w:p>
    <w:p w:rsidR="00F55714" w:rsidRPr="00381B60" w:rsidRDefault="00F55714" w:rsidP="00F0031C">
      <w:pPr>
        <w:pStyle w:val="Heading3"/>
      </w:pPr>
      <w:r w:rsidRPr="00381B60">
        <w:t>3.3</w:t>
      </w:r>
      <w:r w:rsidRPr="00381B60">
        <w:tab/>
        <w:t xml:space="preserve">Admission d'établissements universitaires </w:t>
      </w:r>
      <w:r w:rsidRPr="007429C3">
        <w:t>(</w:t>
      </w:r>
      <w:hyperlink r:id="rId17" w:anchor="res169" w:history="1">
        <w:r w:rsidR="00F0031C" w:rsidRPr="007429C3">
          <w:rPr>
            <w:color w:val="0000FF"/>
            <w:u w:val="single"/>
          </w:rPr>
          <w:t>Ré</w:t>
        </w:r>
        <w:r w:rsidRPr="007429C3">
          <w:rPr>
            <w:color w:val="0000FF"/>
            <w:u w:val="single"/>
          </w:rPr>
          <w:t>solution 169 (Guadalajara, 2010)</w:t>
        </w:r>
      </w:hyperlink>
      <w:r w:rsidRPr="007429C3">
        <w:t>)</w:t>
      </w:r>
    </w:p>
    <w:p w:rsidR="00F55714" w:rsidRPr="00381B60" w:rsidRDefault="00F55714" w:rsidP="007429C3">
      <w:r w:rsidRPr="00381B60">
        <w:t>Par sa R</w:t>
      </w:r>
      <w:r w:rsidR="00F0031C">
        <w:t>é</w:t>
      </w:r>
      <w:r w:rsidRPr="00381B60">
        <w:t xml:space="preserve">solution 169 (Guadalajara, 2010), la PP-10 a décidé </w:t>
      </w:r>
      <w:r w:rsidRPr="00ED70F6">
        <w:t>d'admettre les établissements universitaires, les universités et les inst</w:t>
      </w:r>
      <w:r w:rsidR="00F0031C">
        <w:t>itu</w:t>
      </w:r>
      <w:r w:rsidRPr="00ED70F6">
        <w:t>ts de recherche associés s'occupant du développement des télécommunications/technologies de l'information et de la communication (TIC) à participer aux travaux des trois Secteurs</w:t>
      </w:r>
      <w:r w:rsidR="001E12D8">
        <w:t>,</w:t>
      </w:r>
      <w:r w:rsidRPr="00ED70F6">
        <w:t xml:space="preserve"> conformément aux dispositions de la</w:t>
      </w:r>
      <w:r>
        <w:t>dite</w:t>
      </w:r>
      <w:r w:rsidRPr="00ED70F6">
        <w:t xml:space="preserve"> Résolution, sans qu'il soit nécessaire d'apporter des amendements aux articles 2 et 3 de la Const</w:t>
      </w:r>
      <w:r w:rsidR="00F0031C">
        <w:t>itu</w:t>
      </w:r>
      <w:r w:rsidRPr="00ED70F6">
        <w:t>tion de l'UIT, pendant une période d'essai allant jusqu'à la prochaine Conférence de plénipotentiaires</w:t>
      </w:r>
      <w:r w:rsidR="007429C3">
        <w:t>.</w:t>
      </w:r>
    </w:p>
    <w:p w:rsidR="00F55714" w:rsidRDefault="001E12D8" w:rsidP="007429C3">
      <w:pPr>
        <w:rPr>
          <w:rFonts w:cstheme="majorBidi"/>
          <w:szCs w:val="24"/>
        </w:rPr>
      </w:pPr>
      <w:r w:rsidRPr="0059231C">
        <w:rPr>
          <w:rFonts w:cstheme="majorBidi"/>
          <w:szCs w:val="24"/>
        </w:rPr>
        <w:t>L</w:t>
      </w:r>
      <w:r w:rsidR="00F55714" w:rsidRPr="0059231C">
        <w:rPr>
          <w:rFonts w:cstheme="majorBidi"/>
          <w:szCs w:val="24"/>
        </w:rPr>
        <w:t xml:space="preserve">e </w:t>
      </w:r>
      <w:r w:rsidRPr="0059231C">
        <w:rPr>
          <w:rFonts w:cstheme="majorBidi"/>
          <w:szCs w:val="24"/>
        </w:rPr>
        <w:t>S</w:t>
      </w:r>
      <w:r w:rsidR="00F55714" w:rsidRPr="0059231C">
        <w:rPr>
          <w:rFonts w:cstheme="majorBidi"/>
          <w:szCs w:val="24"/>
        </w:rPr>
        <w:t>ecrétariat g</w:t>
      </w:r>
      <w:r>
        <w:rPr>
          <w:rFonts w:cstheme="majorBidi"/>
          <w:szCs w:val="24"/>
        </w:rPr>
        <w:t>éné</w:t>
      </w:r>
      <w:r w:rsidR="00F55714" w:rsidRPr="0059231C">
        <w:rPr>
          <w:rFonts w:cstheme="majorBidi"/>
          <w:szCs w:val="24"/>
        </w:rPr>
        <w:t xml:space="preserve">ral </w:t>
      </w:r>
      <w:r>
        <w:rPr>
          <w:rFonts w:cstheme="majorBidi"/>
          <w:szCs w:val="24"/>
        </w:rPr>
        <w:t xml:space="preserve">met </w:t>
      </w:r>
      <w:r w:rsidR="00F55714" w:rsidRPr="0059231C">
        <w:rPr>
          <w:rFonts w:cstheme="majorBidi"/>
          <w:szCs w:val="24"/>
        </w:rPr>
        <w:t>actuellement en oeuvr</w:t>
      </w:r>
      <w:r>
        <w:rPr>
          <w:rFonts w:cstheme="majorBidi"/>
          <w:szCs w:val="24"/>
        </w:rPr>
        <w:t>e les procédures nécessaires, a</w:t>
      </w:r>
      <w:r w:rsidR="00F55714" w:rsidRPr="0059231C">
        <w:rPr>
          <w:rFonts w:cstheme="majorBidi"/>
          <w:szCs w:val="24"/>
        </w:rPr>
        <w:t xml:space="preserve">fin d'établir un cadre </w:t>
      </w:r>
      <w:r w:rsidR="00F55714">
        <w:rPr>
          <w:rFonts w:cstheme="majorBidi"/>
          <w:szCs w:val="24"/>
        </w:rPr>
        <w:t>pour l</w:t>
      </w:r>
      <w:r>
        <w:rPr>
          <w:rFonts w:cstheme="majorBidi"/>
          <w:szCs w:val="24"/>
        </w:rPr>
        <w:t>a</w:t>
      </w:r>
      <w:r w:rsidR="00F55714">
        <w:rPr>
          <w:rFonts w:cstheme="majorBidi"/>
          <w:szCs w:val="24"/>
        </w:rPr>
        <w:t xml:space="preserve"> participation</w:t>
      </w:r>
      <w:r>
        <w:rPr>
          <w:rFonts w:cstheme="majorBidi"/>
          <w:szCs w:val="24"/>
        </w:rPr>
        <w:t xml:space="preserve"> de ces établissements</w:t>
      </w:r>
      <w:r w:rsidR="00F55714">
        <w:rPr>
          <w:rFonts w:cstheme="majorBidi"/>
          <w:szCs w:val="24"/>
        </w:rPr>
        <w:t xml:space="preserve"> aux travaux des </w:t>
      </w:r>
      <w:r w:rsidR="007429C3">
        <w:rPr>
          <w:rFonts w:cstheme="majorBidi"/>
          <w:szCs w:val="24"/>
        </w:rPr>
        <w:t>S</w:t>
      </w:r>
      <w:r w:rsidR="00F55714">
        <w:rPr>
          <w:rFonts w:cstheme="majorBidi"/>
          <w:szCs w:val="24"/>
        </w:rPr>
        <w:t>ecteurs.</w:t>
      </w:r>
    </w:p>
    <w:p w:rsidR="00F55714" w:rsidRDefault="00F55714" w:rsidP="007429C3">
      <w:pPr>
        <w:rPr>
          <w:rFonts w:asciiTheme="majorBidi" w:hAnsiTheme="majorBidi" w:cstheme="majorBidi"/>
          <w:szCs w:val="24"/>
        </w:rPr>
      </w:pPr>
      <w:r w:rsidRPr="0059231C">
        <w:rPr>
          <w:rFonts w:asciiTheme="majorBidi" w:hAnsiTheme="majorBidi" w:cstheme="majorBidi"/>
          <w:szCs w:val="24"/>
        </w:rPr>
        <w:t xml:space="preserve">On trouvera des renseignements </w:t>
      </w:r>
      <w:r w:rsidR="001E12D8">
        <w:rPr>
          <w:rFonts w:asciiTheme="majorBidi" w:hAnsiTheme="majorBidi" w:cstheme="majorBidi"/>
          <w:szCs w:val="24"/>
        </w:rPr>
        <w:t>à jour sur les établissements a</w:t>
      </w:r>
      <w:r w:rsidRPr="0059231C">
        <w:rPr>
          <w:rFonts w:asciiTheme="majorBidi" w:hAnsiTheme="majorBidi" w:cstheme="majorBidi"/>
          <w:szCs w:val="24"/>
        </w:rPr>
        <w:t>dmi</w:t>
      </w:r>
      <w:r w:rsidR="001E12D8">
        <w:rPr>
          <w:rFonts w:asciiTheme="majorBidi" w:hAnsiTheme="majorBidi" w:cstheme="majorBidi"/>
          <w:szCs w:val="24"/>
        </w:rPr>
        <w:t>s</w:t>
      </w:r>
      <w:r w:rsidRPr="0059231C">
        <w:rPr>
          <w:rFonts w:asciiTheme="majorBidi" w:hAnsiTheme="majorBidi" w:cstheme="majorBidi"/>
          <w:szCs w:val="24"/>
        </w:rPr>
        <w:t xml:space="preserve"> à participer aux travaux de l'</w:t>
      </w:r>
      <w:r w:rsidR="00F0031C">
        <w:rPr>
          <w:rFonts w:asciiTheme="majorBidi" w:hAnsiTheme="majorBidi" w:cstheme="majorBidi"/>
          <w:szCs w:val="24"/>
        </w:rPr>
        <w:t>UIT-</w:t>
      </w:r>
      <w:r w:rsidR="0029702C">
        <w:rPr>
          <w:rFonts w:asciiTheme="majorBidi" w:hAnsiTheme="majorBidi" w:cstheme="majorBidi"/>
          <w:szCs w:val="24"/>
        </w:rPr>
        <w:t>R dans</w:t>
      </w:r>
      <w:r>
        <w:rPr>
          <w:rFonts w:asciiTheme="majorBidi" w:hAnsiTheme="majorBidi" w:cstheme="majorBidi"/>
          <w:szCs w:val="24"/>
        </w:rPr>
        <w:t xml:space="preserve"> le </w:t>
      </w:r>
      <w:hyperlink r:id="rId18" w:history="1">
        <w:r w:rsidR="007429C3">
          <w:rPr>
            <w:rStyle w:val="Hyperlink"/>
            <w:rFonts w:cstheme="majorBidi"/>
            <w:szCs w:val="24"/>
          </w:rPr>
          <w:t>Répertoire général de l'</w:t>
        </w:r>
      </w:hyperlink>
      <w:r w:rsidR="007429C3" w:rsidRPr="004D4C01">
        <w:rPr>
          <w:rStyle w:val="Hyperlink"/>
          <w:rFonts w:cstheme="majorBidi"/>
          <w:szCs w:val="24"/>
        </w:rPr>
        <w:t>UIT</w:t>
      </w:r>
      <w:r>
        <w:rPr>
          <w:rFonts w:asciiTheme="majorBidi" w:hAnsiTheme="majorBidi" w:cstheme="majorBidi"/>
          <w:szCs w:val="24"/>
        </w:rPr>
        <w:t>.</w:t>
      </w:r>
    </w:p>
    <w:p w:rsidR="00F55714" w:rsidRPr="000615D2" w:rsidRDefault="00F55714" w:rsidP="00E90634">
      <w:pPr>
        <w:rPr>
          <w:rFonts w:cstheme="majorBidi"/>
          <w:szCs w:val="24"/>
        </w:rPr>
      </w:pPr>
      <w:r w:rsidRPr="000615D2">
        <w:rPr>
          <w:rFonts w:cstheme="majorBidi"/>
          <w:szCs w:val="24"/>
        </w:rPr>
        <w:t xml:space="preserve">Conformément à la </w:t>
      </w:r>
      <w:r w:rsidR="00E90634">
        <w:rPr>
          <w:rFonts w:cstheme="majorBidi"/>
          <w:szCs w:val="24"/>
        </w:rPr>
        <w:t>Résolution</w:t>
      </w:r>
      <w:r w:rsidRPr="000615D2">
        <w:rPr>
          <w:rFonts w:cstheme="majorBidi"/>
          <w:szCs w:val="24"/>
        </w:rPr>
        <w:t xml:space="preserve"> 169 (Guadalajara, 2010), l'</w:t>
      </w:r>
      <w:r w:rsidR="00E90634" w:rsidRPr="000615D2">
        <w:rPr>
          <w:rFonts w:cstheme="majorBidi"/>
          <w:szCs w:val="24"/>
        </w:rPr>
        <w:t>A</w:t>
      </w:r>
      <w:r w:rsidRPr="000615D2">
        <w:rPr>
          <w:rFonts w:cstheme="majorBidi"/>
          <w:szCs w:val="24"/>
        </w:rPr>
        <w:t xml:space="preserve">ssemblée des radiocommunications voudra peut-être </w:t>
      </w:r>
      <w:r w:rsidRPr="00ED70F6">
        <w:t>donner mandat</w:t>
      </w:r>
      <w:r>
        <w:t xml:space="preserve"> au GCR </w:t>
      </w:r>
      <w:r w:rsidRPr="00ED70F6">
        <w:t>d'étudier s'il y a lieu de prévoir d'éventuelles mesures ou dispositions additionnelles autres que celles visées dans la Résolution </w:t>
      </w:r>
      <w:r w:rsidR="00E90634">
        <w:t>UIT</w:t>
      </w:r>
      <w:r w:rsidR="00E90634">
        <w:noBreakHyphen/>
        <w:t>R </w:t>
      </w:r>
      <w:r w:rsidRPr="00ED70F6">
        <w:t>1 afin de faciliter cette participation, et d'adopter ces modalités, si elles le jugent nécessaire, et de présenter au Conseil un rapport sur les résultats</w:t>
      </w:r>
      <w:r w:rsidR="00F0031C">
        <w:t>.</w:t>
      </w:r>
    </w:p>
    <w:p w:rsidR="00F55714" w:rsidRPr="000615D2" w:rsidRDefault="00F55714" w:rsidP="007429C3">
      <w:pPr>
        <w:pStyle w:val="Heading2"/>
      </w:pPr>
      <w:r w:rsidRPr="000615D2">
        <w:rPr>
          <w:szCs w:val="24"/>
        </w:rPr>
        <w:t>3.4</w:t>
      </w:r>
      <w:r w:rsidRPr="000615D2">
        <w:rPr>
          <w:szCs w:val="24"/>
        </w:rPr>
        <w:tab/>
      </w:r>
      <w:r w:rsidRPr="00F20E43">
        <w:rPr>
          <w:bCs/>
          <w:szCs w:val="24"/>
        </w:rPr>
        <w:t>Admission de Membres de Secteur des pays en développement</w:t>
      </w:r>
      <w:r w:rsidRPr="00ED70F6">
        <w:rPr>
          <w:bCs/>
          <w:sz w:val="28"/>
          <w:szCs w:val="28"/>
        </w:rPr>
        <w:t xml:space="preserve"> </w:t>
      </w:r>
      <w:r w:rsidRPr="000615D2">
        <w:rPr>
          <w:szCs w:val="24"/>
        </w:rPr>
        <w:t>(</w:t>
      </w:r>
      <w:hyperlink r:id="rId19" w:anchor="res170" w:history="1">
        <w:r w:rsidR="007429C3" w:rsidRPr="004D4C01">
          <w:rPr>
            <w:rStyle w:val="Hyperlink"/>
            <w:bCs/>
            <w:szCs w:val="24"/>
          </w:rPr>
          <w:t>R</w:t>
        </w:r>
        <w:r w:rsidR="007429C3">
          <w:rPr>
            <w:rStyle w:val="Hyperlink"/>
            <w:bCs/>
            <w:szCs w:val="24"/>
          </w:rPr>
          <w:t>é</w:t>
        </w:r>
        <w:r w:rsidR="007429C3" w:rsidRPr="004D4C01">
          <w:rPr>
            <w:rStyle w:val="Hyperlink"/>
            <w:bCs/>
            <w:szCs w:val="24"/>
          </w:rPr>
          <w:t>solu</w:t>
        </w:r>
        <w:r w:rsidR="007429C3">
          <w:rPr>
            <w:rStyle w:val="Hyperlink"/>
            <w:bCs/>
            <w:szCs w:val="24"/>
          </w:rPr>
          <w:t>tio</w:t>
        </w:r>
        <w:r w:rsidR="007429C3" w:rsidRPr="004D4C01">
          <w:rPr>
            <w:rStyle w:val="Hyperlink"/>
            <w:bCs/>
            <w:szCs w:val="24"/>
          </w:rPr>
          <w:t>n 170 (Guadalajara, 2010)</w:t>
        </w:r>
      </w:hyperlink>
      <w:r w:rsidRPr="000615D2">
        <w:rPr>
          <w:szCs w:val="24"/>
        </w:rPr>
        <w:t>)</w:t>
      </w:r>
    </w:p>
    <w:p w:rsidR="00F55714" w:rsidRPr="0062730A" w:rsidRDefault="00E90634" w:rsidP="00BB0C93">
      <w:pPr>
        <w:spacing w:before="100"/>
        <w:rPr>
          <w:rFonts w:asciiTheme="majorBidi" w:hAnsiTheme="majorBidi" w:cstheme="majorBidi"/>
        </w:rPr>
      </w:pPr>
      <w:r w:rsidRPr="00E90634">
        <w:rPr>
          <w:rFonts w:asciiTheme="majorBidi" w:hAnsiTheme="majorBidi" w:cstheme="majorBidi"/>
        </w:rPr>
        <w:t>P</w:t>
      </w:r>
      <w:r w:rsidR="00F55714" w:rsidRPr="00E90634">
        <w:rPr>
          <w:rFonts w:asciiTheme="majorBidi" w:hAnsiTheme="majorBidi" w:cstheme="majorBidi"/>
        </w:rPr>
        <w:t xml:space="preserve">ar sa </w:t>
      </w:r>
      <w:r w:rsidRPr="00E90634">
        <w:rPr>
          <w:rFonts w:asciiTheme="majorBidi" w:hAnsiTheme="majorBidi" w:cstheme="majorBidi"/>
        </w:rPr>
        <w:t>Résolution</w:t>
      </w:r>
      <w:r w:rsidR="00F55714" w:rsidRPr="00E90634">
        <w:rPr>
          <w:rFonts w:asciiTheme="majorBidi" w:hAnsiTheme="majorBidi" w:cstheme="majorBidi"/>
        </w:rPr>
        <w:t xml:space="preserve"> 170 (Guadalajara, 2010), </w:t>
      </w:r>
      <w:r w:rsidRPr="00E90634">
        <w:rPr>
          <w:rFonts w:asciiTheme="majorBidi" w:hAnsiTheme="majorBidi" w:cstheme="majorBidi"/>
        </w:rPr>
        <w:t xml:space="preserve">la </w:t>
      </w:r>
      <w:r w:rsidR="00F55714" w:rsidRPr="00E90634">
        <w:rPr>
          <w:rFonts w:asciiTheme="majorBidi" w:hAnsiTheme="majorBidi" w:cstheme="majorBidi"/>
        </w:rPr>
        <w:t>PP-10 a décidé d</w:t>
      </w:r>
      <w:r w:rsidRPr="00E90634">
        <w:rPr>
          <w:rFonts w:asciiTheme="majorBidi" w:hAnsiTheme="majorBidi" w:cstheme="majorBidi"/>
        </w:rPr>
        <w:t xml:space="preserve">'autoriser les </w:t>
      </w:r>
      <w:r w:rsidR="00E74F59">
        <w:rPr>
          <w:rFonts w:asciiTheme="majorBidi" w:hAnsiTheme="majorBidi" w:cstheme="majorBidi"/>
        </w:rPr>
        <w:t>Membres de Secteur de </w:t>
      </w:r>
      <w:r w:rsidR="00F55714" w:rsidRPr="00E90634">
        <w:rPr>
          <w:rFonts w:asciiTheme="majorBidi" w:hAnsiTheme="majorBidi" w:cstheme="majorBidi"/>
        </w:rPr>
        <w:t>la catégorie de pays en développement (</w:t>
      </w:r>
      <w:r w:rsidRPr="00E90634">
        <w:rPr>
          <w:rFonts w:asciiTheme="majorBidi" w:hAnsiTheme="majorBidi" w:cstheme="majorBidi"/>
        </w:rPr>
        <w:t xml:space="preserve">pays </w:t>
      </w:r>
      <w:r w:rsidR="00F55714" w:rsidRPr="00E90634">
        <w:rPr>
          <w:rFonts w:asciiTheme="majorBidi" w:hAnsiTheme="majorBidi" w:cstheme="majorBidi"/>
        </w:rPr>
        <w:t xml:space="preserve">ayant un revenu </w:t>
      </w:r>
      <w:r w:rsidR="00E74F59">
        <w:rPr>
          <w:rFonts w:asciiTheme="majorBidi" w:hAnsiTheme="majorBidi" w:cstheme="majorBidi"/>
        </w:rPr>
        <w:t>annuel par habitant inférieur à </w:t>
      </w:r>
      <w:r w:rsidR="00F55714" w:rsidRPr="00E90634">
        <w:rPr>
          <w:rFonts w:asciiTheme="majorBidi" w:hAnsiTheme="majorBidi" w:cstheme="majorBidi"/>
        </w:rPr>
        <w:t>2 000</w:t>
      </w:r>
      <w:r w:rsidRPr="00E90634">
        <w:rPr>
          <w:rFonts w:asciiTheme="majorBidi" w:hAnsiTheme="majorBidi" w:cstheme="majorBidi"/>
        </w:rPr>
        <w:t> </w:t>
      </w:r>
      <w:r w:rsidR="00F55714" w:rsidRPr="00E90634">
        <w:rPr>
          <w:rFonts w:asciiTheme="majorBidi" w:hAnsiTheme="majorBidi" w:cstheme="majorBidi"/>
        </w:rPr>
        <w:t xml:space="preserve">USD, d'après le classement du Programme des Nations Unies pour le développement), </w:t>
      </w:r>
      <w:r w:rsidRPr="00E90634">
        <w:rPr>
          <w:rFonts w:asciiTheme="majorBidi" w:hAnsiTheme="majorBidi" w:cstheme="majorBidi"/>
        </w:rPr>
        <w:t>à</w:t>
      </w:r>
      <w:r w:rsidR="00F55714" w:rsidRPr="00E90634">
        <w:rPr>
          <w:rFonts w:asciiTheme="majorBidi" w:hAnsiTheme="majorBidi" w:cstheme="majorBidi"/>
        </w:rPr>
        <w:t xml:space="preserve"> participer aux travaux de l'UIT</w:t>
      </w:r>
      <w:r w:rsidRPr="00E90634">
        <w:rPr>
          <w:rFonts w:asciiTheme="majorBidi" w:hAnsiTheme="majorBidi" w:cstheme="majorBidi"/>
        </w:rPr>
        <w:noBreakHyphen/>
      </w:r>
      <w:r w:rsidR="00F55714" w:rsidRPr="00E90634">
        <w:rPr>
          <w:rFonts w:asciiTheme="majorBidi" w:hAnsiTheme="majorBidi" w:cstheme="majorBidi"/>
        </w:rPr>
        <w:t>R, sur la base du montant de la contribution financière d'un seizième de la valeur de l'unité contributive des Membres de Secteur.</w:t>
      </w:r>
    </w:p>
    <w:p w:rsidR="00F55714" w:rsidRDefault="009E45F3" w:rsidP="00BB0C93">
      <w:pPr>
        <w:spacing w:before="100"/>
        <w:rPr>
          <w:rFonts w:asciiTheme="majorBidi" w:hAnsiTheme="majorBidi" w:cstheme="majorBidi"/>
        </w:rPr>
      </w:pPr>
      <w:r>
        <w:rPr>
          <w:rFonts w:asciiTheme="majorBidi" w:hAnsiTheme="majorBidi" w:cstheme="majorBidi"/>
        </w:rPr>
        <w:t>A</w:t>
      </w:r>
      <w:r w:rsidR="00F55714">
        <w:rPr>
          <w:rFonts w:asciiTheme="majorBidi" w:hAnsiTheme="majorBidi" w:cstheme="majorBidi"/>
        </w:rPr>
        <w:t xml:space="preserve"> l'heure </w:t>
      </w:r>
      <w:r w:rsidR="00F55714" w:rsidRPr="0062730A">
        <w:rPr>
          <w:rFonts w:asciiTheme="majorBidi" w:hAnsiTheme="majorBidi" w:cstheme="majorBidi"/>
        </w:rPr>
        <w:t xml:space="preserve">actuelle, aucun </w:t>
      </w:r>
      <w:r w:rsidR="007429C3" w:rsidRPr="0062730A">
        <w:rPr>
          <w:rFonts w:asciiTheme="majorBidi" w:hAnsiTheme="majorBidi" w:cstheme="majorBidi"/>
        </w:rPr>
        <w:t>M</w:t>
      </w:r>
      <w:r w:rsidR="00F55714" w:rsidRPr="0062730A">
        <w:rPr>
          <w:rFonts w:asciiTheme="majorBidi" w:hAnsiTheme="majorBidi" w:cstheme="majorBidi"/>
        </w:rPr>
        <w:t xml:space="preserve">embre du </w:t>
      </w:r>
      <w:r w:rsidRPr="0062730A">
        <w:rPr>
          <w:rFonts w:asciiTheme="majorBidi" w:hAnsiTheme="majorBidi" w:cstheme="majorBidi"/>
        </w:rPr>
        <w:t>S</w:t>
      </w:r>
      <w:r w:rsidR="00F55714" w:rsidRPr="0062730A">
        <w:rPr>
          <w:rFonts w:asciiTheme="majorBidi" w:hAnsiTheme="majorBidi" w:cstheme="majorBidi"/>
        </w:rPr>
        <w:t>ecteur</w:t>
      </w:r>
      <w:r w:rsidR="00F55714">
        <w:rPr>
          <w:rFonts w:asciiTheme="majorBidi" w:hAnsiTheme="majorBidi" w:cstheme="majorBidi"/>
        </w:rPr>
        <w:t xml:space="preserve"> de l'</w:t>
      </w:r>
      <w:r w:rsidR="00F0031C">
        <w:rPr>
          <w:rFonts w:asciiTheme="majorBidi" w:hAnsiTheme="majorBidi" w:cstheme="majorBidi"/>
        </w:rPr>
        <w:t>UIT-R</w:t>
      </w:r>
      <w:r>
        <w:rPr>
          <w:rFonts w:asciiTheme="majorBidi" w:hAnsiTheme="majorBidi" w:cstheme="majorBidi"/>
        </w:rPr>
        <w:t xml:space="preserve"> </w:t>
      </w:r>
      <w:r w:rsidR="00F55714">
        <w:rPr>
          <w:rFonts w:asciiTheme="majorBidi" w:hAnsiTheme="majorBidi" w:cstheme="majorBidi"/>
        </w:rPr>
        <w:t>n</w:t>
      </w:r>
      <w:r>
        <w:rPr>
          <w:rFonts w:asciiTheme="majorBidi" w:hAnsiTheme="majorBidi" w:cstheme="majorBidi"/>
        </w:rPr>
        <w:t xml:space="preserve">e relève de </w:t>
      </w:r>
      <w:r w:rsidR="00F55714">
        <w:rPr>
          <w:rFonts w:asciiTheme="majorBidi" w:hAnsiTheme="majorBidi" w:cstheme="majorBidi"/>
        </w:rPr>
        <w:t>cette catégorie.</w:t>
      </w:r>
    </w:p>
    <w:p w:rsidR="00F55714" w:rsidRPr="00ED70F6" w:rsidRDefault="00F55714" w:rsidP="00BB0C93">
      <w:pPr>
        <w:spacing w:before="100"/>
        <w:rPr>
          <w:rFonts w:asciiTheme="minorHAnsi" w:hAnsiTheme="minorHAnsi"/>
        </w:rPr>
      </w:pPr>
      <w:r w:rsidRPr="0062730A">
        <w:rPr>
          <w:rFonts w:asciiTheme="majorBidi" w:hAnsiTheme="majorBidi" w:cstheme="majorBidi"/>
        </w:rPr>
        <w:t>Le</w:t>
      </w:r>
      <w:r w:rsidR="002816E8">
        <w:rPr>
          <w:rFonts w:asciiTheme="majorBidi" w:hAnsiTheme="majorBidi" w:cstheme="majorBidi"/>
        </w:rPr>
        <w:t xml:space="preserve"> Conseil</w:t>
      </w:r>
      <w:r w:rsidRPr="0062730A">
        <w:rPr>
          <w:rFonts w:asciiTheme="majorBidi" w:hAnsiTheme="majorBidi" w:cstheme="majorBidi"/>
        </w:rPr>
        <w:t xml:space="preserve"> a été chargé </w:t>
      </w:r>
      <w:r w:rsidRPr="00ED70F6">
        <w:t>de soumettre à la prochaine Conférence de plénipotentiaires un rapport relatif à cette participation, sur la base d'une évaluation effectuée par le</w:t>
      </w:r>
      <w:r w:rsidR="009E45F3">
        <w:t xml:space="preserve"> GCR</w:t>
      </w:r>
      <w:r w:rsidRPr="00ED70F6">
        <w:t>, afin que celle-ci puisse prendre une décision finale sur cette participation, à la lumière du rapport et des propositions qui y seront formulées</w:t>
      </w:r>
      <w:r w:rsidRPr="00ED70F6">
        <w:rPr>
          <w:rFonts w:asciiTheme="minorHAnsi" w:hAnsiTheme="minorHAnsi"/>
        </w:rPr>
        <w:t>.</w:t>
      </w:r>
    </w:p>
    <w:p w:rsidR="00F55714" w:rsidRPr="00EA1A9E" w:rsidRDefault="00F55714" w:rsidP="007429C3">
      <w:pPr>
        <w:pStyle w:val="Heading2"/>
      </w:pPr>
      <w:r w:rsidRPr="00307017">
        <w:t>3.5</w:t>
      </w:r>
      <w:r w:rsidRPr="00307017">
        <w:tab/>
      </w:r>
      <w:r w:rsidRPr="00ED70F6">
        <w:t>Accès en ligne gratuit aux publications de l'UIT</w:t>
      </w:r>
      <w:r w:rsidR="009E45F3">
        <w:noBreakHyphen/>
        <w:t xml:space="preserve">R </w:t>
      </w:r>
      <w:r w:rsidRPr="00307017">
        <w:t>(</w:t>
      </w:r>
      <w:hyperlink r:id="rId20" w:anchor="dec12A" w:history="1">
        <w:r w:rsidR="007429C3" w:rsidRPr="004D4C01">
          <w:rPr>
            <w:rStyle w:val="Hyperlink"/>
            <w:bCs/>
            <w:szCs w:val="24"/>
          </w:rPr>
          <w:t>D</w:t>
        </w:r>
        <w:r w:rsidR="007429C3">
          <w:rPr>
            <w:rStyle w:val="Hyperlink"/>
            <w:bCs/>
            <w:szCs w:val="24"/>
          </w:rPr>
          <w:t>é</w:t>
        </w:r>
        <w:r w:rsidR="007429C3" w:rsidRPr="004D4C01">
          <w:rPr>
            <w:rStyle w:val="Hyperlink"/>
            <w:bCs/>
            <w:szCs w:val="24"/>
          </w:rPr>
          <w:t>cisi</w:t>
        </w:r>
        <w:r w:rsidR="007429C3">
          <w:rPr>
            <w:rStyle w:val="Hyperlink"/>
            <w:bCs/>
            <w:szCs w:val="24"/>
          </w:rPr>
          <w:t>o</w:t>
        </w:r>
        <w:r w:rsidR="007429C3" w:rsidRPr="004D4C01">
          <w:rPr>
            <w:rStyle w:val="Hyperlink"/>
            <w:bCs/>
            <w:szCs w:val="24"/>
          </w:rPr>
          <w:t>n 12 (Guadalajara, 2010)</w:t>
        </w:r>
      </w:hyperlink>
      <w:r w:rsidRPr="00307017">
        <w:t>)</w:t>
      </w:r>
    </w:p>
    <w:p w:rsidR="00F55714" w:rsidRPr="00ED70F6" w:rsidRDefault="009E45F3" w:rsidP="00BB0C93">
      <w:pPr>
        <w:spacing w:before="100"/>
      </w:pPr>
      <w:r>
        <w:t>P</w:t>
      </w:r>
      <w:r w:rsidR="00F55714" w:rsidRPr="00EA1A9E">
        <w:t xml:space="preserve">ar sa </w:t>
      </w:r>
      <w:r>
        <w:t>Décision</w:t>
      </w:r>
      <w:r w:rsidR="00F55714" w:rsidRPr="00EA1A9E">
        <w:t xml:space="preserve"> 12 (Guadalajara, 2010), la PP-10 a décidé de fournir au grand public un accès en ligne gratuit, aux Recommandations et aux rapports de l'UIT</w:t>
      </w:r>
      <w:r w:rsidR="00F55714" w:rsidRPr="00EA1A9E">
        <w:noBreakHyphen/>
        <w:t xml:space="preserve">R et que </w:t>
      </w:r>
      <w:r w:rsidR="00F55714" w:rsidRPr="00ED70F6">
        <w:t>l'accès aux exemplaires papier des Recommandations et des rapports de l'UIT</w:t>
      </w:r>
      <w:r w:rsidR="00F55714" w:rsidRPr="00ED70F6">
        <w:noBreakHyphen/>
        <w:t>R continuera</w:t>
      </w:r>
      <w:r>
        <w:t>it</w:t>
      </w:r>
      <w:r w:rsidR="00F55714" w:rsidRPr="00ED70F6">
        <w:t xml:space="preserve"> d'être payant, sur la base d'une politique de «double prix», selon laquelle les Etats Membres, les Membres de Se</w:t>
      </w:r>
      <w:r>
        <w:t>cteur et les Associés acquitte</w:t>
      </w:r>
      <w:r w:rsidR="00F55714" w:rsidRPr="00ED70F6">
        <w:t>nt un prix calculé sur la base du recouvrement des coûts, tandis que tous les autres, à savoir les non-membres, acquittent le «prix du marché»</w:t>
      </w:r>
      <w:r w:rsidR="00F55714" w:rsidRPr="00ED70F6">
        <w:rPr>
          <w:rStyle w:val="FootnoteReference"/>
        </w:rPr>
        <w:t xml:space="preserve"> </w:t>
      </w:r>
      <w:r w:rsidR="00F55714">
        <w:t xml:space="preserve">(défini comme étant </w:t>
      </w:r>
      <w:r w:rsidR="00F55714" w:rsidRPr="00ED70F6">
        <w:t>le prix déterminé par la Division des ventes et du marketing, qui est établi de façon à augmenter au maximum les recettes, sans toutefois être trop élevé po</w:t>
      </w:r>
      <w:r w:rsidR="00F55714">
        <w:t>ur ne pas décourager les ventes)</w:t>
      </w:r>
      <w:r>
        <w:t>.</w:t>
      </w:r>
    </w:p>
    <w:p w:rsidR="00F55714" w:rsidRPr="00F065DF" w:rsidRDefault="009E45F3" w:rsidP="00BB0C93">
      <w:pPr>
        <w:spacing w:before="100"/>
      </w:pPr>
      <w:r w:rsidRPr="00ED3DC3">
        <w:t>L</w:t>
      </w:r>
      <w:r w:rsidR="00F55714" w:rsidRPr="00ED3DC3">
        <w:t>e</w:t>
      </w:r>
      <w:r w:rsidR="002816E8">
        <w:t xml:space="preserve"> Conseil</w:t>
      </w:r>
      <w:r w:rsidR="00F55714" w:rsidRPr="00ED3DC3">
        <w:t xml:space="preserve"> a été chargé </w:t>
      </w:r>
      <w:r w:rsidR="00F55714" w:rsidRPr="00ED70F6">
        <w:t>de procéder à une étude globale sur les coûts/avantages de la fourn</w:t>
      </w:r>
      <w:r w:rsidR="00F0031C">
        <w:t>itu</w:t>
      </w:r>
      <w:r w:rsidR="00F55714" w:rsidRPr="00ED70F6">
        <w:t xml:space="preserve">re d'un accès en ligne gratuit aux autres textes de l'Union, y compris au Règlement </w:t>
      </w:r>
      <w:r>
        <w:t xml:space="preserve">des </w:t>
      </w:r>
      <w:r>
        <w:rPr>
          <w:lang w:val="fr-CH"/>
        </w:rPr>
        <w:t>radiocommunication</w:t>
      </w:r>
      <w:r>
        <w:t>s</w:t>
      </w:r>
      <w:r w:rsidR="00F55714" w:rsidRPr="00ED70F6">
        <w:t>.</w:t>
      </w:r>
    </w:p>
    <w:p w:rsidR="00F55714" w:rsidRPr="00ED3DC3" w:rsidRDefault="00F55714" w:rsidP="00BB0C93">
      <w:pPr>
        <w:spacing w:before="100"/>
      </w:pPr>
      <w:r w:rsidRPr="00ED3DC3">
        <w:t xml:space="preserve">Les statistiques relatives au téléchargement des </w:t>
      </w:r>
      <w:r w:rsidR="009E45F3" w:rsidRPr="00ED3DC3">
        <w:t>R</w:t>
      </w:r>
      <w:r w:rsidRPr="00ED3DC3">
        <w:t xml:space="preserve">ecommandations </w:t>
      </w:r>
      <w:r w:rsidR="00F0031C">
        <w:t>UIT-R</w:t>
      </w:r>
      <w:r w:rsidR="009E45F3">
        <w:t xml:space="preserve"> </w:t>
      </w:r>
      <w:r w:rsidRPr="00ED3DC3">
        <w:t xml:space="preserve">seront présentées dans </w:t>
      </w:r>
      <w:r>
        <w:t xml:space="preserve">un </w:t>
      </w:r>
      <w:r w:rsidR="009E45F3" w:rsidRPr="00ED3DC3">
        <w:t>A</w:t>
      </w:r>
      <w:r w:rsidRPr="00ED3DC3">
        <w:t>ddendum au présent document.</w:t>
      </w:r>
    </w:p>
    <w:p w:rsidR="00D74117" w:rsidRPr="00ED3DC3" w:rsidRDefault="00D74117" w:rsidP="00D74117">
      <w:pPr>
        <w:pStyle w:val="Heading2"/>
      </w:pPr>
      <w:r w:rsidRPr="00307017">
        <w:t>3.6</w:t>
      </w:r>
      <w:r w:rsidRPr="00307017">
        <w:tab/>
        <w:t>Documents et publications de l'Union (</w:t>
      </w:r>
      <w:hyperlink r:id="rId21" w:anchor="res66" w:history="1">
        <w:r w:rsidRPr="004D4C01">
          <w:rPr>
            <w:rStyle w:val="Hyperlink"/>
            <w:bCs/>
            <w:szCs w:val="24"/>
          </w:rPr>
          <w:t>R</w:t>
        </w:r>
        <w:r>
          <w:rPr>
            <w:rStyle w:val="Hyperlink"/>
            <w:bCs/>
            <w:szCs w:val="24"/>
          </w:rPr>
          <w:t>é</w:t>
        </w:r>
        <w:r w:rsidRPr="004D4C01">
          <w:rPr>
            <w:rStyle w:val="Hyperlink"/>
            <w:bCs/>
            <w:szCs w:val="24"/>
          </w:rPr>
          <w:t>solu</w:t>
        </w:r>
        <w:r>
          <w:rPr>
            <w:rStyle w:val="Hyperlink"/>
            <w:bCs/>
            <w:szCs w:val="24"/>
          </w:rPr>
          <w:t>tio</w:t>
        </w:r>
        <w:r w:rsidRPr="004D4C01">
          <w:rPr>
            <w:rStyle w:val="Hyperlink"/>
            <w:bCs/>
            <w:szCs w:val="24"/>
          </w:rPr>
          <w:t>n 66 (R</w:t>
        </w:r>
        <w:r>
          <w:rPr>
            <w:rStyle w:val="Hyperlink"/>
            <w:bCs/>
            <w:szCs w:val="24"/>
          </w:rPr>
          <w:t>é</w:t>
        </w:r>
        <w:r w:rsidRPr="004D4C01">
          <w:rPr>
            <w:rStyle w:val="Hyperlink"/>
            <w:bCs/>
            <w:szCs w:val="24"/>
          </w:rPr>
          <w:t>v. Guadalajara, 2010)</w:t>
        </w:r>
      </w:hyperlink>
      <w:r w:rsidRPr="00307017">
        <w:t>)</w:t>
      </w:r>
    </w:p>
    <w:p w:rsidR="00D74117" w:rsidRPr="00ED70F6" w:rsidRDefault="00D74117" w:rsidP="00D74117">
      <w:pPr>
        <w:spacing w:before="90"/>
      </w:pPr>
      <w:r>
        <w:t xml:space="preserve">En vertu de </w:t>
      </w:r>
      <w:r w:rsidRPr="00ED3DC3">
        <w:t xml:space="preserve">sa </w:t>
      </w:r>
      <w:r>
        <w:t>Résolution</w:t>
      </w:r>
      <w:r w:rsidRPr="00ED3DC3">
        <w:t xml:space="preserve"> 66 (</w:t>
      </w:r>
      <w:r>
        <w:t xml:space="preserve">Rév. Guadalajara, 2010), la </w:t>
      </w:r>
      <w:r w:rsidRPr="00ED3DC3">
        <w:rPr>
          <w:iCs/>
          <w:szCs w:val="22"/>
        </w:rPr>
        <w:t xml:space="preserve">PP-10 a décidé </w:t>
      </w:r>
      <w:r w:rsidRPr="00ED70F6">
        <w:t>d'établir une politique de double prix, selon laquelle les Etats Membres, les Membres des Secteurs et les Associés acquittent un prix calculé sur la base du recouvrement des coûts, tandis que tou</w:t>
      </w:r>
      <w:r>
        <w:t>tes les autres entités, c'est</w:t>
      </w:r>
      <w:r>
        <w:noBreakHyphen/>
        <w:t>à</w:t>
      </w:r>
      <w:r>
        <w:noBreakHyphen/>
      </w:r>
      <w:r w:rsidRPr="00ED70F6">
        <w:t>dire les entités non membres, acquittent «le prix du marché»</w:t>
      </w:r>
      <w:r>
        <w:t>.</w:t>
      </w:r>
    </w:p>
    <w:p w:rsidR="00F55714" w:rsidRDefault="00D74117" w:rsidP="00D74117">
      <w:pPr>
        <w:spacing w:before="100"/>
      </w:pPr>
      <w:r>
        <w:rPr>
          <w:iCs/>
          <w:szCs w:val="22"/>
        </w:rPr>
        <w:t xml:space="preserve">En </w:t>
      </w:r>
      <w:r w:rsidRPr="00ED3DC3">
        <w:rPr>
          <w:iCs/>
          <w:szCs w:val="22"/>
        </w:rPr>
        <w:t>application des décision</w:t>
      </w:r>
      <w:r>
        <w:rPr>
          <w:iCs/>
          <w:szCs w:val="22"/>
        </w:rPr>
        <w:t>s de la PP</w:t>
      </w:r>
      <w:r>
        <w:rPr>
          <w:iCs/>
          <w:szCs w:val="22"/>
        </w:rPr>
        <w:noBreakHyphen/>
      </w:r>
      <w:r w:rsidRPr="00ED3DC3">
        <w:rPr>
          <w:iCs/>
          <w:szCs w:val="22"/>
        </w:rPr>
        <w:t xml:space="preserve">10, une nouvelle politique de </w:t>
      </w:r>
      <w:r>
        <w:rPr>
          <w:iCs/>
          <w:szCs w:val="22"/>
        </w:rPr>
        <w:t xml:space="preserve">fixation </w:t>
      </w:r>
      <w:r w:rsidRPr="00ED3DC3">
        <w:rPr>
          <w:iCs/>
          <w:szCs w:val="22"/>
        </w:rPr>
        <w:t xml:space="preserve">des prix </w:t>
      </w:r>
      <w:r w:rsidR="00E74F59">
        <w:rPr>
          <w:iCs/>
          <w:szCs w:val="22"/>
        </w:rPr>
        <w:t>des </w:t>
      </w:r>
      <w:r>
        <w:rPr>
          <w:iCs/>
          <w:szCs w:val="22"/>
        </w:rPr>
        <w:t>publications a été établie, en vue d'être appliquée au</w:t>
      </w:r>
      <w:r w:rsidR="00E74F59">
        <w:rPr>
          <w:iCs/>
          <w:szCs w:val="22"/>
        </w:rPr>
        <w:t>x publications parues depuis le </w:t>
      </w:r>
      <w:r>
        <w:rPr>
          <w:iCs/>
          <w:szCs w:val="22"/>
        </w:rPr>
        <w:t xml:space="preserve">1er janvier 2011, et notamment aux publications les plus récentes de l'UIT-R telles que </w:t>
      </w:r>
      <w:r w:rsidR="00E74F59">
        <w:rPr>
          <w:iCs/>
          <w:szCs w:val="22"/>
        </w:rPr>
        <w:t>l'édition de </w:t>
      </w:r>
      <w:r w:rsidRPr="00ED3DC3">
        <w:rPr>
          <w:iCs/>
          <w:szCs w:val="22"/>
        </w:rPr>
        <w:t xml:space="preserve">2011 du </w:t>
      </w:r>
      <w:hyperlink r:id="rId22" w:history="1">
        <w:r w:rsidRPr="004D4C01">
          <w:rPr>
            <w:rStyle w:val="Hyperlink"/>
            <w:iCs/>
            <w:szCs w:val="22"/>
          </w:rPr>
          <w:t>Manu</w:t>
        </w:r>
        <w:r>
          <w:rPr>
            <w:rStyle w:val="Hyperlink"/>
            <w:iCs/>
            <w:szCs w:val="22"/>
          </w:rPr>
          <w:t>e</w:t>
        </w:r>
        <w:r w:rsidRPr="004D4C01">
          <w:rPr>
            <w:rStyle w:val="Hyperlink"/>
            <w:iCs/>
            <w:szCs w:val="22"/>
          </w:rPr>
          <w:t xml:space="preserve">l </w:t>
        </w:r>
        <w:r>
          <w:rPr>
            <w:rStyle w:val="Hyperlink"/>
            <w:iCs/>
            <w:szCs w:val="22"/>
          </w:rPr>
          <w:t>de l'UIT-R sur le contrôle du spectre</w:t>
        </w:r>
      </w:hyperlink>
      <w:r>
        <w:rPr>
          <w:iCs/>
          <w:szCs w:val="22"/>
        </w:rPr>
        <w:t xml:space="preserve"> et </w:t>
      </w:r>
      <w:r w:rsidR="00E74F59">
        <w:rPr>
          <w:iCs/>
          <w:szCs w:val="22"/>
        </w:rPr>
        <w:t>la Nomenclature des stations de </w:t>
      </w:r>
      <w:r>
        <w:rPr>
          <w:iCs/>
          <w:szCs w:val="22"/>
        </w:rPr>
        <w:t>navire et des identités du service mobile maritime assignées (voir le site:</w:t>
      </w:r>
      <w:r w:rsidRPr="007429C3">
        <w:t xml:space="preserve"> </w:t>
      </w:r>
      <w:hyperlink r:id="rId23" w:history="1">
        <w:r w:rsidRPr="004D4C01">
          <w:rPr>
            <w:rStyle w:val="Hyperlink"/>
            <w:iCs/>
            <w:szCs w:val="22"/>
          </w:rPr>
          <w:t>http://www.itu.int/pub/R-SP-LM.V-2011</w:t>
        </w:r>
      </w:hyperlink>
      <w:r w:rsidRPr="00ED3DC3">
        <w:rPr>
          <w:iCs/>
          <w:szCs w:val="22"/>
        </w:rPr>
        <w:t>)</w:t>
      </w:r>
      <w:r>
        <w:rPr>
          <w:iCs/>
          <w:szCs w:val="22"/>
        </w:rPr>
        <w:t>.</w:t>
      </w:r>
    </w:p>
    <w:p w:rsidR="00F55714" w:rsidRPr="0097585F" w:rsidRDefault="00F55714" w:rsidP="00607A5D">
      <w:pPr>
        <w:pStyle w:val="Heading2"/>
      </w:pPr>
      <w:r w:rsidRPr="00307017">
        <w:t>3.7</w:t>
      </w:r>
      <w:r w:rsidRPr="00307017">
        <w:tab/>
      </w:r>
      <w:r w:rsidR="00607A5D" w:rsidRPr="00307017">
        <w:t>M</w:t>
      </w:r>
      <w:r w:rsidRPr="00307017">
        <w:t xml:space="preserve">éthodes de travail pour les réunions électroniques </w:t>
      </w:r>
      <w:r w:rsidRPr="0097585F">
        <w:t>(</w:t>
      </w:r>
      <w:hyperlink r:id="rId24" w:anchor="res167" w:history="1">
        <w:r w:rsidR="00607A5D" w:rsidRPr="004D4C01">
          <w:rPr>
            <w:rStyle w:val="Hyperlink"/>
            <w:rFonts w:asciiTheme="majorBidi" w:hAnsiTheme="majorBidi" w:cstheme="majorBidi"/>
            <w:bCs/>
          </w:rPr>
          <w:t>R</w:t>
        </w:r>
        <w:r w:rsidR="00607A5D">
          <w:rPr>
            <w:rStyle w:val="Hyperlink"/>
            <w:rFonts w:asciiTheme="majorBidi" w:hAnsiTheme="majorBidi" w:cstheme="majorBidi"/>
            <w:bCs/>
          </w:rPr>
          <w:t>é</w:t>
        </w:r>
        <w:r w:rsidR="00607A5D" w:rsidRPr="004D4C01">
          <w:rPr>
            <w:rStyle w:val="Hyperlink"/>
            <w:rFonts w:asciiTheme="majorBidi" w:hAnsiTheme="majorBidi" w:cstheme="majorBidi"/>
            <w:bCs/>
          </w:rPr>
          <w:t>solu</w:t>
        </w:r>
        <w:r w:rsidR="00607A5D">
          <w:rPr>
            <w:rStyle w:val="Hyperlink"/>
            <w:rFonts w:asciiTheme="majorBidi" w:hAnsiTheme="majorBidi" w:cstheme="majorBidi"/>
            <w:bCs/>
          </w:rPr>
          <w:t>tio</w:t>
        </w:r>
        <w:r w:rsidR="00E74F59">
          <w:rPr>
            <w:rStyle w:val="Hyperlink"/>
            <w:rFonts w:asciiTheme="majorBidi" w:hAnsiTheme="majorBidi" w:cstheme="majorBidi"/>
            <w:bCs/>
          </w:rPr>
          <w:t>n 167 (Guadalajara, </w:t>
        </w:r>
        <w:r w:rsidR="00607A5D" w:rsidRPr="004D4C01">
          <w:rPr>
            <w:rStyle w:val="Hyperlink"/>
            <w:rFonts w:asciiTheme="majorBidi" w:hAnsiTheme="majorBidi" w:cstheme="majorBidi"/>
            <w:bCs/>
          </w:rPr>
          <w:t>2010)</w:t>
        </w:r>
      </w:hyperlink>
      <w:r w:rsidRPr="00307017">
        <w:t>)</w:t>
      </w:r>
    </w:p>
    <w:p w:rsidR="00F55714" w:rsidRDefault="00D118D6" w:rsidP="00607A5D">
      <w:r>
        <w:rPr>
          <w:iCs/>
          <w:szCs w:val="22"/>
        </w:rPr>
        <w:t>E</w:t>
      </w:r>
      <w:r w:rsidR="00F55714" w:rsidRPr="0097585F">
        <w:rPr>
          <w:iCs/>
          <w:szCs w:val="22"/>
        </w:rPr>
        <w:t xml:space="preserve">tant donné </w:t>
      </w:r>
      <w:r w:rsidR="00F55714" w:rsidRPr="00ED70F6">
        <w:t xml:space="preserve">que l'évolution des techniques et des moyens concernant la tenue de réunions électroniques et le perfectionnement des méthodes de travail électroniques </w:t>
      </w:r>
      <w:r w:rsidR="00F55714" w:rsidRPr="00ED70F6">
        <w:rPr>
          <w:lang w:eastAsia="ko-KR"/>
        </w:rPr>
        <w:t>permett</w:t>
      </w:r>
      <w:r>
        <w:rPr>
          <w:lang w:eastAsia="ko-KR"/>
        </w:rPr>
        <w:t>e</w:t>
      </w:r>
      <w:r w:rsidR="00F55714" w:rsidRPr="00ED70F6">
        <w:rPr>
          <w:lang w:eastAsia="ko-KR"/>
        </w:rPr>
        <w:t>nt une collaboration plus ouverte, rapide et facile entre les participants aux travaux de l'UIT, qui ne nécessite</w:t>
      </w:r>
      <w:r>
        <w:rPr>
          <w:lang w:eastAsia="ko-KR"/>
        </w:rPr>
        <w:t xml:space="preserve"> </w:t>
      </w:r>
      <w:r w:rsidR="00F55714" w:rsidRPr="00ED70F6">
        <w:rPr>
          <w:lang w:eastAsia="ko-KR"/>
        </w:rPr>
        <w:t>pas</w:t>
      </w:r>
      <w:r>
        <w:rPr>
          <w:lang w:eastAsia="ko-KR"/>
        </w:rPr>
        <w:t xml:space="preserve"> </w:t>
      </w:r>
      <w:r w:rsidR="0029702C">
        <w:rPr>
          <w:lang w:eastAsia="ko-KR"/>
        </w:rPr>
        <w:t>forcément</w:t>
      </w:r>
      <w:r w:rsidR="00F55714" w:rsidRPr="00ED70F6">
        <w:rPr>
          <w:lang w:eastAsia="ko-KR"/>
        </w:rPr>
        <w:t xml:space="preserve"> de documents sur papier,</w:t>
      </w:r>
      <w:r w:rsidR="00F55714">
        <w:rPr>
          <w:lang w:eastAsia="ko-KR"/>
        </w:rPr>
        <w:t xml:space="preserve"> la </w:t>
      </w:r>
      <w:r w:rsidR="00E84F1C">
        <w:rPr>
          <w:lang w:eastAsia="ko-KR"/>
        </w:rPr>
        <w:t>PP</w:t>
      </w:r>
      <w:r w:rsidR="00607A5D">
        <w:rPr>
          <w:lang w:eastAsia="ko-KR"/>
        </w:rPr>
        <w:t>-</w:t>
      </w:r>
      <w:r w:rsidR="00E84F1C">
        <w:rPr>
          <w:lang w:eastAsia="ko-KR"/>
        </w:rPr>
        <w:t>10</w:t>
      </w:r>
      <w:r w:rsidR="00F55714">
        <w:rPr>
          <w:lang w:eastAsia="ko-KR"/>
        </w:rPr>
        <w:t xml:space="preserve"> a décidé, par sa </w:t>
      </w:r>
      <w:r w:rsidR="00607A5D" w:rsidRPr="004D4C01">
        <w:t>R</w:t>
      </w:r>
      <w:r w:rsidR="00607A5D">
        <w:t>é</w:t>
      </w:r>
      <w:r w:rsidR="00607A5D" w:rsidRPr="004D4C01">
        <w:t>solu</w:t>
      </w:r>
      <w:r w:rsidR="00607A5D">
        <w:t>tio</w:t>
      </w:r>
      <w:r w:rsidR="00607A5D" w:rsidRPr="004D4C01">
        <w:t>n 167 (Guadalajara, 2010)</w:t>
      </w:r>
      <w:r w:rsidR="00F55714">
        <w:rPr>
          <w:rFonts w:asciiTheme="majorBidi" w:hAnsiTheme="majorBidi" w:cstheme="majorBidi"/>
        </w:rPr>
        <w:t xml:space="preserve">, </w:t>
      </w:r>
      <w:r w:rsidR="00F55714" w:rsidRPr="00ED70F6">
        <w:t xml:space="preserve">que l'UIT </w:t>
      </w:r>
      <w:r w:rsidR="00F55714">
        <w:t xml:space="preserve">devait </w:t>
      </w:r>
      <w:r w:rsidR="00F55714" w:rsidRPr="00ED70F6">
        <w:t>perfectionner encore ses moyens et ses capacités de participation à distance, par voie électronique, aux réunions appropriées de l'Union,</w:t>
      </w:r>
      <w:r w:rsidR="00F55714">
        <w:t xml:space="preserve"> </w:t>
      </w:r>
      <w:r w:rsidR="00F55714" w:rsidRPr="00ED70F6">
        <w:t>continuer de perfectionner ses méthodes de travail électroniques concernant l'élaboration, la distribution ainsi que l</w:t>
      </w:r>
      <w:r w:rsidR="00F55714">
        <w:t>'approbation des documents et</w:t>
      </w:r>
      <w:r w:rsidR="00F55714" w:rsidRPr="00ED70F6">
        <w:t xml:space="preserve"> promouvoir la tenue de réunions sans papier, </w:t>
      </w:r>
      <w:r w:rsidR="00E84F1C">
        <w:t>et a donné</w:t>
      </w:r>
      <w:r w:rsidR="00F55714">
        <w:t xml:space="preserve"> des instructions relatives à l'utilisation des hyperliens dans les documents de l'UIT (ces instructions ne sont pas applicables aux résultats des travaux des commissions d'études).</w:t>
      </w:r>
    </w:p>
    <w:p w:rsidR="00F55714" w:rsidRPr="00ED70F6" w:rsidRDefault="00E84F1C" w:rsidP="00E84F1C">
      <w:r w:rsidRPr="0097585F">
        <w:t>L</w:t>
      </w:r>
      <w:r>
        <w:t>a PP-10 a</w:t>
      </w:r>
      <w:r w:rsidR="00F55714" w:rsidRPr="0097585F">
        <w:t xml:space="preserve"> demandé que le GCR soit </w:t>
      </w:r>
      <w:r w:rsidR="00F55714">
        <w:t>associé</w:t>
      </w:r>
      <w:r w:rsidR="00F55714" w:rsidRPr="00ED70F6">
        <w:t xml:space="preserve"> à l'évaluation de l'utilisation</w:t>
      </w:r>
      <w:r w:rsidR="00F55714">
        <w:t xml:space="preserve"> des réunions électroniques et </w:t>
      </w:r>
      <w:r>
        <w:t>l'a chargé de</w:t>
      </w:r>
      <w:r w:rsidR="00F55714">
        <w:t xml:space="preserve"> perfectionne</w:t>
      </w:r>
      <w:r>
        <w:t>r</w:t>
      </w:r>
      <w:r w:rsidR="00F55714" w:rsidRPr="00ED70F6">
        <w:t xml:space="preserve"> les procédures et les règles associées aux réunions électroniques, </w:t>
      </w:r>
      <w:r>
        <w:rPr>
          <w:lang w:val="fr-CH"/>
        </w:rPr>
        <w:t>y compris</w:t>
      </w:r>
      <w:r>
        <w:t xml:space="preserve"> </w:t>
      </w:r>
      <w:r>
        <w:rPr>
          <w:lang w:val="fr-CH"/>
        </w:rPr>
        <w:t>en ce qui concerne</w:t>
      </w:r>
      <w:r>
        <w:t xml:space="preserve"> </w:t>
      </w:r>
      <w:r w:rsidR="00F55714">
        <w:t>les aspe</w:t>
      </w:r>
      <w:r>
        <w:t>cts juridiques. En outre, la PP</w:t>
      </w:r>
      <w:r>
        <w:noBreakHyphen/>
      </w:r>
      <w:r w:rsidR="00F55714">
        <w:t xml:space="preserve">10 </w:t>
      </w:r>
      <w:r w:rsidR="0029702C">
        <w:t>a</w:t>
      </w:r>
      <w:r w:rsidR="00F55714">
        <w:t xml:space="preserve"> chargé le </w:t>
      </w:r>
      <w:r w:rsidR="00607A5D">
        <w:t>D</w:t>
      </w:r>
      <w:r w:rsidR="00F55714">
        <w:t xml:space="preserve">irecteur du BR </w:t>
      </w:r>
      <w:r w:rsidR="00F55714" w:rsidRPr="00ED70F6">
        <w:t xml:space="preserve">de prendre des mesures, après consultation </w:t>
      </w:r>
      <w:r w:rsidR="00F55714">
        <w:t>du GCR</w:t>
      </w:r>
      <w:r w:rsidR="00F55714" w:rsidRPr="00ED70F6">
        <w:t>, afin de mettre à disposition des moyens appropriés de participation ou d'observation par voie électronique lors des réunions des Secteurs, à l'intention des délégués qui ne sont pas en mesure de participer aux réunions présentielles</w:t>
      </w:r>
      <w:r w:rsidR="00607A5D">
        <w:t>.</w:t>
      </w:r>
    </w:p>
    <w:p w:rsidR="00F55714" w:rsidRPr="00F065DF" w:rsidRDefault="00376698" w:rsidP="00376698">
      <w:r>
        <w:t>L</w:t>
      </w:r>
      <w:r w:rsidR="00F55714">
        <w:t xml:space="preserve">e rapport du </w:t>
      </w:r>
      <w:r>
        <w:t>G</w:t>
      </w:r>
      <w:r w:rsidR="00F55714">
        <w:t xml:space="preserve">roupe de travail par correspondance du GCR sur les méthodes de travail électroniques </w:t>
      </w:r>
      <w:r w:rsidR="00F55714" w:rsidRPr="0097585F">
        <w:t xml:space="preserve">(Document RAG11-1/5) </w:t>
      </w:r>
      <w:r w:rsidR="00F55714">
        <w:t xml:space="preserve">donne des renseignements sur les mesures prises à cet égard. </w:t>
      </w:r>
    </w:p>
    <w:p w:rsidR="00F55714" w:rsidRPr="00C920DB" w:rsidRDefault="00F55714" w:rsidP="00C86D68">
      <w:pPr>
        <w:pStyle w:val="Heading2"/>
      </w:pPr>
      <w:r w:rsidRPr="00307017">
        <w:t>3.8</w:t>
      </w:r>
      <w:r w:rsidRPr="00307017">
        <w:tab/>
        <w:t xml:space="preserve">Contributions et inscription </w:t>
      </w:r>
      <w:r w:rsidRPr="00C920DB">
        <w:t>(</w:t>
      </w:r>
      <w:hyperlink r:id="rId25" w:anchor="res165" w:history="1">
        <w:r w:rsidR="00E90634" w:rsidRPr="00376698">
          <w:rPr>
            <w:rStyle w:val="Hyperlink"/>
          </w:rPr>
          <w:t>Résolution</w:t>
        </w:r>
        <w:r w:rsidRPr="00376698">
          <w:rPr>
            <w:rStyle w:val="Hyperlink"/>
          </w:rPr>
          <w:t xml:space="preserve"> 165 (Guadalajara, 2010)</w:t>
        </w:r>
      </w:hyperlink>
      <w:r w:rsidRPr="00C920DB">
        <w:t>)</w:t>
      </w:r>
    </w:p>
    <w:p w:rsidR="00F55714" w:rsidRPr="00F065DF" w:rsidRDefault="00376698" w:rsidP="00BB0C93">
      <w:pPr>
        <w:spacing w:before="100"/>
      </w:pPr>
      <w:r w:rsidRPr="00C920DB">
        <w:t>P</w:t>
      </w:r>
      <w:r w:rsidR="00F55714" w:rsidRPr="00C920DB">
        <w:t xml:space="preserve">ar sa </w:t>
      </w:r>
      <w:r w:rsidR="00E90634">
        <w:t>Résolution</w:t>
      </w:r>
      <w:r w:rsidR="00F55714" w:rsidRPr="00C920DB">
        <w:t xml:space="preserve"> 165 (Guadalajara, 2010), la PP-10 a </w:t>
      </w:r>
      <w:r w:rsidR="0029702C" w:rsidRPr="00C920DB">
        <w:t>décidé</w:t>
      </w:r>
      <w:r w:rsidR="00F55714" w:rsidRPr="00C920DB">
        <w:t xml:space="preserve"> </w:t>
      </w:r>
      <w:r w:rsidR="00F55714" w:rsidRPr="00ED70F6">
        <w:t xml:space="preserve">d'établir un délai fixe pour la présentation de toutes les contributions, d'au plus tard </w:t>
      </w:r>
      <w:r w:rsidR="00F55714" w:rsidRPr="00607A5D">
        <w:rPr>
          <w:b/>
          <w:bCs/>
        </w:rPr>
        <w:t>quatorze jours calendaires</w:t>
      </w:r>
      <w:r w:rsidR="00F55714" w:rsidRPr="00ED70F6">
        <w:t xml:space="preserve"> avant l'ouverture des conférences et assemblées de l'Union, afin de pouvoir assurer leur traduction dans les délais voulus et leur examen approfondi par</w:t>
      </w:r>
      <w:r>
        <w:t xml:space="preserve"> les délégations.</w:t>
      </w:r>
    </w:p>
    <w:p w:rsidR="00F55714" w:rsidRPr="00ED70F6" w:rsidRDefault="00376698" w:rsidP="00376698">
      <w:r w:rsidRPr="00C920DB">
        <w:t>L</w:t>
      </w:r>
      <w:r w:rsidR="00F55714" w:rsidRPr="00C920DB">
        <w:t xml:space="preserve">a PP-10 a également chargé le </w:t>
      </w:r>
      <w:r w:rsidRPr="00C920DB">
        <w:t>S</w:t>
      </w:r>
      <w:r w:rsidR="00F55714" w:rsidRPr="00C920DB">
        <w:t xml:space="preserve">ecrétaire général, après consultation des </w:t>
      </w:r>
      <w:r w:rsidRPr="00C920DB">
        <w:t>D</w:t>
      </w:r>
      <w:r w:rsidR="00F55714" w:rsidRPr="00C920DB">
        <w:t xml:space="preserve">irecteurs des </w:t>
      </w:r>
      <w:r w:rsidRPr="00C920DB">
        <w:t>B</w:t>
      </w:r>
      <w:r w:rsidR="00F55714" w:rsidRPr="00C920DB">
        <w:t xml:space="preserve">ureaux, </w:t>
      </w:r>
      <w:r w:rsidR="00F55714" w:rsidRPr="00ED70F6">
        <w:t>d'ét</w:t>
      </w:r>
      <w:r>
        <w:t>udier, conjointement avec les groupes consultatifs des Secteurs, le cas échéant, la question de l'harmonisation des délais de présentation des propositions et des procédures régissant l'inscription aux réunions de l'Union.</w:t>
      </w:r>
    </w:p>
    <w:p w:rsidR="00F55714" w:rsidRDefault="00F55714" w:rsidP="007E64C0">
      <w:r w:rsidRPr="00C920DB">
        <w:t xml:space="preserve">Il convient de noter qu'au § 8.3 de la </w:t>
      </w:r>
      <w:r w:rsidR="00E90634">
        <w:t>Résolution</w:t>
      </w:r>
      <w:r w:rsidRPr="00C920DB">
        <w:t xml:space="preserve"> </w:t>
      </w:r>
      <w:r>
        <w:t>UIT</w:t>
      </w:r>
      <w:r w:rsidRPr="00C920DB">
        <w:t xml:space="preserve">-R 1-5 les instructions ci-après sont données concernant </w:t>
      </w:r>
      <w:r>
        <w:t>les dates limite</w:t>
      </w:r>
      <w:r w:rsidR="007E64C0">
        <w:t>s</w:t>
      </w:r>
      <w:r>
        <w:t xml:space="preserve"> de soumission des contributions</w:t>
      </w:r>
      <w:r w:rsidR="00F0031C">
        <w:t>:</w:t>
      </w:r>
    </w:p>
    <w:p w:rsidR="00BB0C93" w:rsidRDefault="00BB0C93" w:rsidP="00BB0C93">
      <w:pPr>
        <w:spacing w:before="0"/>
      </w:pPr>
    </w:p>
    <w:tbl>
      <w:tblPr>
        <w:tblStyle w:val="TableGrid"/>
        <w:tblW w:w="0" w:type="auto"/>
        <w:shd w:val="pct5" w:color="auto" w:fill="auto"/>
        <w:tblLook w:val="04A0" w:firstRow="1" w:lastRow="0" w:firstColumn="1" w:lastColumn="0" w:noHBand="0" w:noVBand="1"/>
      </w:tblPr>
      <w:tblGrid>
        <w:gridCol w:w="9576"/>
      </w:tblGrid>
      <w:tr w:rsidR="00607A5D" w:rsidRPr="00607A5D" w:rsidTr="00607A5D">
        <w:tc>
          <w:tcPr>
            <w:tcW w:w="9576" w:type="dxa"/>
            <w:shd w:val="pct5" w:color="auto" w:fill="auto"/>
          </w:tcPr>
          <w:p w:rsidR="00607A5D" w:rsidRPr="00607A5D" w:rsidRDefault="00607A5D" w:rsidP="00BB0C93">
            <w:pPr>
              <w:spacing w:before="100"/>
              <w:rPr>
                <w:sz w:val="22"/>
                <w:szCs w:val="22"/>
              </w:rPr>
            </w:pPr>
            <w:r w:rsidRPr="00607A5D">
              <w:rPr>
                <w:bCs/>
                <w:sz w:val="22"/>
                <w:szCs w:val="22"/>
                <w:lang w:val="fr-CH" w:eastAsia="zh-CN"/>
              </w:rPr>
              <w:t>«P</w:t>
            </w:r>
            <w:r w:rsidRPr="00607A5D">
              <w:rPr>
                <w:bCs/>
                <w:sz w:val="22"/>
                <w:szCs w:val="22"/>
              </w:rPr>
              <w:t xml:space="preserve">our </w:t>
            </w:r>
            <w:r w:rsidRPr="00607A5D">
              <w:rPr>
                <w:sz w:val="22"/>
                <w:szCs w:val="22"/>
              </w:rPr>
              <w:t xml:space="preserve">les réunions de tous les groupes (commissions d'études, groupes de travail, groupes d'action, etc.), les délais suivants s'appliquent pour la présentation des contributions: </w:t>
            </w:r>
          </w:p>
          <w:p w:rsidR="00607A5D" w:rsidRPr="00607A5D" w:rsidRDefault="00607A5D" w:rsidP="00607A5D">
            <w:pPr>
              <w:pStyle w:val="enumlev1"/>
              <w:rPr>
                <w:sz w:val="22"/>
                <w:szCs w:val="22"/>
              </w:rPr>
            </w:pPr>
            <w:r w:rsidRPr="00607A5D">
              <w:rPr>
                <w:sz w:val="22"/>
                <w:szCs w:val="22"/>
              </w:rPr>
              <w:t>–</w:t>
            </w:r>
            <w:r w:rsidRPr="00607A5D">
              <w:rPr>
                <w:sz w:val="22"/>
                <w:szCs w:val="22"/>
              </w:rPr>
              <w:tab/>
            </w:r>
            <w:r w:rsidRPr="00607A5D">
              <w:rPr>
                <w:i/>
                <w:iCs/>
                <w:sz w:val="22"/>
                <w:szCs w:val="22"/>
              </w:rPr>
              <w:t>lorsqu'une traduction est demandée,</w:t>
            </w:r>
            <w:r w:rsidRPr="00607A5D">
              <w:rPr>
                <w:sz w:val="22"/>
                <w:szCs w:val="22"/>
              </w:rPr>
              <w:t xml:space="preserve"> les contributions devraient parvenir au moins </w:t>
            </w:r>
            <w:r w:rsidRPr="00607A5D">
              <w:rPr>
                <w:b/>
                <w:bCs/>
                <w:sz w:val="22"/>
                <w:szCs w:val="22"/>
              </w:rPr>
              <w:t>trois mois</w:t>
            </w:r>
            <w:r w:rsidRPr="00607A5D">
              <w:rPr>
                <w:sz w:val="22"/>
                <w:szCs w:val="22"/>
              </w:rPr>
              <w:t xml:space="preserve"> avant la réunion, pour pouvoir être mises à disposition au plus tard quatre semaines avant le début de celle-ci. Pour les contributions qui parviennent tardivement, le secrétariat ne peut garantir que le document sera disponible à l'ouverture de la réunion dans toutes les langues requises; </w:t>
            </w:r>
          </w:p>
          <w:p w:rsidR="00607A5D" w:rsidRPr="00607A5D" w:rsidRDefault="00607A5D" w:rsidP="00607A5D">
            <w:pPr>
              <w:pStyle w:val="enumlev1"/>
              <w:rPr>
                <w:sz w:val="22"/>
                <w:szCs w:val="22"/>
              </w:rPr>
            </w:pPr>
            <w:r w:rsidRPr="00607A5D">
              <w:rPr>
                <w:sz w:val="22"/>
                <w:szCs w:val="22"/>
              </w:rPr>
              <w:t>–</w:t>
            </w:r>
            <w:r w:rsidRPr="00607A5D">
              <w:rPr>
                <w:sz w:val="22"/>
                <w:szCs w:val="22"/>
              </w:rPr>
              <w:tab/>
              <w:t xml:space="preserve">dans les autres cas, </w:t>
            </w:r>
            <w:r w:rsidRPr="00607A5D">
              <w:rPr>
                <w:i/>
                <w:iCs/>
                <w:sz w:val="22"/>
                <w:szCs w:val="22"/>
              </w:rPr>
              <w:t>pour les documents dont la traduction n'est pas demandée</w:t>
            </w:r>
            <w:r w:rsidRPr="00607A5D">
              <w:rPr>
                <w:sz w:val="22"/>
                <w:szCs w:val="22"/>
              </w:rPr>
              <w:t xml:space="preserve">, les contributions (y compris les révisions, les Addenda et les Corrigenda aux contributions) reçues avant 16 heures UTC, </w:t>
            </w:r>
            <w:r w:rsidRPr="00607A5D">
              <w:rPr>
                <w:b/>
                <w:bCs/>
                <w:sz w:val="22"/>
                <w:szCs w:val="22"/>
              </w:rPr>
              <w:t>sept jours civils</w:t>
            </w:r>
            <w:r w:rsidRPr="00607A5D">
              <w:rPr>
                <w:sz w:val="22"/>
                <w:szCs w:val="22"/>
              </w:rPr>
              <w:t xml:space="preserve"> avant le début de la réunion sont mises à disposition pour l'ouverture de la réunion. Ce délai ne s'applique qu'aux contributions d'Etats Membres, de Membres de Secteur et d'Associés.</w:t>
            </w:r>
          </w:p>
          <w:p w:rsidR="00607A5D" w:rsidRPr="00607A5D" w:rsidRDefault="00607A5D" w:rsidP="00607A5D">
            <w:pPr>
              <w:rPr>
                <w:rFonts w:asciiTheme="majorBidi" w:hAnsiTheme="majorBidi" w:cstheme="majorBidi"/>
                <w:sz w:val="22"/>
                <w:lang w:val="fr-CH"/>
              </w:rPr>
            </w:pPr>
            <w:r w:rsidRPr="00607A5D">
              <w:rPr>
                <w:sz w:val="22"/>
                <w:szCs w:val="22"/>
              </w:rPr>
              <w:t>Le secrétariat ne peut accepter les documents présentés après le délai indiqué ci-dessus. Les documents qui ne sont pas disponibles à l'ouverture de la réunion ne peuvent être examinés en séance.</w:t>
            </w:r>
            <w:r w:rsidRPr="00607A5D">
              <w:rPr>
                <w:b/>
                <w:sz w:val="22"/>
                <w:szCs w:val="22"/>
                <w:lang w:val="fr-CH" w:eastAsia="zh-CN"/>
              </w:rPr>
              <w:t>»</w:t>
            </w:r>
          </w:p>
        </w:tc>
      </w:tr>
    </w:tbl>
    <w:p w:rsidR="00F55714" w:rsidRDefault="007E64C0" w:rsidP="007E64C0">
      <w:pPr>
        <w:rPr>
          <w:rFonts w:asciiTheme="minorHAnsi" w:hAnsiTheme="minorHAnsi"/>
          <w:lang w:val="fr-CH"/>
        </w:rPr>
      </w:pPr>
      <w:r w:rsidRPr="007E64C0">
        <w:rPr>
          <w:rFonts w:asciiTheme="majorBidi" w:hAnsiTheme="majorBidi" w:cstheme="majorBidi"/>
        </w:rPr>
        <w:t>Conformément au numéro </w:t>
      </w:r>
      <w:r w:rsidR="00F55714" w:rsidRPr="007E64C0">
        <w:rPr>
          <w:rFonts w:asciiTheme="majorBidi" w:hAnsiTheme="majorBidi" w:cstheme="majorBidi"/>
        </w:rPr>
        <w:t xml:space="preserve">40 des </w:t>
      </w:r>
      <w:r w:rsidRPr="007E64C0">
        <w:rPr>
          <w:rFonts w:asciiTheme="majorBidi" w:hAnsiTheme="majorBidi" w:cstheme="majorBidi"/>
        </w:rPr>
        <w:t>R</w:t>
      </w:r>
      <w:r w:rsidR="00F55714" w:rsidRPr="007E64C0">
        <w:rPr>
          <w:rFonts w:asciiTheme="majorBidi" w:hAnsiTheme="majorBidi" w:cstheme="majorBidi"/>
        </w:rPr>
        <w:t>ègles générales (RG),</w:t>
      </w:r>
      <w:r w:rsidR="00F55714" w:rsidRPr="007E64C0">
        <w:rPr>
          <w:rFonts w:asciiTheme="majorBidi" w:hAnsiTheme="majorBidi" w:cstheme="majorBidi"/>
          <w:lang w:val="fr-CH"/>
        </w:rPr>
        <w:t xml:space="preserve"> </w:t>
      </w:r>
      <w:r>
        <w:rPr>
          <w:rFonts w:asciiTheme="majorBidi" w:hAnsiTheme="majorBidi" w:cstheme="majorBidi"/>
          <w:lang w:val="fr-CH"/>
        </w:rPr>
        <w:t xml:space="preserve">les </w:t>
      </w:r>
      <w:r w:rsidR="00F55714" w:rsidRPr="007E64C0">
        <w:rPr>
          <w:rFonts w:asciiTheme="majorBidi" w:hAnsiTheme="majorBidi" w:cstheme="majorBidi"/>
          <w:lang w:val="fr-CH"/>
        </w:rPr>
        <w:t xml:space="preserve">Etats Membres </w:t>
      </w:r>
      <w:r>
        <w:rPr>
          <w:rFonts w:asciiTheme="majorBidi" w:hAnsiTheme="majorBidi" w:cstheme="majorBidi"/>
          <w:lang w:val="fr-CH"/>
        </w:rPr>
        <w:t xml:space="preserve">sont priés </w:t>
      </w:r>
      <w:r w:rsidR="00F55714" w:rsidRPr="007E64C0">
        <w:rPr>
          <w:rFonts w:asciiTheme="majorBidi" w:hAnsiTheme="majorBidi" w:cstheme="majorBidi"/>
          <w:lang w:val="fr-CH"/>
        </w:rPr>
        <w:t>de soumettre au moins quatre mois avant la date d'ouverture de la conférence leurs propositions pour les travaux de la conférence. Le numéro 82 des</w:t>
      </w:r>
      <w:r>
        <w:rPr>
          <w:rFonts w:asciiTheme="majorBidi" w:hAnsiTheme="majorBidi" w:cstheme="majorBidi"/>
          <w:lang w:val="fr-CH"/>
        </w:rPr>
        <w:t xml:space="preserve">dites </w:t>
      </w:r>
      <w:r w:rsidRPr="007E64C0">
        <w:rPr>
          <w:rFonts w:asciiTheme="majorBidi" w:hAnsiTheme="majorBidi" w:cstheme="majorBidi"/>
          <w:lang w:val="fr-CH"/>
        </w:rPr>
        <w:t>R</w:t>
      </w:r>
      <w:r w:rsidR="00F55714" w:rsidRPr="007E64C0">
        <w:rPr>
          <w:rFonts w:asciiTheme="majorBidi" w:hAnsiTheme="majorBidi" w:cstheme="majorBidi"/>
          <w:lang w:val="fr-CH"/>
        </w:rPr>
        <w:t>ègles dispose que les propositions ou amendements présentés après l'ouverture de la conférence sont remis au président de la conférence, au président de la commission compétente ou au secrétariat de la conférence aux fins de publication et de distribution comme documents de conférence</w:t>
      </w:r>
      <w:r w:rsidR="00F55714" w:rsidRPr="00111CEE">
        <w:rPr>
          <w:rFonts w:asciiTheme="minorHAnsi" w:hAnsiTheme="minorHAnsi"/>
          <w:lang w:val="fr-CH"/>
        </w:rPr>
        <w:t>.</w:t>
      </w:r>
    </w:p>
    <w:p w:rsidR="00F55714" w:rsidRPr="00F065DF" w:rsidRDefault="007E64C0" w:rsidP="00607A5D">
      <w:pPr>
        <w:keepLines/>
        <w:tabs>
          <w:tab w:val="left" w:pos="720"/>
        </w:tabs>
        <w:rPr>
          <w:szCs w:val="24"/>
        </w:rPr>
      </w:pPr>
      <w:r>
        <w:rPr>
          <w:szCs w:val="24"/>
          <w:lang w:val="fr-CH"/>
        </w:rPr>
        <w:t xml:space="preserve">En </w:t>
      </w:r>
      <w:r w:rsidR="00F55714" w:rsidRPr="00A9321A">
        <w:rPr>
          <w:szCs w:val="24"/>
          <w:lang w:val="fr-CH"/>
        </w:rPr>
        <w:t xml:space="preserve">application de la </w:t>
      </w:r>
      <w:r w:rsidR="00E90634">
        <w:rPr>
          <w:szCs w:val="24"/>
          <w:lang w:val="fr-CH"/>
        </w:rPr>
        <w:t>Résolution</w:t>
      </w:r>
      <w:r w:rsidR="00F55714" w:rsidRPr="00A9321A">
        <w:rPr>
          <w:szCs w:val="24"/>
          <w:lang w:val="fr-CH"/>
        </w:rPr>
        <w:t xml:space="preserve"> 165,</w:t>
      </w:r>
      <w:r w:rsidR="00F55714" w:rsidRPr="00A9321A">
        <w:rPr>
          <w:lang w:val="fr-CH"/>
        </w:rPr>
        <w:t xml:space="preserve"> le </w:t>
      </w:r>
      <w:hyperlink r:id="rId26" w:history="1">
        <w:r w:rsidR="00607A5D" w:rsidRPr="004D4C01">
          <w:rPr>
            <w:rStyle w:val="Hyperlink"/>
            <w:szCs w:val="24"/>
          </w:rPr>
          <w:t>G</w:t>
        </w:r>
      </w:hyperlink>
      <w:r w:rsidR="00607A5D">
        <w:rPr>
          <w:rStyle w:val="Hyperlink"/>
          <w:szCs w:val="24"/>
        </w:rPr>
        <w:t>C</w:t>
      </w:r>
      <w:r w:rsidR="00607A5D" w:rsidRPr="004D4C01">
        <w:rPr>
          <w:rStyle w:val="Hyperlink"/>
          <w:szCs w:val="24"/>
        </w:rPr>
        <w:t>NT</w:t>
      </w:r>
      <w:r w:rsidR="00F55714" w:rsidRPr="00A9321A">
        <w:rPr>
          <w:lang w:val="fr-CH"/>
        </w:rPr>
        <w:t xml:space="preserve"> </w:t>
      </w:r>
      <w:r>
        <w:rPr>
          <w:szCs w:val="24"/>
          <w:lang w:val="fr-CH"/>
        </w:rPr>
        <w:t>(8-11 </w:t>
      </w:r>
      <w:r w:rsidR="00F55714" w:rsidRPr="00A9321A">
        <w:rPr>
          <w:szCs w:val="24"/>
          <w:lang w:val="fr-CH"/>
        </w:rPr>
        <w:t>février 2011)</w:t>
      </w:r>
      <w:r w:rsidR="00F55714" w:rsidRPr="00A9321A">
        <w:rPr>
          <w:color w:val="1F497D"/>
          <w:szCs w:val="24"/>
          <w:lang w:val="fr-CH"/>
        </w:rPr>
        <w:t xml:space="preserve"> </w:t>
      </w:r>
      <w:r w:rsidRPr="007E64C0">
        <w:rPr>
          <w:szCs w:val="24"/>
          <w:lang w:val="fr-CH"/>
        </w:rPr>
        <w:t>a</w:t>
      </w:r>
      <w:r w:rsidR="00F55714" w:rsidRPr="007E64C0">
        <w:rPr>
          <w:szCs w:val="24"/>
          <w:lang w:val="fr-CH"/>
        </w:rPr>
        <w:t xml:space="preserve"> décidé de charger un </w:t>
      </w:r>
      <w:r w:rsidR="000C5CC4" w:rsidRPr="007E64C0">
        <w:rPr>
          <w:szCs w:val="24"/>
          <w:lang w:val="fr-CH"/>
        </w:rPr>
        <w:t>G</w:t>
      </w:r>
      <w:r w:rsidR="00F55714" w:rsidRPr="007E64C0">
        <w:rPr>
          <w:szCs w:val="24"/>
          <w:lang w:val="fr-CH"/>
        </w:rPr>
        <w:t xml:space="preserve">roupe de travail par correspondance sur les délais </w:t>
      </w:r>
      <w:r w:rsidR="000C5CC4">
        <w:rPr>
          <w:szCs w:val="24"/>
          <w:lang w:val="fr-CH"/>
        </w:rPr>
        <w:t>de présentation et les procédures</w:t>
      </w:r>
      <w:r w:rsidR="00F55714" w:rsidRPr="007E64C0">
        <w:rPr>
          <w:szCs w:val="24"/>
          <w:lang w:val="fr-CH"/>
        </w:rPr>
        <w:t xml:space="preserve"> </w:t>
      </w:r>
      <w:r w:rsidR="000C5CC4">
        <w:rPr>
          <w:szCs w:val="24"/>
          <w:lang w:val="fr-CH"/>
        </w:rPr>
        <w:t>d</w:t>
      </w:r>
      <w:r w:rsidR="00F55714" w:rsidRPr="007E64C0">
        <w:rPr>
          <w:szCs w:val="24"/>
          <w:lang w:val="fr-CH"/>
        </w:rPr>
        <w:t>'inscription</w:t>
      </w:r>
      <w:r w:rsidR="000C5CC4">
        <w:rPr>
          <w:szCs w:val="24"/>
          <w:lang w:val="fr-CH"/>
        </w:rPr>
        <w:t xml:space="preserve"> d'</w:t>
      </w:r>
      <w:r w:rsidR="00F55714" w:rsidRPr="007E64C0">
        <w:rPr>
          <w:szCs w:val="24"/>
          <w:lang w:val="fr-CH"/>
        </w:rPr>
        <w:t>examiner la possibilité d'harmoniser les délais et l</w:t>
      </w:r>
      <w:r w:rsidR="000C5CC4">
        <w:rPr>
          <w:szCs w:val="24"/>
          <w:lang w:val="fr-CH"/>
        </w:rPr>
        <w:t>es procédures d</w:t>
      </w:r>
      <w:r w:rsidR="00F55714" w:rsidRPr="007E64C0">
        <w:rPr>
          <w:szCs w:val="24"/>
          <w:lang w:val="fr-CH"/>
        </w:rPr>
        <w:t xml:space="preserve">'inscription dans les trois </w:t>
      </w:r>
      <w:r w:rsidR="000C5CC4">
        <w:rPr>
          <w:szCs w:val="24"/>
          <w:lang w:val="fr-CH"/>
        </w:rPr>
        <w:t>S</w:t>
      </w:r>
      <w:r w:rsidR="00F55714">
        <w:rPr>
          <w:szCs w:val="24"/>
          <w:lang w:val="fr-CH"/>
        </w:rPr>
        <w:t>ecteurs de l'</w:t>
      </w:r>
      <w:r w:rsidR="00607A5D">
        <w:rPr>
          <w:szCs w:val="24"/>
          <w:lang w:val="fr-CH"/>
        </w:rPr>
        <w:t>U</w:t>
      </w:r>
      <w:r w:rsidR="00F55714">
        <w:rPr>
          <w:szCs w:val="24"/>
          <w:lang w:val="fr-CH"/>
        </w:rPr>
        <w:t>nion.</w:t>
      </w:r>
      <w:r w:rsidR="000C5CC4">
        <w:rPr>
          <w:szCs w:val="24"/>
        </w:rPr>
        <w:t xml:space="preserve"> M. </w:t>
      </w:r>
      <w:r w:rsidR="00F55714" w:rsidRPr="00A9321A">
        <w:rPr>
          <w:szCs w:val="24"/>
        </w:rPr>
        <w:t>Vladimir Minkin (</w:t>
      </w:r>
      <w:r w:rsidR="000C5CC4" w:rsidRPr="00A9321A">
        <w:rPr>
          <w:szCs w:val="24"/>
        </w:rPr>
        <w:t>F</w:t>
      </w:r>
      <w:r w:rsidR="00F55714" w:rsidRPr="00A9321A">
        <w:rPr>
          <w:szCs w:val="24"/>
        </w:rPr>
        <w:t xml:space="preserve">édération de Russie) a été nommé </w:t>
      </w:r>
      <w:r w:rsidR="000C5CC4" w:rsidRPr="00A9321A">
        <w:rPr>
          <w:szCs w:val="24"/>
        </w:rPr>
        <w:t>C</w:t>
      </w:r>
      <w:r w:rsidR="00F55714" w:rsidRPr="00A9321A">
        <w:rPr>
          <w:szCs w:val="24"/>
        </w:rPr>
        <w:t xml:space="preserve">oordonnateur </w:t>
      </w:r>
      <w:r w:rsidR="00F55714">
        <w:rPr>
          <w:szCs w:val="24"/>
        </w:rPr>
        <w:t xml:space="preserve">de ce </w:t>
      </w:r>
      <w:r w:rsidR="000C5CC4">
        <w:rPr>
          <w:szCs w:val="24"/>
        </w:rPr>
        <w:t>G</w:t>
      </w:r>
      <w:r w:rsidR="00F55714">
        <w:rPr>
          <w:szCs w:val="24"/>
        </w:rPr>
        <w:t>roupe de travail par correspondance, dont le mandat est le suivant</w:t>
      </w:r>
      <w:r w:rsidR="00F0031C">
        <w:rPr>
          <w:szCs w:val="24"/>
        </w:rPr>
        <w:t>:</w:t>
      </w:r>
      <w:r w:rsidR="00F55714">
        <w:rPr>
          <w:szCs w:val="24"/>
        </w:rPr>
        <w:t xml:space="preserve"> </w:t>
      </w:r>
    </w:p>
    <w:p w:rsidR="00F55714" w:rsidRPr="00F065DF" w:rsidRDefault="00F55714" w:rsidP="00F55714">
      <w:pPr>
        <w:tabs>
          <w:tab w:val="left" w:pos="720"/>
        </w:tabs>
        <w:rPr>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F55714" w:rsidRPr="003C73D8" w:rsidTr="00607A5D">
        <w:tc>
          <w:tcPr>
            <w:tcW w:w="9855" w:type="dxa"/>
            <w:shd w:val="clear" w:color="auto" w:fill="F2F2F2" w:themeFill="background1" w:themeFillShade="F2"/>
          </w:tcPr>
          <w:p w:rsidR="00F55714" w:rsidRPr="00A9321A" w:rsidRDefault="000C5CC4" w:rsidP="000C5CC4">
            <w:pPr>
              <w:pStyle w:val="Tabletext"/>
              <w:spacing w:before="80" w:after="80"/>
            </w:pPr>
            <w:r>
              <w:t>«L</w:t>
            </w:r>
            <w:r w:rsidRPr="00A9321A">
              <w:t>e Groupe de travail par correspondance est chargé d'étudier les questions suivantes</w:t>
            </w:r>
            <w:r>
              <w:t>:</w:t>
            </w:r>
          </w:p>
          <w:p w:rsidR="000C5CC4" w:rsidRDefault="000C5CC4" w:rsidP="00607A5D">
            <w:pPr>
              <w:pStyle w:val="Tabletext"/>
              <w:spacing w:before="80" w:after="80"/>
              <w:ind w:left="284" w:hanging="284"/>
            </w:pPr>
            <w:r>
              <w:t>1)</w:t>
            </w:r>
            <w:r>
              <w:tab/>
            </w:r>
            <w:r w:rsidRPr="00A9321A">
              <w:t>délais appropriés de soumission des contributions aux réunions des commissions d'études présentées par les Membres dans une langue (</w:t>
            </w:r>
            <w:r>
              <w:t>sans</w:t>
            </w:r>
            <w:r w:rsidRPr="00A9321A">
              <w:t xml:space="preserve"> </w:t>
            </w:r>
            <w:r>
              <w:t>demande</w:t>
            </w:r>
            <w:r w:rsidRPr="00A9321A">
              <w:t xml:space="preserve"> de traduction), laps de temps nécessaire </w:t>
            </w:r>
            <w:r>
              <w:t xml:space="preserve">au secrétariat </w:t>
            </w:r>
            <w:r w:rsidRPr="00A9321A">
              <w:t xml:space="preserve">pour poster ces contributions sur le site web </w:t>
            </w:r>
            <w:r>
              <w:t xml:space="preserve">et délais applicables à tous les documents de </w:t>
            </w:r>
            <w:r w:rsidR="00671A3A">
              <w:t>réunion</w:t>
            </w:r>
            <w:r>
              <w:t xml:space="preserve">, y compris ceux émanant du secrétariat et des Présidents/Rapporteurs, qui seront postés sur le site; </w:t>
            </w:r>
          </w:p>
          <w:p w:rsidR="000C5CC4" w:rsidRDefault="000C5CC4" w:rsidP="000C5CC4">
            <w:pPr>
              <w:pStyle w:val="Tabletext"/>
              <w:spacing w:before="80" w:after="80"/>
              <w:ind w:left="284" w:hanging="284"/>
            </w:pPr>
            <w:r>
              <w:t>2)</w:t>
            </w:r>
            <w:r>
              <w:tab/>
            </w:r>
            <w:r w:rsidRPr="00A9321A">
              <w:t xml:space="preserve">harmonisation des délais dans tous les Secteurs de l'UIT et harmonisation </w:t>
            </w:r>
            <w:r>
              <w:t>de la numérotation et du classement des documents, le cas échéant;</w:t>
            </w:r>
          </w:p>
          <w:p w:rsidR="00F55714" w:rsidRPr="000C5CC4" w:rsidRDefault="000C5CC4" w:rsidP="000C5CC4">
            <w:pPr>
              <w:pStyle w:val="Tabletext"/>
              <w:spacing w:before="80" w:after="80"/>
              <w:ind w:left="284" w:hanging="284"/>
            </w:pPr>
            <w:r>
              <w:t>3)</w:t>
            </w:r>
            <w:r>
              <w:tab/>
            </w:r>
            <w:r>
              <w:rPr>
                <w:szCs w:val="24"/>
              </w:rPr>
              <w:t>opportunité de procéder à</w:t>
            </w:r>
            <w:r w:rsidRPr="00D11487">
              <w:rPr>
                <w:szCs w:val="24"/>
              </w:rPr>
              <w:t xml:space="preserve"> l'inscription aux réunions des commissions d'études de l'</w:t>
            </w:r>
            <w:r>
              <w:rPr>
                <w:szCs w:val="24"/>
              </w:rPr>
              <w:t>UIT-T par l'intermédiaire de Coordonnateurs désignés.</w:t>
            </w:r>
          </w:p>
          <w:p w:rsidR="00F55714" w:rsidRPr="00D11487" w:rsidRDefault="000C5CC4" w:rsidP="00607A5D">
            <w:pPr>
              <w:pStyle w:val="Tabletext"/>
              <w:spacing w:before="80" w:after="80"/>
              <w:rPr>
                <w:szCs w:val="24"/>
              </w:rPr>
            </w:pPr>
            <w:r>
              <w:rPr>
                <w:szCs w:val="24"/>
              </w:rPr>
              <w:t>P</w:t>
            </w:r>
            <w:r w:rsidRPr="00D11487">
              <w:rPr>
                <w:szCs w:val="24"/>
              </w:rPr>
              <w:t>our mener ses travaux, le Groupe devrait procéder à des consultations avec les Groupes consultatifs des Secteurs de l'</w:t>
            </w:r>
            <w:r>
              <w:rPr>
                <w:szCs w:val="24"/>
              </w:rPr>
              <w:t>UIT-R et de l'UIT</w:t>
            </w:r>
            <w:r>
              <w:rPr>
                <w:szCs w:val="24"/>
              </w:rPr>
              <w:noBreakHyphen/>
              <w:t xml:space="preserve">D </w:t>
            </w:r>
            <w:r w:rsidR="00DB49CA">
              <w:rPr>
                <w:szCs w:val="24"/>
              </w:rPr>
              <w:t xml:space="preserve">et tenir </w:t>
            </w:r>
            <w:r>
              <w:rPr>
                <w:szCs w:val="24"/>
              </w:rPr>
              <w:t xml:space="preserve">compte de la </w:t>
            </w:r>
            <w:r w:rsidR="00DB49CA">
              <w:rPr>
                <w:szCs w:val="24"/>
              </w:rPr>
              <w:t>R</w:t>
            </w:r>
            <w:r>
              <w:rPr>
                <w:szCs w:val="24"/>
              </w:rPr>
              <w:t xml:space="preserve">ésolution 165 </w:t>
            </w:r>
            <w:r w:rsidRPr="00D11487">
              <w:rPr>
                <w:szCs w:val="24"/>
              </w:rPr>
              <w:t>(</w:t>
            </w:r>
            <w:r w:rsidR="0029702C" w:rsidRPr="00D11487">
              <w:rPr>
                <w:szCs w:val="24"/>
              </w:rPr>
              <w:t>Guadalajara</w:t>
            </w:r>
            <w:r w:rsidRPr="00D11487">
              <w:rPr>
                <w:szCs w:val="24"/>
              </w:rPr>
              <w:t>, 2010)</w:t>
            </w:r>
            <w:r>
              <w:rPr>
                <w:szCs w:val="24"/>
              </w:rPr>
              <w:t xml:space="preserve"> </w:t>
            </w:r>
            <w:r w:rsidR="00DB49CA">
              <w:rPr>
                <w:szCs w:val="24"/>
              </w:rPr>
              <w:t>de la PP</w:t>
            </w:r>
            <w:r w:rsidR="00DB49CA" w:rsidRPr="00D11487">
              <w:rPr>
                <w:szCs w:val="24"/>
              </w:rPr>
              <w:t xml:space="preserve"> </w:t>
            </w:r>
            <w:r>
              <w:rPr>
                <w:szCs w:val="24"/>
              </w:rPr>
              <w:t>ainsi que de la contribution</w:t>
            </w:r>
            <w:r w:rsidRPr="00D11487">
              <w:rPr>
                <w:szCs w:val="24"/>
              </w:rPr>
              <w:t xml:space="preserve"> </w:t>
            </w:r>
            <w:r w:rsidR="00607A5D" w:rsidRPr="00D11487">
              <w:rPr>
                <w:szCs w:val="24"/>
              </w:rPr>
              <w:t>C</w:t>
            </w:r>
            <w:r w:rsidRPr="00D11487">
              <w:rPr>
                <w:szCs w:val="24"/>
              </w:rPr>
              <w:t xml:space="preserve">39 </w:t>
            </w:r>
            <w:r>
              <w:rPr>
                <w:szCs w:val="24"/>
              </w:rPr>
              <w:t xml:space="preserve">de la </w:t>
            </w:r>
            <w:r w:rsidR="00DB49CA">
              <w:rPr>
                <w:szCs w:val="24"/>
              </w:rPr>
              <w:t>Fédération de R</w:t>
            </w:r>
            <w:r>
              <w:rPr>
                <w:szCs w:val="24"/>
              </w:rPr>
              <w:t>ussie.</w:t>
            </w:r>
          </w:p>
          <w:p w:rsidR="00F55714" w:rsidRPr="00D11487" w:rsidRDefault="000C5CC4" w:rsidP="00DE5436">
            <w:pPr>
              <w:pStyle w:val="Tabletext"/>
              <w:spacing w:before="80" w:after="80"/>
            </w:pPr>
            <w:r>
              <w:rPr>
                <w:szCs w:val="24"/>
              </w:rPr>
              <w:t>L</w:t>
            </w:r>
            <w:r w:rsidRPr="00D11487">
              <w:rPr>
                <w:szCs w:val="24"/>
              </w:rPr>
              <w:t>e Gr</w:t>
            </w:r>
            <w:r w:rsidR="005F5C54">
              <w:rPr>
                <w:szCs w:val="24"/>
              </w:rPr>
              <w:t>oupe présentera un rapport sur s</w:t>
            </w:r>
            <w:r w:rsidRPr="00D11487">
              <w:rPr>
                <w:szCs w:val="24"/>
              </w:rPr>
              <w:t xml:space="preserve">es conclusions ainsi que des propositions </w:t>
            </w:r>
            <w:r>
              <w:rPr>
                <w:szCs w:val="24"/>
              </w:rPr>
              <w:t xml:space="preserve">à la prochaine réunion du </w:t>
            </w:r>
            <w:r w:rsidR="005F5C54">
              <w:rPr>
                <w:szCs w:val="24"/>
              </w:rPr>
              <w:t>GCNT</w:t>
            </w:r>
            <w:r w:rsidR="00607A5D">
              <w:rPr>
                <w:szCs w:val="24"/>
              </w:rPr>
              <w:t>.</w:t>
            </w:r>
            <w:r w:rsidRPr="007E64C0">
              <w:rPr>
                <w:b/>
                <w:lang w:val="fr-CH" w:eastAsia="zh-CN"/>
              </w:rPr>
              <w:t>»</w:t>
            </w:r>
          </w:p>
        </w:tc>
      </w:tr>
    </w:tbl>
    <w:p w:rsidR="00F55714" w:rsidRDefault="00F55714" w:rsidP="00CA5949">
      <w:pPr>
        <w:pStyle w:val="Normalaftertitle"/>
      </w:pPr>
      <w:r w:rsidRPr="00D11487">
        <w:t xml:space="preserve">Parallèlement, le </w:t>
      </w:r>
      <w:r w:rsidR="00CA5949" w:rsidRPr="00D11487">
        <w:t>S</w:t>
      </w:r>
      <w:r w:rsidRPr="00D11487">
        <w:t>ecrétariat général de l'UIT a inst</w:t>
      </w:r>
      <w:r w:rsidR="00F0031C">
        <w:t>itu</w:t>
      </w:r>
      <w:r w:rsidR="00CA5949">
        <w:t xml:space="preserve">é un groupe interne et l'a </w:t>
      </w:r>
      <w:r w:rsidRPr="00D11487">
        <w:t xml:space="preserve">chargé de procéder à un examen des méthodes et pratiques </w:t>
      </w:r>
      <w:r>
        <w:t xml:space="preserve">suivies actuellement </w:t>
      </w:r>
      <w:r w:rsidR="00CA5949">
        <w:t>par le</w:t>
      </w:r>
      <w:r>
        <w:t xml:space="preserve"> </w:t>
      </w:r>
      <w:r w:rsidR="00CA5949">
        <w:t>S</w:t>
      </w:r>
      <w:r>
        <w:t xml:space="preserve">ecrétariat général et les trois </w:t>
      </w:r>
      <w:r w:rsidR="00CA5949">
        <w:t>S</w:t>
      </w:r>
      <w:r>
        <w:t>ecteurs</w:t>
      </w:r>
      <w:r w:rsidR="00CA5949" w:rsidRPr="00CA5949">
        <w:t xml:space="preserve"> </w:t>
      </w:r>
      <w:r w:rsidR="00CA5949">
        <w:t>pour l'inscription des délégués</w:t>
      </w:r>
      <w:r>
        <w:t>.</w:t>
      </w:r>
    </w:p>
    <w:p w:rsidR="00F55714" w:rsidRPr="00307017" w:rsidRDefault="00F55714" w:rsidP="00002D0E">
      <w:pPr>
        <w:pStyle w:val="Heading2"/>
        <w:rPr>
          <w:rFonts w:eastAsia="MS Mincho"/>
        </w:rPr>
      </w:pPr>
      <w:r w:rsidRPr="00D11487">
        <w:t>3.9</w:t>
      </w:r>
      <w:r w:rsidRPr="00D11487">
        <w:tab/>
      </w:r>
      <w:r w:rsidRPr="00ED70F6">
        <w:t>Nombre de vice-présidents des groupes consultatifs</w:t>
      </w:r>
      <w:r w:rsidR="00E74F59">
        <w:t>, des commissions d'études, des </w:t>
      </w:r>
      <w:r w:rsidRPr="00ED70F6">
        <w:t>groupes de travail et des autres groupes des Secteurs</w:t>
      </w:r>
      <w:r w:rsidR="00002D0E">
        <w:t xml:space="preserve"> </w:t>
      </w:r>
      <w:r w:rsidRPr="00F065DF">
        <w:t>(</w:t>
      </w:r>
      <w:hyperlink r:id="rId27" w:anchor="res166" w:history="1">
        <w:r w:rsidR="00E90634" w:rsidRPr="00002D0E">
          <w:rPr>
            <w:rStyle w:val="Hyperlink"/>
          </w:rPr>
          <w:t>Résolution</w:t>
        </w:r>
        <w:r w:rsidR="00E74F59">
          <w:rPr>
            <w:rStyle w:val="Hyperlink"/>
          </w:rPr>
          <w:t> 166 </w:t>
        </w:r>
        <w:r w:rsidR="00002D0E" w:rsidRPr="00002D0E">
          <w:rPr>
            <w:rStyle w:val="Hyperlink"/>
          </w:rPr>
          <w:t>(Guadalajara, </w:t>
        </w:r>
        <w:r w:rsidRPr="00002D0E">
          <w:rPr>
            <w:rStyle w:val="Hyperlink"/>
          </w:rPr>
          <w:t>2010)</w:t>
        </w:r>
      </w:hyperlink>
      <w:r w:rsidRPr="00F065DF">
        <w:t>)</w:t>
      </w:r>
    </w:p>
    <w:p w:rsidR="00F55714" w:rsidRPr="00D11487" w:rsidRDefault="00731C3E" w:rsidP="00731C3E">
      <w:pPr>
        <w:rPr>
          <w:iCs/>
        </w:rPr>
      </w:pPr>
      <w:r w:rsidRPr="00D11487">
        <w:t>P</w:t>
      </w:r>
      <w:r w:rsidR="00F55714" w:rsidRPr="00D11487">
        <w:t xml:space="preserve">ar sa </w:t>
      </w:r>
      <w:r w:rsidR="00E90634">
        <w:t>Résolution</w:t>
      </w:r>
      <w:r w:rsidR="00F55714" w:rsidRPr="00D11487">
        <w:t xml:space="preserve"> 166 (Guadalajara, 2010), la PP-10 a</w:t>
      </w:r>
      <w:r w:rsidR="00F0031C">
        <w:t xml:space="preserve"> </w:t>
      </w:r>
      <w:r w:rsidR="00F55714" w:rsidRPr="00D11487">
        <w:t>invité l'</w:t>
      </w:r>
      <w:r w:rsidRPr="00D11487">
        <w:t>AR</w:t>
      </w:r>
      <w:r w:rsidR="00F55714" w:rsidRPr="00D11487">
        <w:t xml:space="preserve">, </w:t>
      </w:r>
      <w:r w:rsidR="00F55714" w:rsidRPr="00ED70F6">
        <w:t xml:space="preserve">après consultation des </w:t>
      </w:r>
      <w:r w:rsidR="00607A5D" w:rsidRPr="00ED70F6">
        <w:t>D</w:t>
      </w:r>
      <w:r w:rsidR="00F55714" w:rsidRPr="00ED70F6">
        <w:t>irecteurs des trois Bureaux</w:t>
      </w:r>
      <w:r w:rsidR="00F55714">
        <w:t>,</w:t>
      </w:r>
      <w:r w:rsidR="00607A5D">
        <w:t xml:space="preserve"> </w:t>
      </w:r>
      <w:r w:rsidR="00F55714" w:rsidRPr="00ED70F6">
        <w:t>à examiner la s</w:t>
      </w:r>
      <w:r w:rsidR="00F0031C">
        <w:t>itu</w:t>
      </w:r>
      <w:r w:rsidR="00F55714" w:rsidRPr="00ED70F6">
        <w:t>ation actuelle, en vue d'élaborer les critères nécessaires applicables à la nomination du nombre optimal de vice-présidents des groupes consultatifs, des commissions d'études et des autres groupes des Secteurs (y compris, dans la mesure du possible, de la RPC et de la Commission spéciale chargée d'examiner les questions réglementaires et de procédure de l'UIT-R) selon le cas, en tenant compte des lignes directrices suivantes:</w:t>
      </w:r>
    </w:p>
    <w:p w:rsidR="00F55714" w:rsidRPr="00ED70F6" w:rsidRDefault="00F55714" w:rsidP="00F55714">
      <w:pPr>
        <w:pStyle w:val="enumlev1"/>
      </w:pPr>
      <w:r w:rsidRPr="00ED70F6">
        <w:t>1)</w:t>
      </w:r>
      <w:r w:rsidRPr="00ED70F6">
        <w:tab/>
        <w:t>le nombre de vice-présidents devrait être limité au nombre minimal nécessaire de professionnels expérimentés, conformément aux Résolutions de chaque Secteur relatives à la nomination des vice</w:t>
      </w:r>
      <w:r w:rsidRPr="00ED70F6">
        <w:noBreakHyphen/>
        <w:t>présidents des groupes consultatifs, des commissions d'études et des autres groupes des Secteurs;</w:t>
      </w:r>
    </w:p>
    <w:p w:rsidR="00BB0C93" w:rsidRDefault="00BB0C93" w:rsidP="00F55714">
      <w:pPr>
        <w:pStyle w:val="enumlev1"/>
      </w:pPr>
      <w:r>
        <w:br w:type="page"/>
      </w:r>
    </w:p>
    <w:p w:rsidR="00F55714" w:rsidRPr="00ED70F6" w:rsidRDefault="00F55714" w:rsidP="00F55714">
      <w:pPr>
        <w:pStyle w:val="enumlev1"/>
      </w:pPr>
      <w:r w:rsidRPr="00ED70F6">
        <w:t>2)</w:t>
      </w:r>
      <w:r w:rsidRPr="00ED70F6">
        <w:tab/>
        <w:t>il conviendrait de tenir compte d'une répartition géographique équitable entre les régions de l'UIT et de la nécessité d'encourager une participation plus effective des pays en développement, de façon à faire en sorte que chaque région soit représentée au moins par une ou deux personnes compétentes et expérimentées dans les groupes consultatifs, les commissions d'études et les autres groupes des Secteurs;</w:t>
      </w:r>
    </w:p>
    <w:p w:rsidR="00F55714" w:rsidRPr="00ED70F6" w:rsidRDefault="00F55714" w:rsidP="00F55714">
      <w:pPr>
        <w:pStyle w:val="enumlev1"/>
      </w:pPr>
      <w:r w:rsidRPr="00ED70F6">
        <w:t>3)</w:t>
      </w:r>
      <w:r w:rsidRPr="00ED70F6">
        <w:tab/>
        <w:t>le nombre total de présidents et de vice-présidents proposé par une administration devrait être suffisamment raisonnable pour respecter le principe de la répartition équitable des postes entre les Etats Membres concernés;</w:t>
      </w:r>
    </w:p>
    <w:p w:rsidR="00F55714" w:rsidRPr="00ED70F6" w:rsidRDefault="00F55714" w:rsidP="00731C3E">
      <w:pPr>
        <w:pStyle w:val="enumlev1"/>
      </w:pPr>
      <w:r w:rsidRPr="00ED70F6">
        <w:t>4)</w:t>
      </w:r>
      <w:r w:rsidRPr="00ED70F6">
        <w:tab/>
        <w:t>il conviendrait de tenir compte de la représentation régionale dans les groupes consultatifs, les commissions d'études et les autres groupes des trois Secteurs, de sorte qu'une personne ne puisse pas occuper plus d'un poste de vice-président de ces groupes dans l'un quelconque des Secteurs, et ne puisse occuper un tel poste dans plus d'un Secteur qu'à titre exceptionnel;</w:t>
      </w:r>
    </w:p>
    <w:p w:rsidR="00F55714" w:rsidRPr="00ED70F6" w:rsidRDefault="00F55714" w:rsidP="00F55714">
      <w:pPr>
        <w:pStyle w:val="enumlev1"/>
      </w:pPr>
      <w:r w:rsidRPr="00ED70F6">
        <w:t>5)</w:t>
      </w:r>
      <w:r w:rsidRPr="00ED70F6">
        <w:tab/>
        <w:t>chaque région de l'UIT participant à l'AR, à l'AMNT et à la CMDT est encouragée, lors de l'attribution des fonctions à différents professionnels expérimentés, à respecter pleinement le principe de la répartition géographique équitable entre les régions de l'UIT et la nécessité d'encourager une participation plus efficace des pays en développement;</w:t>
      </w:r>
    </w:p>
    <w:p w:rsidR="00F55714" w:rsidRPr="00ED70F6" w:rsidRDefault="00F55714" w:rsidP="00F55714">
      <w:pPr>
        <w:pStyle w:val="enumlev1"/>
      </w:pPr>
      <w:r w:rsidRPr="00ED70F6">
        <w:t>6)</w:t>
      </w:r>
      <w:r w:rsidRPr="00ED70F6">
        <w:tab/>
        <w:t>les lignes directrices susmentionnées pourront s'appliquer, d</w:t>
      </w:r>
      <w:r w:rsidR="00FC5B70">
        <w:t>ans la mesure du possible, à la </w:t>
      </w:r>
      <w:r w:rsidRPr="00ED70F6">
        <w:t>RPC et à la Commission spéciale chargée d'examiner les questions réglementa</w:t>
      </w:r>
      <w:r w:rsidR="00731C3E">
        <w:t>ires et de procédure de l'UIT-R.</w:t>
      </w:r>
    </w:p>
    <w:p w:rsidR="00F55714" w:rsidRPr="00D11487" w:rsidRDefault="00731C3E" w:rsidP="00731C3E">
      <w:r>
        <w:t>L</w:t>
      </w:r>
      <w:r w:rsidR="00F55714" w:rsidRPr="00D11487">
        <w:t xml:space="preserve">a PP-10 a chargé </w:t>
      </w:r>
      <w:r w:rsidR="00F55714" w:rsidRPr="00ED70F6">
        <w:t xml:space="preserve">les </w:t>
      </w:r>
      <w:r w:rsidR="00F20E43" w:rsidRPr="00ED70F6">
        <w:t>D</w:t>
      </w:r>
      <w:r w:rsidR="00F55714" w:rsidRPr="00ED70F6">
        <w:t>irecteurs des trois Bureaux</w:t>
      </w:r>
      <w:r w:rsidR="00F55714">
        <w:t xml:space="preserve"> </w:t>
      </w:r>
      <w:r w:rsidR="00F55714" w:rsidRPr="00ED70F6">
        <w:t xml:space="preserve">d'inscrire la question à l'ordre du jour de la prochaine réunion </w:t>
      </w:r>
      <w:r w:rsidR="00F55714">
        <w:t xml:space="preserve">du </w:t>
      </w:r>
      <w:r>
        <w:t>GCR</w:t>
      </w:r>
      <w:r w:rsidR="00F55714" w:rsidRPr="00ED70F6">
        <w:t>, afin que les critères harmonisés nécessaires au choix/à la nomination des candidats aux postes visés ci-dessu</w:t>
      </w:r>
      <w:r w:rsidR="00F55714">
        <w:t>s puissent être dûment élaborés</w:t>
      </w:r>
      <w:r>
        <w:t xml:space="preserve"> </w:t>
      </w:r>
      <w:r w:rsidR="00F55714">
        <w:t xml:space="preserve">et </w:t>
      </w:r>
      <w:r w:rsidR="00F55714" w:rsidRPr="00ED70F6">
        <w:t>de prendre les disposit</w:t>
      </w:r>
      <w:r w:rsidR="00F55714">
        <w:t>ions nécessaires pour que l'AR examine</w:t>
      </w:r>
      <w:r w:rsidR="00F55714" w:rsidRPr="00ED70F6">
        <w:t xml:space="preserve"> les critères visés ci-dessus dans </w:t>
      </w:r>
      <w:r w:rsidR="00F55714">
        <w:t>ses</w:t>
      </w:r>
      <w:r w:rsidR="00F0031C">
        <w:t xml:space="preserve"> </w:t>
      </w:r>
      <w:r w:rsidR="00F55714" w:rsidRPr="00ED70F6">
        <w:t xml:space="preserve">résolutions ou recommandations respectives, y compris en préparant et en fournissant les informations nécessaires concernant le ou les postes déjà occupés par différentes personnes de chaque pays dans les trois Secteurs, conformément au </w:t>
      </w:r>
      <w:r w:rsidR="00F55714" w:rsidRPr="00ED70F6">
        <w:rPr>
          <w:i/>
          <w:iCs/>
        </w:rPr>
        <w:t xml:space="preserve">charge les </w:t>
      </w:r>
      <w:r w:rsidR="00F20E43" w:rsidRPr="00ED70F6">
        <w:rPr>
          <w:i/>
          <w:iCs/>
        </w:rPr>
        <w:t>D</w:t>
      </w:r>
      <w:r w:rsidR="00F55714" w:rsidRPr="00ED70F6">
        <w:rPr>
          <w:i/>
          <w:iCs/>
        </w:rPr>
        <w:t>irecteurs des trois Bureaux</w:t>
      </w:r>
      <w:r w:rsidR="00F55714" w:rsidRPr="00ED70F6">
        <w:t>.</w:t>
      </w:r>
    </w:p>
    <w:p w:rsidR="00F55714" w:rsidRPr="00307017" w:rsidRDefault="00F55714" w:rsidP="00307017">
      <w:pPr>
        <w:pStyle w:val="Heading2"/>
      </w:pPr>
      <w:r w:rsidRPr="00307017">
        <w:t>3.10</w:t>
      </w:r>
      <w:r w:rsidRPr="00307017">
        <w:tab/>
        <w:t>Conformité et interopérabilité (</w:t>
      </w:r>
      <w:hyperlink r:id="rId28" w:anchor="res177" w:history="1">
        <w:r w:rsidR="00E90634" w:rsidRPr="00307017">
          <w:rPr>
            <w:rStyle w:val="Hyperlink"/>
            <w:rFonts w:eastAsia="HGPSoeiKakugothicUB"/>
          </w:rPr>
          <w:t>Résolution</w:t>
        </w:r>
        <w:r w:rsidRPr="00307017">
          <w:rPr>
            <w:rStyle w:val="Hyperlink"/>
            <w:rFonts w:eastAsia="HGPSoeiKakugothicUB"/>
          </w:rPr>
          <w:t xml:space="preserve"> 177 (Guadalajara, 2010)</w:t>
        </w:r>
      </w:hyperlink>
      <w:r w:rsidRPr="00307017">
        <w:t>)</w:t>
      </w:r>
    </w:p>
    <w:p w:rsidR="00F55714" w:rsidRPr="00ED70F6" w:rsidRDefault="00607A5D" w:rsidP="000B0319">
      <w:r>
        <w:rPr>
          <w:rFonts w:eastAsia="SimSun"/>
        </w:rPr>
        <w:t>L</w:t>
      </w:r>
      <w:r w:rsidR="00DE5436">
        <w:rPr>
          <w:rFonts w:eastAsia="SimSun"/>
        </w:rPr>
        <w:t>a PP-10 a invité les E</w:t>
      </w:r>
      <w:r w:rsidR="00F55714" w:rsidRPr="00D11487">
        <w:rPr>
          <w:rFonts w:eastAsia="SimSun"/>
        </w:rPr>
        <w:t xml:space="preserve">tats </w:t>
      </w:r>
      <w:r w:rsidR="00DE5436" w:rsidRPr="00D11487">
        <w:rPr>
          <w:rFonts w:eastAsia="SimSun"/>
        </w:rPr>
        <w:t>M</w:t>
      </w:r>
      <w:r w:rsidR="00F55714" w:rsidRPr="00D11487">
        <w:rPr>
          <w:rFonts w:eastAsia="SimSun"/>
        </w:rPr>
        <w:t xml:space="preserve">embres </w:t>
      </w:r>
      <w:r w:rsidR="00F55714" w:rsidRPr="00ED70F6">
        <w:t xml:space="preserve">à contribuer aux travaux de </w:t>
      </w:r>
      <w:r w:rsidR="00F55714">
        <w:t>l'AR-12</w:t>
      </w:r>
      <w:r w:rsidR="00F55714" w:rsidRPr="00ED70F6">
        <w:t>, pour que celle-ci examine et prenne les mesures appropriées qu'elle jugera nécessaires</w:t>
      </w:r>
      <w:r w:rsidR="00F55714">
        <w:t xml:space="preserve">, en ce qui concerne les dispositions de la </w:t>
      </w:r>
      <w:r w:rsidR="00E90634">
        <w:rPr>
          <w:bCs/>
          <w:szCs w:val="24"/>
        </w:rPr>
        <w:t>Résolution</w:t>
      </w:r>
      <w:r w:rsidR="00F55714" w:rsidRPr="00D11487">
        <w:rPr>
          <w:bCs/>
          <w:szCs w:val="24"/>
        </w:rPr>
        <w:t xml:space="preserve"> 177 (Guadalajara, 2010)</w:t>
      </w:r>
      <w:r w:rsidR="00F55714" w:rsidRPr="00D11487">
        <w:t>)</w:t>
      </w:r>
      <w:r w:rsidR="00F55714" w:rsidRPr="00ED70F6">
        <w:t>.</w:t>
      </w:r>
    </w:p>
    <w:p w:rsidR="00F55714" w:rsidRDefault="0029702C" w:rsidP="00607A5D">
      <w:pPr>
        <w:rPr>
          <w:rFonts w:eastAsia="SimSun"/>
        </w:rPr>
      </w:pPr>
      <w:r w:rsidRPr="003D3A5B">
        <w:t xml:space="preserve">Au cours de la réunion tenue récemment par le GCNT, le Directeur du TSB a présenté le </w:t>
      </w:r>
      <w:r w:rsidR="00607A5D" w:rsidRPr="003D3A5B">
        <w:t>D</w:t>
      </w:r>
      <w:r w:rsidRPr="003D3A5B">
        <w:t>ocument</w:t>
      </w:r>
      <w:r w:rsidR="00FC5B70">
        <w:t> </w:t>
      </w:r>
      <w:hyperlink r:id="rId29" w:history="1">
        <w:r w:rsidR="00607A5D" w:rsidRPr="004D4C01">
          <w:rPr>
            <w:rStyle w:val="Hyperlink"/>
            <w:rFonts w:eastAsia="SimSun"/>
            <w:szCs w:val="24"/>
          </w:rPr>
          <w:t>TD</w:t>
        </w:r>
        <w:r w:rsidR="00607A5D">
          <w:rPr>
            <w:rStyle w:val="Hyperlink"/>
            <w:rFonts w:eastAsia="SimSun"/>
            <w:szCs w:val="24"/>
          </w:rPr>
          <w:t> </w:t>
        </w:r>
        <w:r w:rsidR="00607A5D" w:rsidRPr="004D4C01">
          <w:rPr>
            <w:rStyle w:val="Hyperlink"/>
            <w:rFonts w:eastAsia="SimSun"/>
            <w:szCs w:val="24"/>
          </w:rPr>
          <w:t>224</w:t>
        </w:r>
      </w:hyperlink>
      <w:r w:rsidRPr="003D3A5B">
        <w:rPr>
          <w:rFonts w:eastAsia="SimSun"/>
          <w:szCs w:val="24"/>
        </w:rPr>
        <w:t>, int</w:t>
      </w:r>
      <w:r>
        <w:rPr>
          <w:rFonts w:eastAsia="SimSun"/>
          <w:szCs w:val="24"/>
        </w:rPr>
        <w:t>itu</w:t>
      </w:r>
      <w:r w:rsidRPr="003D3A5B">
        <w:rPr>
          <w:rFonts w:eastAsia="SimSun"/>
          <w:szCs w:val="24"/>
        </w:rPr>
        <w:t>lé</w:t>
      </w:r>
      <w:r w:rsidRPr="003D3A5B">
        <w:rPr>
          <w:szCs w:val="24"/>
        </w:rPr>
        <w:t xml:space="preserve"> </w:t>
      </w:r>
      <w:r>
        <w:rPr>
          <w:rFonts w:eastAsia="SimSun"/>
          <w:szCs w:val="24"/>
        </w:rPr>
        <w:t>«Elé</w:t>
      </w:r>
      <w:r w:rsidRPr="003D3A5B">
        <w:rPr>
          <w:rFonts w:eastAsia="SimSun"/>
          <w:szCs w:val="24"/>
        </w:rPr>
        <w:t xml:space="preserve">ments d'un plan d'activité </w:t>
      </w:r>
      <w:r>
        <w:rPr>
          <w:rFonts w:eastAsia="SimSun"/>
          <w:szCs w:val="24"/>
        </w:rPr>
        <w:t>pour la mise en oeuvre du programme de conformité et d'interopérabilité</w:t>
      </w:r>
      <w:r w:rsidRPr="00DE5436">
        <w:t>»</w:t>
      </w:r>
      <w:r>
        <w:rPr>
          <w:rFonts w:eastAsia="SimSun"/>
          <w:szCs w:val="24"/>
        </w:rPr>
        <w:t>, qui présente les grandes lignes d'un plan d'activité en vue de la mise en oeuvre à long terme du programme, avec une estimatio</w:t>
      </w:r>
      <w:r w:rsidR="00FC5B70">
        <w:rPr>
          <w:rFonts w:eastAsia="SimSun"/>
          <w:szCs w:val="24"/>
        </w:rPr>
        <w:t>n initiale des coûts de plus de </w:t>
      </w:r>
      <w:r w:rsidRPr="003D3A5B">
        <w:rPr>
          <w:rFonts w:eastAsia="SimSun"/>
          <w:szCs w:val="24"/>
        </w:rPr>
        <w:t>500</w:t>
      </w:r>
      <w:r>
        <w:rPr>
          <w:rFonts w:eastAsia="SimSun"/>
          <w:szCs w:val="24"/>
        </w:rPr>
        <w:t> 000 </w:t>
      </w:r>
      <w:r w:rsidRPr="003D3A5B">
        <w:rPr>
          <w:rFonts w:eastAsia="SimSun"/>
          <w:szCs w:val="24"/>
        </w:rPr>
        <w:t>CHF</w:t>
      </w:r>
      <w:r>
        <w:rPr>
          <w:rFonts w:eastAsia="SimSun"/>
          <w:szCs w:val="24"/>
        </w:rPr>
        <w:t xml:space="preserve"> par an. </w:t>
      </w:r>
      <w:r w:rsidR="00F55714" w:rsidRPr="003D3A5B">
        <w:rPr>
          <w:rFonts w:eastAsia="SimSun"/>
          <w:szCs w:val="24"/>
        </w:rPr>
        <w:t xml:space="preserve">Le GCNT s'est félicité </w:t>
      </w:r>
      <w:r w:rsidR="00DE5436">
        <w:rPr>
          <w:rFonts w:eastAsia="SimSun"/>
          <w:szCs w:val="24"/>
        </w:rPr>
        <w:t>de constater que l</w:t>
      </w:r>
      <w:r w:rsidR="00F55714" w:rsidRPr="003D3A5B">
        <w:rPr>
          <w:rFonts w:eastAsia="SimSun"/>
          <w:szCs w:val="24"/>
        </w:rPr>
        <w:t>es travaux a</w:t>
      </w:r>
      <w:r w:rsidR="00DE5436">
        <w:rPr>
          <w:rFonts w:eastAsia="SimSun"/>
          <w:szCs w:val="24"/>
        </w:rPr>
        <w:t>va</w:t>
      </w:r>
      <w:r w:rsidR="00F55714" w:rsidRPr="003D3A5B">
        <w:rPr>
          <w:rFonts w:eastAsia="SimSun"/>
          <w:szCs w:val="24"/>
        </w:rPr>
        <w:t xml:space="preserve">ient </w:t>
      </w:r>
      <w:r w:rsidR="00DE5436">
        <w:rPr>
          <w:rFonts w:eastAsia="SimSun"/>
          <w:szCs w:val="24"/>
        </w:rPr>
        <w:t xml:space="preserve">commencé </w:t>
      </w:r>
      <w:r w:rsidR="00F55714" w:rsidRPr="003D3A5B">
        <w:rPr>
          <w:rFonts w:eastAsia="SimSun"/>
          <w:szCs w:val="24"/>
        </w:rPr>
        <w:t>en vue d'élaborer un plan d'activité, mais a reconnu que le projet de plan en cours d'élaboration qui doit être soumis au</w:t>
      </w:r>
      <w:r w:rsidR="00F0031C">
        <w:rPr>
          <w:rFonts w:eastAsia="SimSun"/>
          <w:szCs w:val="24"/>
        </w:rPr>
        <w:t xml:space="preserve"> </w:t>
      </w:r>
      <w:r w:rsidR="002816E8">
        <w:rPr>
          <w:rFonts w:eastAsia="SimSun"/>
          <w:szCs w:val="24"/>
        </w:rPr>
        <w:t>Conseil</w:t>
      </w:r>
      <w:r w:rsidR="00DE5436">
        <w:rPr>
          <w:rFonts w:eastAsia="SimSun"/>
          <w:szCs w:val="24"/>
        </w:rPr>
        <w:t xml:space="preserve"> en octobre 2011</w:t>
      </w:r>
      <w:r w:rsidR="00F55714" w:rsidRPr="003D3A5B">
        <w:rPr>
          <w:rFonts w:eastAsia="SimSun"/>
          <w:szCs w:val="24"/>
        </w:rPr>
        <w:t xml:space="preserve"> </w:t>
      </w:r>
      <w:r w:rsidR="00F55714">
        <w:rPr>
          <w:rFonts w:eastAsia="SimSun"/>
          <w:szCs w:val="24"/>
        </w:rPr>
        <w:t>devrait être sensiblement plus détaillé.</w:t>
      </w:r>
      <w:r w:rsidR="00F55714" w:rsidRPr="00F065DF">
        <w:rPr>
          <w:rFonts w:eastAsia="SimSun"/>
          <w:szCs w:val="24"/>
        </w:rPr>
        <w:t xml:space="preserve"> Il a été demandé au TSB de veiller à ce que des consultations soient menées avec toutes les parties prenantes en ce qui concerne l'élaboration </w:t>
      </w:r>
      <w:r w:rsidR="00F55714">
        <w:rPr>
          <w:rFonts w:eastAsia="SimSun"/>
          <w:szCs w:val="24"/>
        </w:rPr>
        <w:t>du plan d'activité.</w:t>
      </w:r>
    </w:p>
    <w:p w:rsidR="00F55714" w:rsidRDefault="00F55714" w:rsidP="00DE5436">
      <w:pPr>
        <w:rPr>
          <w:rFonts w:eastAsia="SimSun"/>
          <w:szCs w:val="24"/>
        </w:rPr>
      </w:pPr>
      <w:r>
        <w:rPr>
          <w:rFonts w:eastAsia="SimSun"/>
          <w:szCs w:val="24"/>
        </w:rPr>
        <w:t xml:space="preserve">Un </w:t>
      </w:r>
      <w:r w:rsidR="00DE5436">
        <w:rPr>
          <w:rFonts w:eastAsia="SimSun"/>
          <w:szCs w:val="24"/>
        </w:rPr>
        <w:t>G</w:t>
      </w:r>
      <w:r>
        <w:rPr>
          <w:rFonts w:eastAsia="SimSun"/>
          <w:szCs w:val="24"/>
        </w:rPr>
        <w:t>roupe d'action intersectoriel</w:t>
      </w:r>
      <w:r w:rsidRPr="00F065DF">
        <w:rPr>
          <w:rFonts w:eastAsia="SimSun"/>
          <w:szCs w:val="24"/>
        </w:rPr>
        <w:t xml:space="preserve"> associant les trois </w:t>
      </w:r>
      <w:r w:rsidR="00DE5436" w:rsidRPr="00F065DF">
        <w:rPr>
          <w:rFonts w:eastAsia="SimSun"/>
          <w:szCs w:val="24"/>
        </w:rPr>
        <w:t>B</w:t>
      </w:r>
      <w:r w:rsidRPr="00F065DF">
        <w:rPr>
          <w:rFonts w:eastAsia="SimSun"/>
          <w:szCs w:val="24"/>
        </w:rPr>
        <w:t xml:space="preserve">ureaux </w:t>
      </w:r>
      <w:r w:rsidR="00DE5436">
        <w:rPr>
          <w:rFonts w:eastAsia="SimSun"/>
          <w:szCs w:val="24"/>
        </w:rPr>
        <w:t>a été créé</w:t>
      </w:r>
      <w:r w:rsidR="00DE5436" w:rsidRPr="00F065DF">
        <w:rPr>
          <w:rFonts w:eastAsia="SimSun"/>
          <w:szCs w:val="24"/>
        </w:rPr>
        <w:t xml:space="preserve"> au sein de l'UIT</w:t>
      </w:r>
      <w:r w:rsidR="00DE5436">
        <w:rPr>
          <w:rFonts w:eastAsia="SimSun"/>
          <w:szCs w:val="24"/>
        </w:rPr>
        <w:t xml:space="preserve"> pour </w:t>
      </w:r>
      <w:r w:rsidRPr="00F065DF">
        <w:rPr>
          <w:rFonts w:eastAsia="SimSun"/>
          <w:szCs w:val="24"/>
        </w:rPr>
        <w:t xml:space="preserve">examiner le programme de conformité </w:t>
      </w:r>
      <w:r>
        <w:rPr>
          <w:rFonts w:eastAsia="SimSun"/>
          <w:szCs w:val="24"/>
        </w:rPr>
        <w:t>e</w:t>
      </w:r>
      <w:r w:rsidRPr="00F065DF">
        <w:rPr>
          <w:rFonts w:eastAsia="SimSun"/>
          <w:szCs w:val="24"/>
        </w:rPr>
        <w:t xml:space="preserve">t </w:t>
      </w:r>
      <w:r>
        <w:rPr>
          <w:rFonts w:eastAsia="SimSun"/>
          <w:szCs w:val="24"/>
        </w:rPr>
        <w:t>d'inter</w:t>
      </w:r>
      <w:r w:rsidRPr="00F065DF">
        <w:rPr>
          <w:rFonts w:eastAsia="SimSun"/>
          <w:szCs w:val="24"/>
        </w:rPr>
        <w:t>opérabilité. Le BR suit de près l'évolution de la s</w:t>
      </w:r>
      <w:r w:rsidR="00F0031C">
        <w:rPr>
          <w:rFonts w:eastAsia="SimSun"/>
          <w:szCs w:val="24"/>
        </w:rPr>
        <w:t>itu</w:t>
      </w:r>
      <w:r w:rsidRPr="00F065DF">
        <w:rPr>
          <w:rFonts w:eastAsia="SimSun"/>
          <w:szCs w:val="24"/>
        </w:rPr>
        <w:t xml:space="preserve">ation, en vue d'examiner l'applicabilité future d'un programme de conformité et d'interopérabilité ainsi que d'un programme de marques pour les </w:t>
      </w:r>
      <w:r w:rsidR="00DE5436" w:rsidRPr="00F065DF">
        <w:rPr>
          <w:rFonts w:eastAsia="SimSun"/>
          <w:szCs w:val="24"/>
        </w:rPr>
        <w:t>R</w:t>
      </w:r>
      <w:r w:rsidRPr="00F065DF">
        <w:rPr>
          <w:rFonts w:eastAsia="SimSun"/>
          <w:szCs w:val="24"/>
        </w:rPr>
        <w:t xml:space="preserve">ecommandations </w:t>
      </w:r>
      <w:r w:rsidR="00DE5436">
        <w:rPr>
          <w:rFonts w:eastAsia="SimSun"/>
          <w:szCs w:val="24"/>
        </w:rPr>
        <w:t>UIT</w:t>
      </w:r>
      <w:r w:rsidR="00DE5436">
        <w:rPr>
          <w:rFonts w:eastAsia="SimSun"/>
          <w:szCs w:val="24"/>
        </w:rPr>
        <w:noBreakHyphen/>
      </w:r>
      <w:r>
        <w:rPr>
          <w:rFonts w:eastAsia="SimSun"/>
          <w:szCs w:val="24"/>
        </w:rPr>
        <w:t>R.</w:t>
      </w:r>
    </w:p>
    <w:p w:rsidR="00F55714" w:rsidRPr="00AB2296" w:rsidRDefault="00F55714" w:rsidP="00DE5436">
      <w:pPr>
        <w:pStyle w:val="Heading1"/>
      </w:pPr>
      <w:r>
        <w:t>4</w:t>
      </w:r>
      <w:r w:rsidRPr="00AB2296">
        <w:tab/>
        <w:t xml:space="preserve">Activités des </w:t>
      </w:r>
      <w:r w:rsidR="00DE5436" w:rsidRPr="00DE5436">
        <w:rPr>
          <w:rFonts w:eastAsia="HGPSoeiKakugothicUB"/>
        </w:rPr>
        <w:t>C</w:t>
      </w:r>
      <w:r w:rsidRPr="00DE5436">
        <w:rPr>
          <w:rFonts w:eastAsia="HGPSoeiKakugothicUB"/>
        </w:rPr>
        <w:t>ommissions d'études</w:t>
      </w:r>
      <w:r w:rsidRPr="00AB2296">
        <w:t xml:space="preserve"> </w:t>
      </w:r>
    </w:p>
    <w:p w:rsidR="00F55714" w:rsidRPr="00AB2296" w:rsidRDefault="00F55714" w:rsidP="00F55714">
      <w:pPr>
        <w:pStyle w:val="Heading2"/>
      </w:pPr>
      <w:r>
        <w:t>4</w:t>
      </w:r>
      <w:r w:rsidRPr="00AB2296">
        <w:t>.1</w:t>
      </w:r>
      <w:r w:rsidRPr="00AB2296">
        <w:tab/>
        <w:t>Méthodes de travail</w:t>
      </w:r>
    </w:p>
    <w:p w:rsidR="00F55714" w:rsidRDefault="00F55714" w:rsidP="00607A5D">
      <w:pPr>
        <w:rPr>
          <w:lang w:val="fr-CH"/>
        </w:rPr>
      </w:pPr>
      <w:r w:rsidRPr="00AB2296">
        <w:t xml:space="preserve">Les </w:t>
      </w:r>
      <w:r>
        <w:rPr>
          <w:lang w:val="fr-CH" w:eastAsia="ko-KR"/>
        </w:rPr>
        <w:t>Commissions d'études</w:t>
      </w:r>
      <w:r w:rsidRPr="00AB2296">
        <w:t xml:space="preserve"> ont poursuivi leurs activités dans une structure des </w:t>
      </w:r>
      <w:r>
        <w:rPr>
          <w:lang w:val="fr-CH" w:eastAsia="ko-KR"/>
        </w:rPr>
        <w:t>Commissions d'études (CE)</w:t>
      </w:r>
      <w:r>
        <w:rPr>
          <w:lang w:val="fr-CH"/>
        </w:rPr>
        <w:t xml:space="preserve"> et des Groupes de travail stable, conformément aux programmes de travail définis dans le Plan opérationnel de l'UIT-R. Les méthodes de travail ont été appliquées de manière satisfaisante, conformément à la Résolution UIT-R 1-5 (ainsi qu'aux </w:t>
      </w:r>
      <w:r w:rsidR="00607A5D">
        <w:rPr>
          <w:lang w:val="fr-CH"/>
        </w:rPr>
        <w:t>L</w:t>
      </w:r>
      <w:r>
        <w:rPr>
          <w:lang w:val="fr-CH"/>
        </w:rPr>
        <w:t xml:space="preserve">ignes directrices connexes) et le recours accru aux moyens électroniques a été extrêmement utile aux délégués et a permis de réaliser des économies de papier appréciables. L'accès à la documentation via un site web spécial Sharepoint est désormais pratique courante pendant les réunions, et seul un petit nombre de copies papier sont imprimées pour les réunions qui ont lieu à </w:t>
      </w:r>
      <w:r w:rsidR="008658DF">
        <w:rPr>
          <w:lang w:val="fr-CH"/>
        </w:rPr>
        <w:t>Genève</w:t>
      </w:r>
      <w:r>
        <w:rPr>
          <w:lang w:val="fr-CH"/>
        </w:rPr>
        <w:t xml:space="preserve">. Il est proposé d'organiser progressivement les prochaines réunions des commissions d'études et des groupes de travail sans aucun support papier, comme c'est déjà le cas </w:t>
      </w:r>
      <w:r w:rsidR="008658DF">
        <w:rPr>
          <w:lang w:val="fr-CH"/>
        </w:rPr>
        <w:t xml:space="preserve">lors </w:t>
      </w:r>
      <w:r>
        <w:rPr>
          <w:lang w:val="fr-CH"/>
        </w:rPr>
        <w:t>de la plupart des réunions de l'</w:t>
      </w:r>
      <w:r w:rsidR="00144613">
        <w:rPr>
          <w:lang w:val="fr-CH"/>
        </w:rPr>
        <w:t>UIT-T</w:t>
      </w:r>
      <w:r>
        <w:rPr>
          <w:lang w:val="fr-CH"/>
        </w:rPr>
        <w:t>. Le recours aux solutions Sharepoint a été étendu aux réunions qui se tiennent à l'extérieur de Genève et toutes ces réunions se déroulent désormais sans aucun document papier.</w:t>
      </w:r>
    </w:p>
    <w:p w:rsidR="00F55714" w:rsidRDefault="00F55714">
      <w:pPr>
        <w:rPr>
          <w:lang w:val="fr-CH"/>
        </w:rPr>
        <w:pPrChange w:id="5" w:author="POOL" w:date="2009-12-10T16:14:00Z">
          <w:pPr>
            <w:spacing w:line="720" w:lineRule="auto"/>
          </w:pPr>
        </w:pPrChange>
      </w:pPr>
      <w:r>
        <w:rPr>
          <w:lang w:val="fr-CH"/>
        </w:rPr>
        <w:t xml:space="preserve">Un dispositif de synchronisation des fichiers est actuellement mis en oeuvre pour toutes les réunions des </w:t>
      </w:r>
      <w:r w:rsidR="008658DF">
        <w:rPr>
          <w:lang w:val="fr-CH"/>
        </w:rPr>
        <w:t>C</w:t>
      </w:r>
      <w:r>
        <w:rPr>
          <w:lang w:val="fr-CH"/>
        </w:rPr>
        <w:t xml:space="preserve">ommissions d'études et des </w:t>
      </w:r>
      <w:r w:rsidR="008658DF">
        <w:rPr>
          <w:lang w:val="fr-CH"/>
        </w:rPr>
        <w:t>Groupes de travail, a</w:t>
      </w:r>
      <w:r>
        <w:rPr>
          <w:lang w:val="fr-CH"/>
        </w:rPr>
        <w:t>fin de faciliter l'accès aux versions les plus récentes des documents pendant les réunions.</w:t>
      </w:r>
    </w:p>
    <w:p w:rsidR="00F55714" w:rsidRDefault="00F55714" w:rsidP="008658DF">
      <w:pPr>
        <w:rPr>
          <w:lang w:val="fr-CH"/>
        </w:rPr>
      </w:pPr>
      <w:r>
        <w:rPr>
          <w:lang w:val="fr-CH"/>
        </w:rPr>
        <w:t>La pénurie de salles de réunion au siège de l'UIT nuit de plus en plus souvent à la planification efficace des réunions. Ce problème est encore aggravé par quatre facteurs principaux, à savoir: i) le nombre grandissant de réunions organisées par les trois Secteurs et le Secrétariat général; ii) la pénurie de salles de réunion pouvant accueillir entre 150 et 200 participants</w:t>
      </w:r>
      <w:r w:rsidR="00F0031C">
        <w:rPr>
          <w:lang w:val="fr-CH"/>
        </w:rPr>
        <w:t xml:space="preserve">; </w:t>
      </w:r>
      <w:r>
        <w:rPr>
          <w:lang w:val="fr-CH"/>
        </w:rPr>
        <w:t xml:space="preserve">iii) la nécessité d'éviter tout chevauchement et toute incompatibilité entre les dates des réunions; et iv) les longs délais nécessaires pour les réservations et l'insuffisance d'installations de </w:t>
      </w:r>
      <w:r w:rsidR="008658DF">
        <w:rPr>
          <w:lang w:val="fr-CH"/>
        </w:rPr>
        <w:t>remplacement</w:t>
      </w:r>
      <w:r>
        <w:rPr>
          <w:lang w:val="fr-CH"/>
        </w:rPr>
        <w:t xml:space="preserve"> telle</w:t>
      </w:r>
      <w:r w:rsidR="008658DF">
        <w:rPr>
          <w:lang w:val="fr-CH"/>
        </w:rPr>
        <w:t>s</w:t>
      </w:r>
      <w:r>
        <w:rPr>
          <w:lang w:val="fr-CH"/>
        </w:rPr>
        <w:t xml:space="preserve"> que le CCV et le CICG</w:t>
      </w:r>
      <w:r w:rsidR="008658DF">
        <w:rPr>
          <w:lang w:val="fr-CH"/>
        </w:rPr>
        <w:t>.</w:t>
      </w:r>
      <w:r>
        <w:rPr>
          <w:lang w:val="fr-CH"/>
        </w:rPr>
        <w:t xml:space="preserve"> </w:t>
      </w:r>
      <w:r w:rsidR="008658DF">
        <w:rPr>
          <w:lang w:val="fr-CH"/>
        </w:rPr>
        <w:t>C</w:t>
      </w:r>
      <w:r>
        <w:rPr>
          <w:lang w:val="fr-CH"/>
        </w:rPr>
        <w:t>e problème sera particulièrement délicat cette année</w:t>
      </w:r>
      <w:r w:rsidR="008658DF">
        <w:rPr>
          <w:lang w:val="fr-CH"/>
        </w:rPr>
        <w:t>,</w:t>
      </w:r>
      <w:r>
        <w:rPr>
          <w:lang w:val="fr-CH"/>
        </w:rPr>
        <w:t xml:space="preserve"> en raison des travaux de rénovation de la </w:t>
      </w:r>
      <w:r w:rsidR="008658DF">
        <w:rPr>
          <w:lang w:val="fr-CH"/>
        </w:rPr>
        <w:t>S</w:t>
      </w:r>
      <w:r>
        <w:rPr>
          <w:lang w:val="fr-CH"/>
        </w:rPr>
        <w:t>alle B qui seront</w:t>
      </w:r>
      <w:r w:rsidR="008658DF">
        <w:rPr>
          <w:lang w:val="fr-CH"/>
        </w:rPr>
        <w:t xml:space="preserve"> effectués</w:t>
      </w:r>
      <w:r>
        <w:rPr>
          <w:lang w:val="fr-CH"/>
        </w:rPr>
        <w:t xml:space="preserve"> de mai à octobre 2011.</w:t>
      </w:r>
    </w:p>
    <w:p w:rsidR="00F55714" w:rsidRPr="00AB2296" w:rsidRDefault="00F55714" w:rsidP="00F55714">
      <w:pPr>
        <w:pStyle w:val="Heading2"/>
      </w:pPr>
      <w:r>
        <w:rPr>
          <w:lang w:val="fr-CH"/>
        </w:rPr>
        <w:t>4.2</w:t>
      </w:r>
      <w:r>
        <w:rPr>
          <w:lang w:val="fr-CH"/>
        </w:rPr>
        <w:tab/>
        <w:t xml:space="preserve">Travaux préparatoires des </w:t>
      </w:r>
      <w:r w:rsidR="008658DF" w:rsidRPr="00DE5436">
        <w:rPr>
          <w:rFonts w:eastAsia="HGPSoeiKakugothicUB"/>
        </w:rPr>
        <w:t>C</w:t>
      </w:r>
      <w:r w:rsidRPr="00DE5436">
        <w:rPr>
          <w:rFonts w:eastAsia="HGPSoeiKakugothicUB"/>
        </w:rPr>
        <w:t>ommissions d'études</w:t>
      </w:r>
      <w:r>
        <w:rPr>
          <w:lang w:val="fr-CH"/>
        </w:rPr>
        <w:t xml:space="preserve"> en vue de la </w:t>
      </w:r>
      <w:r w:rsidRPr="00AB2296">
        <w:t>CMR</w:t>
      </w:r>
      <w:r w:rsidRPr="00AB2296">
        <w:noBreakHyphen/>
        <w:t>12</w:t>
      </w:r>
    </w:p>
    <w:p w:rsidR="00F55714" w:rsidRDefault="008658DF" w:rsidP="00607A5D">
      <w:r>
        <w:t>C</w:t>
      </w:r>
      <w:r w:rsidR="00F55714">
        <w:t xml:space="preserve">omme indiqué au </w:t>
      </w:r>
      <w:r>
        <w:t>§ </w:t>
      </w:r>
      <w:r w:rsidR="00F55714">
        <w:t xml:space="preserve">6.1, les </w:t>
      </w:r>
      <w:r>
        <w:t>C</w:t>
      </w:r>
      <w:r w:rsidR="00F55714">
        <w:t>ommissions d'études ont élaboré leurs contributions au projet de rapport de la RPC à la CMR-12 dans les délais prévu</w:t>
      </w:r>
      <w:r>
        <w:t>s</w:t>
      </w:r>
      <w:r w:rsidR="00F55714">
        <w:t xml:space="preserve">. Les </w:t>
      </w:r>
      <w:r>
        <w:t>C</w:t>
      </w:r>
      <w:r w:rsidR="00F55714">
        <w:t xml:space="preserve">ommissions d'études mettent actuellement la dernière main aux avant-projets de </w:t>
      </w:r>
      <w:r>
        <w:t>Recommandation</w:t>
      </w:r>
      <w:r w:rsidR="00F55714">
        <w:t xml:space="preserve"> et de rapport, nouveaux ou révisés, dont il est fait mention dans l'</w:t>
      </w:r>
      <w:r>
        <w:t>A</w:t>
      </w:r>
      <w:r w:rsidR="00F55714">
        <w:t xml:space="preserve">nnexe du </w:t>
      </w:r>
      <w:r>
        <w:t>R</w:t>
      </w:r>
      <w:r w:rsidR="00F55714">
        <w:t>apport de la RPC à la CMR-12.</w:t>
      </w:r>
    </w:p>
    <w:p w:rsidR="00F55714" w:rsidRPr="00E37CA7" w:rsidRDefault="00F55714" w:rsidP="00F55714">
      <w:pPr>
        <w:pStyle w:val="Heading2"/>
      </w:pPr>
      <w:r w:rsidRPr="00E37CA7">
        <w:t>4.3</w:t>
      </w:r>
      <w:r w:rsidRPr="00E37CA7">
        <w:tab/>
      </w:r>
      <w:r>
        <w:rPr>
          <w:lang w:val="fr-CH"/>
        </w:rPr>
        <w:t xml:space="preserve">Activités notables menées par les </w:t>
      </w:r>
      <w:r w:rsidR="00607A5D" w:rsidRPr="00DE5436">
        <w:rPr>
          <w:rFonts w:eastAsia="HGPSoeiKakugothicUB"/>
        </w:rPr>
        <w:t>C</w:t>
      </w:r>
      <w:r w:rsidRPr="00DE5436">
        <w:rPr>
          <w:rFonts w:eastAsia="HGPSoeiKakugothicUB"/>
        </w:rPr>
        <w:t>ommissions d'études</w:t>
      </w:r>
    </w:p>
    <w:p w:rsidR="00C4028B" w:rsidRDefault="00400896" w:rsidP="00400896">
      <w:pPr>
        <w:pStyle w:val="enumlev1"/>
      </w:pPr>
      <w:r>
        <w:t>•</w:t>
      </w:r>
      <w:r>
        <w:tab/>
      </w:r>
      <w:r w:rsidR="000D4CDA" w:rsidRPr="00E37CA7">
        <w:t>A</w:t>
      </w:r>
      <w:r w:rsidR="00F55714" w:rsidRPr="00E37CA7">
        <w:t>u terme de quatre a</w:t>
      </w:r>
      <w:r>
        <w:t>nnées d'études complexes, le GT </w:t>
      </w:r>
      <w:r w:rsidR="00F55714" w:rsidRPr="00E37CA7">
        <w:t>1C, avec l'autorisation de la</w:t>
      </w:r>
      <w:r w:rsidR="00F0031C">
        <w:t xml:space="preserve"> </w:t>
      </w:r>
      <w:r w:rsidR="00F55714" w:rsidRPr="00E37CA7">
        <w:t>CE</w:t>
      </w:r>
      <w:r>
        <w:t> </w:t>
      </w:r>
      <w:r w:rsidR="00F55714" w:rsidRPr="00E37CA7">
        <w:t>1, a approuvé la nouvelle édition complète du manuel sur le contrôle d</w:t>
      </w:r>
      <w:r w:rsidR="000D4CDA">
        <w:t xml:space="preserve">u spectre </w:t>
      </w:r>
      <w:r w:rsidR="00F55714">
        <w:t>(édition de 2011), qui rend compte des derniers progrès accomplis dans le domaine des techniques de télécommunication et de contrôle des émissions</w:t>
      </w:r>
      <w:r w:rsidR="000D4CDA">
        <w:t>,</w:t>
      </w:r>
      <w:r w:rsidR="00F55714">
        <w:t xml:space="preserve"> et dont l</w:t>
      </w:r>
      <w:r w:rsidR="000D4CDA">
        <w:t>'</w:t>
      </w:r>
      <w:r w:rsidR="00F55714">
        <w:t>intérêt particulier pour les pays en développement est reconnu.</w:t>
      </w:r>
    </w:p>
    <w:p w:rsidR="00C4028B" w:rsidRDefault="00400896" w:rsidP="00F05869">
      <w:pPr>
        <w:pStyle w:val="enumlev1"/>
      </w:pPr>
      <w:r>
        <w:t>•</w:t>
      </w:r>
      <w:r>
        <w:tab/>
      </w:r>
      <w:r w:rsidR="00F05869">
        <w:t xml:space="preserve">Avec </w:t>
      </w:r>
      <w:r w:rsidR="00F55714" w:rsidRPr="00C4028B">
        <w:t xml:space="preserve">l'élaboration du </w:t>
      </w:r>
      <w:r w:rsidR="00F05869" w:rsidRPr="00C4028B">
        <w:t>R</w:t>
      </w:r>
      <w:r w:rsidR="00F55714" w:rsidRPr="00C4028B">
        <w:t>apport UIT</w:t>
      </w:r>
      <w:r w:rsidR="00853F7F">
        <w:t>-R M.2176</w:t>
      </w:r>
      <w:r w:rsidR="00F55714" w:rsidRPr="00C4028B">
        <w:t>, int</w:t>
      </w:r>
      <w:r w:rsidR="00F0031C" w:rsidRPr="00C4028B">
        <w:t>itu</w:t>
      </w:r>
      <w:r w:rsidR="00F55714" w:rsidRPr="00C4028B">
        <w:t xml:space="preserve">lé </w:t>
      </w:r>
      <w:r w:rsidR="007E64C0" w:rsidRPr="00C4028B">
        <w:t>«</w:t>
      </w:r>
      <w:r w:rsidR="00F55714" w:rsidRPr="00C4028B">
        <w:t>Vision et spécification</w:t>
      </w:r>
      <w:r w:rsidR="00F05869">
        <w:t>s</w:t>
      </w:r>
      <w:r w:rsidR="00F55714" w:rsidRPr="00C4028B">
        <w:t xml:space="preserve"> de </w:t>
      </w:r>
      <w:r w:rsidR="00F05869" w:rsidRPr="00C4028B">
        <w:t xml:space="preserve">l'interface </w:t>
      </w:r>
      <w:r w:rsidR="00F55714" w:rsidRPr="00C4028B">
        <w:t>(des</w:t>
      </w:r>
      <w:r w:rsidR="00F05869">
        <w:t xml:space="preserve"> interfaces</w:t>
      </w:r>
      <w:r w:rsidR="00F55714" w:rsidRPr="00C4028B">
        <w:t xml:space="preserve">) </w:t>
      </w:r>
      <w:r w:rsidR="00F05869">
        <w:t>radioélectrique(s) de satellite</w:t>
      </w:r>
      <w:r w:rsidR="00F55714" w:rsidRPr="00C4028B">
        <w:t xml:space="preserve"> pour les IMT évoluées</w:t>
      </w:r>
      <w:r w:rsidR="00607A5D">
        <w:t>»</w:t>
      </w:r>
      <w:r w:rsidR="00F55714" w:rsidRPr="00C4028B">
        <w:t>, l'</w:t>
      </w:r>
      <w:r w:rsidR="00F0031C" w:rsidRPr="00C4028B">
        <w:t>UIT-R</w:t>
      </w:r>
      <w:r w:rsidR="00853F7F">
        <w:t xml:space="preserve"> a</w:t>
      </w:r>
      <w:r w:rsidR="00F55714" w:rsidRPr="00C4028B">
        <w:t xml:space="preserve"> engagé le processus </w:t>
      </w:r>
      <w:r w:rsidR="00F05869">
        <w:t xml:space="preserve">consistant à établir des </w:t>
      </w:r>
      <w:r w:rsidR="00F05869" w:rsidRPr="00C4028B">
        <w:t>R</w:t>
      </w:r>
      <w:r w:rsidR="00F55714" w:rsidRPr="00C4028B">
        <w:t xml:space="preserve">ecommandations </w:t>
      </w:r>
      <w:r w:rsidR="00F0031C" w:rsidRPr="00C4028B">
        <w:t>UIT-R</w:t>
      </w:r>
      <w:r w:rsidR="000B7E1B">
        <w:t xml:space="preserve"> </w:t>
      </w:r>
      <w:r w:rsidR="00F55714" w:rsidRPr="00C4028B">
        <w:t xml:space="preserve">relatives à la composante satellite des interfaces radioélectriques pour les IMT évoluées. Ces travaux sont effectués sur la base de la </w:t>
      </w:r>
      <w:r w:rsidR="000B7E1B" w:rsidRPr="00C4028B">
        <w:t>R</w:t>
      </w:r>
      <w:r w:rsidR="00F55714" w:rsidRPr="00C4028B">
        <w:t xml:space="preserve">ésolution </w:t>
      </w:r>
      <w:r>
        <w:t>UIT</w:t>
      </w:r>
      <w:r>
        <w:noBreakHyphen/>
      </w:r>
      <w:r w:rsidR="00F0031C" w:rsidRPr="00C4028B">
        <w:t>R</w:t>
      </w:r>
      <w:r w:rsidR="000B7E1B">
        <w:t xml:space="preserve"> </w:t>
      </w:r>
      <w:r w:rsidR="00F55714" w:rsidRPr="00C4028B">
        <w:t>57.</w:t>
      </w:r>
    </w:p>
    <w:p w:rsidR="00F55714" w:rsidRPr="00C4028B" w:rsidRDefault="00400896" w:rsidP="00607A5D">
      <w:pPr>
        <w:pStyle w:val="enumlev1"/>
      </w:pPr>
      <w:r>
        <w:t>•</w:t>
      </w:r>
      <w:r>
        <w:tab/>
      </w:r>
      <w:r w:rsidR="00F55714" w:rsidRPr="00C4028B">
        <w:t xml:space="preserve">L'approbation du </w:t>
      </w:r>
      <w:r w:rsidR="00F05869" w:rsidRPr="00C4028B">
        <w:t>R</w:t>
      </w:r>
      <w:r w:rsidR="00F55714" w:rsidRPr="00C4028B">
        <w:t xml:space="preserve">apport </w:t>
      </w:r>
      <w:r w:rsidR="00F0031C" w:rsidRPr="00C4028B">
        <w:t>UIT-R</w:t>
      </w:r>
      <w:r w:rsidR="00607A5D">
        <w:t xml:space="preserve"> </w:t>
      </w:r>
      <w:r w:rsidR="00F55714" w:rsidRPr="00C4028B">
        <w:t>S.2199, int</w:t>
      </w:r>
      <w:r w:rsidR="00F0031C" w:rsidRPr="00C4028B">
        <w:t>itu</w:t>
      </w:r>
      <w:r w:rsidR="00F55714" w:rsidRPr="00C4028B">
        <w:t xml:space="preserve">lé </w:t>
      </w:r>
      <w:r w:rsidR="00F05869">
        <w:t>«E</w:t>
      </w:r>
      <w:r w:rsidR="00F55714" w:rsidRPr="00C4028B">
        <w:t xml:space="preserve">tudes sur la compatibilité des systèmes </w:t>
      </w:r>
      <w:r w:rsidR="00607A5D">
        <w:t>à</w:t>
      </w:r>
      <w:r w:rsidR="00F55714" w:rsidRPr="00C4028B">
        <w:t xml:space="preserve"> accès hertzien large bande (BWA) et des réseaux du service fixe par satellite (SFS) dans la bande 3 400-4</w:t>
      </w:r>
      <w:r w:rsidR="000B7E1B">
        <w:t> </w:t>
      </w:r>
      <w:r w:rsidR="00F55714" w:rsidRPr="00C4028B">
        <w:t>200</w:t>
      </w:r>
      <w:r w:rsidR="000B7E1B">
        <w:t> </w:t>
      </w:r>
      <w:r w:rsidR="00F55714" w:rsidRPr="00C4028B">
        <w:t>MHz</w:t>
      </w:r>
      <w:r w:rsidR="00F05869" w:rsidRPr="00DE5436">
        <w:t>»</w:t>
      </w:r>
      <w:r w:rsidR="00F05869">
        <w:t xml:space="preserve"> </w:t>
      </w:r>
      <w:r w:rsidR="00F55714" w:rsidRPr="00C4028B">
        <w:t>est le résultat des travaux fructueux menés conjointement par les groupes de travail compétents des CE 4 et 5.</w:t>
      </w:r>
    </w:p>
    <w:p w:rsidR="00F55714" w:rsidRDefault="00400896" w:rsidP="00FD7791">
      <w:pPr>
        <w:pStyle w:val="enumlev1"/>
      </w:pPr>
      <w:r>
        <w:t>•</w:t>
      </w:r>
      <w:r>
        <w:tab/>
      </w:r>
      <w:r w:rsidR="00F55714" w:rsidRPr="00C45FE4">
        <w:t>Les travaux relatifs aux IMT évoluées ont progressé</w:t>
      </w:r>
      <w:r w:rsidR="00F55714">
        <w:t xml:space="preserve"> conformément au</w:t>
      </w:r>
      <w:r w:rsidR="00607A5D">
        <w:t>x</w:t>
      </w:r>
      <w:r w:rsidR="00F55714">
        <w:t xml:space="preserve"> délais prévus. Six propositions d'interfaces radioélectriques possibles ont été soumi</w:t>
      </w:r>
      <w:r>
        <w:t>ses au GT </w:t>
      </w:r>
      <w:r w:rsidR="00F55714">
        <w:t>5D et ont été évaluées</w:t>
      </w:r>
      <w:r w:rsidR="00F05869">
        <w:t>,</w:t>
      </w:r>
      <w:r w:rsidR="00F55714">
        <w:t xml:space="preserve"> </w:t>
      </w:r>
      <w:r w:rsidR="00F05869">
        <w:t>a</w:t>
      </w:r>
      <w:r w:rsidR="00F55714">
        <w:t xml:space="preserve">fin de déterminer leur conformité aux prescriptions techniques et opérationnelles minimales. </w:t>
      </w:r>
      <w:r w:rsidR="00F55714" w:rsidRPr="00C45FE4">
        <w:t xml:space="preserve">Grâce au consensus qui a été trouvé par la suite, </w:t>
      </w:r>
      <w:r w:rsidR="00F55714">
        <w:t>il a été possible de retenir deux techniques d'interfaces radioélectriques</w:t>
      </w:r>
      <w:r w:rsidR="00F05869">
        <w:t xml:space="preserve"> – </w:t>
      </w:r>
      <w:r w:rsidR="00F55714">
        <w:t xml:space="preserve">LTE-Advanced et </w:t>
      </w:r>
      <w:r w:rsidR="00FD7791" w:rsidRPr="00710C80">
        <w:t>WirelessMAN-Advanced</w:t>
      </w:r>
      <w:r w:rsidR="00FD7791">
        <w:t xml:space="preserve"> </w:t>
      </w:r>
      <w:r w:rsidR="00607A5D">
        <w:t xml:space="preserve">– </w:t>
      </w:r>
      <w:r w:rsidR="00F55714">
        <w:t>qui seront intégré</w:t>
      </w:r>
      <w:r w:rsidR="00FD7791">
        <w:t>e</w:t>
      </w:r>
      <w:r w:rsidR="00F55714">
        <w:t>s dans la phase de normalisation finale des IMT évolu</w:t>
      </w:r>
      <w:r w:rsidR="00FD7791">
        <w:t>ées</w:t>
      </w:r>
      <w:r w:rsidR="00F55714">
        <w:t xml:space="preserve">. </w:t>
      </w:r>
      <w:r w:rsidR="00F55714" w:rsidRPr="003878C1">
        <w:t xml:space="preserve">Il est prévu d'adopter la </w:t>
      </w:r>
      <w:r w:rsidR="00FD7791" w:rsidRPr="003878C1">
        <w:t>R</w:t>
      </w:r>
      <w:r w:rsidR="00F55714" w:rsidRPr="003878C1">
        <w:t xml:space="preserve">ecommandation </w:t>
      </w:r>
      <w:r w:rsidR="00F0031C">
        <w:t>UIT-R</w:t>
      </w:r>
      <w:r w:rsidR="00FD7791">
        <w:t xml:space="preserve"> expos</w:t>
      </w:r>
      <w:r w:rsidR="00F55714" w:rsidRPr="003878C1">
        <w:t>ant les prescriptions techniques détaillées</w:t>
      </w:r>
      <w:r w:rsidR="00FC5B70">
        <w:t xml:space="preserve"> des </w:t>
      </w:r>
      <w:r w:rsidR="00F55714">
        <w:t>IMT évoluées au cours de la réunion de la CE</w:t>
      </w:r>
      <w:r>
        <w:t> </w:t>
      </w:r>
      <w:r w:rsidR="00F55714">
        <w:t>5 qui se tiendra en novembre 2011, et de la transmettre à l'AR-12 pour approbation.</w:t>
      </w:r>
    </w:p>
    <w:p w:rsidR="00F55714" w:rsidRDefault="00400896" w:rsidP="00FD7791">
      <w:pPr>
        <w:pStyle w:val="enumlev1"/>
        <w:rPr>
          <w:lang w:eastAsia="ja-JP"/>
        </w:rPr>
      </w:pPr>
      <w:r>
        <w:t>•</w:t>
      </w:r>
      <w:r>
        <w:tab/>
      </w:r>
      <w:r w:rsidR="00F55714" w:rsidRPr="003878C1">
        <w:rPr>
          <w:lang w:eastAsia="ja-JP"/>
        </w:rPr>
        <w:t>La CE</w:t>
      </w:r>
      <w:r w:rsidR="0029702C">
        <w:rPr>
          <w:lang w:eastAsia="ja-JP"/>
        </w:rPr>
        <w:t> </w:t>
      </w:r>
      <w:r w:rsidR="00F55714" w:rsidRPr="003878C1">
        <w:rPr>
          <w:lang w:eastAsia="ja-JP"/>
        </w:rPr>
        <w:t xml:space="preserve">6 a </w:t>
      </w:r>
      <w:r w:rsidR="0029702C">
        <w:rPr>
          <w:lang w:eastAsia="ja-JP"/>
        </w:rPr>
        <w:t>coor</w:t>
      </w:r>
      <w:r w:rsidR="0029702C" w:rsidRPr="003878C1">
        <w:rPr>
          <w:lang w:eastAsia="ja-JP"/>
        </w:rPr>
        <w:t>ganisé</w:t>
      </w:r>
      <w:r w:rsidR="00F55714" w:rsidRPr="003878C1">
        <w:rPr>
          <w:lang w:eastAsia="ja-JP"/>
        </w:rPr>
        <w:t xml:space="preserve"> en novembre 2010 un </w:t>
      </w:r>
      <w:r w:rsidR="00FD7791" w:rsidRPr="003878C1">
        <w:rPr>
          <w:lang w:eastAsia="ja-JP"/>
        </w:rPr>
        <w:t>A</w:t>
      </w:r>
      <w:r w:rsidR="00F55714" w:rsidRPr="003878C1">
        <w:rPr>
          <w:lang w:eastAsia="ja-JP"/>
        </w:rPr>
        <w:t xml:space="preserve">telier </w:t>
      </w:r>
      <w:r w:rsidR="00F55714">
        <w:rPr>
          <w:lang w:eastAsia="ja-JP"/>
        </w:rPr>
        <w:t>UIT</w:t>
      </w:r>
      <w:r w:rsidR="00F55714" w:rsidRPr="003878C1">
        <w:rPr>
          <w:lang w:eastAsia="ja-JP"/>
        </w:rPr>
        <w:t>-R/</w:t>
      </w:r>
      <w:r w:rsidR="00F55714">
        <w:rPr>
          <w:lang w:eastAsia="ja-JP"/>
        </w:rPr>
        <w:t>UIT</w:t>
      </w:r>
      <w:r w:rsidR="00F55714" w:rsidRPr="003878C1">
        <w:rPr>
          <w:lang w:eastAsia="ja-JP"/>
        </w:rPr>
        <w:t>-T/UER sur l'accessibilité</w:t>
      </w:r>
      <w:r w:rsidR="00F55714">
        <w:rPr>
          <w:lang w:eastAsia="ja-JP"/>
        </w:rPr>
        <w:t xml:space="preserve"> à</w:t>
      </w:r>
      <w:r w:rsidR="00FC5B70">
        <w:rPr>
          <w:lang w:eastAsia="ja-JP"/>
        </w:rPr>
        <w:t> </w:t>
      </w:r>
      <w:r w:rsidR="00F55714" w:rsidRPr="003878C1">
        <w:rPr>
          <w:lang w:eastAsia="ja-JP"/>
        </w:rPr>
        <w:t xml:space="preserve">la radiodiffusion et la TVIP, </w:t>
      </w:r>
      <w:r w:rsidR="00F55714">
        <w:rPr>
          <w:lang w:eastAsia="ja-JP"/>
        </w:rPr>
        <w:t>auquel</w:t>
      </w:r>
      <w:r w:rsidR="00F55714" w:rsidRPr="003878C1">
        <w:rPr>
          <w:lang w:eastAsia="ja-JP"/>
        </w:rPr>
        <w:t xml:space="preserve"> elle a participé. </w:t>
      </w:r>
      <w:r w:rsidR="00FD7791">
        <w:rPr>
          <w:lang w:eastAsia="ja-JP"/>
        </w:rPr>
        <w:t xml:space="preserve">Elle </w:t>
      </w:r>
      <w:r w:rsidR="00F55714" w:rsidRPr="003878C1">
        <w:rPr>
          <w:lang w:eastAsia="ja-JP"/>
        </w:rPr>
        <w:t xml:space="preserve">a également approuvé le </w:t>
      </w:r>
      <w:r w:rsidR="00FD7791" w:rsidRPr="003878C1">
        <w:rPr>
          <w:lang w:eastAsia="ja-JP"/>
        </w:rPr>
        <w:t>R</w:t>
      </w:r>
      <w:r w:rsidR="00FC5B70">
        <w:rPr>
          <w:lang w:eastAsia="ja-JP"/>
        </w:rPr>
        <w:t>apport </w:t>
      </w:r>
      <w:r w:rsidR="00F55714">
        <w:rPr>
          <w:lang w:eastAsia="ja-JP"/>
        </w:rPr>
        <w:t>UIT</w:t>
      </w:r>
      <w:r w:rsidR="00F55714" w:rsidRPr="003878C1">
        <w:rPr>
          <w:lang w:eastAsia="ja-JP"/>
        </w:rPr>
        <w:t>-R BT.2207, int</w:t>
      </w:r>
      <w:r w:rsidR="00F0031C">
        <w:rPr>
          <w:lang w:eastAsia="ja-JP"/>
        </w:rPr>
        <w:t>itu</w:t>
      </w:r>
      <w:r w:rsidR="00F55714" w:rsidRPr="003878C1">
        <w:rPr>
          <w:lang w:eastAsia="ja-JP"/>
        </w:rPr>
        <w:t xml:space="preserve">lé </w:t>
      </w:r>
      <w:r w:rsidR="00FD7791">
        <w:rPr>
          <w:lang w:eastAsia="ja-JP"/>
        </w:rPr>
        <w:t>«A</w:t>
      </w:r>
      <w:r w:rsidR="00F55714">
        <w:rPr>
          <w:lang w:eastAsia="ja-JP"/>
        </w:rPr>
        <w:t>ccessibilité au</w:t>
      </w:r>
      <w:r w:rsidR="00FD7791">
        <w:rPr>
          <w:lang w:eastAsia="ja-JP"/>
        </w:rPr>
        <w:t>x</w:t>
      </w:r>
      <w:r w:rsidR="00F55714">
        <w:rPr>
          <w:lang w:eastAsia="ja-JP"/>
        </w:rPr>
        <w:t xml:space="preserve"> service</w:t>
      </w:r>
      <w:r w:rsidR="00FD7791">
        <w:rPr>
          <w:lang w:eastAsia="ja-JP"/>
        </w:rPr>
        <w:t>s</w:t>
      </w:r>
      <w:r w:rsidR="00F55714">
        <w:rPr>
          <w:lang w:eastAsia="ja-JP"/>
        </w:rPr>
        <w:t xml:space="preserve"> de radiodiffusion pour les personnes handicapées</w:t>
      </w:r>
      <w:r w:rsidR="00F36B3E">
        <w:rPr>
          <w:lang w:eastAsia="ja-JP"/>
        </w:rPr>
        <w:t>»</w:t>
      </w:r>
      <w:r w:rsidR="00F55714">
        <w:rPr>
          <w:lang w:eastAsia="ja-JP"/>
        </w:rPr>
        <w:t xml:space="preserve"> lors de sa réunion tenue en octobre 2010.</w:t>
      </w:r>
    </w:p>
    <w:p w:rsidR="00F55714" w:rsidRPr="003878C1" w:rsidRDefault="00F55714" w:rsidP="00607A5D">
      <w:pPr>
        <w:pStyle w:val="Heading2"/>
      </w:pPr>
      <w:r w:rsidRPr="003878C1">
        <w:t>4.4</w:t>
      </w:r>
      <w:r w:rsidRPr="003878C1">
        <w:tab/>
        <w:t xml:space="preserve">Liaison et </w:t>
      </w:r>
      <w:r>
        <w:rPr>
          <w:lang w:val="fr-CH"/>
        </w:rPr>
        <w:t>collaboration</w:t>
      </w:r>
      <w:r w:rsidRPr="003878C1">
        <w:t xml:space="preserve"> avec l'UIT</w:t>
      </w:r>
      <w:r w:rsidRPr="003878C1">
        <w:noBreakHyphen/>
        <w:t>D et l'UIT</w:t>
      </w:r>
      <w:r w:rsidRPr="003878C1">
        <w:noBreakHyphen/>
        <w:t xml:space="preserve">T, ainsi qu'avec d'autres </w:t>
      </w:r>
      <w:r w:rsidR="00607A5D">
        <w:t>o</w:t>
      </w:r>
      <w:r w:rsidRPr="003878C1">
        <w:t>rganisations</w:t>
      </w:r>
    </w:p>
    <w:p w:rsidR="00F55714" w:rsidRPr="003878C1" w:rsidRDefault="00F55714" w:rsidP="00F55714">
      <w:r w:rsidRPr="003878C1">
        <w:t>Les activités intersectorielles ont été nombreuses au cours de cette période, notamment en ce qui concerne les thèmes prioritaires pour l'UIT que sont le</w:t>
      </w:r>
      <w:r>
        <w:t>s</w:t>
      </w:r>
      <w:r w:rsidRPr="003878C1">
        <w:t xml:space="preserve"> </w:t>
      </w:r>
      <w:r>
        <w:rPr>
          <w:lang w:val="fr-CH"/>
        </w:rPr>
        <w:t>changements climatiques</w:t>
      </w:r>
      <w:r w:rsidRPr="003878C1">
        <w:t xml:space="preserve"> et les communications d'urgence. Des précisions complémentaires sur ces thèmes sont données au § 7.</w:t>
      </w:r>
    </w:p>
    <w:p w:rsidR="00F55714" w:rsidRPr="003878C1" w:rsidRDefault="00F55714" w:rsidP="00F55714">
      <w:r w:rsidRPr="00607A5D">
        <w:rPr>
          <w:i/>
          <w:iCs/>
        </w:rPr>
        <w:t>Concernant l'UIT</w:t>
      </w:r>
      <w:r w:rsidRPr="00607A5D">
        <w:rPr>
          <w:i/>
          <w:iCs/>
        </w:rPr>
        <w:noBreakHyphen/>
        <w:t>D</w:t>
      </w:r>
      <w:r w:rsidRPr="003878C1">
        <w:t>: La contribution de l'UIT</w:t>
      </w:r>
      <w:r w:rsidRPr="003878C1">
        <w:noBreakHyphen/>
        <w:t>R et du BR à plusi</w:t>
      </w:r>
      <w:r w:rsidR="00FC5B70">
        <w:t>eurs Forums de développement du -</w:t>
      </w:r>
      <w:r w:rsidRPr="003878C1">
        <w:t>BDT liés à la préparation de la CMDT</w:t>
      </w:r>
      <w:r w:rsidRPr="003878C1">
        <w:noBreakHyphen/>
        <w:t xml:space="preserve">10 a été particulièrement importante. Ces Forums ont permis de présenter les activités de normalisation de l'UIT-R et de montrer leur contribution à la mise en oeuvre de la Résolution 123 (Rév. Antalya, 2006) </w:t>
      </w:r>
      <w:bookmarkStart w:id="6" w:name="_Toc165351494"/>
      <w:r w:rsidRPr="003878C1">
        <w:t>pour la r</w:t>
      </w:r>
      <w:r>
        <w:rPr>
          <w:lang w:val="fr-CH"/>
        </w:rPr>
        <w:t>éduction de l'écart qui existe en matière de normalisation</w:t>
      </w:r>
      <w:bookmarkEnd w:id="6"/>
      <w:r w:rsidRPr="003878C1">
        <w:t>. Le BR a également participé aux réunions préparatoires régionales en vue de la CMDT</w:t>
      </w:r>
      <w:r w:rsidRPr="003878C1">
        <w:noBreakHyphen/>
        <w:t>10, qui ont eu lieu dans les pays de la CEI, dans la région Eur</w:t>
      </w:r>
      <w:r w:rsidR="00FC5B70">
        <w:t>ope et dans la région des Etats </w:t>
      </w:r>
      <w:r w:rsidRPr="003878C1">
        <w:t xml:space="preserve">arabes. </w:t>
      </w:r>
    </w:p>
    <w:p w:rsidR="00F55714" w:rsidRDefault="00F55714" w:rsidP="00607A5D">
      <w:pPr>
        <w:rPr>
          <w:lang w:val="fr-CH"/>
        </w:rPr>
      </w:pPr>
      <w:r w:rsidRPr="003878C1">
        <w:t>Des experts de la Commission d'études 1 de l'UIT</w:t>
      </w:r>
      <w:r w:rsidRPr="003878C1">
        <w:noBreakHyphen/>
        <w:t xml:space="preserve">R </w:t>
      </w:r>
      <w:r>
        <w:t>continueront</w:t>
      </w:r>
      <w:r w:rsidRPr="003878C1">
        <w:t xml:space="preserve"> de prêter leur assistance aux fins de la mise au point de l'application logicielle SMS4DC, </w:t>
      </w:r>
      <w:r>
        <w:rPr>
          <w:lang w:val="fr-CH"/>
        </w:rPr>
        <w:t>conformément à la Résolution UIT</w:t>
      </w:r>
      <w:r>
        <w:rPr>
          <w:lang w:val="fr-CH"/>
        </w:rPr>
        <w:noBreakHyphen/>
        <w:t>R 11</w:t>
      </w:r>
      <w:r>
        <w:rPr>
          <w:lang w:val="fr-CH"/>
        </w:rPr>
        <w:noBreakHyphen/>
        <w:t>4.</w:t>
      </w:r>
    </w:p>
    <w:p w:rsidR="00F55714" w:rsidRPr="003878C1" w:rsidRDefault="00F55714" w:rsidP="00F55714">
      <w:r>
        <w:rPr>
          <w:lang w:val="fr-CH"/>
        </w:rPr>
        <w:t xml:space="preserve">S'agissant des travaux menés par les </w:t>
      </w:r>
      <w:r w:rsidRPr="003878C1">
        <w:rPr>
          <w:rFonts w:eastAsia="HGPSoeiKakugothicUB"/>
        </w:rPr>
        <w:t>commissions d'études</w:t>
      </w:r>
      <w:r w:rsidRPr="003878C1">
        <w:t xml:space="preserve"> de l'UIT</w:t>
      </w:r>
      <w:r w:rsidRPr="003878C1">
        <w:noBreakHyphen/>
        <w:t>D:</w:t>
      </w:r>
    </w:p>
    <w:p w:rsidR="00F55714" w:rsidRDefault="00F55714" w:rsidP="00607A5D">
      <w:pPr>
        <w:pStyle w:val="enumlev1"/>
        <w:rPr>
          <w:lang w:val="fr-CH"/>
        </w:rPr>
      </w:pPr>
      <w:r w:rsidRPr="003878C1">
        <w:t>•</w:t>
      </w:r>
      <w:r w:rsidRPr="003878C1">
        <w:tab/>
        <w:t>Le BR a contribué à la mise à jour annuelle du Rapport du Groupe du Rapporteur 9</w:t>
      </w:r>
      <w:r w:rsidRPr="003878C1">
        <w:noBreakHyphen/>
      </w:r>
      <w:r w:rsidR="00607A5D">
        <w:t>3</w:t>
      </w:r>
      <w:r w:rsidRPr="003878C1">
        <w:t xml:space="preserve">/2, qui décrit ces études ainsi que les résultats présentant un intérêt particulier pour les pays en </w:t>
      </w:r>
      <w:r>
        <w:rPr>
          <w:lang w:val="fr-CH"/>
        </w:rPr>
        <w:t>développement.</w:t>
      </w:r>
    </w:p>
    <w:p w:rsidR="00F55714" w:rsidRPr="0097457E" w:rsidRDefault="00F55714" w:rsidP="00F55714">
      <w:pPr>
        <w:pStyle w:val="enumlev1"/>
        <w:rPr>
          <w:lang w:val="fr-CH"/>
        </w:rPr>
      </w:pPr>
      <w:r w:rsidRPr="003878C1">
        <w:t>•</w:t>
      </w:r>
      <w:r w:rsidRPr="003878C1">
        <w:tab/>
        <w:t>Le GT 7C de l'UIT</w:t>
      </w:r>
      <w:r w:rsidRPr="003878C1">
        <w:noBreakHyphen/>
        <w:t xml:space="preserve">R a donné des </w:t>
      </w:r>
      <w:r>
        <w:rPr>
          <w:lang w:val="fr-CH"/>
        </w:rPr>
        <w:t>renseignements au Groupe du Rapporteur de l'UIT</w:t>
      </w:r>
      <w:r>
        <w:rPr>
          <w:lang w:val="fr-CH"/>
        </w:rPr>
        <w:noBreakHyphen/>
        <w:t xml:space="preserve">D sur la Question 22/2 (Utilisation de la télédétection utilisant les </w:t>
      </w:r>
      <w:r w:rsidRPr="0097457E">
        <w:rPr>
          <w:lang w:val="fr-CH"/>
        </w:rPr>
        <w:t>radiocommunications</w:t>
      </w:r>
      <w:r>
        <w:rPr>
          <w:lang w:val="fr-CH"/>
        </w:rPr>
        <w:t xml:space="preserve"> embarquées pour la prévision et la détection des </w:t>
      </w:r>
      <w:r w:rsidRPr="0097457E">
        <w:rPr>
          <w:lang w:val="fr-CH"/>
        </w:rPr>
        <w:t>catastrophe</w:t>
      </w:r>
      <w:r>
        <w:rPr>
          <w:lang w:val="fr-CH"/>
        </w:rPr>
        <w:t xml:space="preserve">s et l'atténuation de leurs effets). </w:t>
      </w:r>
    </w:p>
    <w:p w:rsidR="00F55714" w:rsidRDefault="00F55714" w:rsidP="00FD7791">
      <w:pPr>
        <w:pStyle w:val="enumlev1"/>
      </w:pPr>
      <w:r w:rsidRPr="003878C1">
        <w:t>•</w:t>
      </w:r>
      <w:r w:rsidRPr="003878C1">
        <w:tab/>
        <w:t>La Commission d'études 1 de l'UIT</w:t>
      </w:r>
      <w:r w:rsidRPr="003878C1">
        <w:noBreakHyphen/>
        <w:t>R a continué de collaborer activement avec la Commission d</w:t>
      </w:r>
      <w:r>
        <w:t>'études 2</w:t>
      </w:r>
      <w:r w:rsidRPr="003878C1">
        <w:t xml:space="preserve"> de l'UIT</w:t>
      </w:r>
      <w:r w:rsidRPr="003878C1">
        <w:noBreakHyphen/>
        <w:t>D en ce qui concerne</w:t>
      </w:r>
      <w:r>
        <w:t xml:space="preserve"> la mise en oeuvre de la nouvelle</w:t>
      </w:r>
      <w:r w:rsidR="00F0031C">
        <w:t xml:space="preserve"> </w:t>
      </w:r>
      <w:r w:rsidRPr="003878C1">
        <w:t>phase des études entreprises au titre de la Résolution 9 (Rév.</w:t>
      </w:r>
      <w:r w:rsidR="00FD7791">
        <w:t>Hyderabad</w:t>
      </w:r>
      <w:r w:rsidRPr="003878C1">
        <w:t>, 20</w:t>
      </w:r>
      <w:r w:rsidR="00FD7791">
        <w:t>10</w:t>
      </w:r>
      <w:r w:rsidRPr="003878C1">
        <w:t>) de l'UIT</w:t>
      </w:r>
      <w:r w:rsidRPr="003878C1">
        <w:noBreakHyphen/>
        <w:t>D</w:t>
      </w:r>
      <w:r>
        <w:t>;</w:t>
      </w:r>
      <w:r w:rsidR="00FD7791">
        <w:t xml:space="preserve"> </w:t>
      </w:r>
      <w:r>
        <w:t xml:space="preserve">sur la base du nouveau </w:t>
      </w:r>
      <w:r w:rsidR="00FD7791">
        <w:t>M</w:t>
      </w:r>
      <w:r>
        <w:t xml:space="preserve">anuel sur le </w:t>
      </w:r>
      <w:r w:rsidR="0029702C">
        <w:t>contrôle</w:t>
      </w:r>
      <w:r>
        <w:t xml:space="preserve"> d</w:t>
      </w:r>
      <w:r w:rsidR="00FD7791">
        <w:t xml:space="preserve">u spectre </w:t>
      </w:r>
      <w:r>
        <w:t>q</w:t>
      </w:r>
      <w:r w:rsidR="00FD7791">
        <w:t>ui vient d'être approuvé, le GT </w:t>
      </w:r>
      <w:r>
        <w:t>1C de l'UIT-R a fourni des renseignements techniques</w:t>
      </w:r>
      <w:r w:rsidRPr="003878C1">
        <w:t xml:space="preserve"> </w:t>
      </w:r>
      <w:r>
        <w:t xml:space="preserve">sur le contrôle des émissions afin de contribuer aux études menées au titre de la Question </w:t>
      </w:r>
      <w:r w:rsidR="00FD7791">
        <w:t>UIT-D</w:t>
      </w:r>
      <w:r>
        <w:t xml:space="preserve"> 23/1 (</w:t>
      </w:r>
      <w:r w:rsidR="00FD7791">
        <w:t>S</w:t>
      </w:r>
      <w:r>
        <w:t>tratégies et politiques concernant l'exposition des personnes aux champs électromagnétiques).</w:t>
      </w:r>
    </w:p>
    <w:p w:rsidR="00BB0C93" w:rsidRDefault="00F55714" w:rsidP="00CF65EA">
      <w:pPr>
        <w:pStyle w:val="enumlev1"/>
        <w:rPr>
          <w:lang w:val="fr-CH"/>
        </w:rPr>
      </w:pPr>
      <w:r w:rsidRPr="003878C1">
        <w:t>•</w:t>
      </w:r>
      <w:r w:rsidRPr="003878C1">
        <w:tab/>
      </w:r>
      <w:r w:rsidR="004139C8">
        <w:t xml:space="preserve">Outre </w:t>
      </w:r>
      <w:r w:rsidRPr="003878C1">
        <w:t xml:space="preserve">la </w:t>
      </w:r>
      <w:r>
        <w:t>mise à jour du</w:t>
      </w:r>
      <w:r w:rsidRPr="003878C1">
        <w:t xml:space="preserve"> </w:t>
      </w:r>
      <w:r w:rsidR="004139C8" w:rsidRPr="003878C1">
        <w:t>R</w:t>
      </w:r>
      <w:r w:rsidRPr="003878C1">
        <w:t xml:space="preserve">apport </w:t>
      </w:r>
      <w:r w:rsidR="004139C8">
        <w:t>UIT-R BT</w:t>
      </w:r>
      <w:r>
        <w:t xml:space="preserve">.2140 </w:t>
      </w:r>
      <w:r w:rsidRPr="003878C1">
        <w:t xml:space="preserve">sur le passage de la </w:t>
      </w:r>
      <w:r>
        <w:rPr>
          <w:lang w:val="fr-CH"/>
        </w:rPr>
        <w:t xml:space="preserve">radiodiffusion analogique à la </w:t>
      </w:r>
      <w:r w:rsidRPr="0097457E">
        <w:rPr>
          <w:lang w:val="fr-CH"/>
        </w:rPr>
        <w:t>radiodiffusion</w:t>
      </w:r>
      <w:r>
        <w:rPr>
          <w:lang w:val="fr-CH"/>
        </w:rPr>
        <w:t xml:space="preserve"> </w:t>
      </w:r>
      <w:r w:rsidRPr="0097457E">
        <w:rPr>
          <w:lang w:val="fr-CH"/>
        </w:rPr>
        <w:t>numérique</w:t>
      </w:r>
      <w:r>
        <w:rPr>
          <w:lang w:val="fr-CH"/>
        </w:rPr>
        <w:t xml:space="preserve"> de Terre, la </w:t>
      </w:r>
      <w:r w:rsidRPr="0097457E">
        <w:rPr>
          <w:lang w:val="fr-CH"/>
        </w:rPr>
        <w:t>Commission d'études</w:t>
      </w:r>
      <w:r>
        <w:rPr>
          <w:lang w:val="fr-CH"/>
        </w:rPr>
        <w:t xml:space="preserve"> 6 </w:t>
      </w:r>
      <w:r w:rsidRPr="003878C1">
        <w:t>de l'UIT</w:t>
      </w:r>
      <w:r w:rsidRPr="003878C1">
        <w:noBreakHyphen/>
        <w:t xml:space="preserve">R </w:t>
      </w:r>
      <w:r>
        <w:rPr>
          <w:lang w:val="fr-CH"/>
        </w:rPr>
        <w:t xml:space="preserve">a commencé à élaborer un Manuel sur la </w:t>
      </w:r>
      <w:r w:rsidRPr="003878C1">
        <w:t xml:space="preserve">mise en oeuvre de la télévision </w:t>
      </w:r>
      <w:r>
        <w:rPr>
          <w:lang w:val="fr-CH"/>
        </w:rPr>
        <w:t xml:space="preserve">numérique (DTV). </w:t>
      </w:r>
      <w:r w:rsidR="00BB0C93">
        <w:rPr>
          <w:lang w:val="fr-CH"/>
        </w:rPr>
        <w:br w:type="page"/>
      </w:r>
    </w:p>
    <w:p w:rsidR="00F55714" w:rsidRPr="009278ED" w:rsidRDefault="00BB0C93" w:rsidP="00CF65EA">
      <w:pPr>
        <w:pStyle w:val="enumlev1"/>
        <w:rPr>
          <w:lang w:val="fr-CH"/>
          <w:rPrChange w:id="7" w:author="POOL" w:date="2009-12-08T08:53:00Z">
            <w:rPr/>
          </w:rPrChange>
        </w:rPr>
      </w:pPr>
      <w:r>
        <w:rPr>
          <w:lang w:val="fr-CH"/>
        </w:rPr>
        <w:tab/>
      </w:r>
      <w:r w:rsidR="00F55714">
        <w:rPr>
          <w:lang w:val="fr-CH"/>
        </w:rPr>
        <w:t>Ce Manuel, qui complétera le rapport, rassemblera toute</w:t>
      </w:r>
      <w:r w:rsidR="00CF65EA">
        <w:rPr>
          <w:lang w:val="fr-CH"/>
        </w:rPr>
        <w:t>s</w:t>
      </w:r>
      <w:r w:rsidR="00F55714">
        <w:rPr>
          <w:lang w:val="fr-CH"/>
        </w:rPr>
        <w:t xml:space="preserve"> l</w:t>
      </w:r>
      <w:r w:rsidR="00CF65EA">
        <w:rPr>
          <w:lang w:val="fr-CH"/>
        </w:rPr>
        <w:t xml:space="preserve">es données </w:t>
      </w:r>
      <w:r w:rsidR="00F55714">
        <w:rPr>
          <w:lang w:val="fr-CH"/>
        </w:rPr>
        <w:t>technique</w:t>
      </w:r>
      <w:r w:rsidR="00CF65EA">
        <w:rPr>
          <w:lang w:val="fr-CH"/>
        </w:rPr>
        <w:t>s</w:t>
      </w:r>
      <w:r w:rsidR="00F55714">
        <w:rPr>
          <w:lang w:val="fr-CH"/>
        </w:rPr>
        <w:t xml:space="preserve"> pertinente</w:t>
      </w:r>
      <w:r w:rsidR="00CF65EA">
        <w:rPr>
          <w:lang w:val="fr-CH"/>
        </w:rPr>
        <w:t>s</w:t>
      </w:r>
      <w:r w:rsidR="00F55714">
        <w:rPr>
          <w:lang w:val="fr-CH"/>
        </w:rPr>
        <w:t xml:space="preserve"> et sera particulièrement utile aux </w:t>
      </w:r>
      <w:r w:rsidR="00F55714" w:rsidRPr="009278ED">
        <w:rPr>
          <w:lang w:val="fr-CH"/>
        </w:rPr>
        <w:t>administrations</w:t>
      </w:r>
      <w:r w:rsidR="00F55714">
        <w:rPr>
          <w:lang w:val="fr-CH"/>
        </w:rPr>
        <w:t xml:space="preserve"> qui projettent de passer au </w:t>
      </w:r>
      <w:r w:rsidR="00F55714" w:rsidRPr="009278ED">
        <w:rPr>
          <w:lang w:val="fr-CH"/>
        </w:rPr>
        <w:t>numérique</w:t>
      </w:r>
      <w:r w:rsidR="00F55714">
        <w:rPr>
          <w:lang w:val="fr-CH"/>
        </w:rPr>
        <w:t>. Ces travaux devraient présenter un intérêt particulier pour l'UIT</w:t>
      </w:r>
      <w:r w:rsidR="00F55714">
        <w:rPr>
          <w:lang w:val="fr-CH"/>
        </w:rPr>
        <w:noBreakHyphen/>
        <w:t>D.</w:t>
      </w:r>
    </w:p>
    <w:p w:rsidR="00F55714" w:rsidRDefault="00CF65EA" w:rsidP="00607A5D">
      <w:pPr>
        <w:pStyle w:val="enumlev1"/>
        <w:rPr>
          <w:lang w:val="fr-CH"/>
        </w:rPr>
      </w:pPr>
      <w:r>
        <w:t>•</w:t>
      </w:r>
      <w:r>
        <w:tab/>
        <w:t>Le GT 4C</w:t>
      </w:r>
      <w:r w:rsidR="00F55714">
        <w:t xml:space="preserve"> </w:t>
      </w:r>
      <w:r w:rsidR="00F55714" w:rsidRPr="003878C1">
        <w:t>l'UIT</w:t>
      </w:r>
      <w:r w:rsidR="00F55714" w:rsidRPr="003878C1">
        <w:noBreakHyphen/>
        <w:t xml:space="preserve">R </w:t>
      </w:r>
      <w:r w:rsidR="00F55714">
        <w:t>a</w:t>
      </w:r>
      <w:r w:rsidR="00F0031C">
        <w:t xml:space="preserve"> </w:t>
      </w:r>
      <w:r w:rsidR="00F55714" w:rsidRPr="003878C1">
        <w:t xml:space="preserve">communiqué des </w:t>
      </w:r>
      <w:r w:rsidR="00F55714">
        <w:rPr>
          <w:lang w:val="fr-CH"/>
        </w:rPr>
        <w:t>renseignements</w:t>
      </w:r>
      <w:r>
        <w:rPr>
          <w:lang w:val="fr-CH"/>
        </w:rPr>
        <w:t xml:space="preserve"> complémentaires</w:t>
      </w:r>
      <w:r w:rsidR="00F55714">
        <w:rPr>
          <w:lang w:val="fr-CH"/>
        </w:rPr>
        <w:t xml:space="preserve"> à la Commission d'études 2 de l'UIT</w:t>
      </w:r>
      <w:r w:rsidR="00F55714">
        <w:rPr>
          <w:lang w:val="fr-CH"/>
        </w:rPr>
        <w:noBreakHyphen/>
        <w:t xml:space="preserve">D concernant l'utilisation des réseaux du SMS en cas de </w:t>
      </w:r>
      <w:r w:rsidR="00F55714">
        <w:rPr>
          <w:szCs w:val="24"/>
          <w:lang w:val="fr-CH"/>
        </w:rPr>
        <w:t>catastrophe</w:t>
      </w:r>
      <w:r w:rsidR="00F55714" w:rsidRPr="00EF4BA5">
        <w:rPr>
          <w:szCs w:val="24"/>
          <w:lang w:val="fr-CH"/>
        </w:rPr>
        <w:t xml:space="preserve"> naturelle</w:t>
      </w:r>
      <w:r w:rsidR="00F55714">
        <w:rPr>
          <w:lang w:val="fr-CH"/>
        </w:rPr>
        <w:t xml:space="preserve"> et d'autres s</w:t>
      </w:r>
      <w:r w:rsidR="00F0031C">
        <w:rPr>
          <w:lang w:val="fr-CH"/>
        </w:rPr>
        <w:t>itu</w:t>
      </w:r>
      <w:r w:rsidR="00F55714">
        <w:rPr>
          <w:lang w:val="fr-CH"/>
        </w:rPr>
        <w:t>ations d'urgence.</w:t>
      </w:r>
    </w:p>
    <w:p w:rsidR="00F55714" w:rsidRPr="003878C1" w:rsidRDefault="00F55714" w:rsidP="00CF65EA">
      <w:pPr>
        <w:keepNext/>
        <w:keepLines/>
      </w:pPr>
      <w:r w:rsidRPr="003878C1">
        <w:rPr>
          <w:i/>
          <w:iCs/>
        </w:rPr>
        <w:t>En ce qui concerne l'UIT-T</w:t>
      </w:r>
      <w:r w:rsidRPr="003878C1">
        <w:t xml:space="preserve">: Outre les changements climatiques et les communications d'urgence, diverses questions présentent un intérêt mutuel pour l'UIT-R et l'UIT-T, à savoir: </w:t>
      </w:r>
    </w:p>
    <w:p w:rsidR="00F55714" w:rsidRDefault="00F55714" w:rsidP="0052210B">
      <w:pPr>
        <w:pStyle w:val="enumlev1"/>
        <w:keepNext/>
        <w:keepLines/>
        <w:rPr>
          <w:lang w:val="fr-CH"/>
        </w:rPr>
      </w:pPr>
      <w:r w:rsidRPr="003878C1">
        <w:t>•</w:t>
      </w:r>
      <w:r w:rsidRPr="003878C1">
        <w:tab/>
        <w:t>Résolution UIT-T</w:t>
      </w:r>
      <w:r w:rsidR="0052210B">
        <w:t> </w:t>
      </w:r>
      <w:r w:rsidRPr="003878C1">
        <w:t>72 (Problèmes de mesure liés à l'exposition des personnes aux champ</w:t>
      </w:r>
      <w:r>
        <w:t xml:space="preserve">s électromagnétiques): </w:t>
      </w:r>
      <w:r w:rsidRPr="003878C1">
        <w:t xml:space="preserve">la </w:t>
      </w:r>
      <w:r w:rsidRPr="007F3DCF">
        <w:rPr>
          <w:lang w:val="fr-CH" w:eastAsia="ko-KR"/>
        </w:rPr>
        <w:t>Commission d'études</w:t>
      </w:r>
      <w:r>
        <w:rPr>
          <w:lang w:val="fr-CH"/>
        </w:rPr>
        <w:t xml:space="preserve"> 1 de </w:t>
      </w:r>
      <w:r w:rsidR="00607A5D">
        <w:t>l'UIT-R, notamment</w:t>
      </w:r>
      <w:r>
        <w:t>,</w:t>
      </w:r>
      <w:r>
        <w:rPr>
          <w:lang w:val="fr-CH"/>
        </w:rPr>
        <w:t xml:space="preserve"> </w:t>
      </w:r>
      <w:r w:rsidRPr="003878C1">
        <w:t>a suivi les travaux menés par la CE</w:t>
      </w:r>
      <w:r w:rsidR="0052210B">
        <w:t> </w:t>
      </w:r>
      <w:r w:rsidRPr="003878C1">
        <w:t xml:space="preserve">5 de l'UIT-T, </w:t>
      </w:r>
      <w:r>
        <w:rPr>
          <w:lang w:val="fr-CH"/>
        </w:rPr>
        <w:t xml:space="preserve">en ce qui concerne la surveillance et la mesure des champs électromagnétiques. </w:t>
      </w:r>
    </w:p>
    <w:p w:rsidR="00F55714" w:rsidRDefault="00F55714" w:rsidP="00607A5D">
      <w:pPr>
        <w:pStyle w:val="enumlev1"/>
        <w:rPr>
          <w:lang w:val="fr-CH"/>
        </w:rPr>
      </w:pPr>
      <w:r w:rsidRPr="006601E1">
        <w:rPr>
          <w:lang w:val="fr-CH"/>
        </w:rPr>
        <w:t>•</w:t>
      </w:r>
      <w:r>
        <w:rPr>
          <w:lang w:val="fr-CH"/>
        </w:rPr>
        <w:tab/>
      </w:r>
      <w:r w:rsidR="00B161AA">
        <w:rPr>
          <w:lang w:val="fr-CH"/>
        </w:rPr>
        <w:t>A</w:t>
      </w:r>
      <w:r>
        <w:rPr>
          <w:lang w:val="fr-CH"/>
        </w:rPr>
        <w:t xml:space="preserve">ctivités de normalisation relatives </w:t>
      </w:r>
      <w:r w:rsidRPr="00B161AA">
        <w:rPr>
          <w:lang w:val="fr-CH"/>
        </w:rPr>
        <w:t xml:space="preserve">aux </w:t>
      </w:r>
      <w:r w:rsidR="00B161AA">
        <w:t xml:space="preserve">systèmes de </w:t>
      </w:r>
      <w:r w:rsidRPr="00B161AA">
        <w:t>télécommunication utilisant des lignes électriques (PLT)</w:t>
      </w:r>
      <w:r w:rsidR="00F0031C" w:rsidRPr="00B161AA">
        <w:rPr>
          <w:lang w:val="fr-CH"/>
        </w:rPr>
        <w:t>.</w:t>
      </w:r>
      <w:r w:rsidR="0052210B">
        <w:rPr>
          <w:lang w:val="fr-CH"/>
        </w:rPr>
        <w:t xml:space="preserve"> </w:t>
      </w:r>
      <w:r w:rsidR="0052210B" w:rsidRPr="00B161AA">
        <w:rPr>
          <w:lang w:val="fr-CH"/>
        </w:rPr>
        <w:t>D</w:t>
      </w:r>
      <w:r w:rsidRPr="00B161AA">
        <w:rPr>
          <w:lang w:val="fr-CH"/>
        </w:rPr>
        <w:t>ans le cadre de l'étude d</w:t>
      </w:r>
      <w:r w:rsidR="0052210B">
        <w:rPr>
          <w:lang w:val="fr-CH"/>
        </w:rPr>
        <w:t>e ces systèmes au sein de la CE </w:t>
      </w:r>
      <w:r w:rsidRPr="00B161AA">
        <w:rPr>
          <w:lang w:val="fr-CH"/>
        </w:rPr>
        <w:t>15 de l'U</w:t>
      </w:r>
      <w:r w:rsidR="0052210B">
        <w:rPr>
          <w:lang w:val="fr-CH"/>
        </w:rPr>
        <w:t>IT</w:t>
      </w:r>
      <w:r w:rsidR="00BD2FBC">
        <w:rPr>
          <w:lang w:val="fr-CH"/>
        </w:rPr>
        <w:noBreakHyphen/>
      </w:r>
      <w:r w:rsidR="0052210B">
        <w:rPr>
          <w:lang w:val="fr-CH"/>
        </w:rPr>
        <w:t>T</w:t>
      </w:r>
      <w:r w:rsidR="00607A5D">
        <w:rPr>
          <w:lang w:val="fr-CH"/>
        </w:rPr>
        <w:t>:</w:t>
      </w:r>
      <w:r w:rsidR="0052210B">
        <w:rPr>
          <w:lang w:val="fr-CH"/>
        </w:rPr>
        <w:t xml:space="preserve"> i) </w:t>
      </w:r>
      <w:r w:rsidRPr="00B161AA">
        <w:rPr>
          <w:lang w:val="fr-CH"/>
        </w:rPr>
        <w:t xml:space="preserve">le </w:t>
      </w:r>
      <w:r w:rsidR="00B161AA" w:rsidRPr="00B161AA">
        <w:rPr>
          <w:lang w:val="fr-CH"/>
        </w:rPr>
        <w:t>GT</w:t>
      </w:r>
      <w:r w:rsidR="00B161AA">
        <w:rPr>
          <w:lang w:val="fr-CH"/>
        </w:rPr>
        <w:t> </w:t>
      </w:r>
      <w:r w:rsidRPr="00B161AA">
        <w:rPr>
          <w:lang w:val="fr-CH"/>
        </w:rPr>
        <w:t>1</w:t>
      </w:r>
      <w:r w:rsidR="00B161AA" w:rsidRPr="00B161AA">
        <w:rPr>
          <w:lang w:val="fr-CH"/>
        </w:rPr>
        <w:t>A</w:t>
      </w:r>
      <w:r w:rsidRPr="00B161AA">
        <w:rPr>
          <w:lang w:val="fr-CH"/>
        </w:rPr>
        <w:t xml:space="preserve"> de l'</w:t>
      </w:r>
      <w:r w:rsidR="00F0031C" w:rsidRPr="00B161AA">
        <w:rPr>
          <w:lang w:val="fr-CH"/>
        </w:rPr>
        <w:t>UIT-R</w:t>
      </w:r>
      <w:r w:rsidR="0052210B">
        <w:rPr>
          <w:lang w:val="fr-CH"/>
        </w:rPr>
        <w:t xml:space="preserve"> a</w:t>
      </w:r>
      <w:r w:rsidRPr="00B161AA">
        <w:rPr>
          <w:lang w:val="fr-CH"/>
        </w:rPr>
        <w:t xml:space="preserve"> créé un </w:t>
      </w:r>
      <w:r w:rsidR="00BD2FBC" w:rsidRPr="00B161AA">
        <w:rPr>
          <w:lang w:val="fr-CH"/>
        </w:rPr>
        <w:t>G</w:t>
      </w:r>
      <w:r w:rsidRPr="00B161AA">
        <w:rPr>
          <w:lang w:val="fr-CH"/>
        </w:rPr>
        <w:t xml:space="preserve">roupe du </w:t>
      </w:r>
      <w:r w:rsidR="00BD2FBC" w:rsidRPr="00B161AA">
        <w:rPr>
          <w:lang w:val="fr-CH"/>
        </w:rPr>
        <w:t>R</w:t>
      </w:r>
      <w:r w:rsidRPr="00B161AA">
        <w:rPr>
          <w:lang w:val="fr-CH"/>
        </w:rPr>
        <w:t>apporteur comprenant des représentants de la CE 15 de l'</w:t>
      </w:r>
      <w:r w:rsidR="00144613">
        <w:rPr>
          <w:lang w:val="fr-CH"/>
        </w:rPr>
        <w:t>UIT-T</w:t>
      </w:r>
      <w:r w:rsidRPr="00B161AA">
        <w:rPr>
          <w:lang w:val="fr-CH"/>
        </w:rPr>
        <w:t xml:space="preserve">, afin d'élaborer des prescriptions et des critères de protection des services de radiocommunication vis-à-vis des systèmes </w:t>
      </w:r>
      <w:r w:rsidRPr="00B161AA">
        <w:t>PLT</w:t>
      </w:r>
      <w:r w:rsidRPr="00B161AA">
        <w:rPr>
          <w:lang w:val="fr-CH"/>
        </w:rPr>
        <w:t xml:space="preserve"> dans les</w:t>
      </w:r>
      <w:r>
        <w:rPr>
          <w:lang w:val="fr-CH"/>
        </w:rPr>
        <w:t xml:space="preserve"> bandes de fréquences concernées</w:t>
      </w:r>
      <w:r w:rsidR="0052210B">
        <w:rPr>
          <w:lang w:val="fr-CH"/>
        </w:rPr>
        <w:t>;</w:t>
      </w:r>
      <w:r>
        <w:rPr>
          <w:lang w:val="fr-CH"/>
        </w:rPr>
        <w:t xml:space="preserve"> et ii) le BDT et le BR ont organisé con</w:t>
      </w:r>
      <w:r w:rsidR="0052210B">
        <w:rPr>
          <w:lang w:val="fr-CH"/>
        </w:rPr>
        <w:t>jointement un Forum de l'UIT, a</w:t>
      </w:r>
      <w:r>
        <w:rPr>
          <w:lang w:val="fr-CH"/>
        </w:rPr>
        <w:t>fin d'échanger ces renseignements et de faire le point des progrès accomplis à ce jour avec d'autres organisations de normalisation</w:t>
      </w:r>
      <w:r w:rsidR="00B161AA">
        <w:rPr>
          <w:lang w:val="fr-CH"/>
        </w:rPr>
        <w:t>.</w:t>
      </w:r>
    </w:p>
    <w:p w:rsidR="00BF57F7" w:rsidRDefault="00F55714" w:rsidP="00BF57F7">
      <w:pPr>
        <w:pStyle w:val="enumlev1"/>
        <w:rPr>
          <w:lang w:val="fr-CH"/>
        </w:rPr>
      </w:pPr>
      <w:r w:rsidRPr="006601E1">
        <w:rPr>
          <w:lang w:val="fr-CH"/>
        </w:rPr>
        <w:t>•</w:t>
      </w:r>
      <w:r>
        <w:rPr>
          <w:lang w:val="fr-CH"/>
        </w:rPr>
        <w:tab/>
        <w:t xml:space="preserve">Activités menées par la </w:t>
      </w:r>
      <w:r w:rsidRPr="006601E1">
        <w:rPr>
          <w:lang w:val="fr-CH" w:eastAsia="ko-KR"/>
        </w:rPr>
        <w:t>Commission d'études</w:t>
      </w:r>
      <w:r>
        <w:rPr>
          <w:lang w:val="fr-CH"/>
        </w:rPr>
        <w:t xml:space="preserve"> 13 de l'UIT-T concernant les normes applicables aux réseaux futurs et aux réseaux de prochaine génération ainsi que la gestion de la mobilité et la convergence entre systèmes fixes et systèmes mobiles, eu égard en particulier aux études effectuées actuellement par les </w:t>
      </w:r>
      <w:r w:rsidRPr="006601E1">
        <w:rPr>
          <w:lang w:val="fr-CH" w:eastAsia="ko-KR"/>
        </w:rPr>
        <w:t>Commissions d'études</w:t>
      </w:r>
      <w:r>
        <w:rPr>
          <w:lang w:val="fr-CH"/>
        </w:rPr>
        <w:t xml:space="preserve"> 4 et 5 de l'UIT</w:t>
      </w:r>
      <w:r>
        <w:rPr>
          <w:lang w:val="fr-CH"/>
        </w:rPr>
        <w:noBreakHyphen/>
        <w:t>R.</w:t>
      </w:r>
    </w:p>
    <w:p w:rsidR="00BF57F7" w:rsidRDefault="00BF57F7" w:rsidP="00F20E43">
      <w:pPr>
        <w:pStyle w:val="enumlev1"/>
      </w:pPr>
      <w:r w:rsidRPr="006601E1">
        <w:rPr>
          <w:lang w:val="fr-CH"/>
        </w:rPr>
        <w:t>•</w:t>
      </w:r>
      <w:r>
        <w:rPr>
          <w:lang w:val="fr-CH"/>
        </w:rPr>
        <w:tab/>
      </w:r>
      <w:r w:rsidR="00F55714">
        <w:rPr>
          <w:lang w:val="fr-CH"/>
        </w:rPr>
        <w:t xml:space="preserve">Au cours de discussions de collaboration </w:t>
      </w:r>
      <w:r w:rsidR="00BD2FBC">
        <w:rPr>
          <w:lang w:val="fr-CH"/>
        </w:rPr>
        <w:t>tenues récemment avec l'UIT</w:t>
      </w:r>
      <w:r w:rsidR="00BD2FBC">
        <w:rPr>
          <w:lang w:val="fr-CH"/>
        </w:rPr>
        <w:noBreakHyphen/>
      </w:r>
      <w:r w:rsidR="00F55714">
        <w:rPr>
          <w:lang w:val="fr-CH"/>
        </w:rPr>
        <w:t xml:space="preserve">T, </w:t>
      </w:r>
      <w:r w:rsidR="00BD2FBC">
        <w:rPr>
          <w:lang w:val="fr-CH"/>
        </w:rPr>
        <w:t>l'</w:t>
      </w:r>
      <w:r w:rsidR="00F55714">
        <w:rPr>
          <w:lang w:val="fr-CH"/>
        </w:rPr>
        <w:t xml:space="preserve">ISO et la CEI sur les questions relatives aux droits de propriété intellectuelle, on a élaboré des projets de lignes directrices révisées applicables à la </w:t>
      </w:r>
      <w:r w:rsidR="00F55714" w:rsidRPr="00854049">
        <w:t>politique commune en matière de brevets de l</w:t>
      </w:r>
      <w:r w:rsidR="00BD2FBC">
        <w:t>'</w:t>
      </w:r>
      <w:r w:rsidR="00F55714" w:rsidRPr="00854049">
        <w:t>UIT</w:t>
      </w:r>
      <w:r w:rsidR="00BD2FBC">
        <w:noBreakHyphen/>
      </w:r>
      <w:r w:rsidR="00F55714" w:rsidRPr="00854049">
        <w:t>T/UIT</w:t>
      </w:r>
      <w:r w:rsidR="00BD2FBC">
        <w:noBreakHyphen/>
      </w:r>
      <w:r w:rsidR="00F55714" w:rsidRPr="00854049">
        <w:t>R/ISO/CEI</w:t>
      </w:r>
      <w:r w:rsidR="00BD2FBC">
        <w:t>.</w:t>
      </w:r>
      <w:r w:rsidR="00F55714" w:rsidRPr="00854049">
        <w:t xml:space="preserve"> </w:t>
      </w:r>
      <w:r w:rsidR="00BD2FBC">
        <w:t>C</w:t>
      </w:r>
      <w:r w:rsidR="00F55714">
        <w:t>es lignes directrices, établi</w:t>
      </w:r>
      <w:r w:rsidR="00BD2FBC">
        <w:t>es</w:t>
      </w:r>
      <w:r w:rsidR="00F55714">
        <w:t xml:space="preserve"> par le </w:t>
      </w:r>
      <w:r w:rsidR="00BD2FBC">
        <w:t>G</w:t>
      </w:r>
      <w:r w:rsidR="00F55714">
        <w:t xml:space="preserve">roupe </w:t>
      </w:r>
      <w:r w:rsidR="00BD2FBC">
        <w:t xml:space="preserve">spécialisé </w:t>
      </w:r>
      <w:r w:rsidR="00F55714">
        <w:t xml:space="preserve">sur les brevets </w:t>
      </w:r>
      <w:r w:rsidR="00BD2FBC">
        <w:t xml:space="preserve">du Groupe de </w:t>
      </w:r>
      <w:r w:rsidR="00BD2FBC">
        <w:rPr>
          <w:bCs/>
        </w:rPr>
        <w:t>coopération</w:t>
      </w:r>
      <w:r w:rsidR="00BD2FBC">
        <w:t xml:space="preserve"> </w:t>
      </w:r>
      <w:r w:rsidR="00BD2FBC">
        <w:rPr>
          <w:rFonts w:asciiTheme="majorBidi" w:hAnsiTheme="majorBidi" w:cstheme="majorBidi"/>
          <w:szCs w:val="24"/>
          <w:lang w:val="fr-CH"/>
        </w:rPr>
        <w:t>en matière de</w:t>
      </w:r>
      <w:r w:rsidR="00BD2FBC">
        <w:t xml:space="preserve"> normes</w:t>
      </w:r>
      <w:r w:rsidR="00607A5D">
        <w:t xml:space="preserve"> mondiales</w:t>
      </w:r>
      <w:r w:rsidR="00BD2FBC">
        <w:t xml:space="preserve"> (</w:t>
      </w:r>
      <w:r w:rsidR="00F55714">
        <w:t xml:space="preserve">WSC), contiennent toutes les modifications proposées par </w:t>
      </w:r>
      <w:r w:rsidR="00F55714" w:rsidRPr="00854049">
        <w:t>l</w:t>
      </w:r>
      <w:r w:rsidR="00BD2FBC">
        <w:t>'</w:t>
      </w:r>
      <w:r w:rsidR="00F55714" w:rsidRPr="00854049">
        <w:t xml:space="preserve">UIT/ISO/CEI </w:t>
      </w:r>
      <w:r w:rsidR="00F55714">
        <w:t xml:space="preserve">depuis l'adoption des </w:t>
      </w:r>
      <w:r w:rsidR="00607A5D">
        <w:t>L</w:t>
      </w:r>
      <w:r w:rsidR="00F55714">
        <w:t>ignes directrices communes sur les brevets en mars 2007</w:t>
      </w:r>
      <w:r w:rsidR="005F21EF">
        <w:t xml:space="preserve">. Elles </w:t>
      </w:r>
      <w:r w:rsidR="00F55714">
        <w:t xml:space="preserve">donnent en particulier des précisions sur la signification du terme </w:t>
      </w:r>
      <w:r w:rsidR="00F36B3E">
        <w:t>«</w:t>
      </w:r>
      <w:r w:rsidR="00607A5D">
        <w:t>B</w:t>
      </w:r>
      <w:r w:rsidR="00F55714">
        <w:t>revets</w:t>
      </w:r>
      <w:r w:rsidR="00F36B3E">
        <w:t>»</w:t>
      </w:r>
      <w:r w:rsidR="00F55714">
        <w:t>, et comportent un nouveau paragraphe int</w:t>
      </w:r>
      <w:r w:rsidR="00F0031C">
        <w:t>itu</w:t>
      </w:r>
      <w:r w:rsidR="00F55714">
        <w:t xml:space="preserve">lé </w:t>
      </w:r>
      <w:r w:rsidR="00F36B3E">
        <w:t>«</w:t>
      </w:r>
      <w:r w:rsidR="005F21EF">
        <w:t>C</w:t>
      </w:r>
      <w:r w:rsidR="00F55714">
        <w:t>ession ou transmission de droits de brevet</w:t>
      </w:r>
      <w:r w:rsidR="00F36B3E">
        <w:t>»</w:t>
      </w:r>
      <w:r w:rsidR="00F55714">
        <w:t>.</w:t>
      </w:r>
    </w:p>
    <w:p w:rsidR="00F55714" w:rsidRDefault="00BF57F7" w:rsidP="00BF57F7">
      <w:pPr>
        <w:pStyle w:val="enumlev1"/>
        <w:rPr>
          <w:lang w:val="fr-CH"/>
        </w:rPr>
      </w:pPr>
      <w:r w:rsidRPr="006601E1">
        <w:rPr>
          <w:lang w:val="fr-CH"/>
        </w:rPr>
        <w:t>•</w:t>
      </w:r>
      <w:r>
        <w:rPr>
          <w:lang w:val="fr-CH"/>
        </w:rPr>
        <w:tab/>
      </w:r>
      <w:r w:rsidR="00F55714">
        <w:rPr>
          <w:lang w:val="fr-CH"/>
        </w:rPr>
        <w:t>Dans le rapport établi à la suite de l'</w:t>
      </w:r>
      <w:r w:rsidR="005F21EF">
        <w:rPr>
          <w:lang w:val="fr-CH"/>
        </w:rPr>
        <w:t>A</w:t>
      </w:r>
      <w:r w:rsidR="00F55714">
        <w:rPr>
          <w:lang w:val="fr-CH"/>
        </w:rPr>
        <w:t xml:space="preserve">telier mixte UIT/UER sur l'accessibilité, il est proposé de créer un </w:t>
      </w:r>
      <w:r w:rsidR="005F21EF">
        <w:rPr>
          <w:lang w:val="fr-CH"/>
        </w:rPr>
        <w:t>G</w:t>
      </w:r>
      <w:r w:rsidR="00F55714">
        <w:rPr>
          <w:lang w:val="fr-CH"/>
        </w:rPr>
        <w:t>roupe spécialisé de l'UIT</w:t>
      </w:r>
      <w:r w:rsidR="005F21EF">
        <w:rPr>
          <w:lang w:val="fr-CH"/>
        </w:rPr>
        <w:noBreakHyphen/>
      </w:r>
      <w:r w:rsidR="00F55714">
        <w:rPr>
          <w:lang w:val="fr-CH"/>
        </w:rPr>
        <w:t>T sur l</w:t>
      </w:r>
      <w:r w:rsidR="005F21EF">
        <w:rPr>
          <w:lang w:val="fr-CH"/>
        </w:rPr>
        <w:t>'accessibilité aux médias audio</w:t>
      </w:r>
      <w:r w:rsidR="005F21EF">
        <w:rPr>
          <w:lang w:val="fr-CH"/>
        </w:rPr>
        <w:noBreakHyphen/>
      </w:r>
      <w:r w:rsidR="00F55714">
        <w:rPr>
          <w:lang w:val="fr-CH"/>
        </w:rPr>
        <w:t xml:space="preserve">vidéo, dans le cadre de la </w:t>
      </w:r>
      <w:r w:rsidR="005F21EF">
        <w:rPr>
          <w:lang w:val="fr-CH"/>
        </w:rPr>
        <w:t>C</w:t>
      </w:r>
      <w:r w:rsidR="00F55714">
        <w:rPr>
          <w:lang w:val="fr-CH"/>
        </w:rPr>
        <w:t>ommission d'études</w:t>
      </w:r>
      <w:r w:rsidR="005F21EF">
        <w:rPr>
          <w:lang w:val="fr-CH"/>
        </w:rPr>
        <w:t> </w:t>
      </w:r>
      <w:r w:rsidR="00F55714">
        <w:rPr>
          <w:lang w:val="fr-CH"/>
        </w:rPr>
        <w:t>16 de l'</w:t>
      </w:r>
      <w:r w:rsidR="005F21EF">
        <w:rPr>
          <w:lang w:val="fr-CH"/>
        </w:rPr>
        <w:t>UIT</w:t>
      </w:r>
      <w:r w:rsidR="005F21EF">
        <w:rPr>
          <w:lang w:val="fr-CH"/>
        </w:rPr>
        <w:noBreakHyphen/>
        <w:t>T</w:t>
      </w:r>
      <w:r w:rsidR="00F55714">
        <w:rPr>
          <w:lang w:val="fr-CH"/>
        </w:rPr>
        <w:t xml:space="preserve">. Ce </w:t>
      </w:r>
      <w:r w:rsidR="005F21EF">
        <w:rPr>
          <w:lang w:val="fr-CH"/>
        </w:rPr>
        <w:t>G</w:t>
      </w:r>
      <w:r w:rsidR="00F55714">
        <w:rPr>
          <w:lang w:val="fr-CH"/>
        </w:rPr>
        <w:t xml:space="preserve">roupe spécialisé (voir </w:t>
      </w:r>
      <w:hyperlink r:id="rId30" w:history="1">
        <w:r w:rsidR="00F55714" w:rsidRPr="00BF57F7">
          <w:rPr>
            <w:rStyle w:val="Hyperlink"/>
            <w:lang w:val="fr-CH"/>
          </w:rPr>
          <w:t>le mandat</w:t>
        </w:r>
      </w:hyperlink>
      <w:r w:rsidR="00F55714">
        <w:rPr>
          <w:lang w:val="fr-CH"/>
        </w:rPr>
        <w:t>) r</w:t>
      </w:r>
      <w:r w:rsidR="005F21EF">
        <w:rPr>
          <w:lang w:val="fr-CH"/>
        </w:rPr>
        <w:t>assemblera des experts de l'UIT</w:t>
      </w:r>
      <w:r w:rsidR="005F21EF">
        <w:rPr>
          <w:lang w:val="fr-CH"/>
        </w:rPr>
        <w:noBreakHyphen/>
      </w:r>
      <w:r w:rsidR="00F55714">
        <w:rPr>
          <w:lang w:val="fr-CH"/>
        </w:rPr>
        <w:t>R, de l'</w:t>
      </w:r>
      <w:r w:rsidR="005F21EF">
        <w:rPr>
          <w:lang w:val="fr-CH"/>
        </w:rPr>
        <w:t>UIT</w:t>
      </w:r>
      <w:r w:rsidR="005F21EF">
        <w:rPr>
          <w:lang w:val="fr-CH"/>
        </w:rPr>
        <w:noBreakHyphen/>
        <w:t>T</w:t>
      </w:r>
      <w:r w:rsidR="00F55714">
        <w:rPr>
          <w:lang w:val="fr-CH"/>
        </w:rPr>
        <w:t xml:space="preserve"> et d'organisation</w:t>
      </w:r>
      <w:r w:rsidR="005F21EF">
        <w:rPr>
          <w:lang w:val="fr-CH"/>
        </w:rPr>
        <w:t>s</w:t>
      </w:r>
      <w:r w:rsidR="00F55714">
        <w:rPr>
          <w:lang w:val="fr-CH"/>
        </w:rPr>
        <w:t xml:space="preserve"> d'utilisateur</w:t>
      </w:r>
      <w:r w:rsidR="005F21EF">
        <w:rPr>
          <w:lang w:val="fr-CH"/>
        </w:rPr>
        <w:t>s</w:t>
      </w:r>
      <w:r w:rsidR="00F55714">
        <w:rPr>
          <w:lang w:val="fr-CH"/>
        </w:rPr>
        <w:t>.</w:t>
      </w:r>
    </w:p>
    <w:p w:rsidR="00F55714" w:rsidRDefault="00F55714" w:rsidP="00F55714">
      <w:pPr>
        <w:rPr>
          <w:lang w:val="fr-CH"/>
        </w:rPr>
      </w:pPr>
      <w:r>
        <w:rPr>
          <w:lang w:val="fr-CH"/>
        </w:rPr>
        <w:t>Il reste nécessaire d'établir une coordination étroite sur diverses questions actuellement examinées par l'UIT</w:t>
      </w:r>
      <w:r w:rsidR="005F21EF">
        <w:rPr>
          <w:lang w:val="fr-CH"/>
        </w:rPr>
        <w:noBreakHyphen/>
        <w:t>T</w:t>
      </w:r>
      <w:r>
        <w:rPr>
          <w:lang w:val="fr-CH"/>
        </w:rPr>
        <w:t xml:space="preserve">, qui empiètent sur des questions de radiocommunication, afin de réduire les risques de chevauchement des travaux et de double emploi avec les travaux menés par les deux </w:t>
      </w:r>
      <w:r w:rsidR="005F21EF">
        <w:rPr>
          <w:lang w:val="fr-CH"/>
        </w:rPr>
        <w:t>S</w:t>
      </w:r>
      <w:r>
        <w:rPr>
          <w:lang w:val="fr-CH"/>
        </w:rPr>
        <w:t>ecteurs.</w:t>
      </w:r>
    </w:p>
    <w:p w:rsidR="00F55714" w:rsidRDefault="00F55714" w:rsidP="00607A5D">
      <w:pPr>
        <w:rPr>
          <w:rFonts w:eastAsia="SimSun"/>
          <w:lang w:val="fr-CH" w:eastAsia="zh-CN"/>
        </w:rPr>
      </w:pPr>
      <w:r w:rsidRPr="009C1529">
        <w:rPr>
          <w:rFonts w:eastAsia="SimSun"/>
          <w:i/>
          <w:iCs/>
          <w:lang w:val="fr-CH" w:eastAsia="zh-CN"/>
        </w:rPr>
        <w:t>En ce qui concerne d'autres organisations</w:t>
      </w:r>
      <w:r>
        <w:rPr>
          <w:rFonts w:eastAsia="SimSun"/>
          <w:lang w:val="fr-CH" w:eastAsia="zh-CN"/>
        </w:rPr>
        <w:t xml:space="preserve">: Une liaison très fructueuse s'est poursuivie entre les </w:t>
      </w:r>
      <w:r>
        <w:rPr>
          <w:rFonts w:eastAsia="SimSun"/>
          <w:lang w:val="fr-CH" w:eastAsia="ko-KR"/>
        </w:rPr>
        <w:t>c</w:t>
      </w:r>
      <w:r w:rsidRPr="009C1529">
        <w:rPr>
          <w:rFonts w:eastAsia="SimSun"/>
          <w:lang w:val="fr-CH" w:eastAsia="ko-KR"/>
        </w:rPr>
        <w:t>ommissions d'études</w:t>
      </w:r>
      <w:r>
        <w:rPr>
          <w:rFonts w:eastAsia="SimSun"/>
          <w:lang w:val="fr-CH" w:eastAsia="zh-CN"/>
        </w:rPr>
        <w:t xml:space="preserve"> de l'UIT-R et d'autres organisations, dans le cadre de la Résolution UIT</w:t>
      </w:r>
      <w:r>
        <w:rPr>
          <w:rFonts w:eastAsia="SimSun"/>
          <w:lang w:val="fr-CH" w:eastAsia="zh-CN"/>
        </w:rPr>
        <w:noBreakHyphen/>
        <w:t>R 9</w:t>
      </w:r>
      <w:r>
        <w:rPr>
          <w:rFonts w:eastAsia="SimSun"/>
          <w:lang w:val="fr-CH" w:eastAsia="zh-CN"/>
        </w:rPr>
        <w:noBreakHyphen/>
        <w:t>3, le cas échéant. Des représentants de l'UIT-R et du BR ont continué de participer activement aux travaux du Groupe GSC (</w:t>
      </w:r>
      <w:r w:rsidRPr="00F20E43">
        <w:rPr>
          <w:rFonts w:eastAsia="SimSun"/>
          <w:i/>
          <w:iCs/>
          <w:lang w:val="fr-CH" w:eastAsia="zh-CN"/>
        </w:rPr>
        <w:t>G</w:t>
      </w:r>
      <w:r w:rsidR="00607A5D" w:rsidRPr="00F20E43">
        <w:rPr>
          <w:rFonts w:eastAsia="SimSun"/>
          <w:i/>
          <w:iCs/>
          <w:lang w:val="fr-CH" w:eastAsia="zh-CN"/>
        </w:rPr>
        <w:t>roupe de c</w:t>
      </w:r>
      <w:r w:rsidRPr="00F20E43">
        <w:rPr>
          <w:rFonts w:eastAsia="SimSun"/>
          <w:i/>
          <w:iCs/>
          <w:lang w:val="fr-CH" w:eastAsia="zh-CN"/>
        </w:rPr>
        <w:t>ollaboration</w:t>
      </w:r>
      <w:r w:rsidR="00607A5D" w:rsidRPr="00F20E43">
        <w:rPr>
          <w:rFonts w:eastAsia="SimSun"/>
          <w:i/>
          <w:iCs/>
          <w:lang w:val="fr-CH" w:eastAsia="zh-CN"/>
        </w:rPr>
        <w:t xml:space="preserve"> pour la normalisation mondiale</w:t>
      </w:r>
      <w:r>
        <w:rPr>
          <w:rFonts w:eastAsia="SimSun"/>
          <w:lang w:val="fr-CH" w:eastAsia="zh-CN"/>
        </w:rPr>
        <w:t xml:space="preserve">), notamment à sa réunion annuelle tenue du 30 août au 2 septembre 2010, qui a été organisée par la CCSA. Une liaison a également été établie avec d'autres instances et organismes des </w:t>
      </w:r>
      <w:r w:rsidRPr="009C1529">
        <w:rPr>
          <w:rFonts w:eastAsia="SimSun" w:cs="Arial"/>
          <w:lang w:val="fr-CH" w:eastAsia="zh-CN"/>
        </w:rPr>
        <w:t>Nations Unies</w:t>
      </w:r>
      <w:r>
        <w:rPr>
          <w:rFonts w:eastAsia="SimSun"/>
          <w:lang w:val="fr-CH" w:eastAsia="zh-CN"/>
        </w:rPr>
        <w:t xml:space="preserve"> dans différents domaines, par exemple, les </w:t>
      </w:r>
      <w:r w:rsidRPr="009C1529">
        <w:rPr>
          <w:rFonts w:eastAsia="SimSun" w:cs="Arial"/>
          <w:lang w:val="fr-CH" w:eastAsia="zh-CN"/>
        </w:rPr>
        <w:t>changement</w:t>
      </w:r>
      <w:r>
        <w:rPr>
          <w:rFonts w:eastAsia="SimSun" w:cs="Arial"/>
          <w:lang w:val="fr-CH" w:eastAsia="zh-CN"/>
        </w:rPr>
        <w:t>s</w:t>
      </w:r>
      <w:r w:rsidRPr="009C1529">
        <w:rPr>
          <w:rFonts w:eastAsia="SimSun" w:cs="Arial"/>
          <w:lang w:val="fr-CH" w:eastAsia="zh-CN"/>
        </w:rPr>
        <w:t xml:space="preserve"> climatique</w:t>
      </w:r>
      <w:r>
        <w:rPr>
          <w:rFonts w:eastAsia="SimSun" w:cs="Arial"/>
          <w:lang w:val="fr-CH" w:eastAsia="zh-CN"/>
        </w:rPr>
        <w:t>s</w:t>
      </w:r>
      <w:r>
        <w:rPr>
          <w:rFonts w:eastAsia="SimSun"/>
          <w:lang w:val="fr-CH" w:eastAsia="zh-CN"/>
        </w:rPr>
        <w:t xml:space="preserve"> et la surveillance du climat (OMM, CCNUCC, Forum humanitaire mondial, GEO, SFCG, NASA, ESA, JAXA) et </w:t>
      </w:r>
      <w:r w:rsidR="009C39B4">
        <w:rPr>
          <w:rFonts w:eastAsia="SimSun"/>
          <w:lang w:val="fr-CH" w:eastAsia="zh-CN"/>
        </w:rPr>
        <w:t>l'</w:t>
      </w:r>
      <w:r>
        <w:rPr>
          <w:rFonts w:eastAsia="SimSun"/>
          <w:lang w:val="fr-CH" w:eastAsia="zh-CN"/>
        </w:rPr>
        <w:t>exposition des personnes aux champs électromagnétiques (OMS).</w:t>
      </w:r>
    </w:p>
    <w:p w:rsidR="00F55714" w:rsidRPr="00710C80" w:rsidRDefault="00F55714" w:rsidP="009C39B4">
      <w:pPr>
        <w:pStyle w:val="Heading1"/>
        <w:rPr>
          <w:lang w:val="pt-BR"/>
        </w:rPr>
      </w:pPr>
      <w:r w:rsidRPr="00710C80">
        <w:rPr>
          <w:lang w:val="pt-BR"/>
        </w:rPr>
        <w:t>5</w:t>
      </w:r>
      <w:r w:rsidRPr="00710C80">
        <w:rPr>
          <w:lang w:val="pt-BR"/>
        </w:rPr>
        <w:tab/>
      </w:r>
      <w:r w:rsidR="009C39B4">
        <w:rPr>
          <w:lang w:val="pt-BR"/>
        </w:rPr>
        <w:t xml:space="preserve">Travaux </w:t>
      </w:r>
      <w:r>
        <w:rPr>
          <w:lang w:val="pt-BR"/>
        </w:rPr>
        <w:t>préparat</w:t>
      </w:r>
      <w:r w:rsidR="009C39B4">
        <w:rPr>
          <w:lang w:val="pt-BR"/>
        </w:rPr>
        <w:t>oires</w:t>
      </w:r>
      <w:r>
        <w:rPr>
          <w:lang w:val="pt-BR"/>
        </w:rPr>
        <w:t xml:space="preserve"> </w:t>
      </w:r>
      <w:r w:rsidR="009C39B4">
        <w:rPr>
          <w:lang w:val="pt-BR"/>
        </w:rPr>
        <w:t xml:space="preserve">en vue </w:t>
      </w:r>
      <w:r>
        <w:rPr>
          <w:lang w:val="pt-BR"/>
        </w:rPr>
        <w:t>de l'AR-12</w:t>
      </w:r>
    </w:p>
    <w:p w:rsidR="00F55714" w:rsidRPr="002A7F40" w:rsidRDefault="009C39B4" w:rsidP="00161BFE">
      <w:pPr>
        <w:keepNext/>
        <w:keepLines/>
      </w:pPr>
      <w:r w:rsidRPr="002A7F40">
        <w:rPr>
          <w:szCs w:val="24"/>
        </w:rPr>
        <w:t>L</w:t>
      </w:r>
      <w:r w:rsidR="00F55714" w:rsidRPr="002A7F40">
        <w:rPr>
          <w:szCs w:val="24"/>
        </w:rPr>
        <w:t>'AR-12 doit se tenir du 16 au 20 janvier 2012.</w:t>
      </w:r>
      <w:r w:rsidR="00F55714">
        <w:rPr>
          <w:szCs w:val="24"/>
        </w:rPr>
        <w:t xml:space="preserve"> </w:t>
      </w:r>
      <w:r w:rsidR="00F55714" w:rsidRPr="002A7F40">
        <w:rPr>
          <w:szCs w:val="24"/>
        </w:rPr>
        <w:t xml:space="preserve">Des invitations ont été envoyées par le </w:t>
      </w:r>
      <w:r w:rsidRPr="002A7F40">
        <w:rPr>
          <w:szCs w:val="24"/>
        </w:rPr>
        <w:t>S</w:t>
      </w:r>
      <w:r w:rsidR="00F55714" w:rsidRPr="002A7F40">
        <w:rPr>
          <w:szCs w:val="24"/>
        </w:rPr>
        <w:t xml:space="preserve">ecrétaire général dans les </w:t>
      </w:r>
      <w:r w:rsidRPr="002A7F40">
        <w:rPr>
          <w:szCs w:val="24"/>
        </w:rPr>
        <w:t>L</w:t>
      </w:r>
      <w:r w:rsidR="00F55714" w:rsidRPr="002A7F40">
        <w:rPr>
          <w:szCs w:val="24"/>
        </w:rPr>
        <w:t>ettres circulaires DM-</w:t>
      </w:r>
      <w:r w:rsidR="00161BFE">
        <w:rPr>
          <w:szCs w:val="24"/>
        </w:rPr>
        <w:t xml:space="preserve">1002 et </w:t>
      </w:r>
      <w:r w:rsidR="00161BFE" w:rsidRPr="002A7F40">
        <w:rPr>
          <w:szCs w:val="24"/>
        </w:rPr>
        <w:t>DM-</w:t>
      </w:r>
      <w:r w:rsidR="00161BFE">
        <w:rPr>
          <w:szCs w:val="24"/>
        </w:rPr>
        <w:t>1003</w:t>
      </w:r>
      <w:r w:rsidR="00F55714" w:rsidRPr="002A7F40">
        <w:rPr>
          <w:szCs w:val="24"/>
        </w:rPr>
        <w:t xml:space="preserve">. </w:t>
      </w:r>
      <w:r w:rsidR="00F55714">
        <w:rPr>
          <w:szCs w:val="24"/>
        </w:rPr>
        <w:t xml:space="preserve">Le site </w:t>
      </w:r>
      <w:r w:rsidR="00272A87">
        <w:rPr>
          <w:szCs w:val="24"/>
        </w:rPr>
        <w:t>w</w:t>
      </w:r>
      <w:r w:rsidR="00F55714">
        <w:rPr>
          <w:szCs w:val="24"/>
        </w:rPr>
        <w:t>eb de l'</w:t>
      </w:r>
      <w:r>
        <w:rPr>
          <w:szCs w:val="24"/>
        </w:rPr>
        <w:t>A</w:t>
      </w:r>
      <w:r w:rsidR="00F55714">
        <w:rPr>
          <w:szCs w:val="24"/>
        </w:rPr>
        <w:t>ssemblée des radiocommunications est accessible à l'adresse</w:t>
      </w:r>
      <w:r w:rsidR="00F0031C">
        <w:rPr>
          <w:szCs w:val="24"/>
        </w:rPr>
        <w:t>:</w:t>
      </w:r>
      <w:r w:rsidR="00F55714" w:rsidRPr="002A7F40">
        <w:rPr>
          <w:szCs w:val="24"/>
        </w:rPr>
        <w:t xml:space="preserve"> </w:t>
      </w:r>
      <w:hyperlink r:id="rId31" w:history="1">
        <w:r w:rsidR="00161BFE" w:rsidRPr="004D4C01">
          <w:rPr>
            <w:rStyle w:val="Hyperlink"/>
            <w:szCs w:val="24"/>
          </w:rPr>
          <w:t>http://www.itu.int/ITU-R/go/RA-12</w:t>
        </w:r>
      </w:hyperlink>
      <w:r w:rsidR="00F55714" w:rsidRPr="002A7F40">
        <w:rPr>
          <w:szCs w:val="24"/>
        </w:rPr>
        <w:t>.</w:t>
      </w:r>
    </w:p>
    <w:p w:rsidR="00F55714" w:rsidRPr="002A7F40" w:rsidRDefault="00F55714" w:rsidP="00272A87">
      <w:pPr>
        <w:tabs>
          <w:tab w:val="left" w:pos="720"/>
        </w:tabs>
        <w:overflowPunct/>
        <w:rPr>
          <w:bCs/>
        </w:rPr>
      </w:pPr>
      <w:r w:rsidRPr="002A7F40">
        <w:t>Les fonctions et attributions de l'</w:t>
      </w:r>
      <w:r w:rsidR="009C39B4" w:rsidRPr="002A7F40">
        <w:t>A</w:t>
      </w:r>
      <w:r w:rsidRPr="002A7F40">
        <w:t>ssemblée des radiocommunications sont définies dans l'article</w:t>
      </w:r>
      <w:r w:rsidR="00272A87">
        <w:t> </w:t>
      </w:r>
      <w:r w:rsidRPr="002A7F40">
        <w:t xml:space="preserve">13 de la </w:t>
      </w:r>
      <w:r w:rsidR="009C39B4" w:rsidRPr="002A7F40">
        <w:t>C</w:t>
      </w:r>
      <w:r w:rsidRPr="002A7F40">
        <w:t>onst</w:t>
      </w:r>
      <w:r w:rsidR="00F0031C">
        <w:t>itu</w:t>
      </w:r>
      <w:r w:rsidRPr="002A7F40">
        <w:t xml:space="preserve">tion </w:t>
      </w:r>
      <w:r w:rsidR="00272A87">
        <w:t>et dans l'article </w:t>
      </w:r>
      <w:r>
        <w:t xml:space="preserve">8 de la </w:t>
      </w:r>
      <w:r w:rsidR="009C39B4">
        <w:t>C</w:t>
      </w:r>
      <w:r>
        <w:t>onvention, t</w:t>
      </w:r>
      <w:r w:rsidR="009C39B4">
        <w:t>andis</w:t>
      </w:r>
      <w:r>
        <w:t xml:space="preserve"> que les méthodes de travail de l'</w:t>
      </w:r>
      <w:r w:rsidR="009C39B4">
        <w:t>A</w:t>
      </w:r>
      <w:r>
        <w:t xml:space="preserve">ssemblée sont décrites au </w:t>
      </w:r>
      <w:r w:rsidR="00272A87">
        <w:t>§ </w:t>
      </w:r>
      <w:r w:rsidRPr="002A7F40">
        <w:t>1</w:t>
      </w:r>
      <w:r w:rsidR="00272A87">
        <w:t xml:space="preserve"> </w:t>
      </w:r>
      <w:r>
        <w:t>de la</w:t>
      </w:r>
      <w:r w:rsidR="00F0031C">
        <w:t xml:space="preserve"> </w:t>
      </w:r>
      <w:r w:rsidR="00E90634">
        <w:t>Résolution</w:t>
      </w:r>
      <w:r w:rsidRPr="002A7F40">
        <w:t xml:space="preserve"> </w:t>
      </w:r>
      <w:r>
        <w:t>UIT</w:t>
      </w:r>
      <w:r w:rsidRPr="002A7F40">
        <w:t>-R 1-5.</w:t>
      </w:r>
    </w:p>
    <w:p w:rsidR="00F55714" w:rsidRPr="00272A87" w:rsidRDefault="00272A87" w:rsidP="00161BFE">
      <w:pPr>
        <w:ind w:right="-284"/>
      </w:pPr>
      <w:r>
        <w:t>E</w:t>
      </w:r>
      <w:r w:rsidR="00F55714" w:rsidRPr="002A7F40">
        <w:t xml:space="preserve">tant donné que les documents sont facilement accessibles sur le site </w:t>
      </w:r>
      <w:r w:rsidRPr="002A7F40">
        <w:t>w</w:t>
      </w:r>
      <w:r w:rsidR="00F55714" w:rsidRPr="002A7F40">
        <w:t xml:space="preserve">eb de l'UIT et compte tenu des moyens de synchronisation des fichiers qui seront mis à disposition </w:t>
      </w:r>
      <w:r w:rsidR="00F55714">
        <w:t>lors de l'A</w:t>
      </w:r>
      <w:r w:rsidR="00F55714" w:rsidRPr="002A7F40">
        <w:t xml:space="preserve">R-12, </w:t>
      </w:r>
      <w:r w:rsidR="00F55714">
        <w:t xml:space="preserve">on estime qu'il n'y a pas lieu de fournir un CD-ROM des fichiers de sortie à la fin de l'AR. En outre, il est proposé que le </w:t>
      </w:r>
      <w:r>
        <w:t>L</w:t>
      </w:r>
      <w:r w:rsidR="00F55714">
        <w:t xml:space="preserve">ivre des </w:t>
      </w:r>
      <w:r>
        <w:t>R</w:t>
      </w:r>
      <w:r w:rsidR="00F55714">
        <w:t xml:space="preserve">ésolutions </w:t>
      </w:r>
      <w:r w:rsidR="00F0031C">
        <w:t>UIT-R</w:t>
      </w:r>
      <w:r>
        <w:t xml:space="preserve"> </w:t>
      </w:r>
      <w:r w:rsidR="00F55714">
        <w:t>soit établi immédiatement après l'AR et mis à disposition gratuitement sur support électronique.</w:t>
      </w:r>
    </w:p>
    <w:p w:rsidR="00F55714" w:rsidRPr="0029702C" w:rsidRDefault="00F55714" w:rsidP="00272A87">
      <w:pPr>
        <w:pStyle w:val="Heading1"/>
      </w:pPr>
      <w:r w:rsidRPr="0029702C">
        <w:t>6</w:t>
      </w:r>
      <w:r w:rsidRPr="0029702C">
        <w:tab/>
      </w:r>
      <w:r w:rsidR="00272A87" w:rsidRPr="0029702C">
        <w:t>T</w:t>
      </w:r>
      <w:r w:rsidRPr="0029702C">
        <w:t>ravaux préparatoires en vue de la CMR-12</w:t>
      </w:r>
    </w:p>
    <w:p w:rsidR="00F55714" w:rsidRPr="0029702C" w:rsidRDefault="00144613" w:rsidP="00161BFE">
      <w:r w:rsidRPr="0029702C">
        <w:rPr>
          <w:szCs w:val="24"/>
        </w:rPr>
        <w:t>L</w:t>
      </w:r>
      <w:r w:rsidR="00F55714" w:rsidRPr="0029702C">
        <w:rPr>
          <w:szCs w:val="24"/>
        </w:rPr>
        <w:t xml:space="preserve">a CMR-12 doit avoir lieu du 23 janvier au 17 février 2012. Des invitations ont été envoyées par le </w:t>
      </w:r>
      <w:r w:rsidR="00161BFE" w:rsidRPr="0029702C">
        <w:rPr>
          <w:szCs w:val="24"/>
        </w:rPr>
        <w:t>S</w:t>
      </w:r>
      <w:r w:rsidR="00F55714" w:rsidRPr="0029702C">
        <w:rPr>
          <w:szCs w:val="24"/>
        </w:rPr>
        <w:t xml:space="preserve">ecrétaire général dans les </w:t>
      </w:r>
      <w:r w:rsidR="00F17376" w:rsidRPr="0029702C">
        <w:rPr>
          <w:szCs w:val="24"/>
        </w:rPr>
        <w:t>L</w:t>
      </w:r>
      <w:r w:rsidR="00F55714" w:rsidRPr="0029702C">
        <w:rPr>
          <w:szCs w:val="24"/>
        </w:rPr>
        <w:t xml:space="preserve">ettres circulaires </w:t>
      </w:r>
      <w:r w:rsidR="00F17376" w:rsidRPr="0029702C">
        <w:rPr>
          <w:szCs w:val="24"/>
        </w:rPr>
        <w:t>N° </w:t>
      </w:r>
      <w:r w:rsidR="00F55714" w:rsidRPr="0029702C">
        <w:rPr>
          <w:szCs w:val="24"/>
        </w:rPr>
        <w:t xml:space="preserve">11 et DM-11/1000 du </w:t>
      </w:r>
      <w:r w:rsidR="00F17376" w:rsidRPr="0029702C">
        <w:rPr>
          <w:szCs w:val="24"/>
        </w:rPr>
        <w:t>10 m</w:t>
      </w:r>
      <w:r w:rsidR="00F55714" w:rsidRPr="0029702C">
        <w:rPr>
          <w:szCs w:val="24"/>
        </w:rPr>
        <w:t>ars</w:t>
      </w:r>
      <w:r w:rsidR="00F17376" w:rsidRPr="0029702C">
        <w:rPr>
          <w:szCs w:val="24"/>
        </w:rPr>
        <w:t> </w:t>
      </w:r>
      <w:r w:rsidR="00F55714" w:rsidRPr="0029702C">
        <w:rPr>
          <w:szCs w:val="24"/>
        </w:rPr>
        <w:t xml:space="preserve">2011 et par le BR </w:t>
      </w:r>
      <w:r w:rsidR="00F17376" w:rsidRPr="0029702C">
        <w:rPr>
          <w:szCs w:val="24"/>
        </w:rPr>
        <w:t>dans la</w:t>
      </w:r>
      <w:r w:rsidR="00F55714" w:rsidRPr="0029702C">
        <w:rPr>
          <w:szCs w:val="24"/>
        </w:rPr>
        <w:t xml:space="preserve"> </w:t>
      </w:r>
      <w:r w:rsidR="00F17376" w:rsidRPr="0029702C">
        <w:rPr>
          <w:szCs w:val="24"/>
        </w:rPr>
        <w:t>Lettre</w:t>
      </w:r>
      <w:r w:rsidR="00F55714" w:rsidRPr="0029702C">
        <w:rPr>
          <w:szCs w:val="24"/>
        </w:rPr>
        <w:t xml:space="preserve"> circulaire CA/196 du</w:t>
      </w:r>
      <w:r w:rsidR="00F0031C" w:rsidRPr="0029702C">
        <w:rPr>
          <w:szCs w:val="24"/>
        </w:rPr>
        <w:t xml:space="preserve"> </w:t>
      </w:r>
      <w:r w:rsidR="00F55714" w:rsidRPr="0029702C">
        <w:rPr>
          <w:szCs w:val="24"/>
        </w:rPr>
        <w:t xml:space="preserve">6 </w:t>
      </w:r>
      <w:r w:rsidR="00F17376" w:rsidRPr="0029702C">
        <w:rPr>
          <w:szCs w:val="24"/>
        </w:rPr>
        <w:t>a</w:t>
      </w:r>
      <w:r w:rsidR="00F55714" w:rsidRPr="0029702C">
        <w:rPr>
          <w:szCs w:val="24"/>
        </w:rPr>
        <w:t xml:space="preserve">vril 2011. Le site </w:t>
      </w:r>
      <w:r w:rsidRPr="0029702C">
        <w:rPr>
          <w:szCs w:val="24"/>
        </w:rPr>
        <w:t>web</w:t>
      </w:r>
      <w:r w:rsidR="00F55714" w:rsidRPr="0029702C">
        <w:rPr>
          <w:szCs w:val="24"/>
        </w:rPr>
        <w:t xml:space="preserve"> de la conférence est accessible à l'adresse:</w:t>
      </w:r>
      <w:r w:rsidR="00161BFE" w:rsidRPr="00161BFE">
        <w:t xml:space="preserve"> </w:t>
      </w:r>
      <w:hyperlink r:id="rId32" w:history="1">
        <w:r w:rsidR="00161BFE" w:rsidRPr="004D4C01">
          <w:rPr>
            <w:rStyle w:val="Hyperlink"/>
            <w:szCs w:val="24"/>
          </w:rPr>
          <w:t>http://www.itu.int/ITU-R/go/WRC-12</w:t>
        </w:r>
      </w:hyperlink>
      <w:r w:rsidR="00F55714" w:rsidRPr="0029702C">
        <w:rPr>
          <w:szCs w:val="24"/>
        </w:rPr>
        <w:t>.</w:t>
      </w:r>
    </w:p>
    <w:p w:rsidR="00F55714" w:rsidRPr="0029702C" w:rsidRDefault="00F55714" w:rsidP="00144613">
      <w:r w:rsidRPr="0029702C">
        <w:t xml:space="preserve">Conformément à la </w:t>
      </w:r>
      <w:r w:rsidR="00E90634" w:rsidRPr="0029702C">
        <w:t>Résolution</w:t>
      </w:r>
      <w:r w:rsidRPr="0029702C">
        <w:t xml:space="preserve"> 95 (</w:t>
      </w:r>
      <w:r w:rsidR="009E45F3" w:rsidRPr="0029702C">
        <w:t>Rév.</w:t>
      </w:r>
      <w:r w:rsidRPr="0029702C">
        <w:t xml:space="preserve">CMR-07) et en relation avec le point 4 de l'ordre du jour de la CMR-12, le BR a entrepris un examen général des résolutions et recommandations des conférences précédentes et l'a présenté directement à la seconde session de la RPC-11 </w:t>
      </w:r>
      <w:r w:rsidR="00BF57F7" w:rsidRPr="0029702C">
        <w:t>(RPC</w:t>
      </w:r>
      <w:r w:rsidRPr="0029702C">
        <w:t xml:space="preserve">11-2) dans le </w:t>
      </w:r>
      <w:r w:rsidR="00F17376" w:rsidRPr="0029702C">
        <w:t>D</w:t>
      </w:r>
      <w:r w:rsidRPr="0029702C">
        <w:t xml:space="preserve">ocument </w:t>
      </w:r>
      <w:hyperlink r:id="rId33" w:history="1">
        <w:r w:rsidRPr="0029702C">
          <w:rPr>
            <w:rStyle w:val="Hyperlink"/>
          </w:rPr>
          <w:t>32</w:t>
        </w:r>
      </w:hyperlink>
      <w:r w:rsidRPr="0029702C">
        <w:t xml:space="preserve">, après consultation des </w:t>
      </w:r>
      <w:r w:rsidR="00F17376" w:rsidRPr="0029702C">
        <w:t>P</w:t>
      </w:r>
      <w:r w:rsidRPr="0029702C">
        <w:t xml:space="preserve">résidents et </w:t>
      </w:r>
      <w:r w:rsidR="00F17376" w:rsidRPr="0029702C">
        <w:t>V</w:t>
      </w:r>
      <w:r w:rsidRPr="0029702C">
        <w:t>ice-</w:t>
      </w:r>
      <w:r w:rsidR="00F17376" w:rsidRPr="0029702C">
        <w:t>P</w:t>
      </w:r>
      <w:r w:rsidRPr="0029702C">
        <w:t>résidents du GCR ainsi que des commissions d'études des radiocommunications, étant donné qu'il n'a pas été possible, pour des raisons de calendrier, de procéder à cet examen lors d'une réunion du GCR. L'</w:t>
      </w:r>
      <w:r w:rsidR="00144613" w:rsidRPr="0029702C">
        <w:t>A</w:t>
      </w:r>
      <w:r w:rsidRPr="0029702C">
        <w:t xml:space="preserve">nnexe 4-1 du </w:t>
      </w:r>
      <w:r w:rsidR="00F17376" w:rsidRPr="0029702C">
        <w:t>C</w:t>
      </w:r>
      <w:r w:rsidRPr="0029702C">
        <w:t xml:space="preserve">hapitre 6 du </w:t>
      </w:r>
      <w:r w:rsidR="00144613" w:rsidRPr="0029702C">
        <w:t>R</w:t>
      </w:r>
      <w:r w:rsidRPr="0029702C">
        <w:t>apport de la RPC à la CMR-12 contient les propositions qui seront examinées pendant la conférence.</w:t>
      </w:r>
    </w:p>
    <w:p w:rsidR="00F55714" w:rsidRPr="0029702C" w:rsidRDefault="00F55714" w:rsidP="00161BFE">
      <w:r w:rsidRPr="0029702C">
        <w:t xml:space="preserve">Conformément à la </w:t>
      </w:r>
      <w:r w:rsidR="00E90634" w:rsidRPr="0029702C">
        <w:t>Résolution</w:t>
      </w:r>
      <w:r w:rsidRPr="0029702C">
        <w:t xml:space="preserve"> 28 (</w:t>
      </w:r>
      <w:r w:rsidR="009E45F3" w:rsidRPr="0029702C">
        <w:t>Rév.</w:t>
      </w:r>
      <w:r w:rsidRPr="0029702C">
        <w:t xml:space="preserve">CMR-03) et en relation avec le point 2 de l'ordre du jour de la CMR-12 une liste des </w:t>
      </w:r>
      <w:r w:rsidR="00F17376" w:rsidRPr="0029702C">
        <w:t>R</w:t>
      </w:r>
      <w:r w:rsidRPr="0029702C">
        <w:t xml:space="preserve">ecommandations </w:t>
      </w:r>
      <w:r w:rsidR="00F0031C" w:rsidRPr="0029702C">
        <w:t>UIT-R</w:t>
      </w:r>
      <w:r w:rsidR="00F17376" w:rsidRPr="0029702C">
        <w:t xml:space="preserve"> </w:t>
      </w:r>
      <w:r w:rsidRPr="0029702C">
        <w:t>incorporé</w:t>
      </w:r>
      <w:r w:rsidR="00F17376" w:rsidRPr="0029702C">
        <w:t>es</w:t>
      </w:r>
      <w:r w:rsidRPr="0029702C">
        <w:t xml:space="preserve"> par référence dans le </w:t>
      </w:r>
      <w:r w:rsidR="00F17376" w:rsidRPr="0029702C">
        <w:t>R</w:t>
      </w:r>
      <w:r w:rsidRPr="0029702C">
        <w:t>èglement des radiocommunications (RR), qui ont été révisé</w:t>
      </w:r>
      <w:r w:rsidR="00F17376" w:rsidRPr="0029702C">
        <w:t>es</w:t>
      </w:r>
      <w:r w:rsidRPr="0029702C">
        <w:t xml:space="preserve"> et approuvé</w:t>
      </w:r>
      <w:r w:rsidR="00F17376" w:rsidRPr="0029702C">
        <w:t>es</w:t>
      </w:r>
      <w:r w:rsidRPr="0029702C">
        <w:t xml:space="preserve"> pendant la période d'études écoulée, a été établi</w:t>
      </w:r>
      <w:r w:rsidR="00F17376" w:rsidRPr="0029702C">
        <w:t>e</w:t>
      </w:r>
      <w:r w:rsidRPr="0029702C">
        <w:t xml:space="preserve"> par le BR, en vue de son adjonction éventuelle dans le </w:t>
      </w:r>
      <w:r w:rsidR="00F17376" w:rsidRPr="0029702C">
        <w:t>R</w:t>
      </w:r>
      <w:r w:rsidRPr="0029702C">
        <w:t xml:space="preserve">apport de la RPC. En outre, conformément à la </w:t>
      </w:r>
      <w:r w:rsidR="00E90634" w:rsidRPr="0029702C">
        <w:t>Résolution</w:t>
      </w:r>
      <w:r w:rsidRPr="0029702C">
        <w:t xml:space="preserve"> 27 (</w:t>
      </w:r>
      <w:r w:rsidR="009E45F3" w:rsidRPr="0029702C">
        <w:t>Rév.</w:t>
      </w:r>
      <w:r w:rsidRPr="0029702C">
        <w:t xml:space="preserve">CMR-07), </w:t>
      </w:r>
      <w:r w:rsidR="00F17376" w:rsidRPr="0029702C">
        <w:t xml:space="preserve">le </w:t>
      </w:r>
      <w:r w:rsidRPr="0029702C">
        <w:t xml:space="preserve">BR a également identifié les dispositions </w:t>
      </w:r>
      <w:r w:rsidR="00F17376" w:rsidRPr="0029702C">
        <w:t xml:space="preserve">ainsi que les renvois et </w:t>
      </w:r>
      <w:r w:rsidRPr="0029702C">
        <w:t xml:space="preserve">les notes de bas de page du RR </w:t>
      </w:r>
      <w:r w:rsidR="00F17376" w:rsidRPr="0029702C">
        <w:t>conten</w:t>
      </w:r>
      <w:r w:rsidRPr="0029702C">
        <w:t xml:space="preserve">ant des références à des </w:t>
      </w:r>
      <w:r w:rsidR="00F17376" w:rsidRPr="0029702C">
        <w:t>R</w:t>
      </w:r>
      <w:r w:rsidRPr="0029702C">
        <w:t xml:space="preserve">ecommandations </w:t>
      </w:r>
      <w:r w:rsidR="00144613" w:rsidRPr="0029702C">
        <w:t>UIT-R</w:t>
      </w:r>
      <w:r w:rsidRPr="0029702C">
        <w:t xml:space="preserve">, ainsi que les dispositions </w:t>
      </w:r>
      <w:r w:rsidR="00F17376" w:rsidRPr="0029702C">
        <w:t xml:space="preserve">et les renvois </w:t>
      </w:r>
      <w:r w:rsidRPr="0029702C">
        <w:t xml:space="preserve">et </w:t>
      </w:r>
      <w:r w:rsidR="00F17376" w:rsidRPr="0029702C">
        <w:t>notes de bas de p</w:t>
      </w:r>
      <w:r w:rsidRPr="0029702C">
        <w:t xml:space="preserve">age du RR comportant </w:t>
      </w:r>
      <w:r w:rsidR="00F17376" w:rsidRPr="0029702C">
        <w:t>elles</w:t>
      </w:r>
      <w:r w:rsidR="00F17376" w:rsidRPr="0029702C">
        <w:noBreakHyphen/>
        <w:t xml:space="preserve">mêmes </w:t>
      </w:r>
      <w:r w:rsidRPr="0029702C">
        <w:t xml:space="preserve">des références à des </w:t>
      </w:r>
      <w:r w:rsidR="00F17376" w:rsidRPr="0029702C">
        <w:t>R</w:t>
      </w:r>
      <w:r w:rsidRPr="0029702C">
        <w:t xml:space="preserve">ecommandations </w:t>
      </w:r>
      <w:r w:rsidR="00144613" w:rsidRPr="0029702C">
        <w:t>UIT-R</w:t>
      </w:r>
      <w:r w:rsidRPr="0029702C">
        <w:t>. Ces renseignem</w:t>
      </w:r>
      <w:r w:rsidR="00161BFE">
        <w:t>ents ont été présentés à la RPC</w:t>
      </w:r>
      <w:r w:rsidRPr="0029702C">
        <w:t xml:space="preserve">11-2, dans le </w:t>
      </w:r>
      <w:r w:rsidR="00F17376" w:rsidRPr="0029702C">
        <w:t>D</w:t>
      </w:r>
      <w:r w:rsidRPr="0029702C">
        <w:t xml:space="preserve">ocument </w:t>
      </w:r>
      <w:hyperlink r:id="rId34" w:history="1">
        <w:r w:rsidRPr="0029702C">
          <w:rPr>
            <w:rStyle w:val="Hyperlink"/>
          </w:rPr>
          <w:t>32</w:t>
        </w:r>
      </w:hyperlink>
      <w:r w:rsidRPr="0029702C">
        <w:t>, et ont été ajouté</w:t>
      </w:r>
      <w:r w:rsidR="00161BFE">
        <w:t>s</w:t>
      </w:r>
      <w:r w:rsidRPr="0029702C">
        <w:t xml:space="preserve"> au </w:t>
      </w:r>
      <w:r w:rsidR="00F17376" w:rsidRPr="0029702C">
        <w:t>§ </w:t>
      </w:r>
      <w:r w:rsidRPr="0029702C">
        <w:t xml:space="preserve">6/2 du Chapitre 6 du </w:t>
      </w:r>
      <w:r w:rsidR="00F17376" w:rsidRPr="0029702C">
        <w:t>Rapport de la RPC à la CMR</w:t>
      </w:r>
      <w:r w:rsidR="00F17376" w:rsidRPr="0029702C">
        <w:noBreakHyphen/>
      </w:r>
      <w:r w:rsidRPr="0029702C">
        <w:t>12.</w:t>
      </w:r>
    </w:p>
    <w:p w:rsidR="00F55714" w:rsidRPr="0029702C" w:rsidRDefault="0028467E" w:rsidP="00161BFE">
      <w:r w:rsidRPr="0029702C">
        <w:t>S'agissant du</w:t>
      </w:r>
      <w:r w:rsidR="00F55714" w:rsidRPr="0029702C">
        <w:t xml:space="preserve"> </w:t>
      </w:r>
      <w:r w:rsidRPr="0029702C">
        <w:t xml:space="preserve">point </w:t>
      </w:r>
      <w:r w:rsidR="00161BFE">
        <w:t>8.</w:t>
      </w:r>
      <w:r w:rsidR="00F55714" w:rsidRPr="0029702C">
        <w:t xml:space="preserve">1 de l'ordre du jour de la CMR-12, une version préliminaire du </w:t>
      </w:r>
      <w:r w:rsidRPr="0029702C">
        <w:t>R</w:t>
      </w:r>
      <w:r w:rsidR="00F55714" w:rsidRPr="0029702C">
        <w:t xml:space="preserve">apport du </w:t>
      </w:r>
      <w:r w:rsidRPr="0029702C">
        <w:t>D</w:t>
      </w:r>
      <w:r w:rsidR="00F55714" w:rsidRPr="0029702C">
        <w:t>irecteur à la CMR-12 a été élaborée en vue d'être soumise à la RPC11-2 (</w:t>
      </w:r>
      <w:r w:rsidR="00BF57F7" w:rsidRPr="0029702C">
        <w:t>D</w:t>
      </w:r>
      <w:r w:rsidR="00F55714" w:rsidRPr="0029702C">
        <w:t xml:space="preserve">ocument </w:t>
      </w:r>
      <w:hyperlink r:id="rId35" w:history="1">
        <w:r w:rsidR="00F55714" w:rsidRPr="0029702C">
          <w:rPr>
            <w:rStyle w:val="Hyperlink"/>
          </w:rPr>
          <w:t>34</w:t>
        </w:r>
      </w:hyperlink>
      <w:r w:rsidR="00F55714" w:rsidRPr="0029702C">
        <w:t>).</w:t>
      </w:r>
    </w:p>
    <w:p w:rsidR="00F55714" w:rsidRPr="0029702C" w:rsidRDefault="00F55714" w:rsidP="0028467E">
      <w:pPr>
        <w:tabs>
          <w:tab w:val="clear" w:pos="794"/>
          <w:tab w:val="clear" w:pos="1191"/>
          <w:tab w:val="clear" w:pos="1588"/>
          <w:tab w:val="clear" w:pos="1985"/>
        </w:tabs>
        <w:overflowPunct/>
        <w:textAlignment w:val="auto"/>
        <w:rPr>
          <w:bCs/>
        </w:rPr>
      </w:pPr>
      <w:r w:rsidRPr="0029702C">
        <w:rPr>
          <w:bCs/>
        </w:rPr>
        <w:t xml:space="preserve">Il a été créé un </w:t>
      </w:r>
      <w:r w:rsidR="0028467E" w:rsidRPr="0029702C">
        <w:rPr>
          <w:bCs/>
        </w:rPr>
        <w:t>G</w:t>
      </w:r>
      <w:r w:rsidRPr="0029702C">
        <w:rPr>
          <w:bCs/>
        </w:rPr>
        <w:t>roupe d'action chargé de la préparation de la CMR-12 au sein de l'UIT, afin d'examiner toutes les dispositions préparatoires d'ordre administratif, logistique et financier.</w:t>
      </w:r>
    </w:p>
    <w:p w:rsidR="00FC5B70" w:rsidRDefault="00FC5B70" w:rsidP="0028467E">
      <w:pPr>
        <w:tabs>
          <w:tab w:val="clear" w:pos="794"/>
          <w:tab w:val="clear" w:pos="1191"/>
          <w:tab w:val="clear" w:pos="1588"/>
          <w:tab w:val="clear" w:pos="1985"/>
        </w:tabs>
        <w:overflowPunct/>
        <w:textAlignment w:val="auto"/>
        <w:rPr>
          <w:bCs/>
        </w:rPr>
      </w:pPr>
      <w:r>
        <w:rPr>
          <w:bCs/>
        </w:rPr>
        <w:br w:type="page"/>
      </w:r>
    </w:p>
    <w:p w:rsidR="00F55714" w:rsidRPr="0029702C" w:rsidRDefault="00F55714" w:rsidP="0028467E">
      <w:pPr>
        <w:tabs>
          <w:tab w:val="clear" w:pos="794"/>
          <w:tab w:val="clear" w:pos="1191"/>
          <w:tab w:val="clear" w:pos="1588"/>
          <w:tab w:val="clear" w:pos="1985"/>
        </w:tabs>
        <w:overflowPunct/>
        <w:textAlignment w:val="auto"/>
        <w:rPr>
          <w:bCs/>
        </w:rPr>
      </w:pPr>
      <w:r w:rsidRPr="0029702C">
        <w:rPr>
          <w:bCs/>
        </w:rPr>
        <w:t xml:space="preserve">Conformément aux </w:t>
      </w:r>
      <w:r w:rsidR="00E90634" w:rsidRPr="0029702C">
        <w:rPr>
          <w:bCs/>
        </w:rPr>
        <w:t>Résolution</w:t>
      </w:r>
      <w:r w:rsidRPr="0029702C">
        <w:rPr>
          <w:bCs/>
        </w:rPr>
        <w:t>s 80 (</w:t>
      </w:r>
      <w:r w:rsidR="009E45F3" w:rsidRPr="0029702C">
        <w:rPr>
          <w:bCs/>
        </w:rPr>
        <w:t>Rév.</w:t>
      </w:r>
      <w:r w:rsidRPr="0029702C">
        <w:rPr>
          <w:bCs/>
        </w:rPr>
        <w:t xml:space="preserve"> Marrake</w:t>
      </w:r>
      <w:r w:rsidR="0028467E" w:rsidRPr="0029702C">
        <w:rPr>
          <w:bCs/>
        </w:rPr>
        <w:t>c</w:t>
      </w:r>
      <w:r w:rsidRPr="0029702C">
        <w:rPr>
          <w:bCs/>
        </w:rPr>
        <w:t>h, 2002) et 72 (</w:t>
      </w:r>
      <w:r w:rsidR="009E45F3" w:rsidRPr="0029702C">
        <w:rPr>
          <w:bCs/>
        </w:rPr>
        <w:t>Rév.</w:t>
      </w:r>
      <w:r w:rsidRPr="0029702C">
        <w:rPr>
          <w:bCs/>
        </w:rPr>
        <w:t>CMR-07), les représentants des groupes régionaux ont inst</w:t>
      </w:r>
      <w:r w:rsidR="00F0031C" w:rsidRPr="0029702C">
        <w:rPr>
          <w:bCs/>
        </w:rPr>
        <w:t>itu</w:t>
      </w:r>
      <w:r w:rsidRPr="0029702C">
        <w:rPr>
          <w:bCs/>
        </w:rPr>
        <w:t xml:space="preserve">é un </w:t>
      </w:r>
      <w:r w:rsidR="00161BFE" w:rsidRPr="0029702C">
        <w:rPr>
          <w:bCs/>
        </w:rPr>
        <w:t>G</w:t>
      </w:r>
      <w:r w:rsidRPr="0029702C">
        <w:rPr>
          <w:bCs/>
        </w:rPr>
        <w:t xml:space="preserve">roupe informel chargé de la préparation de la CMR-12, qui a été placé sous la présidence de M. J-C. Albernaz (Brésil). Ce </w:t>
      </w:r>
      <w:r w:rsidR="0028467E" w:rsidRPr="0029702C">
        <w:rPr>
          <w:bCs/>
        </w:rPr>
        <w:t>G</w:t>
      </w:r>
      <w:r w:rsidRPr="0029702C">
        <w:rPr>
          <w:bCs/>
        </w:rPr>
        <w:t>roupe s'est réuni à</w:t>
      </w:r>
      <w:r w:rsidR="0028467E" w:rsidRPr="0029702C">
        <w:rPr>
          <w:bCs/>
        </w:rPr>
        <w:t xml:space="preserve"> trois reprises depuis 2009 et a</w:t>
      </w:r>
      <w:r w:rsidRPr="0029702C">
        <w:rPr>
          <w:bCs/>
        </w:rPr>
        <w:t xml:space="preserve"> étudi</w:t>
      </w:r>
      <w:r w:rsidR="0028467E" w:rsidRPr="0029702C">
        <w:rPr>
          <w:bCs/>
        </w:rPr>
        <w:t>é</w:t>
      </w:r>
      <w:r w:rsidRPr="0029702C">
        <w:rPr>
          <w:bCs/>
        </w:rPr>
        <w:t xml:space="preserve"> les questions relatives à la structure et au bureau de la conférence. On trouvera sur le site </w:t>
      </w:r>
      <w:r w:rsidR="00144613" w:rsidRPr="0029702C">
        <w:rPr>
          <w:bCs/>
        </w:rPr>
        <w:t>web</w:t>
      </w:r>
      <w:r w:rsidRPr="0029702C">
        <w:rPr>
          <w:bCs/>
        </w:rPr>
        <w:t xml:space="preserve"> de la CMR-12 des renseignements sur ce </w:t>
      </w:r>
      <w:r w:rsidR="0028467E" w:rsidRPr="0029702C">
        <w:rPr>
          <w:bCs/>
        </w:rPr>
        <w:t>G</w:t>
      </w:r>
      <w:r w:rsidRPr="0029702C">
        <w:rPr>
          <w:bCs/>
        </w:rPr>
        <w:t>roupe informel.</w:t>
      </w:r>
    </w:p>
    <w:p w:rsidR="00F55714" w:rsidRPr="0029702C" w:rsidRDefault="004121A4" w:rsidP="00F55714">
      <w:pPr>
        <w:pStyle w:val="Heading1"/>
        <w:rPr>
          <w:lang w:eastAsia="zh-CN"/>
        </w:rPr>
      </w:pPr>
      <w:r w:rsidRPr="0029702C">
        <w:rPr>
          <w:lang w:eastAsia="zh-CN"/>
        </w:rPr>
        <w:t>6.1</w:t>
      </w:r>
      <w:r w:rsidRPr="0029702C">
        <w:rPr>
          <w:lang w:eastAsia="zh-CN"/>
        </w:rPr>
        <w:tab/>
        <w:t>RPC</w:t>
      </w:r>
      <w:r w:rsidR="00F55714" w:rsidRPr="0029702C">
        <w:rPr>
          <w:lang w:eastAsia="zh-CN"/>
        </w:rPr>
        <w:t>11-2</w:t>
      </w:r>
    </w:p>
    <w:p w:rsidR="00F55714" w:rsidRPr="0029702C" w:rsidRDefault="00F55714" w:rsidP="00BB0C93">
      <w:r w:rsidRPr="0029702C">
        <w:t>Les</w:t>
      </w:r>
      <w:r w:rsidR="004121A4" w:rsidRPr="0029702C">
        <w:t xml:space="preserve"> préparati</w:t>
      </w:r>
      <w:r w:rsidR="00161BFE">
        <w:t>fs de la RPC</w:t>
      </w:r>
      <w:r w:rsidR="00161BFE">
        <w:noBreakHyphen/>
        <w:t>11 (</w:t>
      </w:r>
      <w:r w:rsidR="004121A4" w:rsidRPr="0029702C">
        <w:t>RPC</w:t>
      </w:r>
      <w:r w:rsidRPr="0029702C">
        <w:t xml:space="preserve">11-2) ont commencé conformément aux résultats de la première </w:t>
      </w:r>
      <w:r w:rsidR="004121A4" w:rsidRPr="0029702C">
        <w:t>sess</w:t>
      </w:r>
      <w:r w:rsidRPr="0029702C">
        <w:t>ion (RPC11-1)</w:t>
      </w:r>
      <w:r w:rsidR="004121A4" w:rsidRPr="0029702C">
        <w:t>,</w:t>
      </w:r>
      <w:r w:rsidRPr="0029702C">
        <w:t xml:space="preserve"> tels qu'ils sont décrits dans la Circulaire administrative CA/171</w:t>
      </w:r>
      <w:r w:rsidR="004121A4" w:rsidRPr="0029702C">
        <w:t xml:space="preserve"> (+</w:t>
      </w:r>
      <w:r w:rsidR="00F20E43">
        <w:t> </w:t>
      </w:r>
      <w:r w:rsidR="004121A4" w:rsidRPr="0029702C">
        <w:t>Addendum</w:t>
      </w:r>
      <w:r w:rsidR="00BB0C93">
        <w:t> </w:t>
      </w:r>
      <w:r w:rsidR="004121A4" w:rsidRPr="0029702C">
        <w:t>1)</w:t>
      </w:r>
      <w:r w:rsidRPr="0029702C">
        <w:t xml:space="preserve">. </w:t>
      </w:r>
    </w:p>
    <w:p w:rsidR="00F55714" w:rsidRPr="0029702C" w:rsidRDefault="00F55714" w:rsidP="001F5442">
      <w:r w:rsidRPr="0029702C">
        <w:t>Pendant le</w:t>
      </w:r>
      <w:r w:rsidR="004121A4" w:rsidRPr="0029702C">
        <w:t>s mois de mai à juillet 2010, l</w:t>
      </w:r>
      <w:r w:rsidRPr="0029702C">
        <w:t xml:space="preserve">es «groupes responsables» des projets de texte de la RPC qui ont été soumis avant la date limite du 16 juillet 2010 </w:t>
      </w:r>
      <w:r w:rsidR="004121A4" w:rsidRPr="0029702C">
        <w:t xml:space="preserve">ont tenu </w:t>
      </w:r>
      <w:r w:rsidR="00FC5B70">
        <w:t>leurs dernières réunions et ont </w:t>
      </w:r>
      <w:r w:rsidR="004121A4" w:rsidRPr="0029702C">
        <w:t xml:space="preserve">utilisé ces textes pour établir </w:t>
      </w:r>
      <w:r w:rsidRPr="0029702C">
        <w:t xml:space="preserve">le projet de Rapport de la RPC, </w:t>
      </w:r>
      <w:r w:rsidR="00FC5B70">
        <w:t>lors d'une réunion du Groupe de </w:t>
      </w:r>
      <w:r w:rsidRPr="0029702C">
        <w:t>direction de la RPC-11 qui s'est tenue du 26 au 30 juillet 2010. L</w:t>
      </w:r>
      <w:r w:rsidR="00FC5B70">
        <w:t>a version anglaise du projet de </w:t>
      </w:r>
      <w:r w:rsidR="00161BFE" w:rsidRPr="0029702C">
        <w:t>R</w:t>
      </w:r>
      <w:r w:rsidRPr="0029702C">
        <w:t xml:space="preserve">apport de la RPC (Document </w:t>
      </w:r>
      <w:hyperlink r:id="rId36" w:history="1">
        <w:r w:rsidRPr="0029702C">
          <w:rPr>
            <w:rStyle w:val="Hyperlink"/>
          </w:rPr>
          <w:t>CPM11-2/1</w:t>
        </w:r>
      </w:hyperlink>
      <w:r w:rsidRPr="0029702C">
        <w:t xml:space="preserve">) a été affichée sur le site </w:t>
      </w:r>
      <w:r w:rsidR="00144613" w:rsidRPr="0029702C">
        <w:t>web</w:t>
      </w:r>
      <w:r w:rsidR="00FC5B70">
        <w:t xml:space="preserve"> de l'UIT-R le 13 août </w:t>
      </w:r>
      <w:r w:rsidRPr="0029702C">
        <w:t>2010. Des extraits du projet de Rapport de la RPC sur les</w:t>
      </w:r>
      <w:r w:rsidR="00FC5B70">
        <w:t xml:space="preserve"> questions réglementaires et de </w:t>
      </w:r>
      <w:r w:rsidRPr="0029702C">
        <w:t>procédure ont fait l'objet d'un document pour la réunion de la Commission spéciale</w:t>
      </w:r>
      <w:r w:rsidR="001F5442" w:rsidRPr="0029702C">
        <w:t xml:space="preserve"> org</w:t>
      </w:r>
      <w:r w:rsidR="00FC5B70">
        <w:t>anisée du </w:t>
      </w:r>
      <w:r w:rsidR="001F5442" w:rsidRPr="0029702C">
        <w:t>1er au 5 novembre </w:t>
      </w:r>
      <w:r w:rsidRPr="0029702C">
        <w:t>2010. Le Rapport de la Commission spéciale</w:t>
      </w:r>
      <w:r w:rsidR="001F5442" w:rsidRPr="0029702C">
        <w:t xml:space="preserve"> a été publié dans le Document</w:t>
      </w:r>
      <w:r w:rsidR="00FC5B70">
        <w:t> </w:t>
      </w:r>
      <w:hyperlink r:id="rId37" w:history="1">
        <w:r w:rsidR="001F5442" w:rsidRPr="0029702C">
          <w:rPr>
            <w:rStyle w:val="Hyperlink"/>
          </w:rPr>
          <w:t>CPM11</w:t>
        </w:r>
        <w:r w:rsidR="001F5442" w:rsidRPr="0029702C">
          <w:rPr>
            <w:rStyle w:val="Hyperlink"/>
          </w:rPr>
          <w:noBreakHyphen/>
        </w:r>
        <w:r w:rsidRPr="0029702C">
          <w:rPr>
            <w:rStyle w:val="Hyperlink"/>
          </w:rPr>
          <w:t>2/2</w:t>
        </w:r>
      </w:hyperlink>
      <w:r w:rsidR="001F5442" w:rsidRPr="0029702C">
        <w:t xml:space="preserve"> le 12 novembre 2010</w:t>
      </w:r>
      <w:r w:rsidRPr="0029702C">
        <w:t>.</w:t>
      </w:r>
    </w:p>
    <w:p w:rsidR="00550669" w:rsidRPr="0029702C" w:rsidRDefault="00F55714" w:rsidP="00161BFE">
      <w:r w:rsidRPr="0029702C">
        <w:t xml:space="preserve">Comme indiqué ci-dessus, le BR a également élaboré les </w:t>
      </w:r>
      <w:r w:rsidR="00550669" w:rsidRPr="0029702C">
        <w:t>D</w:t>
      </w:r>
      <w:r w:rsidRPr="0029702C">
        <w:t>ocuments CPM11-2/</w:t>
      </w:r>
      <w:hyperlink r:id="rId38" w:history="1">
        <w:r w:rsidRPr="0029702C">
          <w:rPr>
            <w:rStyle w:val="Hyperlink"/>
          </w:rPr>
          <w:t>32</w:t>
        </w:r>
      </w:hyperlink>
      <w:r w:rsidRPr="0029702C">
        <w:t xml:space="preserve">, </w:t>
      </w:r>
      <w:hyperlink r:id="rId39" w:history="1">
        <w:r w:rsidRPr="0029702C">
          <w:rPr>
            <w:rStyle w:val="Hyperlink"/>
          </w:rPr>
          <w:t>33</w:t>
        </w:r>
      </w:hyperlink>
      <w:r w:rsidRPr="0029702C">
        <w:t xml:space="preserve"> et </w:t>
      </w:r>
      <w:hyperlink r:id="rId40" w:history="1">
        <w:r w:rsidRPr="0029702C">
          <w:rPr>
            <w:rStyle w:val="Hyperlink"/>
          </w:rPr>
          <w:t>34</w:t>
        </w:r>
      </w:hyperlink>
      <w:r w:rsidRPr="0029702C">
        <w:t>, ainsi qu'une version actualisée de l'</w:t>
      </w:r>
      <w:r w:rsidR="00550669" w:rsidRPr="0029702C">
        <w:t>A</w:t>
      </w:r>
      <w:r w:rsidRPr="0029702C">
        <w:t xml:space="preserve">nnexe 1 du projet de </w:t>
      </w:r>
      <w:r w:rsidR="00550669" w:rsidRPr="0029702C">
        <w:t>R</w:t>
      </w:r>
      <w:r w:rsidRPr="0029702C">
        <w:t>apport de la RPC dans le Corrigendum 1 au Document CPM11-2/</w:t>
      </w:r>
      <w:hyperlink r:id="rId41" w:history="1">
        <w:r w:rsidRPr="0029702C">
          <w:rPr>
            <w:rStyle w:val="Hyperlink"/>
          </w:rPr>
          <w:t>1</w:t>
        </w:r>
      </w:hyperlink>
      <w:r w:rsidRPr="0029702C">
        <w:t>.</w:t>
      </w:r>
      <w:r w:rsidR="00550669" w:rsidRPr="0029702C">
        <w:t xml:space="preserve"> </w:t>
      </w:r>
    </w:p>
    <w:p w:rsidR="00F55714" w:rsidRPr="0029702C" w:rsidRDefault="00F55714" w:rsidP="00161BFE">
      <w:pPr>
        <w:rPr>
          <w:lang w:eastAsia="zh-CN"/>
        </w:rPr>
      </w:pPr>
      <w:r w:rsidRPr="0029702C">
        <w:t xml:space="preserve">La RPC11-2 s'est tenue à Genève du 14 au 25 février 2011, comme annoncé dans la </w:t>
      </w:r>
      <w:r w:rsidR="00161BFE" w:rsidRPr="0029702C">
        <w:t>C</w:t>
      </w:r>
      <w:r w:rsidR="00FC5B70">
        <w:t>irculaire </w:t>
      </w:r>
      <w:r w:rsidRPr="0029702C">
        <w:t>administrative CA/191 + Addenda 1et</w:t>
      </w:r>
      <w:r w:rsidR="00F0031C" w:rsidRPr="0029702C">
        <w:t xml:space="preserve"> </w:t>
      </w:r>
      <w:r w:rsidRPr="0029702C">
        <w:t>3, en présence de plus de</w:t>
      </w:r>
      <w:r w:rsidRPr="0029702C">
        <w:rPr>
          <w:lang w:eastAsia="zh-CN"/>
        </w:rPr>
        <w:t xml:space="preserve"> 1</w:t>
      </w:r>
      <w:r w:rsidR="00F20E43">
        <w:rPr>
          <w:lang w:eastAsia="zh-CN"/>
        </w:rPr>
        <w:t> </w:t>
      </w:r>
      <w:r w:rsidRPr="0029702C">
        <w:rPr>
          <w:lang w:eastAsia="zh-CN"/>
        </w:rPr>
        <w:t xml:space="preserve">100 participants </w:t>
      </w:r>
      <w:r w:rsidR="0029702C" w:rsidRPr="0029702C">
        <w:rPr>
          <w:lang w:eastAsia="zh-CN"/>
        </w:rPr>
        <w:t>représentant</w:t>
      </w:r>
      <w:r w:rsidRPr="0029702C">
        <w:rPr>
          <w:lang w:eastAsia="zh-CN"/>
        </w:rPr>
        <w:t xml:space="preserve"> 109</w:t>
      </w:r>
      <w:r w:rsidR="00161BFE">
        <w:rPr>
          <w:lang w:eastAsia="zh-CN"/>
        </w:rPr>
        <w:t> Et</w:t>
      </w:r>
      <w:r w:rsidRPr="0029702C">
        <w:rPr>
          <w:lang w:eastAsia="zh-CN"/>
        </w:rPr>
        <w:t xml:space="preserve">ats </w:t>
      </w:r>
      <w:r w:rsidR="00161BFE" w:rsidRPr="0029702C">
        <w:rPr>
          <w:lang w:eastAsia="zh-CN"/>
        </w:rPr>
        <w:t>M</w:t>
      </w:r>
      <w:r w:rsidRPr="0029702C">
        <w:rPr>
          <w:lang w:eastAsia="zh-CN"/>
        </w:rPr>
        <w:t xml:space="preserve">embres de l'UIT et 69 </w:t>
      </w:r>
      <w:r w:rsidR="00161BFE" w:rsidRPr="0029702C">
        <w:rPr>
          <w:lang w:eastAsia="zh-CN"/>
        </w:rPr>
        <w:t>M</w:t>
      </w:r>
      <w:r w:rsidRPr="0029702C">
        <w:rPr>
          <w:lang w:eastAsia="zh-CN"/>
        </w:rPr>
        <w:t xml:space="preserve">embres du </w:t>
      </w:r>
      <w:r w:rsidR="00161BFE" w:rsidRPr="0029702C">
        <w:rPr>
          <w:lang w:eastAsia="zh-CN"/>
        </w:rPr>
        <w:t>S</w:t>
      </w:r>
      <w:r w:rsidRPr="0029702C">
        <w:rPr>
          <w:lang w:eastAsia="zh-CN"/>
        </w:rPr>
        <w:t>ecteu</w:t>
      </w:r>
      <w:r w:rsidR="00FC5B70">
        <w:rPr>
          <w:lang w:eastAsia="zh-CN"/>
        </w:rPr>
        <w:t>r des radiocommunications, dont </w:t>
      </w:r>
      <w:r w:rsidRPr="0029702C">
        <w:rPr>
          <w:lang w:eastAsia="zh-CN"/>
        </w:rPr>
        <w:t xml:space="preserve">des </w:t>
      </w:r>
      <w:r w:rsidR="00161BFE">
        <w:rPr>
          <w:lang w:eastAsia="zh-CN"/>
        </w:rPr>
        <w:t>organisations internationales. Elle</w:t>
      </w:r>
      <w:r w:rsidRPr="0029702C">
        <w:rPr>
          <w:lang w:eastAsia="zh-CN"/>
        </w:rPr>
        <w:t xml:space="preserve"> a examiné 160 contributions et approuvé le </w:t>
      </w:r>
      <w:r w:rsidR="00161BFE" w:rsidRPr="0029702C">
        <w:rPr>
          <w:lang w:eastAsia="zh-CN"/>
        </w:rPr>
        <w:t>R</w:t>
      </w:r>
      <w:r w:rsidR="00FC5B70">
        <w:rPr>
          <w:lang w:eastAsia="zh-CN"/>
        </w:rPr>
        <w:t>apport de </w:t>
      </w:r>
      <w:r w:rsidRPr="0029702C">
        <w:rPr>
          <w:lang w:eastAsia="zh-CN"/>
        </w:rPr>
        <w:t>la RPC à la CMR-12 dans les six langues de l'</w:t>
      </w:r>
      <w:r w:rsidR="00161BFE" w:rsidRPr="0029702C">
        <w:rPr>
          <w:lang w:eastAsia="zh-CN"/>
        </w:rPr>
        <w:t>U</w:t>
      </w:r>
      <w:r w:rsidRPr="0029702C">
        <w:rPr>
          <w:lang w:eastAsia="zh-CN"/>
        </w:rPr>
        <w:t>nion (voir le lien</w:t>
      </w:r>
      <w:r w:rsidR="00F0031C" w:rsidRPr="0029702C">
        <w:rPr>
          <w:lang w:eastAsia="zh-CN"/>
        </w:rPr>
        <w:t>:</w:t>
      </w:r>
      <w:r w:rsidR="00161BFE" w:rsidRPr="00161BFE">
        <w:t xml:space="preserve"> </w:t>
      </w:r>
      <w:hyperlink r:id="rId42" w:history="1">
        <w:r w:rsidR="00FC5B70" w:rsidRPr="00245B50">
          <w:rPr>
            <w:rStyle w:val="Hyperlink"/>
            <w:lang w:eastAsia="zh-CN"/>
          </w:rPr>
          <w:t>http://www.itu.int/md/R07</w:t>
        </w:r>
        <w:r w:rsidR="00FC5B70" w:rsidRPr="00245B50">
          <w:rPr>
            <w:rStyle w:val="Hyperlink"/>
            <w:lang w:eastAsia="zh-CN"/>
          </w:rPr>
          <w:noBreakHyphen/>
          <w:t>CPM11.02-R-0001</w:t>
        </w:r>
      </w:hyperlink>
      <w:r w:rsidR="002E4426" w:rsidRPr="0029702C">
        <w:rPr>
          <w:rStyle w:val="Hyperlink"/>
          <w:color w:val="auto"/>
          <w:u w:val="none"/>
        </w:rPr>
        <w:t>)</w:t>
      </w:r>
      <w:r w:rsidRPr="0029702C">
        <w:rPr>
          <w:lang w:eastAsia="zh-CN"/>
        </w:rPr>
        <w:t>.</w:t>
      </w:r>
    </w:p>
    <w:p w:rsidR="00F55714" w:rsidRPr="0029702C" w:rsidRDefault="00F55714" w:rsidP="002E4426">
      <w:r w:rsidRPr="0029702C">
        <w:t>Il convient de noter que</w:t>
      </w:r>
      <w:r w:rsidR="00161BFE">
        <w:t>,</w:t>
      </w:r>
      <w:r w:rsidRPr="0029702C">
        <w:t xml:space="preserve"> pour la première fois, la version imprimée </w:t>
      </w:r>
      <w:r w:rsidR="002E4426" w:rsidRPr="0029702C">
        <w:t xml:space="preserve">du </w:t>
      </w:r>
      <w:hyperlink r:id="rId43" w:history="1">
        <w:r w:rsidR="002E4426" w:rsidRPr="0029702C">
          <w:rPr>
            <w:rStyle w:val="Hyperlink"/>
          </w:rPr>
          <w:t>R</w:t>
        </w:r>
        <w:r w:rsidR="00FC5B70">
          <w:rPr>
            <w:rStyle w:val="Hyperlink"/>
          </w:rPr>
          <w:t>apport de la RPC à la </w:t>
        </w:r>
        <w:r w:rsidRPr="0029702C">
          <w:rPr>
            <w:rStyle w:val="Hyperlink"/>
          </w:rPr>
          <w:t>CMR</w:t>
        </w:r>
        <w:r w:rsidR="002E4426" w:rsidRPr="0029702C">
          <w:rPr>
            <w:rStyle w:val="Hyperlink"/>
          </w:rPr>
          <w:noBreakHyphen/>
        </w:r>
        <w:r w:rsidRPr="0029702C">
          <w:rPr>
            <w:rStyle w:val="Hyperlink"/>
          </w:rPr>
          <w:t>12</w:t>
        </w:r>
      </w:hyperlink>
      <w:r w:rsidRPr="0029702C">
        <w:t xml:space="preserve"> (dans les six langues officielles) est disponible à la vente.</w:t>
      </w:r>
    </w:p>
    <w:p w:rsidR="00F55714" w:rsidRPr="00C01871" w:rsidRDefault="00B72456" w:rsidP="00B72456">
      <w:pPr>
        <w:pStyle w:val="Heading2"/>
      </w:pPr>
      <w:r>
        <w:t>6.2</w:t>
      </w:r>
      <w:r>
        <w:tab/>
      </w:r>
      <w:r w:rsidR="00F55714">
        <w:t>Autres travaux préparatoires en vue de la CMR-12</w:t>
      </w:r>
    </w:p>
    <w:p w:rsidR="00F55714" w:rsidRDefault="00F55714" w:rsidP="00161BFE">
      <w:pPr>
        <w:rPr>
          <w:rFonts w:eastAsia="SimSun"/>
          <w:lang w:val="fr-CH"/>
        </w:rPr>
      </w:pPr>
      <w:r w:rsidRPr="000B0CCA">
        <w:rPr>
          <w:rFonts w:eastAsia="SimSun"/>
          <w:szCs w:val="24"/>
          <w:lang w:eastAsia="zh-CN"/>
        </w:rPr>
        <w:t>Le BR a organisé</w:t>
      </w:r>
      <w:r>
        <w:rPr>
          <w:rFonts w:eastAsia="SimSun"/>
          <w:szCs w:val="24"/>
          <w:lang w:eastAsia="zh-CN"/>
        </w:rPr>
        <w:t xml:space="preserve"> la </w:t>
      </w:r>
      <w:hyperlink r:id="rId44" w:history="1">
        <w:r w:rsidR="00700F65" w:rsidRPr="00732B51">
          <w:rPr>
            <w:rStyle w:val="Hyperlink"/>
            <w:rFonts w:eastAsia="SimSun"/>
            <w:szCs w:val="24"/>
            <w:lang w:eastAsia="zh-CN"/>
          </w:rPr>
          <w:t>deuxi</w:t>
        </w:r>
        <w:r w:rsidRPr="00732B51">
          <w:rPr>
            <w:rStyle w:val="Hyperlink"/>
          </w:rPr>
          <w:t>ème</w:t>
        </w:r>
        <w:r w:rsidR="00F0031C" w:rsidRPr="00732B51">
          <w:rPr>
            <w:rStyle w:val="Hyperlink"/>
            <w:rFonts w:eastAsia="SimSun"/>
            <w:szCs w:val="24"/>
            <w:lang w:eastAsia="zh-CN"/>
          </w:rPr>
          <w:t xml:space="preserve"> </w:t>
        </w:r>
        <w:r w:rsidR="00700F65" w:rsidRPr="00732B51">
          <w:rPr>
            <w:rStyle w:val="Hyperlink"/>
            <w:rFonts w:eastAsia="SimSun"/>
            <w:szCs w:val="24"/>
            <w:lang w:eastAsia="zh-CN"/>
          </w:rPr>
          <w:t>R</w:t>
        </w:r>
        <w:r w:rsidRPr="00732B51">
          <w:rPr>
            <w:rStyle w:val="Hyperlink"/>
            <w:rFonts w:eastAsia="SimSun"/>
            <w:szCs w:val="24"/>
            <w:lang w:eastAsia="zh-CN"/>
          </w:rPr>
          <w:t>éunion de l'UIT sur la préparation de la CMR-12</w:t>
        </w:r>
      </w:hyperlink>
      <w:r w:rsidR="00FC5B70">
        <w:rPr>
          <w:rFonts w:eastAsia="SimSun"/>
          <w:szCs w:val="24"/>
          <w:lang w:eastAsia="zh-CN"/>
        </w:rPr>
        <w:t xml:space="preserve"> (Genève, </w:t>
      </w:r>
      <w:r w:rsidR="009449E1">
        <w:rPr>
          <w:rFonts w:eastAsia="SimSun"/>
          <w:szCs w:val="24"/>
          <w:lang w:eastAsia="zh-CN"/>
        </w:rPr>
        <w:t>24</w:t>
      </w:r>
      <w:r w:rsidR="009449E1">
        <w:rPr>
          <w:rFonts w:eastAsia="SimSun"/>
          <w:szCs w:val="24"/>
          <w:lang w:eastAsia="zh-CN"/>
        </w:rPr>
        <w:noBreakHyphen/>
        <w:t>25 </w:t>
      </w:r>
      <w:r>
        <w:rPr>
          <w:rFonts w:eastAsia="SimSun"/>
          <w:szCs w:val="24"/>
          <w:lang w:eastAsia="zh-CN"/>
        </w:rPr>
        <w:t>novembre 2010).</w:t>
      </w:r>
      <w:r w:rsidRPr="000B0CCA">
        <w:rPr>
          <w:rFonts w:eastAsia="SimSun"/>
          <w:szCs w:val="24"/>
          <w:lang w:eastAsia="zh-CN"/>
        </w:rPr>
        <w:t xml:space="preserve"> Cette réuni</w:t>
      </w:r>
      <w:r w:rsidR="009449E1">
        <w:rPr>
          <w:rFonts w:eastAsia="SimSun"/>
          <w:szCs w:val="24"/>
          <w:lang w:eastAsia="zh-CN"/>
        </w:rPr>
        <w:t xml:space="preserve">on s'est tenue en présence de </w:t>
      </w:r>
      <w:r>
        <w:rPr>
          <w:rFonts w:eastAsia="SimSun"/>
          <w:szCs w:val="24"/>
          <w:lang w:eastAsia="zh-CN"/>
        </w:rPr>
        <w:t>13</w:t>
      </w:r>
      <w:r w:rsidRPr="000B0CCA">
        <w:rPr>
          <w:rFonts w:eastAsia="SimSun"/>
          <w:szCs w:val="24"/>
          <w:lang w:eastAsia="zh-CN"/>
        </w:rPr>
        <w:t>4</w:t>
      </w:r>
      <w:r w:rsidR="009449E1">
        <w:rPr>
          <w:rFonts w:eastAsia="SimSun"/>
          <w:szCs w:val="24"/>
          <w:lang w:eastAsia="zh-CN"/>
        </w:rPr>
        <w:t> </w:t>
      </w:r>
      <w:r w:rsidRPr="000B0CCA">
        <w:rPr>
          <w:rFonts w:eastAsia="SimSun"/>
          <w:szCs w:val="24"/>
          <w:lang w:eastAsia="zh-CN"/>
        </w:rPr>
        <w:t xml:space="preserve">participants représentant </w:t>
      </w:r>
      <w:r>
        <w:rPr>
          <w:rFonts w:eastAsia="SimSun"/>
          <w:szCs w:val="24"/>
          <w:lang w:eastAsia="zh-CN"/>
        </w:rPr>
        <w:t>54</w:t>
      </w:r>
      <w:r w:rsidR="009449E1">
        <w:rPr>
          <w:rFonts w:eastAsia="SimSun"/>
          <w:szCs w:val="24"/>
          <w:lang w:eastAsia="zh-CN"/>
        </w:rPr>
        <w:t> </w:t>
      </w:r>
      <w:r w:rsidRPr="000B0CCA">
        <w:rPr>
          <w:rFonts w:eastAsia="SimSun"/>
          <w:szCs w:val="24"/>
          <w:lang w:eastAsia="zh-CN"/>
        </w:rPr>
        <w:t xml:space="preserve">pays </w:t>
      </w:r>
      <w:r>
        <w:rPr>
          <w:rFonts w:eastAsia="SimSun"/>
          <w:szCs w:val="24"/>
          <w:lang w:eastAsia="zh-CN"/>
        </w:rPr>
        <w:t>et 18</w:t>
      </w:r>
      <w:r w:rsidR="009449E1">
        <w:rPr>
          <w:rFonts w:eastAsia="SimSun"/>
          <w:szCs w:val="24"/>
          <w:lang w:eastAsia="zh-CN"/>
        </w:rPr>
        <w:t> </w:t>
      </w:r>
      <w:r w:rsidRPr="000B0CCA">
        <w:rPr>
          <w:rFonts w:eastAsia="SimSun"/>
          <w:szCs w:val="24"/>
          <w:lang w:eastAsia="zh-CN"/>
        </w:rPr>
        <w:t>entreprises et organisations</w:t>
      </w:r>
      <w:r>
        <w:rPr>
          <w:rFonts w:eastAsia="SimSun"/>
          <w:szCs w:val="24"/>
          <w:lang w:eastAsia="zh-CN"/>
        </w:rPr>
        <w:t xml:space="preserve">, dont les </w:t>
      </w:r>
      <w:r w:rsidRPr="000B0CCA">
        <w:rPr>
          <w:rFonts w:eastAsia="SimSun"/>
          <w:szCs w:val="24"/>
          <w:lang w:eastAsia="zh-CN"/>
        </w:rPr>
        <w:t xml:space="preserve">six organisations régionales de </w:t>
      </w:r>
      <w:r w:rsidRPr="00253156">
        <w:rPr>
          <w:rFonts w:eastAsia="SimSun" w:cs="Arial"/>
          <w:szCs w:val="24"/>
          <w:lang w:val="fr-CH" w:eastAsia="zh-CN"/>
        </w:rPr>
        <w:t>télécommunication</w:t>
      </w:r>
      <w:r>
        <w:rPr>
          <w:rFonts w:eastAsia="SimSun" w:cs="Arial"/>
          <w:szCs w:val="24"/>
          <w:lang w:val="fr-CH" w:eastAsia="zh-CN"/>
        </w:rPr>
        <w:t xml:space="preserve"> suivantes - APT, ASMG, UAT, CEPT, CITEL et RCC</w:t>
      </w:r>
      <w:r w:rsidRPr="000B0CCA">
        <w:rPr>
          <w:rFonts w:eastAsia="SimSun"/>
        </w:rPr>
        <w:t xml:space="preserve">. Des bourses ont été octroyées à </w:t>
      </w:r>
      <w:r>
        <w:rPr>
          <w:rFonts w:eastAsia="SimSun"/>
        </w:rPr>
        <w:t>20</w:t>
      </w:r>
      <w:r w:rsidR="00161BFE">
        <w:rPr>
          <w:rFonts w:eastAsia="SimSun"/>
        </w:rPr>
        <w:t> </w:t>
      </w:r>
      <w:r w:rsidRPr="000B0CCA">
        <w:rPr>
          <w:rFonts w:eastAsia="SimSun"/>
        </w:rPr>
        <w:t xml:space="preserve">participants représentant les </w:t>
      </w:r>
      <w:r w:rsidRPr="00DF3872">
        <w:rPr>
          <w:rFonts w:eastAsia="SimSun"/>
          <w:lang w:val="fr-CH"/>
        </w:rPr>
        <w:t>Etats Membres</w:t>
      </w:r>
      <w:r>
        <w:rPr>
          <w:rFonts w:eastAsia="SimSun"/>
          <w:lang w:val="fr-CH"/>
        </w:rPr>
        <w:t xml:space="preserve"> suivants: Bénin,</w:t>
      </w:r>
      <w:r w:rsidRPr="00700F65">
        <w:t xml:space="preserve"> </w:t>
      </w:r>
      <w:r>
        <w:rPr>
          <w:rFonts w:eastAsia="SimSun"/>
          <w:lang w:val="fr-CH"/>
        </w:rPr>
        <w:t xml:space="preserve">Burkina Faso, Burundi, </w:t>
      </w:r>
      <w:r w:rsidR="00700F65">
        <w:rPr>
          <w:rFonts w:eastAsia="SimSun"/>
          <w:lang w:val="fr-CH"/>
        </w:rPr>
        <w:t xml:space="preserve">Comores, </w:t>
      </w:r>
      <w:r w:rsidR="00161BFE">
        <w:rPr>
          <w:rFonts w:eastAsia="SimSun"/>
          <w:lang w:val="fr-CH"/>
        </w:rPr>
        <w:t xml:space="preserve">République démocratique du Congo, </w:t>
      </w:r>
      <w:r>
        <w:rPr>
          <w:rFonts w:eastAsia="SimSun"/>
          <w:lang w:val="fr-CH"/>
        </w:rPr>
        <w:t xml:space="preserve">Djibouti, </w:t>
      </w:r>
      <w:r w:rsidR="00700F65">
        <w:rPr>
          <w:rFonts w:eastAsia="SimSun"/>
          <w:lang w:val="fr-CH"/>
        </w:rPr>
        <w:t>Erythrée,</w:t>
      </w:r>
      <w:r>
        <w:rPr>
          <w:rFonts w:eastAsia="SimSun"/>
          <w:lang w:val="fr-CH"/>
        </w:rPr>
        <w:t xml:space="preserve"> </w:t>
      </w:r>
      <w:r w:rsidR="00700F65">
        <w:rPr>
          <w:rFonts w:eastAsia="SimSun"/>
          <w:lang w:val="fr-CH"/>
        </w:rPr>
        <w:t>E</w:t>
      </w:r>
      <w:r>
        <w:rPr>
          <w:rFonts w:eastAsia="SimSun"/>
          <w:lang w:val="fr-CH"/>
        </w:rPr>
        <w:t>thiopie</w:t>
      </w:r>
      <w:r w:rsidR="00700F65">
        <w:rPr>
          <w:rFonts w:eastAsia="SimSun"/>
          <w:lang w:val="fr-CH"/>
        </w:rPr>
        <w:t>,</w:t>
      </w:r>
      <w:r>
        <w:rPr>
          <w:rFonts w:eastAsia="SimSun"/>
          <w:lang w:val="fr-CH"/>
        </w:rPr>
        <w:t xml:space="preserve"> Gambie, Haïti, Honduras, </w:t>
      </w:r>
      <w:r w:rsidR="00700F65">
        <w:rPr>
          <w:rFonts w:eastAsia="SimSun"/>
          <w:lang w:val="fr-CH"/>
        </w:rPr>
        <w:t>R</w:t>
      </w:r>
      <w:r>
        <w:rPr>
          <w:rFonts w:eastAsia="SimSun"/>
          <w:lang w:val="fr-CH"/>
        </w:rPr>
        <w:t xml:space="preserve">épublique kirghize, </w:t>
      </w:r>
      <w:r w:rsidR="00700F65">
        <w:rPr>
          <w:rFonts w:eastAsia="SimSun"/>
          <w:lang w:val="fr-CH"/>
        </w:rPr>
        <w:t>R</w:t>
      </w:r>
      <w:r>
        <w:rPr>
          <w:rFonts w:eastAsia="SimSun"/>
          <w:lang w:val="fr-CH"/>
        </w:rPr>
        <w:t xml:space="preserve">épublique démocratique populaire </w:t>
      </w:r>
      <w:r w:rsidR="0029702C">
        <w:rPr>
          <w:rFonts w:eastAsia="SimSun"/>
          <w:lang w:val="fr-CH"/>
        </w:rPr>
        <w:t>Lao, Lesotho</w:t>
      </w:r>
      <w:r>
        <w:rPr>
          <w:rFonts w:eastAsia="SimSun"/>
          <w:lang w:val="fr-CH"/>
        </w:rPr>
        <w:t>, Malawi,</w:t>
      </w:r>
      <w:r w:rsidR="00161BFE">
        <w:rPr>
          <w:rFonts w:eastAsia="SimSun"/>
          <w:lang w:val="fr-CH"/>
        </w:rPr>
        <w:t xml:space="preserve"> </w:t>
      </w:r>
      <w:r>
        <w:rPr>
          <w:rFonts w:eastAsia="SimSun"/>
          <w:lang w:val="fr-CH"/>
        </w:rPr>
        <w:t>Myanmar, Rwanda, Ouganda, Ouzbékistan et Viet</w:t>
      </w:r>
      <w:r w:rsidR="00700F65">
        <w:rPr>
          <w:rFonts w:eastAsia="SimSun"/>
          <w:lang w:val="fr-CH"/>
        </w:rPr>
        <w:t> N</w:t>
      </w:r>
      <w:r>
        <w:rPr>
          <w:rFonts w:eastAsia="SimSun"/>
          <w:lang w:val="fr-CH"/>
        </w:rPr>
        <w:t>am.</w:t>
      </w:r>
    </w:p>
    <w:p w:rsidR="00F55714" w:rsidRDefault="00F55714" w:rsidP="00F20E43">
      <w:pPr>
        <w:rPr>
          <w:rFonts w:eastAsia="SimSun"/>
          <w:lang w:val="fr-CH"/>
        </w:rPr>
      </w:pPr>
      <w:r>
        <w:rPr>
          <w:rFonts w:eastAsia="SimSun"/>
          <w:lang w:val="fr-CH"/>
        </w:rPr>
        <w:t>Compte tenu des bons résultats obtenus par les réunions de 2009 et</w:t>
      </w:r>
      <w:r w:rsidR="00161BFE">
        <w:rPr>
          <w:rFonts w:eastAsia="SimSun"/>
          <w:lang w:val="fr-CH"/>
        </w:rPr>
        <w:t xml:space="preserve"> 2010, il est prévu d'organiser</w:t>
      </w:r>
      <w:r>
        <w:rPr>
          <w:rFonts w:eastAsia="SimSun"/>
          <w:lang w:val="fr-CH"/>
        </w:rPr>
        <w:t xml:space="preserve">, les 7 et 8 novembre 2011, une troisième </w:t>
      </w:r>
      <w:r w:rsidR="00F20E43">
        <w:rPr>
          <w:rFonts w:eastAsia="SimSun"/>
          <w:lang w:val="fr-CH"/>
        </w:rPr>
        <w:t>r</w:t>
      </w:r>
      <w:r>
        <w:rPr>
          <w:rFonts w:eastAsia="SimSun"/>
          <w:lang w:val="fr-CH"/>
        </w:rPr>
        <w:t>éunion d'information de l'UIT sur les travaux préparatoires en vue de la CMR-12, qui portera essentiellement sur</w:t>
      </w:r>
      <w:r w:rsidR="00F0031C">
        <w:rPr>
          <w:rFonts w:eastAsia="SimSun"/>
          <w:lang w:val="fr-CH"/>
        </w:rPr>
        <w:t xml:space="preserve"> </w:t>
      </w:r>
      <w:r>
        <w:rPr>
          <w:rFonts w:eastAsia="SimSun"/>
          <w:lang w:val="fr-CH"/>
        </w:rPr>
        <w:t>la soumission de</w:t>
      </w:r>
      <w:r w:rsidR="00700F65">
        <w:rPr>
          <w:rFonts w:eastAsia="SimSun"/>
          <w:lang w:val="fr-CH"/>
        </w:rPr>
        <w:t>s</w:t>
      </w:r>
      <w:r>
        <w:rPr>
          <w:rFonts w:eastAsia="SimSun"/>
          <w:lang w:val="fr-CH"/>
        </w:rPr>
        <w:t xml:space="preserve"> positions et points de vue des groupes régionaux compte tenu du Rapport de la RPC et du Rapport du Directeur à la CMR-12.</w:t>
      </w:r>
    </w:p>
    <w:p w:rsidR="00F55714" w:rsidRPr="00DF3872" w:rsidRDefault="00F55714" w:rsidP="00F55714">
      <w:pPr>
        <w:rPr>
          <w:lang w:val="fr-CH"/>
        </w:rPr>
      </w:pPr>
      <w:r>
        <w:rPr>
          <w:rFonts w:eastAsia="SimSun"/>
          <w:lang w:val="fr-CH"/>
        </w:rPr>
        <w:t>Des collaborateurs du BR ont participé à la plupart des réunions préparatoires des groupes régionaux en vue de la CMR-12 et, le cas échéant, ont présenté des exposés sur l'état d'avancement des études préparatoires menées par l'UIT-R</w:t>
      </w:r>
      <w:r w:rsidRPr="000B0CCA">
        <w:rPr>
          <w:rStyle w:val="msoins0"/>
        </w:rPr>
        <w:t>.</w:t>
      </w:r>
    </w:p>
    <w:p w:rsidR="00F55714" w:rsidRPr="000B0CCA" w:rsidRDefault="00700F65" w:rsidP="00F20E43">
      <w:pPr>
        <w:rPr>
          <w:lang w:eastAsia="zh-CN"/>
        </w:rPr>
      </w:pPr>
      <w:r w:rsidRPr="000B0CCA">
        <w:rPr>
          <w:rFonts w:eastAsia="SimSun"/>
          <w:szCs w:val="24"/>
          <w:lang w:eastAsia="zh-CN"/>
        </w:rPr>
        <w:t>I</w:t>
      </w:r>
      <w:r w:rsidR="00F55714" w:rsidRPr="000B0CCA">
        <w:rPr>
          <w:rFonts w:eastAsia="SimSun"/>
          <w:szCs w:val="24"/>
          <w:lang w:eastAsia="zh-CN"/>
        </w:rPr>
        <w:t xml:space="preserve">l est possible de trouver des renseignements sur tous les groupes régionaux responsables de la préparation de la CMR-12 à l'adresse: </w:t>
      </w:r>
      <w:hyperlink r:id="rId45" w:history="1">
        <w:r w:rsidR="00161BFE" w:rsidRPr="00D2658C">
          <w:rPr>
            <w:rStyle w:val="Hyperlink"/>
            <w:rFonts w:eastAsia="SimSun"/>
            <w:szCs w:val="24"/>
            <w:lang w:eastAsia="zh-CN"/>
          </w:rPr>
          <w:t>http://www.itu.int/ITU-R/go/wrc-12-regional</w:t>
        </w:r>
      </w:hyperlink>
      <w:r w:rsidR="00F55714" w:rsidRPr="000B0CCA">
        <w:rPr>
          <w:rFonts w:eastAsia="SimSun"/>
          <w:szCs w:val="24"/>
          <w:lang w:eastAsia="zh-CN"/>
        </w:rPr>
        <w:t>.</w:t>
      </w:r>
    </w:p>
    <w:p w:rsidR="00F55714" w:rsidRPr="00DA0EB5" w:rsidRDefault="00F55714" w:rsidP="00F55714">
      <w:pPr>
        <w:pStyle w:val="Heading2"/>
      </w:pPr>
      <w:r w:rsidRPr="00DA0EB5">
        <w:rPr>
          <w:lang w:eastAsia="zh-CN"/>
        </w:rPr>
        <w:t>6.3</w:t>
      </w:r>
      <w:r w:rsidRPr="00DA0EB5">
        <w:rPr>
          <w:lang w:eastAsia="zh-CN"/>
        </w:rPr>
        <w:tab/>
        <w:t>Résolution 80 (</w:t>
      </w:r>
      <w:r w:rsidR="009E45F3">
        <w:rPr>
          <w:lang w:eastAsia="zh-CN"/>
        </w:rPr>
        <w:t>Rév.</w:t>
      </w:r>
      <w:r>
        <w:rPr>
          <w:lang w:eastAsia="zh-CN"/>
        </w:rPr>
        <w:t>CMR</w:t>
      </w:r>
      <w:r w:rsidRPr="00DA0EB5">
        <w:rPr>
          <w:lang w:eastAsia="zh-CN"/>
        </w:rPr>
        <w:t>-07)</w:t>
      </w:r>
      <w:r w:rsidRPr="00DA0EB5">
        <w:rPr>
          <w:highlight w:val="yellow"/>
        </w:rPr>
        <w:t xml:space="preserve"> </w:t>
      </w:r>
    </w:p>
    <w:p w:rsidR="00F55714" w:rsidRPr="0038101A" w:rsidRDefault="00700F65" w:rsidP="00161BFE">
      <w:r w:rsidRPr="0038101A">
        <w:t>E</w:t>
      </w:r>
      <w:r w:rsidR="00F55714" w:rsidRPr="0038101A">
        <w:t xml:space="preserve">n vertu de la </w:t>
      </w:r>
      <w:r w:rsidR="00E90634">
        <w:t>Résolution</w:t>
      </w:r>
      <w:r w:rsidR="00F55714" w:rsidRPr="0038101A">
        <w:t xml:space="preserve"> </w:t>
      </w:r>
      <w:r w:rsidR="00F55714" w:rsidRPr="0038101A">
        <w:rPr>
          <w:b/>
          <w:bCs/>
        </w:rPr>
        <w:t>80 (</w:t>
      </w:r>
      <w:r w:rsidR="009E45F3">
        <w:rPr>
          <w:b/>
          <w:bCs/>
        </w:rPr>
        <w:t>Rév.</w:t>
      </w:r>
      <w:r w:rsidR="00F55714">
        <w:rPr>
          <w:b/>
          <w:bCs/>
        </w:rPr>
        <w:t>CMR</w:t>
      </w:r>
      <w:r w:rsidR="00F55714" w:rsidRPr="0038101A">
        <w:rPr>
          <w:b/>
          <w:bCs/>
        </w:rPr>
        <w:t>-07)</w:t>
      </w:r>
      <w:r w:rsidR="00F55714" w:rsidRPr="0038101A">
        <w:t xml:space="preserve">, la </w:t>
      </w:r>
      <w:r w:rsidR="00F55714">
        <w:t>CMR</w:t>
      </w:r>
      <w:r>
        <w:t xml:space="preserve">-07 </w:t>
      </w:r>
      <w:r>
        <w:rPr>
          <w:lang w:val="fr-CH" w:eastAsia="zh-CN"/>
        </w:rPr>
        <w:t>«</w:t>
      </w:r>
      <w:r w:rsidR="00F55714" w:rsidRPr="0038101A">
        <w:t xml:space="preserve">invite les autres organes du </w:t>
      </w:r>
      <w:r w:rsidRPr="0038101A">
        <w:t>S</w:t>
      </w:r>
      <w:r w:rsidR="00F55714" w:rsidRPr="0038101A">
        <w:t>ecteur des radiocommunications, et en particulier le GCR,</w:t>
      </w:r>
      <w:r>
        <w:t xml:space="preserve"> à</w:t>
      </w:r>
      <w:r w:rsidR="00F55714" w:rsidRPr="0038101A">
        <w:t xml:space="preserve"> présent</w:t>
      </w:r>
      <w:r>
        <w:t>er</w:t>
      </w:r>
      <w:r w:rsidR="00F55714" w:rsidRPr="0038101A">
        <w:t xml:space="preserve"> des contributions sur la question au </w:t>
      </w:r>
      <w:r w:rsidRPr="0038101A">
        <w:t>D</w:t>
      </w:r>
      <w:r w:rsidR="00F55714" w:rsidRPr="0038101A">
        <w:t xml:space="preserve">irecteur du </w:t>
      </w:r>
      <w:r w:rsidRPr="0038101A">
        <w:t>B</w:t>
      </w:r>
      <w:r w:rsidR="00F55714" w:rsidRPr="0038101A">
        <w:t xml:space="preserve">ureau des radiocommunications </w:t>
      </w:r>
      <w:r w:rsidR="00F55714">
        <w:t xml:space="preserve">en vue de leur inclusion dans son rapport à chaque </w:t>
      </w:r>
      <w:r w:rsidR="00683AF1">
        <w:t>c</w:t>
      </w:r>
      <w:r w:rsidR="00F55714">
        <w:t>onférence mondiale des radiocommunications future</w:t>
      </w:r>
      <w:r>
        <w:rPr>
          <w:lang w:val="fr-CH" w:eastAsia="zh-CN"/>
        </w:rPr>
        <w:t>»</w:t>
      </w:r>
      <w:r w:rsidR="00161BFE">
        <w:rPr>
          <w:lang w:eastAsia="zh-CN"/>
        </w:rPr>
        <w:t>.</w:t>
      </w:r>
    </w:p>
    <w:p w:rsidR="00F55714" w:rsidRDefault="00700F65" w:rsidP="00700F65">
      <w:pPr>
        <w:rPr>
          <w:lang w:eastAsia="zh-CN"/>
        </w:rPr>
      </w:pPr>
      <w:r w:rsidRPr="0038101A">
        <w:t>L</w:t>
      </w:r>
      <w:r w:rsidR="00F55714" w:rsidRPr="0038101A">
        <w:t>e</w:t>
      </w:r>
      <w:r w:rsidR="00F0031C">
        <w:t xml:space="preserve"> </w:t>
      </w:r>
      <w:r>
        <w:rPr>
          <w:lang w:val="fr-CH"/>
        </w:rPr>
        <w:t>paragraphe</w:t>
      </w:r>
      <w:r w:rsidR="00F55714" w:rsidRPr="0038101A">
        <w:t xml:space="preserve"> </w:t>
      </w:r>
      <w:r w:rsidR="00F55714" w:rsidRPr="0038101A">
        <w:rPr>
          <w:lang w:eastAsia="zh-CN"/>
        </w:rPr>
        <w:t xml:space="preserve">6/8.1.3 du </w:t>
      </w:r>
      <w:hyperlink r:id="rId46" w:history="1">
        <w:r w:rsidRPr="00732B51">
          <w:rPr>
            <w:rStyle w:val="Hyperlink"/>
            <w:lang w:eastAsia="zh-CN"/>
          </w:rPr>
          <w:t>R</w:t>
        </w:r>
        <w:r w:rsidR="00F55714" w:rsidRPr="00732B51">
          <w:rPr>
            <w:rStyle w:val="Hyperlink"/>
            <w:lang w:eastAsia="zh-CN"/>
          </w:rPr>
          <w:t>apport de la RPC à la CMR-12</w:t>
        </w:r>
      </w:hyperlink>
      <w:r w:rsidR="00F55714" w:rsidRPr="0038101A">
        <w:rPr>
          <w:lang w:eastAsia="zh-CN"/>
        </w:rPr>
        <w:t xml:space="preserve"> donne des renseignements sur les travaux déjà effectués par l'UIT-R </w:t>
      </w:r>
      <w:r w:rsidR="00F55714">
        <w:rPr>
          <w:lang w:eastAsia="zh-CN"/>
        </w:rPr>
        <w:t xml:space="preserve">en application de la </w:t>
      </w:r>
      <w:r>
        <w:rPr>
          <w:lang w:eastAsia="zh-CN"/>
        </w:rPr>
        <w:t>R</w:t>
      </w:r>
      <w:r w:rsidR="00F55714">
        <w:rPr>
          <w:lang w:eastAsia="zh-CN"/>
        </w:rPr>
        <w:t xml:space="preserve">ésolution </w:t>
      </w:r>
      <w:r w:rsidR="00F55714" w:rsidRPr="00700F65">
        <w:rPr>
          <w:b/>
          <w:bCs/>
          <w:lang w:eastAsia="zh-CN"/>
        </w:rPr>
        <w:t>80 (</w:t>
      </w:r>
      <w:r w:rsidR="009E45F3">
        <w:rPr>
          <w:b/>
          <w:bCs/>
          <w:lang w:eastAsia="zh-CN"/>
        </w:rPr>
        <w:t>Rév.</w:t>
      </w:r>
      <w:r w:rsidR="00F55714">
        <w:rPr>
          <w:b/>
          <w:bCs/>
          <w:lang w:eastAsia="zh-CN"/>
        </w:rPr>
        <w:t>CMR</w:t>
      </w:r>
      <w:r w:rsidR="00F55714" w:rsidRPr="0038101A">
        <w:rPr>
          <w:b/>
          <w:bCs/>
          <w:lang w:eastAsia="zh-CN"/>
        </w:rPr>
        <w:t>-07)</w:t>
      </w:r>
      <w:r w:rsidR="00F55714" w:rsidRPr="0038101A">
        <w:rPr>
          <w:lang w:eastAsia="zh-CN"/>
        </w:rPr>
        <w:t xml:space="preserve">, </w:t>
      </w:r>
      <w:r w:rsidR="00F55714">
        <w:rPr>
          <w:lang w:eastAsia="zh-CN"/>
        </w:rPr>
        <w:t xml:space="preserve">et notamment sur l'élaboration et l'approbation de nombreuses </w:t>
      </w:r>
      <w:r w:rsidR="00A0481B">
        <w:rPr>
          <w:lang w:eastAsia="zh-CN"/>
        </w:rPr>
        <w:t>R</w:t>
      </w:r>
      <w:r w:rsidR="00F55714">
        <w:rPr>
          <w:lang w:eastAsia="zh-CN"/>
        </w:rPr>
        <w:t xml:space="preserve">ecommandations et </w:t>
      </w:r>
      <w:r w:rsidR="00A0481B">
        <w:rPr>
          <w:lang w:eastAsia="zh-CN"/>
        </w:rPr>
        <w:t>R</w:t>
      </w:r>
      <w:r w:rsidR="00F55714">
        <w:rPr>
          <w:lang w:eastAsia="zh-CN"/>
        </w:rPr>
        <w:t xml:space="preserve">apports </w:t>
      </w:r>
      <w:r w:rsidR="00F0031C">
        <w:rPr>
          <w:lang w:eastAsia="zh-CN"/>
        </w:rPr>
        <w:t>UIT-R</w:t>
      </w:r>
      <w:r w:rsidR="00A0481B">
        <w:rPr>
          <w:lang w:eastAsia="zh-CN"/>
        </w:rPr>
        <w:t xml:space="preserve"> </w:t>
      </w:r>
      <w:r w:rsidR="00F55714">
        <w:rPr>
          <w:lang w:eastAsia="zh-CN"/>
        </w:rPr>
        <w:t>relatifs</w:t>
      </w:r>
      <w:r w:rsidR="00F0031C">
        <w:rPr>
          <w:lang w:eastAsia="zh-CN"/>
        </w:rPr>
        <w:t xml:space="preserve"> </w:t>
      </w:r>
      <w:r w:rsidR="00F55714">
        <w:rPr>
          <w:lang w:eastAsia="zh-CN"/>
        </w:rPr>
        <w:t>à l'amélioration de l'accès équitable et l'utilisation efficace des ressources de l'orbite des satellites géostationnaires et du spectre.</w:t>
      </w:r>
    </w:p>
    <w:p w:rsidR="00F55714" w:rsidRPr="00BD20A0" w:rsidRDefault="00F55714" w:rsidP="001F2F83">
      <w:pPr>
        <w:rPr>
          <w:highlight w:val="yellow"/>
        </w:rPr>
      </w:pPr>
      <w:r w:rsidRPr="00BD20A0">
        <w:t xml:space="preserve">Le </w:t>
      </w:r>
      <w:r w:rsidR="00A0481B" w:rsidRPr="00BD20A0">
        <w:t>C</w:t>
      </w:r>
      <w:r w:rsidRPr="00BD20A0">
        <w:t xml:space="preserve">omité du </w:t>
      </w:r>
      <w:r w:rsidR="00A0481B" w:rsidRPr="00BD20A0">
        <w:t>R</w:t>
      </w:r>
      <w:r w:rsidRPr="00BD20A0">
        <w:t>èglement des radiocommunications (RRB), en vertu du point 2</w:t>
      </w:r>
      <w:r w:rsidR="00F0031C">
        <w:t xml:space="preserve"> </w:t>
      </w:r>
      <w:r w:rsidRPr="00BD20A0">
        <w:t xml:space="preserve">du </w:t>
      </w:r>
      <w:r w:rsidRPr="00683AF1">
        <w:rPr>
          <w:i/>
          <w:iCs/>
        </w:rPr>
        <w:t>décide</w:t>
      </w:r>
      <w:r w:rsidRPr="00BD20A0">
        <w:t xml:space="preserve"> de la </w:t>
      </w:r>
      <w:r w:rsidR="00E90634">
        <w:t>Résolution</w:t>
      </w:r>
      <w:r w:rsidRPr="00BD20A0">
        <w:t xml:space="preserve"> 80 (</w:t>
      </w:r>
      <w:r w:rsidR="009E45F3">
        <w:t>Rév.</w:t>
      </w:r>
      <w:r>
        <w:t>CMR</w:t>
      </w:r>
      <w:r w:rsidRPr="00BD20A0">
        <w:t xml:space="preserve">-07), </w:t>
      </w:r>
      <w:r>
        <w:t xml:space="preserve">était chargé </w:t>
      </w:r>
      <w:r w:rsidR="00A0481B">
        <w:rPr>
          <w:lang w:val="fr-CH" w:eastAsia="zh-CN"/>
        </w:rPr>
        <w:t>«</w:t>
      </w:r>
      <w:r>
        <w:t xml:space="preserve">d'examiner et de revoir des projets de </w:t>
      </w:r>
      <w:r w:rsidR="00457930">
        <w:t>R</w:t>
      </w:r>
      <w:r>
        <w:t xml:space="preserve">ecommandation et de disposition possibles établissant un lien entre les procédures officielles de notification, de coordination et d'enregistrement et les principes énoncés à l'article 44 de la </w:t>
      </w:r>
      <w:r w:rsidR="00A0481B">
        <w:t>C</w:t>
      </w:r>
      <w:r>
        <w:t>onst</w:t>
      </w:r>
      <w:r w:rsidR="00F0031C">
        <w:t>itu</w:t>
      </w:r>
      <w:r w:rsidR="00457930">
        <w:t>tion et au numéro 0.</w:t>
      </w:r>
      <w:r w:rsidRPr="00BD20A0">
        <w:t xml:space="preserve">3 du </w:t>
      </w:r>
      <w:r w:rsidR="00683AF1" w:rsidRPr="00BD20A0">
        <w:t>P</w:t>
      </w:r>
      <w:r w:rsidRPr="00BD20A0">
        <w:t xml:space="preserve">réambule du </w:t>
      </w:r>
      <w:r w:rsidR="00A0481B" w:rsidRPr="00BD20A0">
        <w:t>R</w:t>
      </w:r>
      <w:r w:rsidRPr="00BD20A0">
        <w:t xml:space="preserve">èglement des radiocommunications, et de faire un rapport sur la mise en oeuvre de la présente </w:t>
      </w:r>
      <w:r w:rsidR="00683AF1" w:rsidRPr="00BD20A0">
        <w:t>R</w:t>
      </w:r>
      <w:r w:rsidRPr="00BD20A0">
        <w:t xml:space="preserve">ésolution </w:t>
      </w:r>
      <w:r>
        <w:t>à chaque conférence mondiale des radiocommunications future</w:t>
      </w:r>
      <w:r w:rsidR="00A0481B">
        <w:rPr>
          <w:lang w:val="fr-CH" w:eastAsia="zh-CN"/>
        </w:rPr>
        <w:t>»</w:t>
      </w:r>
      <w:r w:rsidRPr="00BD20A0">
        <w:t xml:space="preserve">. Le </w:t>
      </w:r>
      <w:r w:rsidR="00683AF1" w:rsidRPr="00BD20A0">
        <w:t>C</w:t>
      </w:r>
      <w:r w:rsidRPr="00BD20A0">
        <w:t>omité a fait porter ses efforts dans ce domaine sur les</w:t>
      </w:r>
      <w:r w:rsidR="00683AF1">
        <w:t xml:space="preserve"> concepts à retenir pour </w:t>
      </w:r>
      <w:r w:rsidRPr="00BD20A0">
        <w:t xml:space="preserve">remédier au problème que le </w:t>
      </w:r>
      <w:r w:rsidR="00683AF1" w:rsidRPr="00BD20A0">
        <w:t>C</w:t>
      </w:r>
      <w:r w:rsidR="00683AF1">
        <w:t>omité e</w:t>
      </w:r>
      <w:r w:rsidRPr="00BD20A0">
        <w:t xml:space="preserve">t le </w:t>
      </w:r>
      <w:r w:rsidR="00683AF1" w:rsidRPr="00BD20A0">
        <w:t>B</w:t>
      </w:r>
      <w:r w:rsidRPr="00BD20A0">
        <w:t>ureau rencontr</w:t>
      </w:r>
      <w:r w:rsidR="001F2F83">
        <w:t>e</w:t>
      </w:r>
      <w:r w:rsidRPr="00BD20A0">
        <w:t xml:space="preserve">nt </w:t>
      </w:r>
      <w:r>
        <w:t>depuis la CM</w:t>
      </w:r>
      <w:r w:rsidR="00683AF1">
        <w:t>R-07 et</w:t>
      </w:r>
      <w:r>
        <w:t xml:space="preserve"> qui ont des incidences sur le respect de ces principes.</w:t>
      </w:r>
      <w:r w:rsidRPr="00BD20A0">
        <w:t xml:space="preserve"> </w:t>
      </w:r>
    </w:p>
    <w:p w:rsidR="00F55714" w:rsidRPr="00AE4515" w:rsidRDefault="00F55714" w:rsidP="006446AC">
      <w:pPr>
        <w:pStyle w:val="Tabletext"/>
        <w:spacing w:before="120" w:after="0"/>
        <w:rPr>
          <w:sz w:val="24"/>
          <w:szCs w:val="24"/>
        </w:rPr>
      </w:pPr>
      <w:r w:rsidRPr="00BD20A0">
        <w:rPr>
          <w:sz w:val="24"/>
          <w:szCs w:val="24"/>
        </w:rPr>
        <w:t xml:space="preserve">On trouvera ci-après un résumé des travaux menés par le </w:t>
      </w:r>
      <w:r w:rsidR="001F2F83" w:rsidRPr="00BD20A0">
        <w:rPr>
          <w:sz w:val="24"/>
          <w:szCs w:val="24"/>
        </w:rPr>
        <w:t>G</w:t>
      </w:r>
      <w:r w:rsidRPr="00BD20A0">
        <w:rPr>
          <w:sz w:val="24"/>
          <w:szCs w:val="24"/>
        </w:rPr>
        <w:t xml:space="preserve">roupe </w:t>
      </w:r>
      <w:r>
        <w:rPr>
          <w:sz w:val="24"/>
          <w:szCs w:val="24"/>
        </w:rPr>
        <w:t xml:space="preserve">de travail </w:t>
      </w:r>
      <w:r w:rsidRPr="00BD20A0">
        <w:rPr>
          <w:sz w:val="24"/>
          <w:szCs w:val="24"/>
        </w:rPr>
        <w:t xml:space="preserve">du </w:t>
      </w:r>
      <w:r w:rsidR="001F2F83" w:rsidRPr="00BD20A0">
        <w:rPr>
          <w:sz w:val="24"/>
          <w:szCs w:val="24"/>
        </w:rPr>
        <w:t>C</w:t>
      </w:r>
      <w:r w:rsidRPr="00BD20A0">
        <w:rPr>
          <w:sz w:val="24"/>
          <w:szCs w:val="24"/>
        </w:rPr>
        <w:t xml:space="preserve">omité sur la </w:t>
      </w:r>
      <w:r w:rsidR="001F2F83" w:rsidRPr="00BD20A0">
        <w:rPr>
          <w:sz w:val="24"/>
          <w:szCs w:val="24"/>
        </w:rPr>
        <w:t>R</w:t>
      </w:r>
      <w:r w:rsidRPr="00BD20A0">
        <w:rPr>
          <w:sz w:val="24"/>
          <w:szCs w:val="24"/>
        </w:rPr>
        <w:t xml:space="preserve">ésolution 80 </w:t>
      </w:r>
      <w:r>
        <w:rPr>
          <w:sz w:val="24"/>
          <w:szCs w:val="24"/>
        </w:rPr>
        <w:t>depuis la dernière réunion du GCR</w:t>
      </w:r>
      <w:r w:rsidR="00F0031C">
        <w:rPr>
          <w:sz w:val="24"/>
          <w:szCs w:val="24"/>
        </w:rPr>
        <w:t>:</w:t>
      </w:r>
      <w:r w:rsidR="006446AC">
        <w:rPr>
          <w:sz w:val="24"/>
          <w:szCs w:val="24"/>
        </w:rPr>
        <w:br/>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F55714" w:rsidRPr="003C73D8" w:rsidTr="00457930">
        <w:trPr>
          <w:cantSplit/>
        </w:trPr>
        <w:tc>
          <w:tcPr>
            <w:tcW w:w="9855" w:type="dxa"/>
            <w:shd w:val="clear" w:color="auto" w:fill="F2F2F2" w:themeFill="background1" w:themeFillShade="F2"/>
          </w:tcPr>
          <w:p w:rsidR="00F55714" w:rsidRPr="00457930" w:rsidRDefault="00F7167E" w:rsidP="00457930">
            <w:pPr>
              <w:pStyle w:val="Tabletext"/>
              <w:ind w:left="284" w:hanging="284"/>
              <w:rPr>
                <w:bCs/>
                <w:szCs w:val="22"/>
              </w:rPr>
            </w:pPr>
            <w:r w:rsidRPr="00457930">
              <w:rPr>
                <w:bCs/>
                <w:szCs w:val="22"/>
              </w:rPr>
              <w:t>•</w:t>
            </w:r>
            <w:r w:rsidRPr="00457930">
              <w:rPr>
                <w:bCs/>
                <w:szCs w:val="22"/>
              </w:rPr>
              <w:tab/>
            </w:r>
            <w:r w:rsidR="009A67A0" w:rsidRPr="00457930">
              <w:rPr>
                <w:bCs/>
                <w:szCs w:val="22"/>
              </w:rPr>
              <w:t>A</w:t>
            </w:r>
            <w:r w:rsidR="00F55714" w:rsidRPr="00457930">
              <w:rPr>
                <w:bCs/>
                <w:szCs w:val="22"/>
              </w:rPr>
              <w:t xml:space="preserve"> sa 53ème réunion (22-26 mars 2010</w:t>
            </w:r>
            <w:r w:rsidR="001F2F83" w:rsidRPr="00457930">
              <w:rPr>
                <w:bCs/>
                <w:szCs w:val="22"/>
              </w:rPr>
              <w:t>)</w:t>
            </w:r>
            <w:r w:rsidR="00F55714" w:rsidRPr="00457930">
              <w:rPr>
                <w:bCs/>
                <w:szCs w:val="22"/>
              </w:rPr>
              <w:t>, le Groupe de travail a décidé que</w:t>
            </w:r>
            <w:r w:rsidR="00F0031C" w:rsidRPr="00457930">
              <w:rPr>
                <w:bCs/>
                <w:szCs w:val="22"/>
              </w:rPr>
              <w:t xml:space="preserve"> </w:t>
            </w:r>
            <w:r w:rsidR="00F55714" w:rsidRPr="00457930">
              <w:rPr>
                <w:bCs/>
                <w:szCs w:val="22"/>
              </w:rPr>
              <w:t xml:space="preserve">la méthode à suivre à sa prochaine réunion concernant son mandat au titre du point 2 du </w:t>
            </w:r>
            <w:r w:rsidR="00F55714" w:rsidRPr="00457930">
              <w:rPr>
                <w:bCs/>
                <w:i/>
                <w:iCs/>
                <w:szCs w:val="22"/>
              </w:rPr>
              <w:t>décide</w:t>
            </w:r>
            <w:r w:rsidRPr="00457930">
              <w:rPr>
                <w:bCs/>
                <w:szCs w:val="22"/>
              </w:rPr>
              <w:t xml:space="preserve"> de la Résolution 80 (Rév.CMR</w:t>
            </w:r>
            <w:r w:rsidRPr="00457930">
              <w:rPr>
                <w:bCs/>
                <w:szCs w:val="22"/>
              </w:rPr>
              <w:noBreakHyphen/>
            </w:r>
            <w:r w:rsidR="00F55714" w:rsidRPr="00457930">
              <w:rPr>
                <w:bCs/>
                <w:szCs w:val="22"/>
              </w:rPr>
              <w:t>07) consisterait à mettre l'accent sur les questions qui se sont posées lors des travaux du Comité et, plus particulièrement, sur les questions suivantes:</w:t>
            </w:r>
          </w:p>
          <w:p w:rsidR="00F55714" w:rsidRPr="00457930" w:rsidRDefault="00F7167E" w:rsidP="00F7167E">
            <w:pPr>
              <w:pStyle w:val="Tabletext"/>
              <w:rPr>
                <w:bCs/>
                <w:szCs w:val="22"/>
              </w:rPr>
            </w:pPr>
            <w:r w:rsidRPr="00457930">
              <w:rPr>
                <w:bCs/>
                <w:szCs w:val="22"/>
              </w:rPr>
              <w:tab/>
            </w:r>
            <w:r w:rsidR="00F55714" w:rsidRPr="00457930">
              <w:rPr>
                <w:bCs/>
                <w:szCs w:val="22"/>
              </w:rPr>
              <w:t>1</w:t>
            </w:r>
            <w:r w:rsidRPr="00457930">
              <w:rPr>
                <w:bCs/>
                <w:szCs w:val="22"/>
              </w:rPr>
              <w:t>)</w:t>
            </w:r>
            <w:r w:rsidR="00F55714" w:rsidRPr="00457930">
              <w:rPr>
                <w:bCs/>
                <w:szCs w:val="22"/>
              </w:rPr>
              <w:tab/>
              <w:t xml:space="preserve">Questions associées au numéro 13.6, qui appellent un complément d'étude: </w:t>
            </w:r>
          </w:p>
          <w:p w:rsidR="00F55714" w:rsidRPr="00457930" w:rsidRDefault="00F7167E" w:rsidP="00DC0659">
            <w:pPr>
              <w:pStyle w:val="Tabletext"/>
              <w:rPr>
                <w:bCs/>
                <w:szCs w:val="22"/>
              </w:rPr>
            </w:pPr>
            <w:r w:rsidRPr="00457930">
              <w:rPr>
                <w:bCs/>
                <w:szCs w:val="22"/>
              </w:rPr>
              <w:tab/>
            </w:r>
            <w:r w:rsidR="00F55714" w:rsidRPr="00457930">
              <w:rPr>
                <w:bCs/>
                <w:szCs w:val="22"/>
              </w:rPr>
              <w:tab/>
              <w:t>•</w:t>
            </w:r>
            <w:r w:rsidR="00F55714" w:rsidRPr="00457930">
              <w:rPr>
                <w:bCs/>
                <w:szCs w:val="22"/>
              </w:rPr>
              <w:tab/>
              <w:t>signification de l'expression «renseignements fiables»;</w:t>
            </w:r>
          </w:p>
          <w:p w:rsidR="00F55714" w:rsidRPr="00457930" w:rsidRDefault="00F55714" w:rsidP="00DC0659">
            <w:pPr>
              <w:pStyle w:val="Tabletext"/>
              <w:rPr>
                <w:bCs/>
                <w:szCs w:val="22"/>
                <w:lang w:val="fr-CH"/>
              </w:rPr>
            </w:pPr>
            <w:r w:rsidRPr="00457930">
              <w:rPr>
                <w:bCs/>
                <w:szCs w:val="22"/>
                <w:lang w:val="fr-CH"/>
              </w:rPr>
              <w:tab/>
            </w:r>
            <w:r w:rsidR="00F7167E" w:rsidRPr="00457930">
              <w:rPr>
                <w:bCs/>
                <w:szCs w:val="22"/>
                <w:lang w:val="fr-CH"/>
              </w:rPr>
              <w:tab/>
            </w:r>
            <w:r w:rsidRPr="00457930">
              <w:rPr>
                <w:bCs/>
                <w:szCs w:val="22"/>
                <w:lang w:val="fr-CH"/>
              </w:rPr>
              <w:t>•</w:t>
            </w:r>
            <w:r w:rsidRPr="00457930">
              <w:rPr>
                <w:bCs/>
                <w:szCs w:val="22"/>
                <w:lang w:val="fr-CH"/>
              </w:rPr>
              <w:tab/>
              <w:t>nombre et dates des rappels;</w:t>
            </w:r>
          </w:p>
          <w:p w:rsidR="00F55714" w:rsidRPr="00457930" w:rsidRDefault="00F55714" w:rsidP="00DC0659">
            <w:pPr>
              <w:pStyle w:val="Tabletext"/>
              <w:rPr>
                <w:bCs/>
                <w:szCs w:val="22"/>
              </w:rPr>
            </w:pPr>
            <w:r w:rsidRPr="00457930">
              <w:rPr>
                <w:bCs/>
                <w:szCs w:val="22"/>
              </w:rPr>
              <w:tab/>
            </w:r>
            <w:r w:rsidR="00F7167E" w:rsidRPr="00457930">
              <w:rPr>
                <w:bCs/>
                <w:szCs w:val="22"/>
              </w:rPr>
              <w:tab/>
            </w:r>
            <w:r w:rsidRPr="00457930">
              <w:rPr>
                <w:bCs/>
                <w:szCs w:val="22"/>
              </w:rPr>
              <w:t>•</w:t>
            </w:r>
            <w:r w:rsidRPr="00457930">
              <w:rPr>
                <w:bCs/>
                <w:szCs w:val="22"/>
              </w:rPr>
              <w:tab/>
              <w:t>définition de ce que const</w:t>
            </w:r>
            <w:r w:rsidR="00F0031C" w:rsidRPr="00457930">
              <w:rPr>
                <w:bCs/>
                <w:szCs w:val="22"/>
              </w:rPr>
              <w:t>itu</w:t>
            </w:r>
            <w:r w:rsidRPr="00457930">
              <w:rPr>
                <w:bCs/>
                <w:szCs w:val="22"/>
              </w:rPr>
              <w:t xml:space="preserve">e une réponse à une demande de renseignements; </w:t>
            </w:r>
          </w:p>
          <w:p w:rsidR="00F55714" w:rsidRPr="00457930" w:rsidRDefault="00F7167E" w:rsidP="00DC0659">
            <w:pPr>
              <w:pStyle w:val="Tabletext"/>
              <w:rPr>
                <w:bCs/>
                <w:szCs w:val="22"/>
              </w:rPr>
            </w:pPr>
            <w:r w:rsidRPr="00457930">
              <w:rPr>
                <w:bCs/>
                <w:szCs w:val="22"/>
              </w:rPr>
              <w:tab/>
            </w:r>
            <w:r w:rsidR="00F55714" w:rsidRPr="00457930">
              <w:rPr>
                <w:bCs/>
                <w:szCs w:val="22"/>
              </w:rPr>
              <w:tab/>
              <w:t>•</w:t>
            </w:r>
            <w:r w:rsidR="00F55714" w:rsidRPr="00457930">
              <w:rPr>
                <w:bCs/>
                <w:szCs w:val="22"/>
              </w:rPr>
              <w:tab/>
              <w:t xml:space="preserve">signification de l'expression </w:t>
            </w:r>
            <w:r w:rsidR="00F36B3E" w:rsidRPr="00457930">
              <w:rPr>
                <w:bCs/>
                <w:szCs w:val="22"/>
              </w:rPr>
              <w:t>«</w:t>
            </w:r>
            <w:r w:rsidR="00F55714" w:rsidRPr="00457930">
              <w:rPr>
                <w:bCs/>
                <w:szCs w:val="22"/>
              </w:rPr>
              <w:t>mise en service normalement</w:t>
            </w:r>
            <w:r w:rsidR="00F36B3E" w:rsidRPr="00457930">
              <w:rPr>
                <w:bCs/>
                <w:szCs w:val="22"/>
              </w:rPr>
              <w:t>»</w:t>
            </w:r>
            <w:r w:rsidR="00F55714" w:rsidRPr="00457930">
              <w:rPr>
                <w:bCs/>
                <w:szCs w:val="22"/>
              </w:rPr>
              <w:t>;</w:t>
            </w:r>
          </w:p>
          <w:p w:rsidR="00F7167E" w:rsidRPr="00457930" w:rsidRDefault="00F7167E" w:rsidP="00F7167E">
            <w:pPr>
              <w:pStyle w:val="Tabletext"/>
              <w:rPr>
                <w:bCs/>
                <w:szCs w:val="22"/>
              </w:rPr>
            </w:pPr>
            <w:r w:rsidRPr="00457930">
              <w:rPr>
                <w:bCs/>
                <w:szCs w:val="22"/>
              </w:rPr>
              <w:tab/>
            </w:r>
            <w:r w:rsidR="00F55714" w:rsidRPr="00457930">
              <w:rPr>
                <w:bCs/>
                <w:szCs w:val="22"/>
              </w:rPr>
              <w:tab/>
              <w:t>•</w:t>
            </w:r>
            <w:r w:rsidR="00F55714" w:rsidRPr="00457930">
              <w:rPr>
                <w:bCs/>
                <w:szCs w:val="22"/>
              </w:rPr>
              <w:tab/>
              <w:t>annulation d'un réseau par le BR et confirmation par le Comité.</w:t>
            </w:r>
          </w:p>
          <w:p w:rsidR="00F55714" w:rsidRPr="00457930" w:rsidRDefault="00F7167E" w:rsidP="00F7167E">
            <w:pPr>
              <w:pStyle w:val="Tabletext"/>
              <w:ind w:left="567" w:hanging="567"/>
              <w:rPr>
                <w:bCs/>
                <w:szCs w:val="22"/>
              </w:rPr>
            </w:pPr>
            <w:r w:rsidRPr="00457930">
              <w:rPr>
                <w:bCs/>
                <w:szCs w:val="22"/>
              </w:rPr>
              <w:tab/>
            </w:r>
            <w:r w:rsidRPr="00457930">
              <w:rPr>
                <w:bCs/>
                <w:szCs w:val="22"/>
                <w:lang w:val="fr-CH"/>
              </w:rPr>
              <w:t>2)</w:t>
            </w:r>
            <w:r w:rsidR="00F55714" w:rsidRPr="00457930">
              <w:rPr>
                <w:bCs/>
                <w:szCs w:val="22"/>
                <w:lang w:val="fr-CH"/>
              </w:rPr>
              <w:tab/>
              <w:t>Considérations relatives au statut des assignations concernées en cas de brouillages préjudiciables (voir l'Annexe 6 du Document RRB09-2/4) et facteurs influant sur la résolution des cas de brouillages préjudiciables.</w:t>
            </w:r>
          </w:p>
        </w:tc>
      </w:tr>
      <w:tr w:rsidR="00F55714" w:rsidRPr="003C73D8" w:rsidTr="00457930">
        <w:trPr>
          <w:cantSplit/>
        </w:trPr>
        <w:tc>
          <w:tcPr>
            <w:tcW w:w="9855" w:type="dxa"/>
            <w:shd w:val="clear" w:color="auto" w:fill="F2F2F2" w:themeFill="background1" w:themeFillShade="F2"/>
          </w:tcPr>
          <w:p w:rsidR="00F55714" w:rsidRPr="00457930" w:rsidRDefault="00F7167E" w:rsidP="00F7167E">
            <w:pPr>
              <w:pStyle w:val="Tabletext"/>
              <w:ind w:left="567" w:hanging="567"/>
              <w:rPr>
                <w:szCs w:val="22"/>
              </w:rPr>
            </w:pPr>
            <w:r w:rsidRPr="00457930">
              <w:rPr>
                <w:szCs w:val="22"/>
              </w:rPr>
              <w:tab/>
            </w:r>
            <w:r w:rsidR="00F55714" w:rsidRPr="00457930">
              <w:rPr>
                <w:szCs w:val="22"/>
              </w:rPr>
              <w:t>3</w:t>
            </w:r>
            <w:r w:rsidRPr="00457930">
              <w:rPr>
                <w:szCs w:val="22"/>
              </w:rPr>
              <w:t>)</w:t>
            </w:r>
            <w:r w:rsidR="00F55714" w:rsidRPr="00457930">
              <w:rPr>
                <w:szCs w:val="22"/>
              </w:rPr>
              <w:tab/>
              <w:t xml:space="preserve">Considérations soumises par les </w:t>
            </w:r>
            <w:r w:rsidR="00F20E43" w:rsidRPr="00457930">
              <w:rPr>
                <w:szCs w:val="22"/>
              </w:rPr>
              <w:t>M</w:t>
            </w:r>
            <w:r w:rsidR="00F55714" w:rsidRPr="00457930">
              <w:rPr>
                <w:szCs w:val="22"/>
              </w:rPr>
              <w:t>embres du Comité concernant la Résolution 80</w:t>
            </w:r>
            <w:r w:rsidR="00F0031C" w:rsidRPr="00457930">
              <w:rPr>
                <w:szCs w:val="22"/>
              </w:rPr>
              <w:t xml:space="preserve"> </w:t>
            </w:r>
            <w:r w:rsidR="00F55714" w:rsidRPr="00457930">
              <w:rPr>
                <w:szCs w:val="22"/>
              </w:rPr>
              <w:t>(voir par exemple le Document RRB10-1/4, Annexe 1).</w:t>
            </w:r>
          </w:p>
          <w:p w:rsidR="00F55714" w:rsidRPr="00457930" w:rsidRDefault="00F7167E" w:rsidP="00457930">
            <w:pPr>
              <w:pStyle w:val="Tabletext"/>
              <w:ind w:left="567" w:hanging="567"/>
              <w:rPr>
                <w:bCs/>
                <w:szCs w:val="22"/>
              </w:rPr>
            </w:pPr>
            <w:r w:rsidRPr="00457930">
              <w:rPr>
                <w:szCs w:val="22"/>
              </w:rPr>
              <w:tab/>
            </w:r>
            <w:r w:rsidR="00F55714" w:rsidRPr="00457930">
              <w:rPr>
                <w:szCs w:val="22"/>
              </w:rPr>
              <w:t>4</w:t>
            </w:r>
            <w:r w:rsidR="00457930" w:rsidRPr="00457930">
              <w:rPr>
                <w:szCs w:val="22"/>
              </w:rPr>
              <w:t>)</w:t>
            </w:r>
            <w:r w:rsidR="00F55714" w:rsidRPr="00457930">
              <w:rPr>
                <w:szCs w:val="22"/>
              </w:rPr>
              <w:tab/>
              <w:t xml:space="preserve">Difficultés rencontrées concernant la coordination des réseaux à </w:t>
            </w:r>
            <w:r w:rsidR="00F55714" w:rsidRPr="00457930">
              <w:rPr>
                <w:rFonts w:cs="Arial"/>
                <w:szCs w:val="22"/>
              </w:rPr>
              <w:t>satellite</w:t>
            </w:r>
            <w:r w:rsidR="00F55714" w:rsidRPr="00457930">
              <w:rPr>
                <w:szCs w:val="22"/>
              </w:rPr>
              <w:t xml:space="preserve">, </w:t>
            </w:r>
            <w:r w:rsidR="00F55714" w:rsidRPr="00457930">
              <w:rPr>
                <w:bCs/>
                <w:szCs w:val="22"/>
              </w:rPr>
              <w:t>en particulier</w:t>
            </w:r>
            <w:r w:rsidR="00F55714" w:rsidRPr="00457930">
              <w:rPr>
                <w:szCs w:val="22"/>
              </w:rPr>
              <w:t xml:space="preserve"> dans le cas où très peu d'accords de coordination ont été conclus au moment de la notification.</w:t>
            </w:r>
          </w:p>
        </w:tc>
      </w:tr>
      <w:tr w:rsidR="00F55714" w:rsidRPr="003C73D8" w:rsidTr="00457930">
        <w:trPr>
          <w:cantSplit/>
        </w:trPr>
        <w:tc>
          <w:tcPr>
            <w:tcW w:w="9855" w:type="dxa"/>
            <w:shd w:val="clear" w:color="auto" w:fill="F2F2F2" w:themeFill="background1" w:themeFillShade="F2"/>
          </w:tcPr>
          <w:p w:rsidR="00F7167E" w:rsidRPr="00457930" w:rsidRDefault="00F7167E" w:rsidP="00F7167E">
            <w:pPr>
              <w:pStyle w:val="Tabletext"/>
              <w:ind w:left="284" w:hanging="284"/>
              <w:rPr>
                <w:szCs w:val="22"/>
              </w:rPr>
            </w:pPr>
            <w:r w:rsidRPr="00457930">
              <w:rPr>
                <w:bCs/>
                <w:szCs w:val="22"/>
              </w:rPr>
              <w:t>•</w:t>
            </w:r>
            <w:r w:rsidRPr="00457930">
              <w:rPr>
                <w:bCs/>
                <w:szCs w:val="22"/>
              </w:rPr>
              <w:tab/>
            </w:r>
            <w:r w:rsidR="009A67A0" w:rsidRPr="00457930">
              <w:rPr>
                <w:bCs/>
                <w:szCs w:val="22"/>
              </w:rPr>
              <w:t>A</w:t>
            </w:r>
            <w:r w:rsidR="00F55714" w:rsidRPr="00457930">
              <w:rPr>
                <w:bCs/>
                <w:szCs w:val="22"/>
              </w:rPr>
              <w:t xml:space="preserve"> sa 54ème réunion (5-13 juillet 2010), </w:t>
            </w:r>
            <w:r w:rsidR="00F55714" w:rsidRPr="00457930">
              <w:rPr>
                <w:szCs w:val="22"/>
              </w:rPr>
              <w:t>le Groupe de travail a mis l'accent sur les questions qui se sont posées lors des travaux du Comité et, plus particulièrement, sur les questions suivantes:</w:t>
            </w:r>
          </w:p>
          <w:p w:rsidR="00F7167E" w:rsidRPr="00457930" w:rsidRDefault="00F7167E" w:rsidP="00F7167E">
            <w:pPr>
              <w:pStyle w:val="Tabletext"/>
              <w:ind w:left="284" w:hanging="284"/>
              <w:rPr>
                <w:szCs w:val="22"/>
              </w:rPr>
            </w:pPr>
            <w:r w:rsidRPr="00457930">
              <w:rPr>
                <w:szCs w:val="22"/>
              </w:rPr>
              <w:tab/>
              <w:t>•</w:t>
            </w:r>
            <w:r w:rsidRPr="00457930">
              <w:rPr>
                <w:szCs w:val="22"/>
              </w:rPr>
              <w:tab/>
            </w:r>
            <w:r w:rsidR="00F55714" w:rsidRPr="00457930">
              <w:rPr>
                <w:szCs w:val="22"/>
              </w:rPr>
              <w:t>Questions associées à l'application du numéro 13.6 du Règlement des radiocommunications.</w:t>
            </w:r>
          </w:p>
          <w:p w:rsidR="00F7167E" w:rsidRPr="00457930" w:rsidRDefault="00F7167E" w:rsidP="00F7167E">
            <w:pPr>
              <w:pStyle w:val="Tabletext"/>
              <w:ind w:left="284" w:hanging="284"/>
              <w:rPr>
                <w:szCs w:val="22"/>
              </w:rPr>
            </w:pPr>
            <w:r w:rsidRPr="00457930">
              <w:rPr>
                <w:szCs w:val="22"/>
              </w:rPr>
              <w:tab/>
              <w:t>•</w:t>
            </w:r>
            <w:r w:rsidRPr="00457930">
              <w:rPr>
                <w:szCs w:val="22"/>
              </w:rPr>
              <w:tab/>
            </w:r>
            <w:r w:rsidR="00F55714" w:rsidRPr="00457930">
              <w:rPr>
                <w:szCs w:val="22"/>
              </w:rPr>
              <w:t>Considérations relatives au statut des assignations concernées en cas de brouillages préjudiciables.</w:t>
            </w:r>
          </w:p>
          <w:p w:rsidR="00F55714" w:rsidRPr="00457930" w:rsidRDefault="00F7167E" w:rsidP="00F7167E">
            <w:pPr>
              <w:pStyle w:val="Tabletext"/>
              <w:ind w:left="567" w:hanging="567"/>
              <w:rPr>
                <w:szCs w:val="22"/>
              </w:rPr>
            </w:pPr>
            <w:r w:rsidRPr="00457930">
              <w:rPr>
                <w:szCs w:val="22"/>
              </w:rPr>
              <w:tab/>
              <w:t>•</w:t>
            </w:r>
            <w:r w:rsidRPr="00457930">
              <w:rPr>
                <w:szCs w:val="22"/>
              </w:rPr>
              <w:tab/>
              <w:t>D</w:t>
            </w:r>
            <w:r w:rsidR="00F55714" w:rsidRPr="00457930">
              <w:rPr>
                <w:szCs w:val="22"/>
              </w:rPr>
              <w:t>ifficultés rencontrées concernant la coordination des réseaux à satellite, y compris l</w:t>
            </w:r>
            <w:r w:rsidR="00BD2FBC" w:rsidRPr="00457930">
              <w:rPr>
                <w:szCs w:val="22"/>
              </w:rPr>
              <w:t>'</w:t>
            </w:r>
            <w:r w:rsidR="00F55714" w:rsidRPr="00457930">
              <w:rPr>
                <w:szCs w:val="22"/>
              </w:rPr>
              <w:t>application du numéro 11.41 du RR.</w:t>
            </w:r>
          </w:p>
        </w:tc>
      </w:tr>
      <w:tr w:rsidR="00F55714" w:rsidRPr="003C73D8" w:rsidTr="00457930">
        <w:trPr>
          <w:cantSplit/>
        </w:trPr>
        <w:tc>
          <w:tcPr>
            <w:tcW w:w="9855" w:type="dxa"/>
            <w:shd w:val="clear" w:color="auto" w:fill="F2F2F2" w:themeFill="background1" w:themeFillShade="F2"/>
          </w:tcPr>
          <w:p w:rsidR="00F55714" w:rsidRPr="00457930" w:rsidRDefault="006446AC" w:rsidP="006446AC">
            <w:pPr>
              <w:pStyle w:val="Tabletext"/>
              <w:ind w:left="284" w:hanging="284"/>
              <w:rPr>
                <w:szCs w:val="22"/>
              </w:rPr>
            </w:pPr>
            <w:r w:rsidRPr="00457930">
              <w:rPr>
                <w:szCs w:val="22"/>
              </w:rPr>
              <w:tab/>
            </w:r>
            <w:r w:rsidR="00F55714" w:rsidRPr="00457930">
              <w:rPr>
                <w:szCs w:val="22"/>
              </w:rPr>
              <w:t>Le Groupe de travail a décidé d'ajouter à la liste de questions ci</w:t>
            </w:r>
            <w:r w:rsidR="00F55714" w:rsidRPr="00457930">
              <w:rPr>
                <w:szCs w:val="22"/>
              </w:rPr>
              <w:noBreakHyphen/>
              <w:t xml:space="preserve">dessus le contrôle des émissions et les brouillages préjudiciables intentionnels et d'inclure, dans une annexe de son </w:t>
            </w:r>
            <w:r w:rsidR="00457930" w:rsidRPr="00457930">
              <w:rPr>
                <w:szCs w:val="22"/>
              </w:rPr>
              <w:t>R</w:t>
            </w:r>
            <w:r w:rsidR="00F55714" w:rsidRPr="00457930">
              <w:rPr>
                <w:szCs w:val="22"/>
              </w:rPr>
              <w:t>apport à la CMR</w:t>
            </w:r>
            <w:r w:rsidR="00F55714" w:rsidRPr="00457930">
              <w:rPr>
                <w:szCs w:val="22"/>
              </w:rPr>
              <w:noBreakHyphen/>
              <w:t>12, des considérations relatives à d'autres questions soulevées par des membres du Comité relevant de son mandat au titre de la Résolution 80 (Rév.CMR</w:t>
            </w:r>
            <w:r w:rsidR="00F55714" w:rsidRPr="00457930">
              <w:rPr>
                <w:szCs w:val="22"/>
              </w:rPr>
              <w:noBreakHyphen/>
              <w:t xml:space="preserve">07). </w:t>
            </w:r>
          </w:p>
        </w:tc>
      </w:tr>
      <w:tr w:rsidR="006446AC" w:rsidRPr="003C73D8" w:rsidTr="00457930">
        <w:trPr>
          <w:cantSplit/>
        </w:trPr>
        <w:tc>
          <w:tcPr>
            <w:tcW w:w="9855" w:type="dxa"/>
            <w:shd w:val="clear" w:color="auto" w:fill="F2F2F2" w:themeFill="background1" w:themeFillShade="F2"/>
          </w:tcPr>
          <w:p w:rsidR="006446AC" w:rsidRPr="00457930" w:rsidRDefault="006446AC" w:rsidP="00457930">
            <w:pPr>
              <w:pStyle w:val="Tabletext"/>
              <w:ind w:left="284" w:hanging="284"/>
              <w:rPr>
                <w:szCs w:val="22"/>
              </w:rPr>
            </w:pPr>
            <w:r w:rsidRPr="00457930">
              <w:rPr>
                <w:bCs/>
                <w:szCs w:val="22"/>
              </w:rPr>
              <w:t>•</w:t>
            </w:r>
            <w:r w:rsidRPr="00457930">
              <w:rPr>
                <w:bCs/>
                <w:szCs w:val="22"/>
              </w:rPr>
              <w:tab/>
              <w:t xml:space="preserve">A sa 55ème réunion (23 novembre-3 décembre 2010), </w:t>
            </w:r>
            <w:r w:rsidRPr="00457930">
              <w:rPr>
                <w:szCs w:val="22"/>
              </w:rPr>
              <w:t>le Groupe de travail a examiné la formulation d'un texte sur les nouvelles questions soulevées lors de la 54ème réunion du RRB (</w:t>
            </w:r>
            <w:r w:rsidRPr="00457930">
              <w:rPr>
                <w:szCs w:val="22"/>
                <w:lang w:val="fr-CH"/>
              </w:rPr>
              <w:t>c'est-à-dire</w:t>
            </w:r>
            <w:r w:rsidRPr="00457930">
              <w:rPr>
                <w:szCs w:val="22"/>
              </w:rPr>
              <w:t xml:space="preserve"> le contrôle des émissions et les brouillages préjudiciables intentionnels), a adapté le texte sur la </w:t>
            </w:r>
            <w:r w:rsidRPr="00457930">
              <w:rPr>
                <w:szCs w:val="22"/>
                <w:lang w:val="fr-CH"/>
              </w:rPr>
              <w:t>mise en oeuvre</w:t>
            </w:r>
            <w:r w:rsidRPr="00457930">
              <w:rPr>
                <w:szCs w:val="22"/>
              </w:rPr>
              <w:t xml:space="preserve"> du numéro 13.6 du RR et est convenu que la mise au point du projet de rapport était suffisamment avancée pour qu'il puisse être posté sur le site web du RRB, après la prise en compte des observations reçues pendant la 55ème réunion. Le </w:t>
            </w:r>
            <w:r w:rsidRPr="00457930">
              <w:rPr>
                <w:szCs w:val="22"/>
                <w:lang w:val="fr-CH"/>
              </w:rPr>
              <w:t>Groupe de travail</w:t>
            </w:r>
            <w:r w:rsidRPr="00457930">
              <w:rPr>
                <w:szCs w:val="22"/>
              </w:rPr>
              <w:t xml:space="preserve"> a décidé d'élaborer plus avant le rapport en 2011 et de terminer ses travaux avant la CMR-12.</w:t>
            </w:r>
          </w:p>
        </w:tc>
      </w:tr>
      <w:tr w:rsidR="006446AC" w:rsidRPr="003C73D8" w:rsidTr="00457930">
        <w:trPr>
          <w:cantSplit/>
        </w:trPr>
        <w:tc>
          <w:tcPr>
            <w:tcW w:w="9855" w:type="dxa"/>
            <w:shd w:val="clear" w:color="auto" w:fill="F2F2F2" w:themeFill="background1" w:themeFillShade="F2"/>
          </w:tcPr>
          <w:p w:rsidR="006446AC" w:rsidRPr="00457930" w:rsidRDefault="006446AC" w:rsidP="00457930">
            <w:pPr>
              <w:pStyle w:val="Tabletext"/>
              <w:ind w:left="284" w:hanging="284"/>
              <w:rPr>
                <w:szCs w:val="22"/>
              </w:rPr>
            </w:pPr>
            <w:r w:rsidRPr="00457930">
              <w:rPr>
                <w:bCs/>
                <w:szCs w:val="22"/>
              </w:rPr>
              <w:t>•</w:t>
            </w:r>
            <w:r w:rsidRPr="00457930">
              <w:rPr>
                <w:bCs/>
                <w:szCs w:val="22"/>
              </w:rPr>
              <w:tab/>
              <w:t>A sa 56ème réunion (28 mars-1</w:t>
            </w:r>
            <w:r w:rsidRPr="00457930">
              <w:rPr>
                <w:szCs w:val="22"/>
              </w:rPr>
              <w:t>er</w:t>
            </w:r>
            <w:r w:rsidRPr="00457930">
              <w:rPr>
                <w:bCs/>
                <w:szCs w:val="22"/>
              </w:rPr>
              <w:t xml:space="preserve"> avril 2011), </w:t>
            </w:r>
            <w:r w:rsidRPr="00457930">
              <w:rPr>
                <w:szCs w:val="22"/>
              </w:rPr>
              <w:t>le Comité a décidé,</w:t>
            </w:r>
            <w:r w:rsidR="00457930">
              <w:rPr>
                <w:szCs w:val="22"/>
              </w:rPr>
              <w:t xml:space="preserve"> </w:t>
            </w:r>
            <w:r w:rsidRPr="00457930">
              <w:rPr>
                <w:szCs w:val="22"/>
              </w:rPr>
              <w:t xml:space="preserve">étant donné que les travaux devront être achevés à la prochaine (57ème) réunion du Comité, afin d'être intégrés dans le </w:t>
            </w:r>
            <w:r w:rsidR="00457930" w:rsidRPr="00457930">
              <w:rPr>
                <w:szCs w:val="22"/>
              </w:rPr>
              <w:t>R</w:t>
            </w:r>
            <w:r w:rsidRPr="00457930">
              <w:rPr>
                <w:szCs w:val="22"/>
              </w:rPr>
              <w:t xml:space="preserve">apport du Directeur du Bureau des radiocommunications à l'intention de la CMR-12 quatre mois avant la conférence, de terminer les travaux entrepris par l'ancien Comité en ajoutant les points suivants dans le rapport: résumé analytique, table des matières, examen approfondi des ateliers organisés par le BR sur l'utilisation efficace des ressources spectre/orbites, nouvelle section sur les considérations relatives à la location, nouvelle section sur la Résolution 49 (Rév.CMR-07), nouvelle(s) annexe(s) fournie(s) par les </w:t>
            </w:r>
            <w:r w:rsidR="00F20E43" w:rsidRPr="00457930">
              <w:rPr>
                <w:szCs w:val="22"/>
              </w:rPr>
              <w:t>M</w:t>
            </w:r>
            <w:r w:rsidRPr="00457930">
              <w:rPr>
                <w:szCs w:val="22"/>
              </w:rPr>
              <w:t>embres du Comité, le cas échéant, (en particulier, sur les conséquences de l'utilisation de faisceaux orientables et de valeurs maximales ou minimales des paramètres concernant la coordination).</w:t>
            </w:r>
          </w:p>
        </w:tc>
      </w:tr>
    </w:tbl>
    <w:p w:rsidR="00F55714" w:rsidRPr="00655CDD" w:rsidRDefault="00655CDD" w:rsidP="00655CDD">
      <w:pPr>
        <w:pStyle w:val="Normalaftertitle"/>
      </w:pPr>
      <w:r>
        <w:t xml:space="preserve">Le </w:t>
      </w:r>
      <w:hyperlink r:id="rId47" w:history="1">
        <w:r w:rsidRPr="007D2357">
          <w:rPr>
            <w:rStyle w:val="Hyperlink"/>
          </w:rPr>
          <w:t xml:space="preserve">projet de </w:t>
        </w:r>
        <w:r w:rsidR="00130A4A" w:rsidRPr="007D2357">
          <w:rPr>
            <w:rStyle w:val="Hyperlink"/>
          </w:rPr>
          <w:t>R</w:t>
        </w:r>
        <w:r w:rsidRPr="007D2357">
          <w:rPr>
            <w:rStyle w:val="Hyperlink"/>
          </w:rPr>
          <w:t>apport du RR</w:t>
        </w:r>
        <w:r w:rsidR="00F55714" w:rsidRPr="007D2357">
          <w:rPr>
            <w:rStyle w:val="Hyperlink"/>
          </w:rPr>
          <w:t xml:space="preserve">B sur la </w:t>
        </w:r>
        <w:r w:rsidRPr="007D2357">
          <w:rPr>
            <w:rStyle w:val="Hyperlink"/>
          </w:rPr>
          <w:t>R</w:t>
        </w:r>
        <w:r w:rsidR="00F55714" w:rsidRPr="007D2357">
          <w:rPr>
            <w:rStyle w:val="Hyperlink"/>
          </w:rPr>
          <w:t>ésolution 80</w:t>
        </w:r>
      </w:hyperlink>
      <w:r w:rsidR="00F55714">
        <w:t xml:space="preserve"> a été affiché sur le site </w:t>
      </w:r>
      <w:r w:rsidR="00144613">
        <w:t>web</w:t>
      </w:r>
      <w:r w:rsidR="00F55714">
        <w:t xml:space="preserve"> du RRB. Il traite de </w:t>
      </w:r>
      <w:r w:rsidR="00130A4A">
        <w:t>l'application du numéro 13.</w:t>
      </w:r>
      <w:r w:rsidR="00F55714">
        <w:t xml:space="preserve">6 du </w:t>
      </w:r>
      <w:r>
        <w:t>R</w:t>
      </w:r>
      <w:r w:rsidR="00F55714">
        <w:t>èglement des radiocommunications, du statut des assignations concernées dans certains cas de brouillages préjudiciables non résolus et des difficultés rencontrées lors de la coordination et de la notification de réseau</w:t>
      </w:r>
      <w:r>
        <w:t>x</w:t>
      </w:r>
      <w:r w:rsidR="00F55714">
        <w:t xml:space="preserve"> à satellite. Le RRB élaborera de manière plus détaillée ce rapport en 2011 et terminera ses travaux avant la CMR-12.</w:t>
      </w:r>
    </w:p>
    <w:p w:rsidR="00F55714" w:rsidRPr="00282925" w:rsidRDefault="00D05531" w:rsidP="008044A1">
      <w:pPr>
        <w:pStyle w:val="Heading2"/>
      </w:pPr>
      <w:r>
        <w:t>6.4</w:t>
      </w:r>
      <w:r>
        <w:tab/>
        <w:t>Base de données sur l</w:t>
      </w:r>
      <w:r w:rsidR="00F55714" w:rsidRPr="00282925">
        <w:t>es communications d'urgence</w:t>
      </w:r>
    </w:p>
    <w:p w:rsidR="00F55714" w:rsidRDefault="00F55714" w:rsidP="00130A4A">
      <w:r w:rsidRPr="00282925">
        <w:t>Dans le cadre de</w:t>
      </w:r>
      <w:r>
        <w:t xml:space="preserve"> la mise en oeuvre de</w:t>
      </w:r>
      <w:r w:rsidRPr="00282925">
        <w:t xml:space="preserve"> la Résolution 647</w:t>
      </w:r>
      <w:r>
        <w:t xml:space="preserve"> (</w:t>
      </w:r>
      <w:r w:rsidRPr="00282925">
        <w:t>CMR-07</w:t>
      </w:r>
      <w:r>
        <w:t>),</w:t>
      </w:r>
      <w:r w:rsidRPr="00282925">
        <w:t xml:space="preserve"> le BR </w:t>
      </w:r>
      <w:r w:rsidRPr="00282925">
        <w:rPr>
          <w:bCs/>
        </w:rPr>
        <w:t xml:space="preserve">a créé un site web: </w:t>
      </w:r>
      <w:hyperlink r:id="rId48" w:history="1">
        <w:r w:rsidR="00130A4A" w:rsidRPr="004D4C01">
          <w:rPr>
            <w:rStyle w:val="Hyperlink"/>
            <w:bCs/>
          </w:rPr>
          <w:t>http://www.itu.int/ITU-R/go/res647</w:t>
        </w:r>
      </w:hyperlink>
      <w:r w:rsidRPr="00282925">
        <w:rPr>
          <w:bCs/>
        </w:rPr>
        <w:t xml:space="preserve"> </w:t>
      </w:r>
      <w:r>
        <w:rPr>
          <w:bCs/>
        </w:rPr>
        <w:t>contenant le poi</w:t>
      </w:r>
      <w:r w:rsidR="00130A4A">
        <w:rPr>
          <w:bCs/>
        </w:rPr>
        <w:t>nt d'entrée aux bases de donnée</w:t>
      </w:r>
      <w:r w:rsidR="00F20E43">
        <w:rPr>
          <w:bCs/>
        </w:rPr>
        <w:t>s</w:t>
      </w:r>
      <w:r w:rsidR="00130A4A">
        <w:rPr>
          <w:bCs/>
        </w:rPr>
        <w:t xml:space="preserve"> relatives aux </w:t>
      </w:r>
      <w:r>
        <w:rPr>
          <w:bCs/>
        </w:rPr>
        <w:t xml:space="preserve">services de </w:t>
      </w:r>
      <w:r w:rsidR="00130A4A">
        <w:rPr>
          <w:bCs/>
        </w:rPr>
        <w:t>T</w:t>
      </w:r>
      <w:r>
        <w:rPr>
          <w:bCs/>
        </w:rPr>
        <w:t xml:space="preserve">erre et </w:t>
      </w:r>
      <w:r w:rsidR="00130A4A">
        <w:rPr>
          <w:bCs/>
        </w:rPr>
        <w:t>aux</w:t>
      </w:r>
      <w:r>
        <w:rPr>
          <w:bCs/>
        </w:rPr>
        <w:t xml:space="preserve"> services spatiaux</w:t>
      </w:r>
      <w:r w:rsidR="00130A4A">
        <w:rPr>
          <w:bCs/>
        </w:rPr>
        <w:t xml:space="preserve"> sur les </w:t>
      </w:r>
      <w:r>
        <w:rPr>
          <w:bCs/>
        </w:rPr>
        <w:t xml:space="preserve">fréquences et </w:t>
      </w:r>
      <w:r w:rsidR="00130A4A">
        <w:rPr>
          <w:bCs/>
        </w:rPr>
        <w:t>l</w:t>
      </w:r>
      <w:r>
        <w:rPr>
          <w:bCs/>
        </w:rPr>
        <w:t xml:space="preserve">es bandes de fréquences </w:t>
      </w:r>
      <w:r w:rsidR="00130A4A">
        <w:rPr>
          <w:bCs/>
        </w:rPr>
        <w:t xml:space="preserve">actuellement </w:t>
      </w:r>
      <w:r>
        <w:rPr>
          <w:bCs/>
        </w:rPr>
        <w:t>utilis</w:t>
      </w:r>
      <w:r w:rsidR="00130A4A">
        <w:rPr>
          <w:bCs/>
        </w:rPr>
        <w:t>ables</w:t>
      </w:r>
      <w:r>
        <w:rPr>
          <w:bCs/>
        </w:rPr>
        <w:t xml:space="preserve"> dans les s</w:t>
      </w:r>
      <w:r w:rsidR="00F0031C">
        <w:rPr>
          <w:bCs/>
        </w:rPr>
        <w:t>itu</w:t>
      </w:r>
      <w:r>
        <w:rPr>
          <w:bCs/>
        </w:rPr>
        <w:t>ations d'urgence, telle</w:t>
      </w:r>
      <w:r w:rsidR="00130A4A">
        <w:rPr>
          <w:bCs/>
        </w:rPr>
        <w:t>s</w:t>
      </w:r>
      <w:r>
        <w:rPr>
          <w:bCs/>
        </w:rPr>
        <w:t xml:space="preserve"> qu'elles sont soumises par les administrations responsables.</w:t>
      </w:r>
    </w:p>
    <w:p w:rsidR="00F55714" w:rsidRDefault="00F55714" w:rsidP="00130A4A">
      <w:pPr>
        <w:rPr>
          <w:bCs/>
        </w:rPr>
      </w:pPr>
      <w:r>
        <w:rPr>
          <w:bCs/>
        </w:rPr>
        <w:t>Il a été noté qu'à la date d'élaboration du présent rapport, le BR n'avait reçu des données que de la part des administrations suivantes</w:t>
      </w:r>
      <w:r w:rsidR="00F0031C">
        <w:rPr>
          <w:bCs/>
        </w:rPr>
        <w:t>:</w:t>
      </w:r>
      <w:r>
        <w:rPr>
          <w:bCs/>
        </w:rPr>
        <w:t xml:space="preserve"> Argentine, Arabie </w:t>
      </w:r>
      <w:r w:rsidR="00130A4A">
        <w:rPr>
          <w:bCs/>
        </w:rPr>
        <w:t>s</w:t>
      </w:r>
      <w:r>
        <w:rPr>
          <w:bCs/>
        </w:rPr>
        <w:t>aoudit</w:t>
      </w:r>
      <w:r w:rsidR="00A0336D">
        <w:rPr>
          <w:bCs/>
        </w:rPr>
        <w:t xml:space="preserve">e, Bahreïn, Myanmar, Brunéi Darussalam, </w:t>
      </w:r>
      <w:r>
        <w:rPr>
          <w:bCs/>
        </w:rPr>
        <w:t xml:space="preserve">Canada, Espagne, </w:t>
      </w:r>
      <w:r w:rsidR="00A0336D">
        <w:rPr>
          <w:bCs/>
        </w:rPr>
        <w:t>E</w:t>
      </w:r>
      <w:r>
        <w:rPr>
          <w:bCs/>
        </w:rPr>
        <w:t xml:space="preserve">gypte, Italie, Jordanie, Koweït, Malaisie, Nouvelle-Zélande, </w:t>
      </w:r>
      <w:r w:rsidR="00A0336D">
        <w:rPr>
          <w:bCs/>
        </w:rPr>
        <w:t>O</w:t>
      </w:r>
      <w:r>
        <w:rPr>
          <w:bCs/>
        </w:rPr>
        <w:t>man</w:t>
      </w:r>
      <w:r w:rsidR="00A0336D">
        <w:rPr>
          <w:bCs/>
        </w:rPr>
        <w:t>,</w:t>
      </w:r>
      <w:r>
        <w:rPr>
          <w:bCs/>
        </w:rPr>
        <w:t xml:space="preserve"> Seychelles, </w:t>
      </w:r>
      <w:r w:rsidR="00A0336D" w:rsidRPr="00A0336D">
        <w:rPr>
          <w:bCs/>
          <w:lang w:val="fr-CH"/>
        </w:rPr>
        <w:t>République arabe syrienne</w:t>
      </w:r>
      <w:r>
        <w:rPr>
          <w:bCs/>
        </w:rPr>
        <w:t>, Thaïlande,</w:t>
      </w:r>
      <w:r w:rsidR="00A0336D">
        <w:rPr>
          <w:bCs/>
        </w:rPr>
        <w:t xml:space="preserve"> EAU et</w:t>
      </w:r>
      <w:r>
        <w:rPr>
          <w:bCs/>
        </w:rPr>
        <w:t xml:space="preserve"> Ouzbékistan pour les services de </w:t>
      </w:r>
      <w:r w:rsidR="00980A1C">
        <w:rPr>
          <w:bCs/>
        </w:rPr>
        <w:t>T</w:t>
      </w:r>
      <w:r>
        <w:rPr>
          <w:bCs/>
        </w:rPr>
        <w:t>erre et Canada, République tchèque, Royaume-Uni, Malaisie et Roumanie pour les services spatiaux.</w:t>
      </w:r>
    </w:p>
    <w:p w:rsidR="00F55714" w:rsidRPr="00282925" w:rsidRDefault="00F55714" w:rsidP="00EF3CE5">
      <w:r w:rsidRPr="00282925">
        <w:t xml:space="preserve">Afin d'atteindre les objectifs de la Résolution 647 (CMR-07), les administrations </w:t>
      </w:r>
      <w:r>
        <w:t>sont vivement encouragées à communiquer</w:t>
      </w:r>
      <w:r w:rsidRPr="00282925">
        <w:t xml:space="preserve"> au BR, dès que possible, les fréquences disponibles et des renseignements sur leurs pratiques en matière de gestion du spectre à utiliser en cas de catastrophe ou </w:t>
      </w:r>
      <w:r>
        <w:t>de s</w:t>
      </w:r>
      <w:r w:rsidR="00F0031C">
        <w:t>itu</w:t>
      </w:r>
      <w:r>
        <w:t xml:space="preserve">ation </w:t>
      </w:r>
      <w:r w:rsidRPr="00282925">
        <w:t>d'urgence</w:t>
      </w:r>
      <w:r>
        <w:t xml:space="preserve"> (voir la </w:t>
      </w:r>
      <w:r w:rsidR="00EF3CE5">
        <w:t>L</w:t>
      </w:r>
      <w:r>
        <w:t>ettre circulaire CR/323 du 31 mars 2011).</w:t>
      </w:r>
    </w:p>
    <w:p w:rsidR="00F55714" w:rsidRPr="002F3D82" w:rsidRDefault="00F55714" w:rsidP="00130A4A">
      <w:pPr>
        <w:pStyle w:val="Heading2"/>
      </w:pPr>
      <w:r w:rsidRPr="002F3D82">
        <w:t>6.5</w:t>
      </w:r>
      <w:r w:rsidRPr="002F3D82">
        <w:tab/>
      </w:r>
      <w:r w:rsidR="00130A4A">
        <w:t>E</w:t>
      </w:r>
      <w:r>
        <w:t>laboration</w:t>
      </w:r>
      <w:r w:rsidRPr="002F3D82">
        <w:t xml:space="preserve"> de logiciels relatifs à la conférence</w:t>
      </w:r>
    </w:p>
    <w:p w:rsidR="00F55714" w:rsidRPr="00F55714" w:rsidRDefault="00EF3CE5" w:rsidP="00130A4A">
      <w:pPr>
        <w:rPr>
          <w:lang w:val="fr-CH"/>
        </w:rPr>
      </w:pPr>
      <w:r w:rsidRPr="00DC4165">
        <w:rPr>
          <w:rFonts w:asciiTheme="majorBidi" w:hAnsiTheme="majorBidi" w:cstheme="majorBidi"/>
          <w:i/>
          <w:iCs/>
          <w:szCs w:val="24"/>
        </w:rPr>
        <w:t>S</w:t>
      </w:r>
      <w:r w:rsidR="00F55714" w:rsidRPr="00DC4165">
        <w:rPr>
          <w:rFonts w:asciiTheme="majorBidi" w:hAnsiTheme="majorBidi" w:cstheme="majorBidi"/>
          <w:i/>
          <w:iCs/>
          <w:szCs w:val="24"/>
        </w:rPr>
        <w:t>ervices spatiaux</w:t>
      </w:r>
      <w:r w:rsidR="00F0031C">
        <w:rPr>
          <w:rFonts w:asciiTheme="majorBidi" w:hAnsiTheme="majorBidi" w:cstheme="majorBidi"/>
          <w:i/>
          <w:iCs/>
          <w:szCs w:val="24"/>
        </w:rPr>
        <w:t>:</w:t>
      </w:r>
      <w:r w:rsidR="00F55714" w:rsidRPr="00DC4165">
        <w:rPr>
          <w:rFonts w:asciiTheme="majorBidi" w:hAnsiTheme="majorBidi" w:cstheme="majorBidi"/>
          <w:szCs w:val="24"/>
        </w:rPr>
        <w:t xml:space="preserve"> les </w:t>
      </w:r>
      <w:r w:rsidRPr="00DC4165">
        <w:rPr>
          <w:rFonts w:asciiTheme="majorBidi" w:hAnsiTheme="majorBidi" w:cstheme="majorBidi"/>
          <w:szCs w:val="24"/>
        </w:rPr>
        <w:t>A</w:t>
      </w:r>
      <w:r w:rsidR="00F55714" w:rsidRPr="00DC4165">
        <w:rPr>
          <w:rFonts w:asciiTheme="majorBidi" w:hAnsiTheme="majorBidi" w:cstheme="majorBidi"/>
          <w:szCs w:val="24"/>
        </w:rPr>
        <w:t>rticles 6 et 8 de l'</w:t>
      </w:r>
      <w:r w:rsidRPr="00DC4165">
        <w:rPr>
          <w:rFonts w:asciiTheme="majorBidi" w:hAnsiTheme="majorBidi" w:cstheme="majorBidi"/>
          <w:szCs w:val="24"/>
        </w:rPr>
        <w:t>A</w:t>
      </w:r>
      <w:r w:rsidR="00F55714" w:rsidRPr="00DC4165">
        <w:rPr>
          <w:rFonts w:asciiTheme="majorBidi" w:hAnsiTheme="majorBidi" w:cstheme="majorBidi"/>
          <w:szCs w:val="24"/>
        </w:rPr>
        <w:t xml:space="preserve">ppendice 30B ont été </w:t>
      </w:r>
      <w:r>
        <w:rPr>
          <w:rFonts w:asciiTheme="majorBidi" w:hAnsiTheme="majorBidi" w:cstheme="majorBidi"/>
          <w:szCs w:val="24"/>
        </w:rPr>
        <w:t>inté</w:t>
      </w:r>
      <w:r w:rsidR="00F55714" w:rsidRPr="00DC4165">
        <w:rPr>
          <w:rFonts w:asciiTheme="majorBidi" w:hAnsiTheme="majorBidi" w:cstheme="majorBidi"/>
          <w:szCs w:val="24"/>
        </w:rPr>
        <w:t>g</w:t>
      </w:r>
      <w:r>
        <w:rPr>
          <w:rFonts w:asciiTheme="majorBidi" w:hAnsiTheme="majorBidi" w:cstheme="majorBidi"/>
          <w:szCs w:val="24"/>
        </w:rPr>
        <w:t>r</w:t>
      </w:r>
      <w:r w:rsidR="00F55714" w:rsidRPr="00DC4165">
        <w:rPr>
          <w:rFonts w:asciiTheme="majorBidi" w:hAnsiTheme="majorBidi" w:cstheme="majorBidi"/>
          <w:szCs w:val="24"/>
        </w:rPr>
        <w:t>és dans la base de donnée</w:t>
      </w:r>
      <w:r>
        <w:rPr>
          <w:rFonts w:asciiTheme="majorBidi" w:hAnsiTheme="majorBidi" w:cstheme="majorBidi"/>
          <w:szCs w:val="24"/>
        </w:rPr>
        <w:t>s</w:t>
      </w:r>
      <w:r w:rsidR="00F0031C">
        <w:rPr>
          <w:rFonts w:asciiTheme="majorBidi" w:hAnsiTheme="majorBidi" w:cstheme="majorBidi"/>
          <w:szCs w:val="24"/>
        </w:rPr>
        <w:t xml:space="preserve"> </w:t>
      </w:r>
      <w:r w:rsidR="00FC5B70">
        <w:rPr>
          <w:rFonts w:asciiTheme="majorBidi" w:hAnsiTheme="majorBidi" w:cstheme="majorBidi"/>
          <w:szCs w:val="24"/>
        </w:rPr>
        <w:t>du </w:t>
      </w:r>
      <w:r w:rsidR="00F55714" w:rsidRPr="00DC4165">
        <w:rPr>
          <w:rFonts w:asciiTheme="majorBidi" w:hAnsiTheme="majorBidi" w:cstheme="majorBidi"/>
          <w:szCs w:val="24"/>
        </w:rPr>
        <w:t xml:space="preserve">SNS </w:t>
      </w:r>
      <w:r w:rsidR="00F55714">
        <w:rPr>
          <w:rFonts w:asciiTheme="majorBidi" w:hAnsiTheme="majorBidi" w:cstheme="majorBidi"/>
          <w:szCs w:val="24"/>
        </w:rPr>
        <w:t>et les requêtes du système des réseaux à satellite en ligne (SNS en ligne) ont été adapté</w:t>
      </w:r>
      <w:r>
        <w:rPr>
          <w:rFonts w:asciiTheme="majorBidi" w:hAnsiTheme="majorBidi" w:cstheme="majorBidi"/>
          <w:szCs w:val="24"/>
        </w:rPr>
        <w:t>es</w:t>
      </w:r>
      <w:r w:rsidR="00F55714">
        <w:rPr>
          <w:rFonts w:asciiTheme="majorBidi" w:hAnsiTheme="majorBidi" w:cstheme="majorBidi"/>
          <w:szCs w:val="24"/>
        </w:rPr>
        <w:t xml:space="preserve"> pour que ces données puissent être </w:t>
      </w:r>
      <w:r>
        <w:rPr>
          <w:rFonts w:asciiTheme="majorBidi" w:hAnsiTheme="majorBidi" w:cstheme="majorBidi"/>
          <w:szCs w:val="24"/>
        </w:rPr>
        <w:t xml:space="preserve">accessibles </w:t>
      </w:r>
      <w:r w:rsidR="00F55714">
        <w:rPr>
          <w:rFonts w:asciiTheme="majorBidi" w:hAnsiTheme="majorBidi" w:cstheme="majorBidi"/>
          <w:szCs w:val="24"/>
        </w:rPr>
        <w:t xml:space="preserve">via le site </w:t>
      </w:r>
      <w:r w:rsidR="00144613">
        <w:rPr>
          <w:rFonts w:asciiTheme="majorBidi" w:hAnsiTheme="majorBidi" w:cstheme="majorBidi"/>
          <w:szCs w:val="24"/>
        </w:rPr>
        <w:t>web</w:t>
      </w:r>
      <w:r w:rsidR="00F55714">
        <w:rPr>
          <w:rFonts w:asciiTheme="majorBidi" w:hAnsiTheme="majorBidi" w:cstheme="majorBidi"/>
          <w:szCs w:val="24"/>
        </w:rPr>
        <w:t xml:space="preserve"> du SNS en ligne à l'adresse</w:t>
      </w:r>
      <w:r w:rsidR="00F55714" w:rsidRPr="00DC4165">
        <w:rPr>
          <w:rFonts w:asciiTheme="majorBidi" w:hAnsiTheme="majorBidi" w:cstheme="majorBidi"/>
          <w:szCs w:val="24"/>
        </w:rPr>
        <w:t>:</w:t>
      </w:r>
      <w:r w:rsidR="00F0031C">
        <w:rPr>
          <w:rFonts w:asciiTheme="majorBidi" w:hAnsiTheme="majorBidi" w:cstheme="majorBidi"/>
          <w:szCs w:val="24"/>
        </w:rPr>
        <w:t xml:space="preserve"> </w:t>
      </w:r>
      <w:hyperlink r:id="rId49" w:history="1">
        <w:r w:rsidR="00130A4A" w:rsidRPr="004D4C01">
          <w:rPr>
            <w:rStyle w:val="Hyperlink"/>
            <w:rFonts w:asciiTheme="majorBidi" w:hAnsiTheme="majorBidi" w:cstheme="majorBidi"/>
            <w:szCs w:val="24"/>
          </w:rPr>
          <w:t>http://www.itu.int/sns/plans.html</w:t>
        </w:r>
      </w:hyperlink>
      <w:r w:rsidR="00130A4A" w:rsidRPr="00DC4165">
        <w:rPr>
          <w:rFonts w:asciiTheme="majorBidi" w:hAnsiTheme="majorBidi" w:cstheme="majorBidi"/>
          <w:szCs w:val="24"/>
        </w:rPr>
        <w:t xml:space="preserve"> </w:t>
      </w:r>
      <w:r w:rsidR="00F55714" w:rsidRPr="00DC4165">
        <w:rPr>
          <w:rFonts w:asciiTheme="majorBidi" w:hAnsiTheme="majorBidi" w:cstheme="majorBidi"/>
          <w:szCs w:val="24"/>
        </w:rPr>
        <w:t>(</w:t>
      </w:r>
      <w:r w:rsidR="00F55714">
        <w:rPr>
          <w:rFonts w:asciiTheme="majorBidi" w:hAnsiTheme="majorBidi" w:cstheme="majorBidi"/>
          <w:szCs w:val="24"/>
        </w:rPr>
        <w:t xml:space="preserve">voir la </w:t>
      </w:r>
      <w:r w:rsidR="00FC4EA3">
        <w:rPr>
          <w:rFonts w:asciiTheme="majorBidi" w:hAnsiTheme="majorBidi" w:cstheme="majorBidi"/>
          <w:szCs w:val="24"/>
        </w:rPr>
        <w:t>L</w:t>
      </w:r>
      <w:r w:rsidR="00F55714">
        <w:rPr>
          <w:rFonts w:asciiTheme="majorBidi" w:hAnsiTheme="majorBidi" w:cstheme="majorBidi"/>
          <w:szCs w:val="24"/>
        </w:rPr>
        <w:t xml:space="preserve">ettre circulaire </w:t>
      </w:r>
      <w:hyperlink r:id="rId50" w:history="1">
        <w:r w:rsidRPr="00EF3CE5">
          <w:rPr>
            <w:rStyle w:val="Hyperlink"/>
            <w:rFonts w:asciiTheme="majorBidi" w:hAnsiTheme="majorBidi" w:cstheme="majorBidi"/>
            <w:szCs w:val="24"/>
          </w:rPr>
          <w:t>CR/321</w:t>
        </w:r>
      </w:hyperlink>
      <w:r>
        <w:rPr>
          <w:rFonts w:asciiTheme="majorBidi" w:hAnsiTheme="majorBidi" w:cstheme="majorBidi"/>
          <w:szCs w:val="24"/>
        </w:rPr>
        <w:t xml:space="preserve"> </w:t>
      </w:r>
      <w:r w:rsidR="00F55714">
        <w:rPr>
          <w:rFonts w:asciiTheme="majorBidi" w:hAnsiTheme="majorBidi" w:cstheme="majorBidi"/>
          <w:szCs w:val="24"/>
        </w:rPr>
        <w:t xml:space="preserve">du 11 décembre 2010). </w:t>
      </w:r>
      <w:r w:rsidR="00F55714" w:rsidRPr="00DC4165">
        <w:rPr>
          <w:rFonts w:asciiTheme="majorBidi" w:hAnsiTheme="majorBidi" w:cstheme="majorBidi"/>
          <w:szCs w:val="24"/>
        </w:rPr>
        <w:t>Une nouvelle application intranet a été mise au point pour permettre la saisie des demandes d'exclusion</w:t>
      </w:r>
      <w:r w:rsidR="00F55714">
        <w:rPr>
          <w:rFonts w:asciiTheme="majorBidi" w:hAnsiTheme="majorBidi" w:cstheme="majorBidi"/>
          <w:szCs w:val="24"/>
        </w:rPr>
        <w:t xml:space="preserve"> de la zone de service reçu</w:t>
      </w:r>
      <w:r>
        <w:rPr>
          <w:rFonts w:asciiTheme="majorBidi" w:hAnsiTheme="majorBidi" w:cstheme="majorBidi"/>
          <w:szCs w:val="24"/>
        </w:rPr>
        <w:t>es</w:t>
      </w:r>
      <w:r w:rsidR="00F55714">
        <w:rPr>
          <w:rFonts w:asciiTheme="majorBidi" w:hAnsiTheme="majorBidi" w:cstheme="majorBidi"/>
          <w:szCs w:val="24"/>
        </w:rPr>
        <w:t xml:space="preserve"> conform</w:t>
      </w:r>
      <w:r>
        <w:rPr>
          <w:rFonts w:asciiTheme="majorBidi" w:hAnsiTheme="majorBidi" w:cstheme="majorBidi"/>
          <w:szCs w:val="24"/>
        </w:rPr>
        <w:t xml:space="preserve">ément au numéro </w:t>
      </w:r>
      <w:r w:rsidRPr="00130A4A">
        <w:rPr>
          <w:rFonts w:asciiTheme="majorBidi" w:hAnsiTheme="majorBidi" w:cstheme="majorBidi"/>
          <w:b/>
          <w:bCs/>
          <w:szCs w:val="24"/>
        </w:rPr>
        <w:t>23.</w:t>
      </w:r>
      <w:r w:rsidR="00F55714" w:rsidRPr="00130A4A">
        <w:rPr>
          <w:rFonts w:asciiTheme="majorBidi" w:hAnsiTheme="majorBidi" w:cstheme="majorBidi"/>
          <w:b/>
          <w:bCs/>
          <w:szCs w:val="24"/>
        </w:rPr>
        <w:t>13</w:t>
      </w:r>
      <w:r w:rsidR="00F55714" w:rsidRPr="00DC4165">
        <w:rPr>
          <w:rFonts w:asciiTheme="majorBidi" w:hAnsiTheme="majorBidi" w:cstheme="majorBidi"/>
          <w:szCs w:val="24"/>
        </w:rPr>
        <w:t xml:space="preserve"> du RR</w:t>
      </w:r>
      <w:r w:rsidR="00F0031C">
        <w:rPr>
          <w:rFonts w:asciiTheme="majorBidi" w:hAnsiTheme="majorBidi" w:cstheme="majorBidi"/>
          <w:szCs w:val="24"/>
        </w:rPr>
        <w:t>;</w:t>
      </w:r>
      <w:r w:rsidR="00F55714" w:rsidRPr="00DC4165">
        <w:rPr>
          <w:rFonts w:asciiTheme="majorBidi" w:hAnsiTheme="majorBidi" w:cstheme="majorBidi"/>
          <w:szCs w:val="24"/>
        </w:rPr>
        <w:t xml:space="preserve"> de nouvelles requêtes ont été créées dans la</w:t>
      </w:r>
      <w:r w:rsidR="00F55714">
        <w:rPr>
          <w:rFonts w:asciiTheme="majorBidi" w:hAnsiTheme="majorBidi" w:cstheme="majorBidi"/>
          <w:b/>
          <w:bCs/>
          <w:color w:val="000000"/>
          <w:szCs w:val="24"/>
        </w:rPr>
        <w:t xml:space="preserve"> </w:t>
      </w:r>
      <w:r w:rsidRPr="00130A4A">
        <w:rPr>
          <w:rFonts w:asciiTheme="majorBidi" w:hAnsiTheme="majorBidi" w:cstheme="majorBidi"/>
          <w:b/>
          <w:bCs/>
          <w:color w:val="000000"/>
          <w:szCs w:val="24"/>
        </w:rPr>
        <w:t>L</w:t>
      </w:r>
      <w:r w:rsidR="00F55714" w:rsidRPr="00130A4A">
        <w:rPr>
          <w:rFonts w:asciiTheme="majorBidi" w:hAnsiTheme="majorBidi" w:cstheme="majorBidi"/>
          <w:b/>
          <w:bCs/>
          <w:color w:val="000000"/>
          <w:szCs w:val="24"/>
        </w:rPr>
        <w:t>iste des réseaux à satellite (SNL)</w:t>
      </w:r>
      <w:r w:rsidR="00F55714">
        <w:rPr>
          <w:rFonts w:asciiTheme="majorBidi" w:hAnsiTheme="majorBidi" w:cstheme="majorBidi"/>
          <w:szCs w:val="24"/>
        </w:rPr>
        <w:t xml:space="preserve">, </w:t>
      </w:r>
      <w:r>
        <w:rPr>
          <w:rFonts w:asciiTheme="majorBidi" w:hAnsiTheme="majorBidi" w:cstheme="majorBidi"/>
          <w:szCs w:val="24"/>
        </w:rPr>
        <w:t>a</w:t>
      </w:r>
      <w:r w:rsidR="00F55714">
        <w:rPr>
          <w:rFonts w:asciiTheme="majorBidi" w:hAnsiTheme="majorBidi" w:cstheme="majorBidi"/>
          <w:szCs w:val="24"/>
        </w:rPr>
        <w:t xml:space="preserve">fin d'afficher les </w:t>
      </w:r>
      <w:r w:rsidR="00F55714" w:rsidRPr="00DC4165">
        <w:rPr>
          <w:rFonts w:asciiTheme="majorBidi" w:hAnsiTheme="majorBidi" w:cstheme="majorBidi"/>
          <w:szCs w:val="24"/>
        </w:rPr>
        <w:t>demandes d'exclusion</w:t>
      </w:r>
      <w:r w:rsidR="00F55714">
        <w:rPr>
          <w:rFonts w:asciiTheme="majorBidi" w:hAnsiTheme="majorBidi" w:cstheme="majorBidi"/>
          <w:szCs w:val="24"/>
        </w:rPr>
        <w:t xml:space="preserve"> de la zone de service conformément au numéro </w:t>
      </w:r>
      <w:r w:rsidR="00F55714" w:rsidRPr="00130A4A">
        <w:rPr>
          <w:rFonts w:asciiTheme="majorBidi" w:hAnsiTheme="majorBidi" w:cstheme="majorBidi"/>
          <w:b/>
          <w:bCs/>
          <w:szCs w:val="24"/>
        </w:rPr>
        <w:t>23.</w:t>
      </w:r>
      <w:r w:rsidR="00F55714" w:rsidRPr="00130A4A">
        <w:rPr>
          <w:rFonts w:asciiTheme="majorBidi" w:hAnsiTheme="majorBidi" w:cstheme="majorBidi"/>
          <w:b/>
          <w:bCs/>
          <w:szCs w:val="24"/>
          <w:lang w:val="fr-CH"/>
        </w:rPr>
        <w:t>13</w:t>
      </w:r>
      <w:r w:rsidR="00F55714" w:rsidRPr="00F55714">
        <w:rPr>
          <w:rFonts w:asciiTheme="majorBidi" w:hAnsiTheme="majorBidi" w:cstheme="majorBidi"/>
          <w:szCs w:val="24"/>
          <w:lang w:val="fr-CH"/>
        </w:rPr>
        <w:t xml:space="preserve"> du RR</w:t>
      </w:r>
      <w:r w:rsidR="00130A4A">
        <w:rPr>
          <w:rFonts w:asciiTheme="majorBidi" w:hAnsiTheme="majorBidi" w:cstheme="majorBidi"/>
          <w:szCs w:val="24"/>
          <w:lang w:val="fr-CH"/>
        </w:rPr>
        <w:t>.</w:t>
      </w:r>
    </w:p>
    <w:p w:rsidR="00F55714" w:rsidRPr="00DC232B" w:rsidRDefault="00EF3CE5" w:rsidP="009C49C6">
      <w:pPr>
        <w:spacing w:before="240"/>
      </w:pPr>
      <w:r w:rsidRPr="00DC4165">
        <w:rPr>
          <w:rFonts w:asciiTheme="majorBidi" w:hAnsiTheme="majorBidi" w:cstheme="majorBidi"/>
          <w:i/>
          <w:iCs/>
          <w:szCs w:val="24"/>
        </w:rPr>
        <w:t>S</w:t>
      </w:r>
      <w:r w:rsidR="00F55714" w:rsidRPr="00DC4165">
        <w:rPr>
          <w:rFonts w:asciiTheme="majorBidi" w:hAnsiTheme="majorBidi" w:cstheme="majorBidi"/>
          <w:i/>
          <w:iCs/>
          <w:szCs w:val="24"/>
        </w:rPr>
        <w:t xml:space="preserve">ervices de </w:t>
      </w:r>
      <w:r w:rsidRPr="00DC4165">
        <w:rPr>
          <w:rFonts w:asciiTheme="majorBidi" w:hAnsiTheme="majorBidi" w:cstheme="majorBidi"/>
          <w:i/>
          <w:iCs/>
          <w:szCs w:val="24"/>
        </w:rPr>
        <w:t>T</w:t>
      </w:r>
      <w:r w:rsidR="00F55714" w:rsidRPr="00DC4165">
        <w:rPr>
          <w:rFonts w:asciiTheme="majorBidi" w:hAnsiTheme="majorBidi" w:cstheme="majorBidi"/>
          <w:i/>
          <w:iCs/>
          <w:szCs w:val="24"/>
        </w:rPr>
        <w:t>erre</w:t>
      </w:r>
      <w:r w:rsidR="00F0031C">
        <w:rPr>
          <w:rFonts w:asciiTheme="majorBidi" w:hAnsiTheme="majorBidi" w:cstheme="majorBidi"/>
          <w:i/>
          <w:iCs/>
          <w:szCs w:val="24"/>
        </w:rPr>
        <w:t>:</w:t>
      </w:r>
      <w:r w:rsidR="00F55714" w:rsidRPr="00DC4165">
        <w:t xml:space="preserve"> l'élaboration et l'intégration dans le</w:t>
      </w:r>
      <w:r w:rsidR="00F55714">
        <w:t xml:space="preserve"> système </w:t>
      </w:r>
      <w:r w:rsidR="00F55714" w:rsidRPr="00DC4165">
        <w:rPr>
          <w:b/>
          <w:bCs/>
          <w:i/>
          <w:iCs/>
        </w:rPr>
        <w:t>TerRaSys</w:t>
      </w:r>
      <w:r w:rsidR="00F55714" w:rsidRPr="00DC4165">
        <w:t xml:space="preserve"> de la partie de l'</w:t>
      </w:r>
      <w:r w:rsidR="00E64450" w:rsidRPr="00DC4165">
        <w:t>A</w:t>
      </w:r>
      <w:r w:rsidR="00FC5B70">
        <w:t>ccord </w:t>
      </w:r>
      <w:r w:rsidR="00F55714" w:rsidRPr="00DC4165">
        <w:rPr>
          <w:b/>
          <w:bCs/>
          <w:i/>
          <w:iCs/>
        </w:rPr>
        <w:t>GE06</w:t>
      </w:r>
      <w:r w:rsidR="00F55714" w:rsidRPr="00DB3CFA">
        <w:t xml:space="preserve"> relative aux notifications au titre de l'article 5 ont été achevées</w:t>
      </w:r>
      <w:r w:rsidR="00F55714" w:rsidRPr="00E64450">
        <w:rPr>
          <w:i/>
          <w:iCs/>
        </w:rPr>
        <w:t>.</w:t>
      </w:r>
      <w:r w:rsidR="00F55714" w:rsidRPr="00DC4165">
        <w:t xml:space="preserve"> </w:t>
      </w:r>
      <w:r w:rsidR="00F55714" w:rsidRPr="00DC232B">
        <w:t xml:space="preserve">La mise en oeuvre de ce système est désormais stable </w:t>
      </w:r>
      <w:r w:rsidR="00F55714">
        <w:t xml:space="preserve">et comprend l'examen technique associé et les modules de publication de la </w:t>
      </w:r>
      <w:r w:rsidR="00F55714" w:rsidRPr="00DC232B">
        <w:t>BR IFIC.</w:t>
      </w:r>
      <w:r w:rsidR="009C49C6">
        <w:t xml:space="preserve"> </w:t>
      </w:r>
      <w:r w:rsidR="00F55714">
        <w:t>Des</w:t>
      </w:r>
      <w:r w:rsidR="00F55714" w:rsidRPr="00DC232B">
        <w:t xml:space="preserve"> modifications </w:t>
      </w:r>
      <w:r w:rsidR="00F55714">
        <w:t xml:space="preserve">ont été </w:t>
      </w:r>
      <w:r w:rsidR="00F55714" w:rsidRPr="00DC232B">
        <w:t>apportée</w:t>
      </w:r>
      <w:r w:rsidR="009C49C6">
        <w:t>s à la base de données relative</w:t>
      </w:r>
      <w:r w:rsidR="00F55714" w:rsidRPr="00DC232B">
        <w:t xml:space="preserve"> </w:t>
      </w:r>
      <w:r w:rsidR="00F55714">
        <w:t xml:space="preserve">aux services de </w:t>
      </w:r>
      <w:r w:rsidR="009C49C6">
        <w:t>T</w:t>
      </w:r>
      <w:r w:rsidR="00F55714">
        <w:t>erre par suite</w:t>
      </w:r>
      <w:r w:rsidR="00F0031C">
        <w:t xml:space="preserve"> </w:t>
      </w:r>
      <w:r w:rsidR="00F55714">
        <w:t>des remaniements apportés à l'</w:t>
      </w:r>
      <w:r w:rsidR="00E64450">
        <w:t>Appendice </w:t>
      </w:r>
      <w:r w:rsidR="00F55714">
        <w:t xml:space="preserve">4 du RR </w:t>
      </w:r>
      <w:r w:rsidR="00F55714" w:rsidRPr="00DC232B">
        <w:t>(R</w:t>
      </w:r>
      <w:r w:rsidR="00E64450">
        <w:t>é</w:t>
      </w:r>
      <w:r w:rsidR="00F55714" w:rsidRPr="00DC232B">
        <w:t>v</w:t>
      </w:r>
      <w:r w:rsidR="00E64450">
        <w:t>.</w:t>
      </w:r>
      <w:r w:rsidR="00F55714">
        <w:t>CMR</w:t>
      </w:r>
      <w:r w:rsidR="009C49C6">
        <w:noBreakHyphen/>
      </w:r>
      <w:r w:rsidR="00F55714" w:rsidRPr="00DC232B">
        <w:t xml:space="preserve">07). Tous les autres modules </w:t>
      </w:r>
      <w:r w:rsidR="00F55714" w:rsidRPr="00DC232B">
        <w:rPr>
          <w:b/>
          <w:bCs/>
          <w:i/>
          <w:iCs/>
        </w:rPr>
        <w:t>TerRaSys</w:t>
      </w:r>
      <w:r w:rsidR="00F55714" w:rsidRPr="00E64450">
        <w:t xml:space="preserve"> </w:t>
      </w:r>
      <w:r w:rsidR="009C49C6">
        <w:t>concernant la saisie et la validation des notifications</w:t>
      </w:r>
      <w:r w:rsidR="00130A4A">
        <w:t xml:space="preserve"> électroniques</w:t>
      </w:r>
      <w:r w:rsidR="009C49C6">
        <w:t xml:space="preserve"> </w:t>
      </w:r>
      <w:r w:rsidR="00F55714" w:rsidRPr="00DC232B">
        <w:t>(</w:t>
      </w:r>
      <w:r w:rsidR="00F55714" w:rsidRPr="00DC232B">
        <w:rPr>
          <w:b/>
          <w:bCs/>
          <w:i/>
          <w:iCs/>
        </w:rPr>
        <w:t>TerRaNotices</w:t>
      </w:r>
      <w:r w:rsidR="00F55714" w:rsidRPr="00DC232B">
        <w:t xml:space="preserve"> </w:t>
      </w:r>
      <w:r w:rsidR="00F55714">
        <w:t xml:space="preserve">et </w:t>
      </w:r>
      <w:r w:rsidR="00F55714" w:rsidRPr="00DC232B">
        <w:rPr>
          <w:b/>
          <w:bCs/>
          <w:i/>
          <w:iCs/>
        </w:rPr>
        <w:t>TerRaNV</w:t>
      </w:r>
      <w:r w:rsidR="00F55714" w:rsidRPr="00DC232B">
        <w:t xml:space="preserve">) </w:t>
      </w:r>
      <w:r w:rsidR="00F55714">
        <w:t>ont été harmonisé</w:t>
      </w:r>
      <w:r w:rsidR="009C49C6">
        <w:t>s en conséquence et mis</w:t>
      </w:r>
      <w:r w:rsidR="00F55714">
        <w:t xml:space="preserve"> à la disposition des administrations dans la </w:t>
      </w:r>
      <w:r w:rsidR="009C49C6">
        <w:t>C</w:t>
      </w:r>
      <w:r w:rsidR="00F55714">
        <w:t>irculaire</w:t>
      </w:r>
      <w:r w:rsidR="00F55714" w:rsidRPr="00DC232B">
        <w:t xml:space="preserve"> BR IFIC</w:t>
      </w:r>
      <w:r w:rsidR="00F55714">
        <w:t xml:space="preserve"> pour les services de </w:t>
      </w:r>
      <w:r w:rsidR="00E64450">
        <w:t>T</w:t>
      </w:r>
      <w:r w:rsidR="00F55714">
        <w:t>erre</w:t>
      </w:r>
      <w:r w:rsidR="00F55714" w:rsidRPr="00DC232B">
        <w:t xml:space="preserve">. </w:t>
      </w:r>
    </w:p>
    <w:p w:rsidR="00F55714" w:rsidRPr="00430CCD" w:rsidRDefault="00FC4EA3" w:rsidP="00FC4EA3">
      <w:pPr>
        <w:pStyle w:val="Heading1"/>
        <w:rPr>
          <w:lang w:eastAsia="zh-CN"/>
        </w:rPr>
      </w:pPr>
      <w:r>
        <w:rPr>
          <w:lang w:eastAsia="zh-CN"/>
        </w:rPr>
        <w:t>7</w:t>
      </w:r>
      <w:r w:rsidR="00F55714" w:rsidRPr="00430CCD">
        <w:rPr>
          <w:lang w:eastAsia="zh-CN"/>
        </w:rPr>
        <w:tab/>
        <w:t>Planification</w:t>
      </w:r>
      <w:r w:rsidR="00015B0A">
        <w:t xml:space="preserve"> opérationnelle</w:t>
      </w:r>
    </w:p>
    <w:p w:rsidR="00F55714" w:rsidRPr="00430CCD" w:rsidRDefault="00F55714" w:rsidP="00130A4A">
      <w:r w:rsidRPr="00430CCD">
        <w:t>Le projet de Plan opérationnel pour la période 201</w:t>
      </w:r>
      <w:r>
        <w:t>2</w:t>
      </w:r>
      <w:r w:rsidRPr="00430CCD">
        <w:t>-201</w:t>
      </w:r>
      <w:r>
        <w:t>5</w:t>
      </w:r>
      <w:r w:rsidRPr="00430CCD">
        <w:t xml:space="preserve"> est disponible à l'adresse: </w:t>
      </w:r>
      <w:hyperlink r:id="rId51" w:tgtFrame="_blank" w:history="1">
        <w:r w:rsidR="00130A4A" w:rsidRPr="004D4C01">
          <w:rPr>
            <w:rStyle w:val="Hyperlink"/>
            <w:szCs w:val="24"/>
          </w:rPr>
          <w:t>http://www.itu.int/ITU-R/go/operational-plans/</w:t>
        </w:r>
      </w:hyperlink>
      <w:r w:rsidR="00130A4A" w:rsidRPr="00130A4A">
        <w:rPr>
          <w:rStyle w:val="Hyperlink"/>
          <w:szCs w:val="24"/>
          <w:u w:val="none"/>
        </w:rPr>
        <w:t xml:space="preserve"> </w:t>
      </w:r>
      <w:r w:rsidRPr="00430CCD">
        <w:t>à l'intention du GCR. Ce plan est structuré en fonction des résultats de manière à assurer un lien complet avec le budget et d'autres outils financiers de l'Union. Il porte également sur les aspects stratégiques de l'UIT</w:t>
      </w:r>
      <w:r w:rsidRPr="00430CCD">
        <w:noBreakHyphen/>
        <w:t xml:space="preserve">R et contient des liens appropriés avec le </w:t>
      </w:r>
      <w:r w:rsidR="00130A4A">
        <w:t>P</w:t>
      </w:r>
      <w:r w:rsidRPr="00430CCD">
        <w:t>lan stratégique de l'UIT.</w:t>
      </w:r>
    </w:p>
    <w:p w:rsidR="00F55714" w:rsidRPr="00430CCD" w:rsidRDefault="00F55714" w:rsidP="00130A4A">
      <w:r>
        <w:t>Le rapport d'activité pour 2010</w:t>
      </w:r>
      <w:r w:rsidRPr="00430CCD">
        <w:t xml:space="preserve"> est disponible à l'adresse</w:t>
      </w:r>
      <w:r w:rsidR="00FC4EA3">
        <w:t>:</w:t>
      </w:r>
      <w:r w:rsidR="00130A4A" w:rsidRPr="00130A4A">
        <w:t xml:space="preserve"> </w:t>
      </w:r>
      <w:hyperlink r:id="rId52" w:history="1">
        <w:r w:rsidR="00130A4A" w:rsidRPr="004D4C01">
          <w:rPr>
            <w:rStyle w:val="Hyperlink"/>
          </w:rPr>
          <w:t>http://www.itu.int/ITU-R/go/performance-reports/</w:t>
        </w:r>
      </w:hyperlink>
      <w:r w:rsidRPr="00430CCD">
        <w:t xml:space="preserve">. Il a pour but de donner des informations pertinentes concernant la mise en oeuvre des produits et activités prévus dans le Plan </w:t>
      </w:r>
      <w:r>
        <w:t>opérationnel de l'UIT</w:t>
      </w:r>
      <w:r>
        <w:noBreakHyphen/>
        <w:t>R pour 2010</w:t>
      </w:r>
      <w:r w:rsidRPr="00430CCD">
        <w:t>. Le rapport d'activité contient une comparaison entre les résultats obtenus et les résultats escomptés, avec les indicateurs fondamentaux de performance correspondants. Ceux-ci sont indiqués pour chaque objectif principal et dans chaque produit pertinent dans le document.</w:t>
      </w:r>
    </w:p>
    <w:p w:rsidR="00F55714" w:rsidRPr="00AE4515" w:rsidRDefault="00F55714" w:rsidP="00FC4EA3">
      <w:pPr>
        <w:pStyle w:val="Heading1"/>
      </w:pPr>
      <w:r>
        <w:t>8</w:t>
      </w:r>
      <w:r w:rsidR="00FC4EA3">
        <w:tab/>
        <w:t>Séminaires et ateliers</w:t>
      </w:r>
    </w:p>
    <w:p w:rsidR="00D1596F" w:rsidRPr="00D1596F" w:rsidRDefault="00F55714" w:rsidP="00130A4A">
      <w:pPr>
        <w:rPr>
          <w:lang w:eastAsia="zh-CN"/>
        </w:rPr>
      </w:pPr>
      <w:r w:rsidRPr="00AE4515">
        <w:t xml:space="preserve">La liste complète des séminaires et ateliers organisés directement par l'UIT-R ou en coopération avec d'autres Secteurs </w:t>
      </w:r>
      <w:r w:rsidR="00D1596F">
        <w:t xml:space="preserve">ou entités </w:t>
      </w:r>
      <w:r w:rsidR="00130A4A">
        <w:t xml:space="preserve">régionales </w:t>
      </w:r>
      <w:r w:rsidR="00D1596F">
        <w:t xml:space="preserve">ou nationales </w:t>
      </w:r>
      <w:r w:rsidRPr="00AE4515">
        <w:t>est accessible à l'adresse:</w:t>
      </w:r>
      <w:r w:rsidR="00130A4A" w:rsidRPr="00130A4A">
        <w:t xml:space="preserve"> </w:t>
      </w:r>
      <w:hyperlink r:id="rId53" w:history="1">
        <w:r w:rsidR="00130A4A" w:rsidRPr="004D4C01">
          <w:rPr>
            <w:rStyle w:val="Hyperlink"/>
            <w:bCs/>
            <w:lang w:eastAsia="zh-CN"/>
          </w:rPr>
          <w:t>http://www.itu.int/ITU-R/go/seminars</w:t>
        </w:r>
      </w:hyperlink>
      <w:r w:rsidRPr="00AE4515">
        <w:rPr>
          <w:bCs/>
          <w:lang w:eastAsia="zh-CN"/>
        </w:rPr>
        <w:t>.</w:t>
      </w:r>
    </w:p>
    <w:p w:rsidR="00F55714" w:rsidRDefault="00F55714" w:rsidP="00BB0C93">
      <w:pPr>
        <w:rPr>
          <w:bCs/>
          <w:lang w:eastAsia="zh-CN"/>
        </w:rPr>
      </w:pPr>
      <w:r w:rsidRPr="00AE4515">
        <w:rPr>
          <w:bCs/>
          <w:lang w:eastAsia="zh-CN"/>
        </w:rPr>
        <w:t>Les manifestations suivantes ont eu lieu depuis la dernière réunion du GCR</w:t>
      </w:r>
      <w:r w:rsidR="00D1596F">
        <w:rPr>
          <w:bCs/>
          <w:lang w:eastAsia="zh-CN"/>
        </w:rPr>
        <w:t>, avec la participation de collaborateurs du BR</w:t>
      </w:r>
      <w:r w:rsidRPr="00AE4515">
        <w:rPr>
          <w:bCs/>
          <w:lang w:eastAsia="zh-CN"/>
        </w:rPr>
        <w:t>:</w:t>
      </w:r>
    </w:p>
    <w:p w:rsidR="00BB0C93" w:rsidRPr="003C73D8" w:rsidRDefault="00BB0C93" w:rsidP="00BB0C93">
      <w:pPr>
        <w:rPr>
          <w:bCs/>
          <w:lang w:eastAsia="zh-CN"/>
        </w:rPr>
      </w:pP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8" w:author="rancy" w:date="2011-04-20T15:45:00Z">
          <w:tblPr>
            <w:tblW w:w="8387" w:type="dxa"/>
            <w:jc w:val="center"/>
            <w:tblInd w:w="85" w:type="dxa"/>
            <w:tblLayout w:type="fixed"/>
            <w:tblCellMar>
              <w:left w:w="0" w:type="dxa"/>
              <w:right w:w="0" w:type="dxa"/>
            </w:tblCellMar>
            <w:tblLook w:val="04A0" w:firstRow="1" w:lastRow="0" w:firstColumn="1" w:lastColumn="0" w:noHBand="0" w:noVBand="1"/>
          </w:tblPr>
        </w:tblPrChange>
      </w:tblPr>
      <w:tblGrid>
        <w:gridCol w:w="5104"/>
        <w:gridCol w:w="1843"/>
        <w:gridCol w:w="1950"/>
        <w:tblGridChange w:id="9">
          <w:tblGrid>
            <w:gridCol w:w="4962"/>
            <w:gridCol w:w="1865"/>
            <w:gridCol w:w="1560"/>
          </w:tblGrid>
        </w:tblGridChange>
      </w:tblGrid>
      <w:tr w:rsidR="00F55714" w:rsidRPr="002B3506" w:rsidTr="00FC5B70">
        <w:trPr>
          <w:trHeight w:val="315"/>
          <w:tblHeader/>
          <w:trPrChange w:id="10" w:author="rancy" w:date="2011-04-20T15:45:00Z">
            <w:trPr>
              <w:trHeight w:val="315"/>
              <w:jc w:val="center"/>
            </w:trPr>
          </w:trPrChange>
        </w:trPr>
        <w:tc>
          <w:tcPr>
            <w:tcW w:w="5104" w:type="dxa"/>
            <w:noWrap/>
            <w:tcMar>
              <w:top w:w="0" w:type="dxa"/>
              <w:left w:w="108" w:type="dxa"/>
              <w:bottom w:w="0" w:type="dxa"/>
              <w:right w:w="108" w:type="dxa"/>
            </w:tcMar>
            <w:hideMark/>
            <w:tcPrChange w:id="11" w:author="rancy" w:date="2011-04-20T15:45:00Z">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D1596F" w:rsidP="00D1596F">
            <w:pPr>
              <w:pStyle w:val="Tablehead"/>
              <w:rPr>
                <w:rFonts w:eastAsiaTheme="minorEastAsia"/>
              </w:rPr>
            </w:pPr>
            <w:r>
              <w:t>Titr</w:t>
            </w:r>
            <w:r w:rsidR="00F55714" w:rsidRPr="002B3506">
              <w:t>e</w:t>
            </w:r>
          </w:p>
        </w:tc>
        <w:tc>
          <w:tcPr>
            <w:tcW w:w="1843" w:type="dxa"/>
            <w:noWrap/>
            <w:tcMar>
              <w:top w:w="0" w:type="dxa"/>
              <w:left w:w="108" w:type="dxa"/>
              <w:bottom w:w="0" w:type="dxa"/>
              <w:right w:w="108" w:type="dxa"/>
            </w:tcMar>
            <w:hideMark/>
            <w:tcPrChange w:id="12" w:author="rancy" w:date="2011-04-20T15:45:00Z">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D1596F" w:rsidP="00D1596F">
            <w:pPr>
              <w:pStyle w:val="Tablehead"/>
              <w:rPr>
                <w:rFonts w:eastAsiaTheme="minorEastAsia"/>
              </w:rPr>
            </w:pPr>
            <w:r>
              <w:t>Lieu</w:t>
            </w:r>
          </w:p>
        </w:tc>
        <w:tc>
          <w:tcPr>
            <w:tcW w:w="1950" w:type="dxa"/>
            <w:tcMar>
              <w:top w:w="0" w:type="dxa"/>
              <w:left w:w="108" w:type="dxa"/>
              <w:bottom w:w="0" w:type="dxa"/>
              <w:right w:w="108" w:type="dxa"/>
            </w:tcMar>
            <w:hideMark/>
            <w:tcPrChange w:id="13"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head"/>
              <w:rPr>
                <w:rFonts w:eastAsiaTheme="minorEastAsia"/>
              </w:rPr>
            </w:pPr>
            <w:r w:rsidRPr="002B3506">
              <w:t>Date</w:t>
            </w:r>
          </w:p>
        </w:tc>
      </w:tr>
      <w:tr w:rsidR="00F55714" w:rsidRPr="002B3506" w:rsidTr="00130A4A">
        <w:trPr>
          <w:trHeight w:val="315"/>
          <w:trPrChange w:id="14" w:author="rancy" w:date="2011-04-20T15:45:00Z">
            <w:trPr>
              <w:trHeight w:val="315"/>
              <w:jc w:val="center"/>
            </w:trPr>
          </w:trPrChange>
        </w:trPr>
        <w:tc>
          <w:tcPr>
            <w:tcW w:w="8897" w:type="dxa"/>
            <w:gridSpan w:val="3"/>
            <w:noWrap/>
            <w:tcMar>
              <w:top w:w="0" w:type="dxa"/>
              <w:left w:w="108" w:type="dxa"/>
              <w:bottom w:w="0" w:type="dxa"/>
              <w:right w:w="108" w:type="dxa"/>
            </w:tcMar>
            <w:tcPrChange w:id="15" w:author="rancy" w:date="2011-04-20T15:45:00Z">
              <w:tcPr>
                <w:tcW w:w="8387"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F55714" w:rsidRPr="002B3506" w:rsidRDefault="00F55714" w:rsidP="00B73DE5">
            <w:pPr>
              <w:pStyle w:val="Tablehead"/>
            </w:pPr>
            <w:r w:rsidRPr="00AE4515">
              <w:rPr>
                <w:lang w:eastAsia="zh-CN"/>
              </w:rPr>
              <w:t xml:space="preserve">Séminaire des </w:t>
            </w:r>
            <w:r w:rsidRPr="00CE77E3">
              <w:rPr>
                <w:lang w:val="fr-CH" w:eastAsia="zh-CN"/>
              </w:rPr>
              <w:t>radiocommunications</w:t>
            </w:r>
          </w:p>
        </w:tc>
      </w:tr>
      <w:tr w:rsidR="00F55714" w:rsidRPr="002B3506" w:rsidTr="00130A4A">
        <w:trPr>
          <w:trHeight w:val="300"/>
          <w:trPrChange w:id="16" w:author="rancy" w:date="2011-04-20T15:45:00Z">
            <w:trPr>
              <w:trHeight w:val="300"/>
              <w:jc w:val="center"/>
            </w:trPr>
          </w:trPrChange>
        </w:trPr>
        <w:tc>
          <w:tcPr>
            <w:tcW w:w="5104" w:type="dxa"/>
            <w:noWrap/>
            <w:tcMar>
              <w:top w:w="0" w:type="dxa"/>
              <w:left w:w="108" w:type="dxa"/>
              <w:bottom w:w="0" w:type="dxa"/>
              <w:right w:w="108" w:type="dxa"/>
            </w:tcMar>
            <w:hideMark/>
            <w:tcPrChange w:id="17" w:author="rancy" w:date="2011-04-20T15:45:00Z">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AE4515" w:rsidRDefault="00B73DE5" w:rsidP="00BB0C93">
            <w:pPr>
              <w:pStyle w:val="Tabletext"/>
              <w:rPr>
                <w:rFonts w:eastAsiaTheme="minorEastAsia"/>
              </w:rPr>
            </w:pPr>
            <w:r>
              <w:rPr>
                <w:lang w:eastAsia="zh-CN"/>
              </w:rPr>
              <w:fldChar w:fldCharType="begin"/>
            </w:r>
            <w:r>
              <w:rPr>
                <w:lang w:eastAsia="zh-CN"/>
              </w:rPr>
              <w:instrText xml:space="preserve"> HYPERLINK "http://www.itu.int/ITU-R/index.asp?category=conferences&amp;rlink=wrs-10&amp;lang=en" </w:instrText>
            </w:r>
            <w:r w:rsidR="00235730">
              <w:rPr>
                <w:lang w:eastAsia="zh-CN"/>
              </w:rPr>
            </w:r>
            <w:r>
              <w:rPr>
                <w:lang w:eastAsia="zh-CN"/>
              </w:rPr>
              <w:fldChar w:fldCharType="separate"/>
            </w:r>
            <w:r w:rsidR="00F55714" w:rsidRPr="00B73DE5">
              <w:rPr>
                <w:rStyle w:val="Hyperlink"/>
                <w:lang w:eastAsia="zh-CN"/>
              </w:rPr>
              <w:t xml:space="preserve">Séminaire mondial des </w:t>
            </w:r>
            <w:r w:rsidR="00F55714" w:rsidRPr="00B73DE5">
              <w:rPr>
                <w:rStyle w:val="Hyperlink"/>
                <w:lang w:val="fr-CH" w:eastAsia="zh-CN"/>
              </w:rPr>
              <w:t>radiocommunications</w:t>
            </w:r>
            <w:r w:rsidR="00F55714" w:rsidRPr="00B73DE5">
              <w:rPr>
                <w:rStyle w:val="Hyperlink"/>
                <w:lang w:eastAsia="zh-CN"/>
              </w:rPr>
              <w:t xml:space="preserve"> 2010</w:t>
            </w:r>
            <w:r>
              <w:rPr>
                <w:lang w:eastAsia="zh-CN"/>
              </w:rPr>
              <w:fldChar w:fldCharType="end"/>
            </w:r>
            <w:r w:rsidR="00BB0C93">
              <w:rPr>
                <w:lang w:eastAsia="zh-CN"/>
              </w:rPr>
              <w:t xml:space="preserve"> </w:t>
            </w:r>
            <w:r w:rsidR="00F55714" w:rsidRPr="00AE4515">
              <w:rPr>
                <w:lang w:eastAsia="zh-CN"/>
              </w:rPr>
              <w:t xml:space="preserve">(WRS-10) </w:t>
            </w:r>
          </w:p>
        </w:tc>
        <w:tc>
          <w:tcPr>
            <w:tcW w:w="1843" w:type="dxa"/>
            <w:noWrap/>
            <w:tcMar>
              <w:top w:w="0" w:type="dxa"/>
              <w:left w:w="108" w:type="dxa"/>
              <w:bottom w:w="0" w:type="dxa"/>
              <w:right w:w="108" w:type="dxa"/>
            </w:tcMar>
            <w:hideMark/>
            <w:tcPrChange w:id="18" w:author="rancy" w:date="2011-04-20T15:45:00Z">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D1596F" w:rsidP="00D1596F">
            <w:pPr>
              <w:pStyle w:val="Tabletext"/>
              <w:rPr>
                <w:rFonts w:eastAsiaTheme="minorEastAsia"/>
              </w:rPr>
            </w:pPr>
            <w:r>
              <w:t>Genè</w:t>
            </w:r>
            <w:r w:rsidR="00F55714" w:rsidRPr="002B3506">
              <w:t>v</w:t>
            </w:r>
            <w:r w:rsidR="00F55714">
              <w:t>e</w:t>
            </w:r>
          </w:p>
        </w:tc>
        <w:tc>
          <w:tcPr>
            <w:tcW w:w="1950" w:type="dxa"/>
            <w:tcMar>
              <w:top w:w="0" w:type="dxa"/>
              <w:left w:w="108" w:type="dxa"/>
              <w:bottom w:w="0" w:type="dxa"/>
              <w:right w:w="108" w:type="dxa"/>
            </w:tcMar>
            <w:hideMark/>
            <w:tcPrChange w:id="19"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D1596F" w:rsidP="00D1596F">
            <w:pPr>
              <w:pStyle w:val="Tabletext"/>
              <w:rPr>
                <w:rFonts w:eastAsiaTheme="minorEastAsia"/>
              </w:rPr>
            </w:pPr>
            <w:r>
              <w:t xml:space="preserve">6-10 </w:t>
            </w:r>
            <w:r w:rsidR="00F55714">
              <w:t>déc</w:t>
            </w:r>
            <w:r>
              <w:t xml:space="preserve">. </w:t>
            </w:r>
            <w:r w:rsidR="00F55714">
              <w:t>2010</w:t>
            </w:r>
          </w:p>
        </w:tc>
      </w:tr>
      <w:tr w:rsidR="00F55714" w:rsidRPr="002B3506" w:rsidTr="00130A4A">
        <w:trPr>
          <w:trHeight w:val="300"/>
          <w:trPrChange w:id="20" w:author="rancy" w:date="2011-04-20T15:45:00Z">
            <w:trPr>
              <w:trHeight w:val="300"/>
              <w:jc w:val="center"/>
            </w:trPr>
          </w:trPrChange>
        </w:trPr>
        <w:tc>
          <w:tcPr>
            <w:tcW w:w="8897" w:type="dxa"/>
            <w:gridSpan w:val="3"/>
            <w:noWrap/>
            <w:tcMar>
              <w:top w:w="0" w:type="dxa"/>
              <w:left w:w="108" w:type="dxa"/>
              <w:bottom w:w="0" w:type="dxa"/>
              <w:right w:w="108" w:type="dxa"/>
            </w:tcMar>
            <w:tcPrChange w:id="21" w:author="rancy" w:date="2011-04-20T15:45:00Z">
              <w:tcPr>
                <w:tcW w:w="8387"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F55714" w:rsidRPr="002B3506" w:rsidRDefault="00F55714" w:rsidP="00D1596F">
            <w:pPr>
              <w:pStyle w:val="Tablehead"/>
            </w:pPr>
            <w:r w:rsidRPr="002B3506">
              <w:t>S</w:t>
            </w:r>
            <w:r w:rsidR="00D1596F">
              <w:t>é</w:t>
            </w:r>
            <w:r w:rsidRPr="002B3506">
              <w:t>mina</w:t>
            </w:r>
            <w:r w:rsidR="00D1596F">
              <w:t>ires et ateliers sur les services spatiaux</w:t>
            </w:r>
          </w:p>
        </w:tc>
      </w:tr>
      <w:tr w:rsidR="00F55714" w:rsidRPr="002B3506" w:rsidTr="00130A4A">
        <w:trPr>
          <w:trHeight w:val="300"/>
          <w:trPrChange w:id="22" w:author="rancy" w:date="2011-04-20T15:45:00Z">
            <w:trPr>
              <w:trHeight w:val="300"/>
              <w:jc w:val="center"/>
            </w:trPr>
          </w:trPrChange>
        </w:trPr>
        <w:tc>
          <w:tcPr>
            <w:tcW w:w="5104" w:type="dxa"/>
            <w:noWrap/>
            <w:tcMar>
              <w:top w:w="0" w:type="dxa"/>
              <w:left w:w="108" w:type="dxa"/>
              <w:bottom w:w="0" w:type="dxa"/>
              <w:right w:w="108" w:type="dxa"/>
            </w:tcMar>
            <w:hideMark/>
            <w:tcPrChange w:id="23" w:author="rancy" w:date="2011-04-20T15:45:00Z">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AE4515" w:rsidRDefault="00996560" w:rsidP="00D1596F">
            <w:pPr>
              <w:pStyle w:val="Tabletext"/>
              <w:rPr>
                <w:rFonts w:eastAsiaTheme="minorEastAsia"/>
              </w:rPr>
            </w:pPr>
            <w:r>
              <w:fldChar w:fldCharType="begin"/>
            </w:r>
            <w:r>
              <w:instrText xml:space="preserve"> HYPERLINK "http://www.itu.int/ITU-R/index.asp?category=conferences&amp;rlink=moscow-2010&amp;lang=en" </w:instrText>
            </w:r>
            <w:r>
              <w:fldChar w:fldCharType="separate"/>
            </w:r>
            <w:r w:rsidR="00D1596F" w:rsidRPr="00996560">
              <w:rPr>
                <w:rStyle w:val="Hyperlink"/>
              </w:rPr>
              <w:t>A</w:t>
            </w:r>
            <w:r w:rsidR="00F55714" w:rsidRPr="00996560">
              <w:rPr>
                <w:rStyle w:val="Hyperlink"/>
              </w:rPr>
              <w:t>telier régional (BR/BDT</w:t>
            </w:r>
            <w:r>
              <w:rPr>
                <w:rStyle w:val="Hyperlink"/>
              </w:rPr>
              <w:t>)</w:t>
            </w:r>
            <w:r w:rsidR="00F55714" w:rsidRPr="00996560">
              <w:rPr>
                <w:rStyle w:val="Hyperlink"/>
              </w:rPr>
              <w:t xml:space="preserve"> sur le logiciel SpaceCom</w:t>
            </w:r>
            <w:r>
              <w:fldChar w:fldCharType="end"/>
            </w:r>
          </w:p>
        </w:tc>
        <w:tc>
          <w:tcPr>
            <w:tcW w:w="1843" w:type="dxa"/>
            <w:noWrap/>
            <w:tcMar>
              <w:top w:w="0" w:type="dxa"/>
              <w:left w:w="108" w:type="dxa"/>
              <w:bottom w:w="0" w:type="dxa"/>
              <w:right w:w="108" w:type="dxa"/>
            </w:tcMar>
            <w:hideMark/>
            <w:tcPrChange w:id="24" w:author="rancy" w:date="2011-04-20T15:45:00Z">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Mosco</w:t>
            </w:r>
            <w:r>
              <w:t>u</w:t>
            </w:r>
          </w:p>
        </w:tc>
        <w:tc>
          <w:tcPr>
            <w:tcW w:w="1950" w:type="dxa"/>
            <w:tcMar>
              <w:top w:w="0" w:type="dxa"/>
              <w:left w:w="108" w:type="dxa"/>
              <w:bottom w:w="0" w:type="dxa"/>
              <w:right w:w="108" w:type="dxa"/>
            </w:tcMar>
            <w:hideMark/>
            <w:tcPrChange w:id="25"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2-3</w:t>
            </w:r>
            <w:r w:rsidR="00D1596F">
              <w:t xml:space="preserve"> </w:t>
            </w:r>
            <w:r>
              <w:t>mars 20</w:t>
            </w:r>
            <w:r w:rsidRPr="002B3506">
              <w:t>10</w:t>
            </w:r>
          </w:p>
        </w:tc>
      </w:tr>
      <w:tr w:rsidR="00F55714" w:rsidRPr="002B3506" w:rsidTr="00130A4A">
        <w:trPr>
          <w:trHeight w:val="300"/>
          <w:trPrChange w:id="26" w:author="rancy" w:date="2011-04-20T15:45:00Z">
            <w:trPr>
              <w:trHeight w:val="300"/>
              <w:jc w:val="center"/>
            </w:trPr>
          </w:trPrChange>
        </w:trPr>
        <w:tc>
          <w:tcPr>
            <w:tcW w:w="5104" w:type="dxa"/>
            <w:noWrap/>
            <w:tcMar>
              <w:top w:w="0" w:type="dxa"/>
              <w:left w:w="108" w:type="dxa"/>
              <w:bottom w:w="0" w:type="dxa"/>
              <w:right w:w="108" w:type="dxa"/>
            </w:tcMar>
            <w:hideMark/>
            <w:tcPrChange w:id="27" w:author="rancy" w:date="2011-04-20T15:45:00Z">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AE4515" w:rsidRDefault="00D1596F" w:rsidP="00D1596F">
            <w:pPr>
              <w:pStyle w:val="Tabletext"/>
            </w:pPr>
            <w:r>
              <w:t>A</w:t>
            </w:r>
            <w:r w:rsidR="00F55714" w:rsidRPr="00AE4515">
              <w:t>telier sous-régional de l'</w:t>
            </w:r>
            <w:r w:rsidR="00B73DE5" w:rsidRPr="00AE4515">
              <w:t>UIT-R</w:t>
            </w:r>
            <w:r w:rsidR="00F55714" w:rsidRPr="00AE4515">
              <w:t xml:space="preserve"> sur la réglementation </w:t>
            </w:r>
            <w:r w:rsidR="00F55714">
              <w:t>spatiale</w:t>
            </w:r>
          </w:p>
        </w:tc>
        <w:tc>
          <w:tcPr>
            <w:tcW w:w="1843" w:type="dxa"/>
            <w:noWrap/>
            <w:tcMar>
              <w:top w:w="0" w:type="dxa"/>
              <w:left w:w="108" w:type="dxa"/>
              <w:bottom w:w="0" w:type="dxa"/>
              <w:right w:w="108" w:type="dxa"/>
            </w:tcMar>
            <w:hideMark/>
            <w:tcPrChange w:id="28" w:author="rancy" w:date="2011-04-20T15:45:00Z">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996560">
            <w:pPr>
              <w:pStyle w:val="Tabletext"/>
            </w:pPr>
            <w:r w:rsidRPr="002B3506">
              <w:t xml:space="preserve">Wellington, </w:t>
            </w:r>
            <w:r w:rsidR="00996560">
              <w:t>N</w:t>
            </w:r>
            <w:r>
              <w:t>ouvelle-</w:t>
            </w:r>
            <w:r w:rsidR="00996560">
              <w:t>Zé</w:t>
            </w:r>
            <w:r>
              <w:t>lande</w:t>
            </w:r>
          </w:p>
        </w:tc>
        <w:tc>
          <w:tcPr>
            <w:tcW w:w="1950" w:type="dxa"/>
            <w:tcMar>
              <w:top w:w="0" w:type="dxa"/>
              <w:left w:w="108" w:type="dxa"/>
              <w:bottom w:w="0" w:type="dxa"/>
              <w:right w:w="108" w:type="dxa"/>
            </w:tcMar>
            <w:hideMark/>
            <w:tcPrChange w:id="29"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text"/>
            </w:pPr>
            <w:r w:rsidRPr="002B3506">
              <w:t>26-30</w:t>
            </w:r>
            <w:r w:rsidR="00D1596F">
              <w:t xml:space="preserve"> </w:t>
            </w:r>
            <w:r>
              <w:t>avril 2010</w:t>
            </w:r>
          </w:p>
        </w:tc>
      </w:tr>
      <w:tr w:rsidR="00F55714" w:rsidRPr="002B3506" w:rsidTr="00130A4A">
        <w:trPr>
          <w:trHeight w:val="772"/>
          <w:trPrChange w:id="30" w:author="rancy" w:date="2011-04-20T15:45:00Z">
            <w:trPr>
              <w:trHeight w:val="772"/>
              <w:jc w:val="center"/>
            </w:trPr>
          </w:trPrChange>
        </w:trPr>
        <w:tc>
          <w:tcPr>
            <w:tcW w:w="5104" w:type="dxa"/>
            <w:noWrap/>
            <w:tcMar>
              <w:top w:w="0" w:type="dxa"/>
              <w:left w:w="108" w:type="dxa"/>
              <w:bottom w:w="0" w:type="dxa"/>
              <w:right w:w="108" w:type="dxa"/>
            </w:tcMar>
            <w:hideMark/>
            <w:tcPrChange w:id="31" w:author="rancy" w:date="2011-04-20T15:45:00Z">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EA232C" w:rsidRDefault="003A08F8" w:rsidP="003A08F8">
            <w:pPr>
              <w:pStyle w:val="Tabletext"/>
              <w:rPr>
                <w:rFonts w:eastAsiaTheme="minorEastAsia"/>
              </w:rPr>
            </w:pPr>
            <w:r>
              <w:fldChar w:fldCharType="begin"/>
            </w:r>
            <w:r>
              <w:instrText xml:space="preserve"> HYPERLINK "http://groups.itu.int/Default.aspx?alias=groups.itu.int/br-ssd" </w:instrText>
            </w:r>
            <w:r>
              <w:fldChar w:fldCharType="separate"/>
            </w:r>
            <w:r w:rsidR="00F55714" w:rsidRPr="003A08F8">
              <w:rPr>
                <w:rStyle w:val="Hyperlink"/>
              </w:rPr>
              <w:t>Atelier UIT/IDA</w:t>
            </w:r>
            <w:r w:rsidR="00F0031C" w:rsidRPr="003A08F8">
              <w:rPr>
                <w:rStyle w:val="Hyperlink"/>
              </w:rPr>
              <w:t xml:space="preserve"> </w:t>
            </w:r>
            <w:r w:rsidR="00F55714" w:rsidRPr="003A08F8">
              <w:rPr>
                <w:rStyle w:val="Hyperlink"/>
              </w:rPr>
              <w:t xml:space="preserve">sur l'utilisation efficace des ressources </w:t>
            </w:r>
            <w:r w:rsidR="001B71FF" w:rsidRPr="003A08F8">
              <w:rPr>
                <w:rStyle w:val="Hyperlink"/>
              </w:rPr>
              <w:t>spectre/orbites</w:t>
            </w:r>
            <w:r>
              <w:fldChar w:fldCharType="end"/>
            </w:r>
            <w:r w:rsidR="00F55714" w:rsidRPr="00EA232C">
              <w:t xml:space="preserve"> </w:t>
            </w:r>
          </w:p>
        </w:tc>
        <w:tc>
          <w:tcPr>
            <w:tcW w:w="1843" w:type="dxa"/>
            <w:noWrap/>
            <w:tcMar>
              <w:top w:w="0" w:type="dxa"/>
              <w:left w:w="108" w:type="dxa"/>
              <w:bottom w:w="0" w:type="dxa"/>
              <w:right w:w="108" w:type="dxa"/>
            </w:tcMar>
            <w:hideMark/>
            <w:tcPrChange w:id="32" w:author="rancy" w:date="2011-04-20T15:45:00Z">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Singapo</w:t>
            </w:r>
            <w:r>
              <w:t>ur</w:t>
            </w:r>
          </w:p>
        </w:tc>
        <w:tc>
          <w:tcPr>
            <w:tcW w:w="1950" w:type="dxa"/>
            <w:tcMar>
              <w:top w:w="0" w:type="dxa"/>
              <w:left w:w="108" w:type="dxa"/>
              <w:bottom w:w="0" w:type="dxa"/>
              <w:right w:w="108" w:type="dxa"/>
            </w:tcMar>
            <w:hideMark/>
            <w:tcPrChange w:id="33"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D1596F" w:rsidP="00D1596F">
            <w:pPr>
              <w:pStyle w:val="Tabletext"/>
              <w:rPr>
                <w:rFonts w:eastAsiaTheme="minorEastAsia"/>
              </w:rPr>
            </w:pPr>
            <w:r>
              <w:t xml:space="preserve">17-18 </w:t>
            </w:r>
            <w:r w:rsidR="00F55714">
              <w:t>juin 20</w:t>
            </w:r>
            <w:r w:rsidR="00F55714" w:rsidRPr="002B3506">
              <w:t>10</w:t>
            </w:r>
          </w:p>
        </w:tc>
      </w:tr>
    </w:tbl>
    <w:p w:rsidR="00FC5B70" w:rsidRPr="003C73D8" w:rsidRDefault="00FC5B70" w:rsidP="00FC5B70">
      <w:pPr>
        <w:rPr>
          <w:bCs/>
          <w:lang w:eastAsia="zh-CN"/>
        </w:rPr>
      </w:pP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34" w:author="rancy" w:date="2011-04-20T15:45:00Z">
          <w:tblPr>
            <w:tblW w:w="8387" w:type="dxa"/>
            <w:jc w:val="center"/>
            <w:tblInd w:w="85" w:type="dxa"/>
            <w:tblLayout w:type="fixed"/>
            <w:tblCellMar>
              <w:left w:w="0" w:type="dxa"/>
              <w:right w:w="0" w:type="dxa"/>
            </w:tblCellMar>
            <w:tblLook w:val="04A0" w:firstRow="1" w:lastRow="0" w:firstColumn="1" w:lastColumn="0" w:noHBand="0" w:noVBand="1"/>
          </w:tblPr>
        </w:tblPrChange>
      </w:tblPr>
      <w:tblGrid>
        <w:gridCol w:w="5104"/>
        <w:gridCol w:w="1843"/>
        <w:gridCol w:w="1950"/>
        <w:tblGridChange w:id="35">
          <w:tblGrid>
            <w:gridCol w:w="2461"/>
            <w:gridCol w:w="2643"/>
            <w:gridCol w:w="1843"/>
            <w:gridCol w:w="476"/>
            <w:gridCol w:w="1474"/>
            <w:gridCol w:w="391"/>
            <w:gridCol w:w="1560"/>
          </w:tblGrid>
        </w:tblGridChange>
      </w:tblGrid>
      <w:tr w:rsidR="00FC5B70" w:rsidRPr="002B3506" w:rsidTr="00235730">
        <w:trPr>
          <w:trHeight w:val="315"/>
          <w:tblHeader/>
          <w:trPrChange w:id="36" w:author="rancy" w:date="2011-04-20T15:45:00Z">
            <w:trPr>
              <w:gridBefore w:val="1"/>
              <w:trHeight w:val="315"/>
              <w:jc w:val="center"/>
            </w:trPr>
          </w:trPrChange>
        </w:trPr>
        <w:tc>
          <w:tcPr>
            <w:tcW w:w="5104" w:type="dxa"/>
            <w:noWrap/>
            <w:tcMar>
              <w:top w:w="0" w:type="dxa"/>
              <w:left w:w="108" w:type="dxa"/>
              <w:bottom w:w="0" w:type="dxa"/>
              <w:right w:w="108" w:type="dxa"/>
            </w:tcMar>
            <w:hideMark/>
            <w:tcPrChange w:id="37"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C5B70" w:rsidRPr="002B3506" w:rsidRDefault="00FC5B70" w:rsidP="00235730">
            <w:pPr>
              <w:pStyle w:val="Tablehead"/>
              <w:rPr>
                <w:rFonts w:eastAsiaTheme="minorEastAsia"/>
              </w:rPr>
            </w:pPr>
            <w:r>
              <w:t>Titr</w:t>
            </w:r>
            <w:r w:rsidRPr="002B3506">
              <w:t>e</w:t>
            </w:r>
          </w:p>
        </w:tc>
        <w:tc>
          <w:tcPr>
            <w:tcW w:w="1843" w:type="dxa"/>
            <w:noWrap/>
            <w:tcMar>
              <w:top w:w="0" w:type="dxa"/>
              <w:left w:w="108" w:type="dxa"/>
              <w:bottom w:w="0" w:type="dxa"/>
              <w:right w:w="108" w:type="dxa"/>
            </w:tcMar>
            <w:hideMark/>
            <w:tcPrChange w:id="38"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FC5B70" w:rsidRPr="002B3506" w:rsidRDefault="00FC5B70" w:rsidP="00235730">
            <w:pPr>
              <w:pStyle w:val="Tablehead"/>
              <w:rPr>
                <w:rFonts w:eastAsiaTheme="minorEastAsia"/>
              </w:rPr>
            </w:pPr>
            <w:r>
              <w:t>Lieu</w:t>
            </w:r>
          </w:p>
        </w:tc>
        <w:tc>
          <w:tcPr>
            <w:tcW w:w="1950" w:type="dxa"/>
            <w:tcMar>
              <w:top w:w="0" w:type="dxa"/>
              <w:left w:w="108" w:type="dxa"/>
              <w:bottom w:w="0" w:type="dxa"/>
              <w:right w:w="108" w:type="dxa"/>
            </w:tcMar>
            <w:hideMark/>
            <w:tcPrChange w:id="39"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FC5B70" w:rsidRPr="002B3506" w:rsidRDefault="00FC5B70" w:rsidP="00235730">
            <w:pPr>
              <w:pStyle w:val="Tablehead"/>
              <w:rPr>
                <w:rFonts w:eastAsiaTheme="minorEastAsia"/>
              </w:rPr>
            </w:pPr>
            <w:r w:rsidRPr="002B3506">
              <w:t>Date</w:t>
            </w:r>
          </w:p>
        </w:tc>
      </w:tr>
      <w:tr w:rsidR="00F55714" w:rsidRPr="002B3506" w:rsidTr="00130A4A">
        <w:trPr>
          <w:trHeight w:val="300"/>
          <w:trPrChange w:id="40" w:author="rancy" w:date="2011-04-20T15:45:00Z">
            <w:trPr>
              <w:gridBefore w:val="1"/>
              <w:trHeight w:val="300"/>
              <w:jc w:val="center"/>
            </w:trPr>
          </w:trPrChange>
        </w:trPr>
        <w:tc>
          <w:tcPr>
            <w:tcW w:w="5104" w:type="dxa"/>
            <w:noWrap/>
            <w:tcMar>
              <w:top w:w="0" w:type="dxa"/>
              <w:left w:w="108" w:type="dxa"/>
              <w:bottom w:w="0" w:type="dxa"/>
              <w:right w:w="108" w:type="dxa"/>
            </w:tcMar>
            <w:hideMark/>
            <w:tcPrChange w:id="41"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EA232C" w:rsidRDefault="00D1596F" w:rsidP="00D1596F">
            <w:pPr>
              <w:pStyle w:val="Tabletext"/>
              <w:rPr>
                <w:rFonts w:eastAsiaTheme="minorEastAsia"/>
              </w:rPr>
            </w:pPr>
            <w:r>
              <w:t>F</w:t>
            </w:r>
            <w:r w:rsidR="00F55714" w:rsidRPr="00EA232C">
              <w:t>ormation sur la gestion du spectre pour les pays de l'ANASE</w:t>
            </w:r>
          </w:p>
        </w:tc>
        <w:tc>
          <w:tcPr>
            <w:tcW w:w="1843" w:type="dxa"/>
            <w:noWrap/>
            <w:tcMar>
              <w:top w:w="0" w:type="dxa"/>
              <w:left w:w="108" w:type="dxa"/>
              <w:bottom w:w="0" w:type="dxa"/>
              <w:right w:w="108" w:type="dxa"/>
            </w:tcMar>
            <w:hideMark/>
            <w:tcPrChange w:id="42"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Hanoi</w:t>
            </w:r>
          </w:p>
        </w:tc>
        <w:tc>
          <w:tcPr>
            <w:tcW w:w="1950" w:type="dxa"/>
            <w:tcMar>
              <w:top w:w="0" w:type="dxa"/>
              <w:left w:w="108" w:type="dxa"/>
              <w:bottom w:w="0" w:type="dxa"/>
              <w:right w:w="108" w:type="dxa"/>
            </w:tcMar>
            <w:hideMark/>
            <w:tcPrChange w:id="43"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F20E43">
            <w:pPr>
              <w:pStyle w:val="Tabletext"/>
              <w:rPr>
                <w:rFonts w:eastAsiaTheme="minorEastAsia"/>
              </w:rPr>
            </w:pPr>
            <w:r w:rsidRPr="002B3506">
              <w:t>23-27</w:t>
            </w:r>
            <w:r w:rsidR="00130A4A">
              <w:t xml:space="preserve"> </w:t>
            </w:r>
            <w:r>
              <w:t>ao</w:t>
            </w:r>
            <w:r w:rsidR="00F20E43">
              <w:t>û</w:t>
            </w:r>
            <w:r>
              <w:t>t 2010</w:t>
            </w:r>
          </w:p>
        </w:tc>
      </w:tr>
      <w:tr w:rsidR="00F55714" w:rsidRPr="002B3506" w:rsidTr="00130A4A">
        <w:trPr>
          <w:trHeight w:val="300"/>
          <w:trPrChange w:id="44" w:author="rancy" w:date="2011-04-20T15:45:00Z">
            <w:trPr>
              <w:gridBefore w:val="1"/>
              <w:trHeight w:val="300"/>
              <w:jc w:val="center"/>
            </w:trPr>
          </w:trPrChange>
        </w:trPr>
        <w:tc>
          <w:tcPr>
            <w:tcW w:w="5104" w:type="dxa"/>
            <w:noWrap/>
            <w:tcMar>
              <w:top w:w="0" w:type="dxa"/>
              <w:left w:w="108" w:type="dxa"/>
              <w:bottom w:w="0" w:type="dxa"/>
              <w:right w:w="108" w:type="dxa"/>
            </w:tcMar>
            <w:hideMark/>
            <w:tcPrChange w:id="45"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EA232C" w:rsidRDefault="00D1596F" w:rsidP="00D1596F">
            <w:pPr>
              <w:pStyle w:val="Tabletext"/>
              <w:rPr>
                <w:rFonts w:eastAsiaTheme="minorEastAsia"/>
              </w:rPr>
            </w:pPr>
            <w:r>
              <w:t>A</w:t>
            </w:r>
            <w:r w:rsidR="00130A4A">
              <w:t>telier CITEL/BR sur l'</w:t>
            </w:r>
            <w:r w:rsidR="00F55714" w:rsidRPr="00EA232C">
              <w:t>Appendice 30B</w:t>
            </w:r>
          </w:p>
        </w:tc>
        <w:tc>
          <w:tcPr>
            <w:tcW w:w="1843" w:type="dxa"/>
            <w:noWrap/>
            <w:tcMar>
              <w:top w:w="0" w:type="dxa"/>
              <w:left w:w="108" w:type="dxa"/>
              <w:bottom w:w="0" w:type="dxa"/>
              <w:right w:w="108" w:type="dxa"/>
            </w:tcMar>
            <w:hideMark/>
            <w:tcPrChange w:id="46"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t>Fortaleza, Brés</w:t>
            </w:r>
            <w:r w:rsidRPr="002B3506">
              <w:t>il</w:t>
            </w:r>
          </w:p>
        </w:tc>
        <w:tc>
          <w:tcPr>
            <w:tcW w:w="1950" w:type="dxa"/>
            <w:tcMar>
              <w:top w:w="0" w:type="dxa"/>
              <w:left w:w="108" w:type="dxa"/>
              <w:bottom w:w="0" w:type="dxa"/>
              <w:right w:w="108" w:type="dxa"/>
            </w:tcMar>
            <w:hideMark/>
            <w:tcPrChange w:id="47"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D1596F" w:rsidP="00D1596F">
            <w:pPr>
              <w:pStyle w:val="Tabletext"/>
              <w:rPr>
                <w:rFonts w:eastAsiaTheme="minorEastAsia"/>
              </w:rPr>
            </w:pPr>
            <w:r>
              <w:t xml:space="preserve">1er-2 </w:t>
            </w:r>
            <w:r w:rsidR="00F55714">
              <w:t>sept</w:t>
            </w:r>
            <w:r>
              <w:t>.</w:t>
            </w:r>
            <w:r w:rsidR="00F55714">
              <w:t xml:space="preserve"> 20</w:t>
            </w:r>
            <w:r w:rsidR="00F55714" w:rsidRPr="002B3506">
              <w:t>10</w:t>
            </w:r>
          </w:p>
        </w:tc>
      </w:tr>
      <w:tr w:rsidR="00F55714" w:rsidRPr="002B3506" w:rsidTr="00130A4A">
        <w:trPr>
          <w:trHeight w:val="300"/>
          <w:trPrChange w:id="48" w:author="rancy" w:date="2011-04-20T15:45:00Z">
            <w:trPr>
              <w:gridBefore w:val="1"/>
              <w:trHeight w:val="300"/>
              <w:jc w:val="center"/>
            </w:trPr>
          </w:trPrChange>
        </w:trPr>
        <w:tc>
          <w:tcPr>
            <w:tcW w:w="5104" w:type="dxa"/>
            <w:noWrap/>
            <w:tcMar>
              <w:top w:w="0" w:type="dxa"/>
              <w:left w:w="108" w:type="dxa"/>
              <w:bottom w:w="0" w:type="dxa"/>
              <w:right w:w="108" w:type="dxa"/>
            </w:tcMar>
            <w:hideMark/>
            <w:tcPrChange w:id="49"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F55714" w:rsidRPr="00EA232C" w:rsidRDefault="00D1596F" w:rsidP="00130A4A">
            <w:pPr>
              <w:pStyle w:val="Tabletext"/>
              <w:rPr>
                <w:rFonts w:eastAsiaTheme="minorEastAsia"/>
              </w:rPr>
            </w:pPr>
            <w:r>
              <w:t>A</w:t>
            </w:r>
            <w:r w:rsidR="00F55714" w:rsidRPr="00EA232C">
              <w:t>telier de formation de l'</w:t>
            </w:r>
            <w:r w:rsidR="00F55714">
              <w:t>UIT</w:t>
            </w:r>
            <w:r w:rsidR="00F55714" w:rsidRPr="00EA232C">
              <w:t xml:space="preserve"> (BR/BDT) sur les </w:t>
            </w:r>
            <w:r w:rsidR="00130A4A">
              <w:t>s</w:t>
            </w:r>
            <w:r w:rsidR="00F55714" w:rsidRPr="00EA232C">
              <w:t>atellite</w:t>
            </w:r>
            <w:r w:rsidR="00F55714">
              <w:t>s</w:t>
            </w:r>
          </w:p>
        </w:tc>
        <w:tc>
          <w:tcPr>
            <w:tcW w:w="1843" w:type="dxa"/>
            <w:noWrap/>
            <w:tcMar>
              <w:top w:w="0" w:type="dxa"/>
              <w:left w:w="108" w:type="dxa"/>
              <w:bottom w:w="0" w:type="dxa"/>
              <w:right w:w="108" w:type="dxa"/>
            </w:tcMar>
            <w:hideMark/>
            <w:tcPrChange w:id="50"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Bangkok</w:t>
            </w:r>
          </w:p>
        </w:tc>
        <w:tc>
          <w:tcPr>
            <w:tcW w:w="1950" w:type="dxa"/>
            <w:tcMar>
              <w:top w:w="0" w:type="dxa"/>
              <w:left w:w="108" w:type="dxa"/>
              <w:bottom w:w="0" w:type="dxa"/>
              <w:right w:w="108" w:type="dxa"/>
            </w:tcMar>
            <w:hideMark/>
            <w:tcPrChange w:id="51"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28-30</w:t>
            </w:r>
            <w:r w:rsidR="00D1596F">
              <w:t xml:space="preserve"> </w:t>
            </w:r>
            <w:r>
              <w:t>sept</w:t>
            </w:r>
            <w:r w:rsidR="00D1596F">
              <w:t>.</w:t>
            </w:r>
            <w:r>
              <w:t xml:space="preserve"> 20</w:t>
            </w:r>
            <w:r w:rsidRPr="002B3506">
              <w:t>10</w:t>
            </w:r>
          </w:p>
        </w:tc>
      </w:tr>
      <w:tr w:rsidR="00F55714" w:rsidRPr="003C73D8" w:rsidTr="00130A4A">
        <w:trPr>
          <w:trHeight w:val="417"/>
          <w:trPrChange w:id="52" w:author="rancy" w:date="2011-04-20T15:45:00Z">
            <w:trPr>
              <w:gridBefore w:val="1"/>
              <w:trHeight w:val="417"/>
              <w:jc w:val="center"/>
            </w:trPr>
          </w:trPrChange>
        </w:trPr>
        <w:tc>
          <w:tcPr>
            <w:tcW w:w="8897" w:type="dxa"/>
            <w:gridSpan w:val="3"/>
            <w:noWrap/>
            <w:tcMar>
              <w:top w:w="0" w:type="dxa"/>
              <w:left w:w="108" w:type="dxa"/>
              <w:bottom w:w="0" w:type="dxa"/>
              <w:right w:w="108" w:type="dxa"/>
            </w:tcMar>
            <w:tcPrChange w:id="53" w:author="rancy" w:date="2011-04-20T15:45:00Z">
              <w:tcPr>
                <w:tcW w:w="8387" w:type="dxa"/>
                <w:gridSpan w:val="6"/>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tcPrChange>
          </w:tcPr>
          <w:p w:rsidR="00F55714" w:rsidRPr="00130A4A" w:rsidRDefault="00D1596F" w:rsidP="00130A4A">
            <w:pPr>
              <w:pStyle w:val="Tabletext"/>
              <w:jc w:val="center"/>
              <w:rPr>
                <w:b/>
                <w:bCs/>
              </w:rPr>
            </w:pPr>
            <w:r w:rsidRPr="00130A4A">
              <w:rPr>
                <w:b/>
                <w:bCs/>
              </w:rPr>
              <w:t>S</w:t>
            </w:r>
            <w:r w:rsidR="00F55714" w:rsidRPr="00130A4A">
              <w:rPr>
                <w:b/>
                <w:bCs/>
              </w:rPr>
              <w:t xml:space="preserve">éminaires et ateliers sur les services de </w:t>
            </w:r>
            <w:r w:rsidR="00130A4A" w:rsidRPr="00130A4A">
              <w:rPr>
                <w:b/>
                <w:bCs/>
              </w:rPr>
              <w:t>T</w:t>
            </w:r>
            <w:r w:rsidR="00F55714" w:rsidRPr="00130A4A">
              <w:rPr>
                <w:b/>
                <w:bCs/>
              </w:rPr>
              <w:t>erre</w:t>
            </w:r>
          </w:p>
        </w:tc>
      </w:tr>
      <w:tr w:rsidR="00F55714" w:rsidRPr="002B3506" w:rsidTr="00130A4A">
        <w:trPr>
          <w:trHeight w:val="300"/>
          <w:trPrChange w:id="54" w:author="rancy" w:date="2011-04-20T15:45:00Z">
            <w:trPr>
              <w:gridBefore w:val="1"/>
              <w:trHeight w:val="300"/>
              <w:jc w:val="center"/>
            </w:trPr>
          </w:trPrChange>
        </w:trPr>
        <w:tc>
          <w:tcPr>
            <w:tcW w:w="5104" w:type="dxa"/>
            <w:noWrap/>
            <w:tcMar>
              <w:top w:w="0" w:type="dxa"/>
              <w:left w:w="108" w:type="dxa"/>
              <w:bottom w:w="0" w:type="dxa"/>
              <w:right w:w="108" w:type="dxa"/>
            </w:tcMar>
            <w:hideMark/>
            <w:tcPrChange w:id="55"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EA232C" w:rsidRDefault="00D1596F" w:rsidP="00D1596F">
            <w:pPr>
              <w:pStyle w:val="Tabletext"/>
              <w:rPr>
                <w:rFonts w:eastAsiaTheme="minorEastAsia"/>
              </w:rPr>
            </w:pPr>
            <w:r w:rsidRPr="00EA232C">
              <w:t>A</w:t>
            </w:r>
            <w:r w:rsidR="00F55714" w:rsidRPr="00EA232C">
              <w:t xml:space="preserve">telier </w:t>
            </w:r>
            <w:r w:rsidR="00F55714">
              <w:t>UIT</w:t>
            </w:r>
            <w:r w:rsidR="00F55714" w:rsidRPr="00EA232C">
              <w:t xml:space="preserve">-AICTO de gestion du spectre radioélectrique sur les services de </w:t>
            </w:r>
            <w:r w:rsidR="00F20E43" w:rsidRPr="00EA232C">
              <w:t>T</w:t>
            </w:r>
            <w:r w:rsidR="00F55714" w:rsidRPr="00EA232C">
              <w:t xml:space="preserve">erre </w:t>
            </w:r>
          </w:p>
        </w:tc>
        <w:tc>
          <w:tcPr>
            <w:tcW w:w="1843" w:type="dxa"/>
            <w:noWrap/>
            <w:tcMar>
              <w:top w:w="0" w:type="dxa"/>
              <w:left w:w="108" w:type="dxa"/>
              <w:bottom w:w="0" w:type="dxa"/>
              <w:right w:w="108" w:type="dxa"/>
            </w:tcMar>
            <w:hideMark/>
            <w:tcPrChange w:id="56"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Tunis</w:t>
            </w:r>
          </w:p>
        </w:tc>
        <w:tc>
          <w:tcPr>
            <w:tcW w:w="1950" w:type="dxa"/>
            <w:tcMar>
              <w:top w:w="0" w:type="dxa"/>
              <w:left w:w="108" w:type="dxa"/>
              <w:bottom w:w="0" w:type="dxa"/>
              <w:right w:w="108" w:type="dxa"/>
            </w:tcMar>
            <w:hideMark/>
            <w:tcPrChange w:id="57"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D1596F" w:rsidP="00D1596F">
            <w:pPr>
              <w:pStyle w:val="Tabletext"/>
              <w:rPr>
                <w:rFonts w:eastAsiaTheme="minorEastAsia"/>
              </w:rPr>
            </w:pPr>
            <w:r>
              <w:t xml:space="preserve">18-20 </w:t>
            </w:r>
            <w:r w:rsidR="00F55714">
              <w:t>mai 20</w:t>
            </w:r>
            <w:r w:rsidR="00F55714" w:rsidRPr="002B3506">
              <w:t>10</w:t>
            </w:r>
          </w:p>
        </w:tc>
      </w:tr>
      <w:tr w:rsidR="00F55714" w:rsidRPr="002B3506" w:rsidTr="00130A4A">
        <w:trPr>
          <w:trHeight w:val="507"/>
          <w:trPrChange w:id="58" w:author="rancy" w:date="2011-04-20T15:45:00Z">
            <w:trPr>
              <w:gridBefore w:val="1"/>
              <w:trHeight w:val="507"/>
              <w:jc w:val="center"/>
            </w:trPr>
          </w:trPrChange>
        </w:trPr>
        <w:tc>
          <w:tcPr>
            <w:tcW w:w="5104" w:type="dxa"/>
            <w:noWrap/>
            <w:tcMar>
              <w:top w:w="0" w:type="dxa"/>
              <w:left w:w="108" w:type="dxa"/>
              <w:bottom w:w="0" w:type="dxa"/>
              <w:right w:w="108" w:type="dxa"/>
            </w:tcMar>
            <w:hideMark/>
            <w:tcPrChange w:id="59"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F55714" w:rsidRPr="00EA232C" w:rsidRDefault="00D1596F" w:rsidP="00D1596F">
            <w:pPr>
              <w:pStyle w:val="Tabletext"/>
              <w:rPr>
                <w:rFonts w:eastAsiaTheme="minorEastAsia"/>
              </w:rPr>
            </w:pPr>
            <w:r w:rsidRPr="00EA232C">
              <w:t>A</w:t>
            </w:r>
            <w:r w:rsidR="00F55714" w:rsidRPr="00EA232C">
              <w:t xml:space="preserve">telier CoE-CEI sur le contrôle des émissions radioélectriques et l'amélioration </w:t>
            </w:r>
          </w:p>
        </w:tc>
        <w:tc>
          <w:tcPr>
            <w:tcW w:w="1843" w:type="dxa"/>
            <w:noWrap/>
            <w:tcMar>
              <w:top w:w="0" w:type="dxa"/>
              <w:left w:w="108" w:type="dxa"/>
              <w:bottom w:w="0" w:type="dxa"/>
              <w:right w:w="108" w:type="dxa"/>
            </w:tcMar>
            <w:hideMark/>
            <w:tcPrChange w:id="60"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Kiev</w:t>
            </w:r>
          </w:p>
        </w:tc>
        <w:tc>
          <w:tcPr>
            <w:tcW w:w="1950" w:type="dxa"/>
            <w:tcMar>
              <w:top w:w="0" w:type="dxa"/>
              <w:left w:w="108" w:type="dxa"/>
              <w:bottom w:w="0" w:type="dxa"/>
              <w:right w:w="108" w:type="dxa"/>
            </w:tcMar>
            <w:hideMark/>
            <w:tcPrChange w:id="61"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rsidR="00F55714" w:rsidRPr="002B3506" w:rsidRDefault="00D1596F" w:rsidP="00D1596F">
            <w:pPr>
              <w:pStyle w:val="Tabletext"/>
              <w:rPr>
                <w:rFonts w:eastAsiaTheme="minorEastAsia"/>
              </w:rPr>
            </w:pPr>
            <w:r>
              <w:t xml:space="preserve">7-9 </w:t>
            </w:r>
            <w:r w:rsidR="00F55714">
              <w:t>sept</w:t>
            </w:r>
            <w:r>
              <w:t>.</w:t>
            </w:r>
            <w:r w:rsidR="00F55714">
              <w:t xml:space="preserve"> 20</w:t>
            </w:r>
            <w:r w:rsidR="00F55714" w:rsidRPr="002B3506">
              <w:t>10</w:t>
            </w:r>
          </w:p>
        </w:tc>
      </w:tr>
      <w:tr w:rsidR="00F55714" w:rsidRPr="002B3506" w:rsidTr="00130A4A">
        <w:trPr>
          <w:trHeight w:val="426"/>
          <w:trPrChange w:id="62" w:author="rancy" w:date="2011-04-20T15:45:00Z">
            <w:trPr>
              <w:gridBefore w:val="1"/>
              <w:trHeight w:val="426"/>
              <w:jc w:val="center"/>
            </w:trPr>
          </w:trPrChange>
        </w:trPr>
        <w:tc>
          <w:tcPr>
            <w:tcW w:w="8897" w:type="dxa"/>
            <w:gridSpan w:val="3"/>
            <w:noWrap/>
            <w:tcMar>
              <w:top w:w="0" w:type="dxa"/>
              <w:left w:w="108" w:type="dxa"/>
              <w:bottom w:w="0" w:type="dxa"/>
              <w:right w:w="108" w:type="dxa"/>
            </w:tcMar>
            <w:tcPrChange w:id="63"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F55714" w:rsidRPr="00F20E43" w:rsidRDefault="00F55714" w:rsidP="00F20E43">
            <w:pPr>
              <w:pStyle w:val="Tabletext"/>
              <w:jc w:val="center"/>
              <w:rPr>
                <w:b/>
                <w:bCs/>
              </w:rPr>
            </w:pPr>
            <w:r w:rsidRPr="00F20E43">
              <w:rPr>
                <w:b/>
                <w:bCs/>
              </w:rPr>
              <w:t>Réunions générales</w:t>
            </w:r>
          </w:p>
        </w:tc>
      </w:tr>
      <w:tr w:rsidR="00F55714" w:rsidRPr="002B3506" w:rsidTr="00130A4A">
        <w:trPr>
          <w:trHeight w:val="300"/>
          <w:trPrChange w:id="64" w:author="rancy" w:date="2011-04-20T15:45:00Z">
            <w:trPr>
              <w:gridBefore w:val="1"/>
              <w:trHeight w:val="300"/>
              <w:jc w:val="center"/>
            </w:trPr>
          </w:trPrChange>
        </w:trPr>
        <w:tc>
          <w:tcPr>
            <w:tcW w:w="5104" w:type="dxa"/>
            <w:noWrap/>
            <w:tcMar>
              <w:top w:w="0" w:type="dxa"/>
              <w:left w:w="108" w:type="dxa"/>
              <w:bottom w:w="0" w:type="dxa"/>
              <w:right w:w="108" w:type="dxa"/>
            </w:tcMar>
            <w:hideMark/>
            <w:tcPrChange w:id="65"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EA232C" w:rsidRDefault="00F55714" w:rsidP="00D1596F">
            <w:pPr>
              <w:pStyle w:val="Tabletext"/>
              <w:rPr>
                <w:rFonts w:eastAsiaTheme="minorEastAsia"/>
              </w:rPr>
            </w:pPr>
            <w:r w:rsidRPr="00EA232C">
              <w:t>1</w:t>
            </w:r>
            <w:r w:rsidRPr="00D1596F">
              <w:t>ère réunion</w:t>
            </w:r>
            <w:r w:rsidR="00F0031C">
              <w:t xml:space="preserve"> </w:t>
            </w:r>
            <w:r w:rsidR="00D1596F">
              <w:t>de l'</w:t>
            </w:r>
            <w:r w:rsidRPr="00EA232C">
              <w:t xml:space="preserve">ANCOM sur le dividende numérique </w:t>
            </w:r>
          </w:p>
        </w:tc>
        <w:tc>
          <w:tcPr>
            <w:tcW w:w="1843" w:type="dxa"/>
            <w:noWrap/>
            <w:tcMar>
              <w:top w:w="0" w:type="dxa"/>
              <w:left w:w="108" w:type="dxa"/>
              <w:bottom w:w="0" w:type="dxa"/>
              <w:right w:w="108" w:type="dxa"/>
            </w:tcMar>
            <w:hideMark/>
            <w:tcPrChange w:id="66"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t>Buc</w:t>
            </w:r>
            <w:r w:rsidRPr="002B3506">
              <w:t>arest</w:t>
            </w:r>
          </w:p>
        </w:tc>
        <w:tc>
          <w:tcPr>
            <w:tcW w:w="1950" w:type="dxa"/>
            <w:tcMar>
              <w:top w:w="0" w:type="dxa"/>
              <w:left w:w="108" w:type="dxa"/>
              <w:bottom w:w="0" w:type="dxa"/>
              <w:right w:w="108" w:type="dxa"/>
            </w:tcMar>
            <w:hideMark/>
            <w:tcPrChange w:id="67"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30</w:t>
            </w:r>
            <w:r w:rsidR="00D1596F">
              <w:t xml:space="preserve"> </w:t>
            </w:r>
            <w:r>
              <w:t>mars 20</w:t>
            </w:r>
            <w:r w:rsidRPr="002B3506">
              <w:t>10</w:t>
            </w:r>
          </w:p>
        </w:tc>
      </w:tr>
      <w:tr w:rsidR="00F55714" w:rsidRPr="002B3506" w:rsidTr="00130A4A">
        <w:trPr>
          <w:trHeight w:val="300"/>
          <w:trPrChange w:id="68" w:author="rancy" w:date="2011-04-20T15:45:00Z">
            <w:trPr>
              <w:gridBefore w:val="1"/>
              <w:trHeight w:val="300"/>
              <w:jc w:val="center"/>
            </w:trPr>
          </w:trPrChange>
        </w:trPr>
        <w:tc>
          <w:tcPr>
            <w:tcW w:w="5104" w:type="dxa"/>
            <w:noWrap/>
            <w:tcMar>
              <w:top w:w="0" w:type="dxa"/>
              <w:left w:w="108" w:type="dxa"/>
              <w:bottom w:w="0" w:type="dxa"/>
              <w:right w:w="108" w:type="dxa"/>
            </w:tcMar>
            <w:hideMark/>
            <w:tcPrChange w:id="69"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t xml:space="preserve">Forum </w:t>
            </w:r>
            <w:r w:rsidRPr="002B3506">
              <w:t xml:space="preserve">CRASA/SADC </w:t>
            </w:r>
          </w:p>
        </w:tc>
        <w:tc>
          <w:tcPr>
            <w:tcW w:w="1843" w:type="dxa"/>
            <w:noWrap/>
            <w:tcMar>
              <w:top w:w="0" w:type="dxa"/>
              <w:left w:w="108" w:type="dxa"/>
              <w:bottom w:w="0" w:type="dxa"/>
              <w:right w:w="108" w:type="dxa"/>
            </w:tcMar>
            <w:hideMark/>
            <w:tcPrChange w:id="70"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Maseru</w:t>
            </w:r>
            <w:r>
              <w:t>, Lesotho</w:t>
            </w:r>
          </w:p>
        </w:tc>
        <w:tc>
          <w:tcPr>
            <w:tcW w:w="1950" w:type="dxa"/>
            <w:tcMar>
              <w:top w:w="0" w:type="dxa"/>
              <w:left w:w="108" w:type="dxa"/>
              <w:bottom w:w="0" w:type="dxa"/>
              <w:right w:w="108" w:type="dxa"/>
            </w:tcMar>
            <w:hideMark/>
            <w:tcPrChange w:id="71"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26-28</w:t>
            </w:r>
            <w:r w:rsidR="00D1596F">
              <w:t xml:space="preserve"> </w:t>
            </w:r>
            <w:r>
              <w:t xml:space="preserve">avril </w:t>
            </w:r>
            <w:r w:rsidR="00130A4A">
              <w:t>20</w:t>
            </w:r>
            <w:r w:rsidRPr="002B3506">
              <w:t>10</w:t>
            </w:r>
          </w:p>
        </w:tc>
      </w:tr>
      <w:tr w:rsidR="00F55714" w:rsidRPr="002B3506" w:rsidTr="00130A4A">
        <w:trPr>
          <w:trHeight w:val="300"/>
          <w:trPrChange w:id="72" w:author="rancy" w:date="2011-04-20T15:45:00Z">
            <w:trPr>
              <w:gridBefore w:val="1"/>
              <w:trHeight w:val="300"/>
              <w:jc w:val="center"/>
            </w:trPr>
          </w:trPrChange>
        </w:trPr>
        <w:tc>
          <w:tcPr>
            <w:tcW w:w="5104" w:type="dxa"/>
            <w:noWrap/>
            <w:tcMar>
              <w:top w:w="0" w:type="dxa"/>
              <w:left w:w="108" w:type="dxa"/>
              <w:bottom w:w="0" w:type="dxa"/>
              <w:right w:w="108" w:type="dxa"/>
            </w:tcMar>
            <w:hideMark/>
            <w:tcPrChange w:id="73"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EA232C" w:rsidRDefault="003A08F8" w:rsidP="003A08F8">
            <w:pPr>
              <w:pStyle w:val="Tabletext"/>
            </w:pPr>
            <w:r>
              <w:fldChar w:fldCharType="begin"/>
            </w:r>
            <w:r>
              <w:instrText xml:space="preserve"> HYPERLINK "http://www.itu.int/ITU-D/tech/events/DevelopmentForums/2010/EUR/RDF10_EUR_Program.html" </w:instrText>
            </w:r>
            <w:r>
              <w:fldChar w:fldCharType="separate"/>
            </w:r>
            <w:r w:rsidR="00D1596F" w:rsidRPr="003A08F8">
              <w:rPr>
                <w:rStyle w:val="Hyperlink"/>
              </w:rPr>
              <w:t>F</w:t>
            </w:r>
            <w:r w:rsidR="00F55714" w:rsidRPr="003A08F8">
              <w:rPr>
                <w:rStyle w:val="Hyperlink"/>
              </w:rPr>
              <w:t>orum régio</w:t>
            </w:r>
            <w:r w:rsidR="00130A4A">
              <w:rPr>
                <w:rStyle w:val="Hyperlink"/>
              </w:rPr>
              <w:t>nal de l'UIT-D pour l'</w:t>
            </w:r>
            <w:r w:rsidR="00F55714" w:rsidRPr="003A08F8">
              <w:rPr>
                <w:rStyle w:val="Hyperlink"/>
              </w:rPr>
              <w:t xml:space="preserve">Europe </w:t>
            </w:r>
            <w:r w:rsidRPr="003A08F8">
              <w:rPr>
                <w:rStyle w:val="Hyperlink"/>
              </w:rPr>
              <w:t>et les pays de la CEI</w:t>
            </w:r>
            <w:r>
              <w:rPr>
                <w:rStyle w:val="Hyperlink"/>
              </w:rPr>
              <w:t xml:space="preserve">: </w:t>
            </w:r>
            <w:r w:rsidRPr="003A08F8">
              <w:rPr>
                <w:rStyle w:val="Hyperlink"/>
                <w:lang w:val="fr-CH" w:eastAsia="zh-CN"/>
              </w:rPr>
              <w:t>«</w:t>
            </w:r>
            <w:r w:rsidRPr="003A08F8">
              <w:rPr>
                <w:rStyle w:val="Hyperlink"/>
              </w:rPr>
              <w:t>L</w:t>
            </w:r>
            <w:r w:rsidR="00F55714" w:rsidRPr="003A08F8">
              <w:rPr>
                <w:rStyle w:val="Hyperlink"/>
              </w:rPr>
              <w:t xml:space="preserve">es </w:t>
            </w:r>
            <w:r w:rsidRPr="003A08F8">
              <w:rPr>
                <w:rStyle w:val="Hyperlink"/>
              </w:rPr>
              <w:t>r</w:t>
            </w:r>
            <w:r w:rsidR="00F55714" w:rsidRPr="003A08F8">
              <w:rPr>
                <w:rStyle w:val="Hyperlink"/>
              </w:rPr>
              <w:t>éseaux NGN et le large bande</w:t>
            </w:r>
            <w:r w:rsidRPr="003A08F8">
              <w:rPr>
                <w:rStyle w:val="Hyperlink"/>
                <w:lang w:val="fr-CH" w:eastAsia="zh-CN"/>
              </w:rPr>
              <w:t>»</w:t>
            </w:r>
            <w:r>
              <w:fldChar w:fldCharType="end"/>
            </w:r>
          </w:p>
        </w:tc>
        <w:tc>
          <w:tcPr>
            <w:tcW w:w="1843" w:type="dxa"/>
            <w:noWrap/>
            <w:tcMar>
              <w:top w:w="0" w:type="dxa"/>
              <w:left w:w="108" w:type="dxa"/>
              <w:bottom w:w="0" w:type="dxa"/>
              <w:right w:w="108" w:type="dxa"/>
            </w:tcMar>
            <w:hideMark/>
            <w:tcPrChange w:id="74"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90740D" w:rsidRDefault="00F55714" w:rsidP="00D1596F">
            <w:pPr>
              <w:pStyle w:val="Tabletext"/>
            </w:pPr>
            <w:r w:rsidRPr="0090740D">
              <w:t>Chisinau, Moldova</w:t>
            </w:r>
          </w:p>
        </w:tc>
        <w:tc>
          <w:tcPr>
            <w:tcW w:w="1950" w:type="dxa"/>
            <w:tcMar>
              <w:top w:w="0" w:type="dxa"/>
              <w:left w:w="108" w:type="dxa"/>
              <w:bottom w:w="0" w:type="dxa"/>
              <w:right w:w="108" w:type="dxa"/>
            </w:tcMar>
            <w:hideMark/>
            <w:tcPrChange w:id="75"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130A4A">
            <w:pPr>
              <w:pStyle w:val="Tabletext"/>
            </w:pPr>
            <w:r>
              <w:t>4-6</w:t>
            </w:r>
            <w:r w:rsidR="00130A4A">
              <w:t xml:space="preserve"> </w:t>
            </w:r>
            <w:r>
              <w:t xml:space="preserve">mai </w:t>
            </w:r>
            <w:r w:rsidR="00D1596F">
              <w:t>20</w:t>
            </w:r>
            <w:r>
              <w:t>10</w:t>
            </w:r>
          </w:p>
        </w:tc>
      </w:tr>
      <w:tr w:rsidR="00F55714" w:rsidRPr="002B3506" w:rsidTr="00130A4A">
        <w:trPr>
          <w:trHeight w:val="300"/>
          <w:trPrChange w:id="76" w:author="rancy" w:date="2011-04-20T15:45:00Z">
            <w:trPr>
              <w:gridBefore w:val="1"/>
              <w:trHeight w:val="300"/>
              <w:jc w:val="center"/>
            </w:trPr>
          </w:trPrChange>
        </w:trPr>
        <w:tc>
          <w:tcPr>
            <w:tcW w:w="5104" w:type="dxa"/>
            <w:noWrap/>
            <w:tcMar>
              <w:top w:w="0" w:type="dxa"/>
              <w:left w:w="108" w:type="dxa"/>
              <w:bottom w:w="0" w:type="dxa"/>
              <w:right w:w="108" w:type="dxa"/>
            </w:tcMar>
            <w:hideMark/>
            <w:tcPrChange w:id="77"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3A08F8" w:rsidRDefault="00D1596F" w:rsidP="00D1596F">
            <w:pPr>
              <w:pStyle w:val="Tabletext"/>
              <w:rPr>
                <w:rStyle w:val="Hyperlink"/>
                <w:rFonts w:eastAsiaTheme="minorEastAsia"/>
              </w:rPr>
            </w:pPr>
            <w:r w:rsidRPr="003A08F8">
              <w:rPr>
                <w:rStyle w:val="Hyperlink"/>
              </w:rPr>
              <w:t>Sé</w:t>
            </w:r>
            <w:r w:rsidR="00F55714" w:rsidRPr="003A08F8">
              <w:rPr>
                <w:rStyle w:val="Hyperlink"/>
              </w:rPr>
              <w:t xml:space="preserve">minaire </w:t>
            </w:r>
            <w:r w:rsidR="00F55714" w:rsidRPr="003A08F8">
              <w:rPr>
                <w:rStyle w:val="Hyperlink"/>
              </w:rPr>
              <w:fldChar w:fldCharType="begin"/>
            </w:r>
            <w:r w:rsidR="003A08F8">
              <w:rPr>
                <w:rStyle w:val="Hyperlink"/>
              </w:rPr>
              <w:instrText>HYPERLINK "http://www.itu.int/ITU-R/index.asp?category=conferences&amp;rlink=tashkent-2010&amp;lang=en"</w:instrText>
            </w:r>
            <w:r w:rsidR="00235730" w:rsidRPr="003A08F8">
              <w:rPr>
                <w:rStyle w:val="Hyperlink"/>
              </w:rPr>
            </w:r>
            <w:r w:rsidR="00F55714" w:rsidRPr="003A08F8">
              <w:rPr>
                <w:rStyle w:val="Hyperlink"/>
              </w:rPr>
              <w:fldChar w:fldCharType="separate"/>
            </w:r>
            <w:r w:rsidR="00F55714" w:rsidRPr="003A08F8">
              <w:rPr>
                <w:rStyle w:val="Hyperlink"/>
              </w:rPr>
              <w:t>r</w:t>
            </w:r>
            <w:r w:rsidRPr="003A08F8">
              <w:rPr>
                <w:rStyle w:val="Hyperlink"/>
              </w:rPr>
              <w:t>é</w:t>
            </w:r>
            <w:r w:rsidR="00F55714" w:rsidRPr="003A08F8">
              <w:rPr>
                <w:rStyle w:val="Hyperlink"/>
              </w:rPr>
              <w:t xml:space="preserve">gional (BR/BDT) sur la gestion des fréquences radioélectriques et les orbites de satellites au niveau international </w:t>
            </w:r>
            <w:r w:rsidR="00F55714" w:rsidRPr="003A08F8">
              <w:rPr>
                <w:rStyle w:val="Hyperlink"/>
              </w:rPr>
              <w:fldChar w:fldCharType="end"/>
            </w:r>
          </w:p>
        </w:tc>
        <w:tc>
          <w:tcPr>
            <w:tcW w:w="1843" w:type="dxa"/>
            <w:noWrap/>
            <w:tcMar>
              <w:top w:w="0" w:type="dxa"/>
              <w:left w:w="108" w:type="dxa"/>
              <w:bottom w:w="0" w:type="dxa"/>
              <w:right w:w="108" w:type="dxa"/>
            </w:tcMar>
            <w:hideMark/>
            <w:tcPrChange w:id="78"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2A0AB4">
            <w:pPr>
              <w:pStyle w:val="Tabletext"/>
              <w:rPr>
                <w:rFonts w:eastAsiaTheme="minorEastAsia"/>
              </w:rPr>
            </w:pPr>
            <w:r w:rsidRPr="002B3506">
              <w:t>Ta</w:t>
            </w:r>
            <w:r w:rsidR="002A0AB4">
              <w:t>c</w:t>
            </w:r>
            <w:r w:rsidRPr="002B3506">
              <w:t>hkent</w:t>
            </w:r>
            <w:r w:rsidR="00D1596F">
              <w:t>, O</w:t>
            </w:r>
            <w:r>
              <w:t>uzb</w:t>
            </w:r>
            <w:r w:rsidR="00D1596F">
              <w:t>é</w:t>
            </w:r>
            <w:r>
              <w:t>kistan</w:t>
            </w:r>
          </w:p>
        </w:tc>
        <w:tc>
          <w:tcPr>
            <w:tcW w:w="1950" w:type="dxa"/>
            <w:tcMar>
              <w:top w:w="0" w:type="dxa"/>
              <w:left w:w="108" w:type="dxa"/>
              <w:bottom w:w="0" w:type="dxa"/>
              <w:right w:w="108" w:type="dxa"/>
            </w:tcMar>
            <w:hideMark/>
            <w:tcPrChange w:id="79"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20-23</w:t>
            </w:r>
            <w:r>
              <w:t xml:space="preserve"> juin 20</w:t>
            </w:r>
            <w:r w:rsidRPr="002B3506">
              <w:t>10</w:t>
            </w:r>
          </w:p>
        </w:tc>
      </w:tr>
      <w:tr w:rsidR="00F55714" w:rsidRPr="002B3506" w:rsidTr="00130A4A">
        <w:trPr>
          <w:trHeight w:val="300"/>
          <w:trPrChange w:id="80" w:author="rancy" w:date="2011-04-20T15:45:00Z">
            <w:trPr>
              <w:gridBefore w:val="1"/>
              <w:trHeight w:val="300"/>
              <w:jc w:val="center"/>
            </w:trPr>
          </w:trPrChange>
        </w:trPr>
        <w:tc>
          <w:tcPr>
            <w:tcW w:w="5104" w:type="dxa"/>
            <w:noWrap/>
            <w:tcMar>
              <w:top w:w="0" w:type="dxa"/>
              <w:left w:w="108" w:type="dxa"/>
              <w:bottom w:w="0" w:type="dxa"/>
              <w:right w:w="108" w:type="dxa"/>
            </w:tcMar>
            <w:hideMark/>
            <w:tcPrChange w:id="81"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1718CA" w:rsidRDefault="00DB21BE" w:rsidP="003A08F8">
            <w:pPr>
              <w:pStyle w:val="Tabletext"/>
            </w:pPr>
            <w:r>
              <w:fldChar w:fldCharType="begin"/>
            </w:r>
            <w:r>
              <w:instrText xml:space="preserve"> HYPERLINK "http://www.itu.int/ITU-D/tech/events/DevelopmentForums/2010/AFR/RDF10_AFR_Program.html" </w:instrText>
            </w:r>
            <w:r>
              <w:fldChar w:fldCharType="separate"/>
            </w:r>
            <w:r w:rsidR="00F55714" w:rsidRPr="00DB21BE">
              <w:rPr>
                <w:rStyle w:val="Hyperlink"/>
              </w:rPr>
              <w:t>Forum</w:t>
            </w:r>
            <w:r w:rsidR="00F0031C" w:rsidRPr="00DB21BE">
              <w:rPr>
                <w:rStyle w:val="Hyperlink"/>
              </w:rPr>
              <w:t xml:space="preserve"> </w:t>
            </w:r>
            <w:r w:rsidR="00D1596F" w:rsidRPr="00DB21BE">
              <w:rPr>
                <w:rStyle w:val="Hyperlink"/>
              </w:rPr>
              <w:t xml:space="preserve">régional de </w:t>
            </w:r>
            <w:r w:rsidR="00D1596F" w:rsidRPr="00DB21BE">
              <w:rPr>
                <w:rStyle w:val="Hyperlink"/>
                <w:lang w:val="fr-CH"/>
              </w:rPr>
              <w:t>développement</w:t>
            </w:r>
            <w:r w:rsidR="00D1596F" w:rsidRPr="00DB21BE">
              <w:rPr>
                <w:rStyle w:val="Hyperlink"/>
              </w:rPr>
              <w:t xml:space="preserve"> </w:t>
            </w:r>
            <w:r w:rsidR="00130A4A">
              <w:rPr>
                <w:rStyle w:val="Hyperlink"/>
              </w:rPr>
              <w:t>de l'</w:t>
            </w:r>
            <w:r w:rsidR="00F55714" w:rsidRPr="00DB21BE">
              <w:rPr>
                <w:rStyle w:val="Hyperlink"/>
              </w:rPr>
              <w:t>UIT-D</w:t>
            </w:r>
            <w:r w:rsidR="00F0031C" w:rsidRPr="00DB21BE">
              <w:rPr>
                <w:rStyle w:val="Hyperlink"/>
              </w:rPr>
              <w:t xml:space="preserve"> </w:t>
            </w:r>
            <w:r w:rsidR="00F55714" w:rsidRPr="00DB21BE">
              <w:rPr>
                <w:rStyle w:val="Hyperlink"/>
              </w:rPr>
              <w:t xml:space="preserve">pour la </w:t>
            </w:r>
            <w:r w:rsidR="00D1596F" w:rsidRPr="00DB21BE">
              <w:rPr>
                <w:rStyle w:val="Hyperlink"/>
              </w:rPr>
              <w:t>ré</w:t>
            </w:r>
            <w:r w:rsidR="00F55714" w:rsidRPr="00DB21BE">
              <w:rPr>
                <w:rStyle w:val="Hyperlink"/>
              </w:rPr>
              <w:t xml:space="preserve">gion Afrique: </w:t>
            </w:r>
            <w:r w:rsidR="003A08F8" w:rsidRPr="00DB21BE">
              <w:rPr>
                <w:rStyle w:val="Hyperlink"/>
                <w:lang w:val="fr-CH" w:eastAsia="zh-CN"/>
              </w:rPr>
              <w:t>«</w:t>
            </w:r>
            <w:r w:rsidR="00F55714" w:rsidRPr="00DB21BE">
              <w:rPr>
                <w:rStyle w:val="Hyperlink"/>
              </w:rPr>
              <w:t>Gestion moderne du spectre e</w:t>
            </w:r>
            <w:r w:rsidR="00130A4A">
              <w:rPr>
                <w:rStyle w:val="Hyperlink"/>
              </w:rPr>
              <w:t xml:space="preserve">t passage de la radiodiffusion </w:t>
            </w:r>
            <w:r w:rsidR="00F55714" w:rsidRPr="00DB21BE">
              <w:rPr>
                <w:rStyle w:val="Hyperlink"/>
              </w:rPr>
              <w:t>analogique à la</w:t>
            </w:r>
            <w:r w:rsidR="00F0031C" w:rsidRPr="00DB21BE">
              <w:rPr>
                <w:rStyle w:val="Hyperlink"/>
              </w:rPr>
              <w:t xml:space="preserve"> </w:t>
            </w:r>
            <w:r w:rsidR="00F55714" w:rsidRPr="00DB21BE">
              <w:rPr>
                <w:rStyle w:val="Hyperlink"/>
              </w:rPr>
              <w:t>radiodiffusion numérique</w:t>
            </w:r>
            <w:r w:rsidR="00130A4A">
              <w:rPr>
                <w:rStyle w:val="Hyperlink"/>
              </w:rPr>
              <w:t xml:space="preserve"> </w:t>
            </w:r>
            <w:r w:rsidR="00F55714" w:rsidRPr="00DB21BE">
              <w:rPr>
                <w:rStyle w:val="Hyperlink"/>
              </w:rPr>
              <w:t>- tendances et technologies</w:t>
            </w:r>
            <w:r w:rsidR="003A08F8" w:rsidRPr="00DB21BE">
              <w:rPr>
                <w:rStyle w:val="Hyperlink"/>
              </w:rPr>
              <w:t>»</w:t>
            </w:r>
            <w:r>
              <w:fldChar w:fldCharType="end"/>
            </w:r>
          </w:p>
        </w:tc>
        <w:tc>
          <w:tcPr>
            <w:tcW w:w="1843" w:type="dxa"/>
            <w:noWrap/>
            <w:tcMar>
              <w:top w:w="0" w:type="dxa"/>
              <w:left w:w="108" w:type="dxa"/>
              <w:bottom w:w="0" w:type="dxa"/>
              <w:right w:w="108" w:type="dxa"/>
            </w:tcMar>
            <w:hideMark/>
            <w:tcPrChange w:id="82"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Banjul</w:t>
            </w:r>
            <w:r>
              <w:t>, Gambie</w:t>
            </w:r>
          </w:p>
        </w:tc>
        <w:tc>
          <w:tcPr>
            <w:tcW w:w="1950" w:type="dxa"/>
            <w:tcMar>
              <w:top w:w="0" w:type="dxa"/>
              <w:left w:w="108" w:type="dxa"/>
              <w:bottom w:w="0" w:type="dxa"/>
              <w:right w:w="108" w:type="dxa"/>
            </w:tcMar>
            <w:hideMark/>
            <w:tcPrChange w:id="83"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14-16</w:t>
            </w:r>
            <w:r w:rsidR="00130A4A">
              <w:t xml:space="preserve"> </w:t>
            </w:r>
            <w:r>
              <w:t>juillet 20</w:t>
            </w:r>
            <w:r w:rsidRPr="002B3506">
              <w:t>10</w:t>
            </w:r>
          </w:p>
        </w:tc>
      </w:tr>
      <w:tr w:rsidR="00F55714" w:rsidRPr="002B3506" w:rsidTr="00130A4A">
        <w:trPr>
          <w:trHeight w:val="300"/>
          <w:trPrChange w:id="84" w:author="rancy" w:date="2011-04-20T15:45:00Z">
            <w:trPr>
              <w:gridBefore w:val="1"/>
              <w:trHeight w:val="300"/>
              <w:jc w:val="center"/>
            </w:trPr>
          </w:trPrChange>
        </w:trPr>
        <w:tc>
          <w:tcPr>
            <w:tcW w:w="5104" w:type="dxa"/>
            <w:noWrap/>
            <w:tcMar>
              <w:top w:w="0" w:type="dxa"/>
              <w:left w:w="108" w:type="dxa"/>
              <w:bottom w:w="0" w:type="dxa"/>
              <w:right w:w="108" w:type="dxa"/>
            </w:tcMar>
            <w:hideMark/>
            <w:tcPrChange w:id="85"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1718CA" w:rsidRDefault="00D1596F" w:rsidP="00D1596F">
            <w:pPr>
              <w:pStyle w:val="Tabletext"/>
              <w:rPr>
                <w:rFonts w:eastAsiaTheme="minorEastAsia"/>
              </w:rPr>
            </w:pPr>
            <w:r w:rsidRPr="001718CA">
              <w:t>A</w:t>
            </w:r>
            <w:r w:rsidR="00F55714" w:rsidRPr="001718CA">
              <w:t xml:space="preserve">telier RAPF sur le passage à la radiodiffusion numérique </w:t>
            </w:r>
          </w:p>
        </w:tc>
        <w:tc>
          <w:tcPr>
            <w:tcW w:w="1843" w:type="dxa"/>
            <w:noWrap/>
            <w:tcMar>
              <w:top w:w="0" w:type="dxa"/>
              <w:left w:w="108" w:type="dxa"/>
              <w:bottom w:w="0" w:type="dxa"/>
              <w:right w:w="108" w:type="dxa"/>
            </w:tcMar>
            <w:hideMark/>
            <w:tcPrChange w:id="86"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Bamako</w:t>
            </w:r>
            <w:r>
              <w:t>, Mali</w:t>
            </w:r>
          </w:p>
        </w:tc>
        <w:tc>
          <w:tcPr>
            <w:tcW w:w="1950" w:type="dxa"/>
            <w:tcMar>
              <w:top w:w="0" w:type="dxa"/>
              <w:left w:w="108" w:type="dxa"/>
              <w:bottom w:w="0" w:type="dxa"/>
              <w:right w:w="108" w:type="dxa"/>
            </w:tcMar>
            <w:hideMark/>
            <w:tcPrChange w:id="87"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F55714" w:rsidRPr="00D1596F" w:rsidRDefault="00D1596F" w:rsidP="00F20E43">
            <w:pPr>
              <w:pStyle w:val="Tabletext"/>
              <w:rPr>
                <w:rFonts w:eastAsiaTheme="minorEastAsia"/>
                <w:lang w:val="fr-CH"/>
              </w:rPr>
            </w:pPr>
            <w:r>
              <w:t xml:space="preserve">31 </w:t>
            </w:r>
            <w:r w:rsidR="00F55714">
              <w:t>ao</w:t>
            </w:r>
            <w:r>
              <w:t>û</w:t>
            </w:r>
            <w:r w:rsidR="00F55714">
              <w:t>t</w:t>
            </w:r>
            <w:r>
              <w:t xml:space="preserve"> </w:t>
            </w:r>
            <w:r w:rsidR="00F20E43">
              <w:t>-</w:t>
            </w:r>
            <w:r w:rsidR="00F55714" w:rsidRPr="002B3506">
              <w:t xml:space="preserve"> </w:t>
            </w:r>
            <w:r>
              <w:br/>
            </w:r>
            <w:r w:rsidR="00F55714" w:rsidRPr="002B3506">
              <w:t>4</w:t>
            </w:r>
            <w:r>
              <w:t xml:space="preserve"> </w:t>
            </w:r>
            <w:r w:rsidR="00F55714">
              <w:t>sept</w:t>
            </w:r>
            <w:r>
              <w:t>.</w:t>
            </w:r>
            <w:r w:rsidR="00F55714">
              <w:t xml:space="preserve"> 20</w:t>
            </w:r>
            <w:r w:rsidR="00F55714" w:rsidRPr="002B3506">
              <w:t>10</w:t>
            </w:r>
          </w:p>
        </w:tc>
      </w:tr>
      <w:tr w:rsidR="00F55714" w:rsidRPr="002B3506" w:rsidTr="00130A4A">
        <w:trPr>
          <w:trHeight w:val="300"/>
          <w:trPrChange w:id="88" w:author="rancy" w:date="2011-04-20T15:45:00Z">
            <w:trPr>
              <w:gridBefore w:val="1"/>
              <w:trHeight w:val="300"/>
              <w:jc w:val="center"/>
            </w:trPr>
          </w:trPrChange>
        </w:trPr>
        <w:tc>
          <w:tcPr>
            <w:tcW w:w="5104" w:type="dxa"/>
            <w:noWrap/>
            <w:tcMar>
              <w:top w:w="0" w:type="dxa"/>
              <w:left w:w="108" w:type="dxa"/>
              <w:bottom w:w="0" w:type="dxa"/>
              <w:right w:w="108" w:type="dxa"/>
            </w:tcMar>
            <w:hideMark/>
            <w:tcPrChange w:id="89"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F55714" w:rsidRPr="00935555" w:rsidRDefault="00F55714" w:rsidP="00D1596F">
            <w:pPr>
              <w:pStyle w:val="Tabletext"/>
              <w:rPr>
                <w:rStyle w:val="Hyperlink"/>
                <w:rFonts w:eastAsiaTheme="minorEastAsia"/>
              </w:rPr>
            </w:pPr>
            <w:r w:rsidRPr="00935555">
              <w:rPr>
                <w:rStyle w:val="Hyperlink"/>
              </w:rPr>
              <w:fldChar w:fldCharType="begin"/>
            </w:r>
            <w:r w:rsidR="00935555" w:rsidRPr="00935555">
              <w:rPr>
                <w:rStyle w:val="Hyperlink"/>
              </w:rPr>
              <w:instrText>HYPERLINK "http://www.emceurope.eu/2010/"</w:instrText>
            </w:r>
            <w:r w:rsidR="00235730" w:rsidRPr="00935555">
              <w:rPr>
                <w:rStyle w:val="Hyperlink"/>
              </w:rPr>
            </w:r>
            <w:r w:rsidRPr="00935555">
              <w:rPr>
                <w:rStyle w:val="Hyperlink"/>
              </w:rPr>
              <w:fldChar w:fldCharType="separate"/>
            </w:r>
            <w:r w:rsidRPr="00935555">
              <w:rPr>
                <w:rStyle w:val="Hyperlink"/>
              </w:rPr>
              <w:t>CEM Europe 2010</w:t>
            </w:r>
            <w:r w:rsidRPr="00935555">
              <w:rPr>
                <w:rStyle w:val="Hyperlink"/>
              </w:rPr>
              <w:fldChar w:fldCharType="end"/>
            </w:r>
          </w:p>
        </w:tc>
        <w:tc>
          <w:tcPr>
            <w:tcW w:w="1843" w:type="dxa"/>
            <w:noWrap/>
            <w:tcMar>
              <w:top w:w="0" w:type="dxa"/>
              <w:left w:w="108" w:type="dxa"/>
              <w:bottom w:w="0" w:type="dxa"/>
              <w:right w:w="108" w:type="dxa"/>
            </w:tcMar>
            <w:hideMark/>
            <w:tcPrChange w:id="90"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F55714" w:rsidRPr="002B3506" w:rsidRDefault="00F55714" w:rsidP="00D1596F">
            <w:pPr>
              <w:pStyle w:val="Tabletext"/>
              <w:rPr>
                <w:rFonts w:eastAsiaTheme="minorEastAsia"/>
              </w:rPr>
            </w:pPr>
            <w:r w:rsidRPr="002B3506">
              <w:t>Wroclaw</w:t>
            </w:r>
            <w:r>
              <w:t>, Pol</w:t>
            </w:r>
            <w:r w:rsidR="00D1596F">
              <w:t>ogne</w:t>
            </w:r>
          </w:p>
        </w:tc>
        <w:tc>
          <w:tcPr>
            <w:tcW w:w="1950" w:type="dxa"/>
            <w:tcMar>
              <w:top w:w="0" w:type="dxa"/>
              <w:left w:w="108" w:type="dxa"/>
              <w:bottom w:w="0" w:type="dxa"/>
              <w:right w:w="108" w:type="dxa"/>
            </w:tcMar>
            <w:hideMark/>
            <w:tcPrChange w:id="91"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rsidR="00F55714" w:rsidRPr="00D1596F" w:rsidRDefault="00D1596F" w:rsidP="00D1596F">
            <w:pPr>
              <w:pStyle w:val="Tabletext"/>
              <w:rPr>
                <w:rFonts w:eastAsiaTheme="minorEastAsia"/>
                <w:lang w:val="fr-CH"/>
              </w:rPr>
            </w:pPr>
            <w:r>
              <w:t xml:space="preserve">13-17 </w:t>
            </w:r>
            <w:r w:rsidR="00F55714">
              <w:t>sept</w:t>
            </w:r>
            <w:r>
              <w:t xml:space="preserve">. </w:t>
            </w:r>
            <w:r w:rsidR="00F55714">
              <w:t>2010</w:t>
            </w:r>
          </w:p>
        </w:tc>
      </w:tr>
      <w:tr w:rsidR="00F55714" w:rsidRPr="002B3506" w:rsidTr="00130A4A">
        <w:trPr>
          <w:trHeight w:val="300"/>
          <w:trPrChange w:id="92" w:author="rancy" w:date="2011-04-20T15:45:00Z">
            <w:trPr>
              <w:gridBefore w:val="1"/>
              <w:trHeight w:val="300"/>
              <w:jc w:val="center"/>
            </w:trPr>
          </w:trPrChange>
        </w:trPr>
        <w:tc>
          <w:tcPr>
            <w:tcW w:w="5104" w:type="dxa"/>
            <w:noWrap/>
            <w:tcMar>
              <w:top w:w="0" w:type="dxa"/>
              <w:left w:w="108" w:type="dxa"/>
              <w:bottom w:w="0" w:type="dxa"/>
              <w:right w:w="108" w:type="dxa"/>
            </w:tcMar>
            <w:hideMark/>
            <w:tcPrChange w:id="93"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F55714" w:rsidRPr="00935555" w:rsidRDefault="00F55714" w:rsidP="00D1596F">
            <w:pPr>
              <w:pStyle w:val="Tabletext"/>
              <w:rPr>
                <w:rStyle w:val="Hyperlink"/>
              </w:rPr>
            </w:pPr>
            <w:r w:rsidRPr="00935555">
              <w:rPr>
                <w:rStyle w:val="Hyperlink"/>
              </w:rPr>
              <w:t>Colloque de l'</w:t>
            </w:r>
            <w:r w:rsidRPr="00935555">
              <w:rPr>
                <w:rStyle w:val="Hyperlink"/>
              </w:rPr>
              <w:fldChar w:fldCharType="begin"/>
            </w:r>
            <w:r w:rsidRPr="00935555">
              <w:rPr>
                <w:rStyle w:val="Hyperlink"/>
              </w:rPr>
              <w:instrText xml:space="preserve"> HYPERLINK "http://www.itu.int/ITU-T/worksem/climatechange/201011/index.html" </w:instrText>
            </w:r>
            <w:r w:rsidR="00235730" w:rsidRPr="00935555">
              <w:rPr>
                <w:rStyle w:val="Hyperlink"/>
              </w:rPr>
            </w:r>
            <w:r w:rsidRPr="00935555">
              <w:rPr>
                <w:rStyle w:val="Hyperlink"/>
              </w:rPr>
              <w:fldChar w:fldCharType="separate"/>
            </w:r>
            <w:r w:rsidRPr="00935555">
              <w:rPr>
                <w:rStyle w:val="Hyperlink"/>
              </w:rPr>
              <w:t>UIT sur les TIC,</w:t>
            </w:r>
            <w:r w:rsidR="00130A4A">
              <w:rPr>
                <w:rStyle w:val="Hyperlink"/>
              </w:rPr>
              <w:t xml:space="preserve"> </w:t>
            </w:r>
            <w:r w:rsidRPr="00935555">
              <w:rPr>
                <w:rStyle w:val="Hyperlink"/>
              </w:rPr>
              <w:t xml:space="preserve">l'environnement et les changements climatiques </w:t>
            </w:r>
            <w:r w:rsidRPr="00935555">
              <w:rPr>
                <w:rStyle w:val="Hyperlink"/>
              </w:rPr>
              <w:fldChar w:fldCharType="end"/>
            </w:r>
          </w:p>
        </w:tc>
        <w:tc>
          <w:tcPr>
            <w:tcW w:w="1843" w:type="dxa"/>
            <w:noWrap/>
            <w:tcMar>
              <w:top w:w="0" w:type="dxa"/>
              <w:left w:w="108" w:type="dxa"/>
              <w:bottom w:w="0" w:type="dxa"/>
              <w:right w:w="108" w:type="dxa"/>
            </w:tcMar>
            <w:hideMark/>
            <w:tcPrChange w:id="94"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F55714" w:rsidRPr="0090740D" w:rsidRDefault="00F55714" w:rsidP="00D1596F">
            <w:pPr>
              <w:pStyle w:val="Tabletext"/>
            </w:pPr>
            <w:r>
              <w:t>Le Caire</w:t>
            </w:r>
          </w:p>
        </w:tc>
        <w:tc>
          <w:tcPr>
            <w:tcW w:w="1950" w:type="dxa"/>
            <w:tcMar>
              <w:top w:w="0" w:type="dxa"/>
              <w:left w:w="108" w:type="dxa"/>
              <w:bottom w:w="0" w:type="dxa"/>
              <w:right w:w="108" w:type="dxa"/>
            </w:tcMar>
            <w:hideMark/>
            <w:tcPrChange w:id="95"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rsidR="00F55714" w:rsidRPr="0090740D" w:rsidRDefault="00F55714" w:rsidP="00D1596F">
            <w:pPr>
              <w:pStyle w:val="Tabletext"/>
            </w:pPr>
            <w:r w:rsidRPr="0090740D">
              <w:t>2-3</w:t>
            </w:r>
            <w:r w:rsidR="00D1596F">
              <w:t xml:space="preserve"> </w:t>
            </w:r>
            <w:r>
              <w:t>nov</w:t>
            </w:r>
            <w:r w:rsidR="00D1596F">
              <w:t>.</w:t>
            </w:r>
            <w:r>
              <w:t xml:space="preserve"> 20</w:t>
            </w:r>
            <w:r w:rsidRPr="0090740D">
              <w:t>10</w:t>
            </w:r>
          </w:p>
        </w:tc>
      </w:tr>
      <w:tr w:rsidR="00F55714" w:rsidRPr="002B3506" w:rsidTr="00130A4A">
        <w:trPr>
          <w:trHeight w:val="300"/>
          <w:trPrChange w:id="96" w:author="rancy" w:date="2011-04-20T15:45:00Z">
            <w:trPr>
              <w:gridBefore w:val="1"/>
              <w:trHeight w:val="300"/>
              <w:jc w:val="center"/>
            </w:trPr>
          </w:trPrChange>
        </w:trPr>
        <w:tc>
          <w:tcPr>
            <w:tcW w:w="5104" w:type="dxa"/>
            <w:noWrap/>
            <w:tcMar>
              <w:top w:w="0" w:type="dxa"/>
              <w:left w:w="108" w:type="dxa"/>
              <w:bottom w:w="0" w:type="dxa"/>
              <w:right w:w="108" w:type="dxa"/>
            </w:tcMar>
            <w:hideMark/>
            <w:tcPrChange w:id="97"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F55714" w:rsidRPr="001718CA" w:rsidRDefault="003B11CF" w:rsidP="00BB0C93">
            <w:pPr>
              <w:pStyle w:val="Tabletext"/>
              <w:keepNext/>
              <w:keepLines/>
            </w:pPr>
            <w:r>
              <w:fldChar w:fldCharType="begin"/>
            </w:r>
            <w:r>
              <w:instrText xml:space="preserve"> HYPERLINK "http://www.itu.int/ITU-D/tech/events/DevelopmentForums/2010/ARB/RDF10_ARB_Program.html" </w:instrText>
            </w:r>
            <w:r>
              <w:fldChar w:fldCharType="separate"/>
            </w:r>
            <w:r w:rsidR="00D1596F" w:rsidRPr="003B11CF">
              <w:rPr>
                <w:rStyle w:val="Hyperlink"/>
              </w:rPr>
              <w:t>F</w:t>
            </w:r>
            <w:r w:rsidR="00F55714" w:rsidRPr="003B11CF">
              <w:rPr>
                <w:rStyle w:val="Hyperlink"/>
              </w:rPr>
              <w:t xml:space="preserve">orum régional </w:t>
            </w:r>
            <w:r>
              <w:rPr>
                <w:rStyle w:val="Hyperlink"/>
              </w:rPr>
              <w:t xml:space="preserve">de </w:t>
            </w:r>
            <w:r w:rsidRPr="003B11CF">
              <w:rPr>
                <w:rStyle w:val="Hyperlink"/>
                <w:lang w:val="fr-CH"/>
              </w:rPr>
              <w:t>développement</w:t>
            </w:r>
            <w:r>
              <w:rPr>
                <w:rStyle w:val="Hyperlink"/>
              </w:rPr>
              <w:t xml:space="preserve"> </w:t>
            </w:r>
            <w:r w:rsidR="00F55714" w:rsidRPr="003B11CF">
              <w:rPr>
                <w:rStyle w:val="Hyperlink"/>
              </w:rPr>
              <w:t xml:space="preserve">de l'UIT-D pour </w:t>
            </w:r>
            <w:r>
              <w:rPr>
                <w:rStyle w:val="Hyperlink"/>
              </w:rPr>
              <w:t>les E</w:t>
            </w:r>
            <w:r w:rsidR="00F55714" w:rsidRPr="003B11CF">
              <w:rPr>
                <w:rStyle w:val="Hyperlink"/>
              </w:rPr>
              <w:t>tats arabes</w:t>
            </w:r>
            <w:r w:rsidRPr="003B11CF">
              <w:rPr>
                <w:rStyle w:val="Hyperlink"/>
              </w:rPr>
              <w:t>:</w:t>
            </w:r>
            <w:r>
              <w:rPr>
                <w:rStyle w:val="Hyperlink"/>
              </w:rPr>
              <w:t xml:space="preserve"> </w:t>
            </w:r>
            <w:r w:rsidRPr="003B11CF">
              <w:rPr>
                <w:rStyle w:val="Hyperlink"/>
                <w:lang w:val="fr-CH" w:eastAsia="zh-CN"/>
              </w:rPr>
              <w:t>«L</w:t>
            </w:r>
            <w:r w:rsidRPr="003B11CF">
              <w:rPr>
                <w:rStyle w:val="Hyperlink"/>
              </w:rPr>
              <w:t>es r</w:t>
            </w:r>
            <w:r w:rsidR="00F55714" w:rsidRPr="003B11CF">
              <w:rPr>
                <w:rStyle w:val="Hyperlink"/>
              </w:rPr>
              <w:t>éseaux NGN et le large bande</w:t>
            </w:r>
            <w:r w:rsidRPr="003B11CF">
              <w:rPr>
                <w:rStyle w:val="Hyperlink"/>
                <w:lang w:val="fr-CH" w:eastAsia="zh-CN"/>
              </w:rPr>
              <w:t>»</w:t>
            </w:r>
            <w:r>
              <w:fldChar w:fldCharType="end"/>
            </w:r>
          </w:p>
        </w:tc>
        <w:tc>
          <w:tcPr>
            <w:tcW w:w="1843" w:type="dxa"/>
            <w:noWrap/>
            <w:tcMar>
              <w:top w:w="0" w:type="dxa"/>
              <w:left w:w="108" w:type="dxa"/>
              <w:bottom w:w="0" w:type="dxa"/>
              <w:right w:w="108" w:type="dxa"/>
            </w:tcMar>
            <w:hideMark/>
            <w:tcPrChange w:id="98"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F55714" w:rsidRPr="0090740D" w:rsidRDefault="00F55714" w:rsidP="00BB0C93">
            <w:pPr>
              <w:pStyle w:val="Tabletext"/>
              <w:keepNext/>
              <w:keepLines/>
            </w:pPr>
            <w:r>
              <w:t>Le Caire</w:t>
            </w:r>
          </w:p>
        </w:tc>
        <w:tc>
          <w:tcPr>
            <w:tcW w:w="1950" w:type="dxa"/>
            <w:tcMar>
              <w:top w:w="0" w:type="dxa"/>
              <w:left w:w="108" w:type="dxa"/>
              <w:bottom w:w="0" w:type="dxa"/>
              <w:right w:w="108" w:type="dxa"/>
            </w:tcMar>
            <w:hideMark/>
            <w:tcPrChange w:id="99"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rsidR="00F55714" w:rsidRPr="0090740D" w:rsidRDefault="00F55714" w:rsidP="00BB0C93">
            <w:pPr>
              <w:pStyle w:val="Tabletext"/>
              <w:keepNext/>
              <w:keepLines/>
            </w:pPr>
            <w:r>
              <w:t>13-15</w:t>
            </w:r>
            <w:r w:rsidR="00D1596F">
              <w:t xml:space="preserve"> </w:t>
            </w:r>
            <w:r>
              <w:t>déc</w:t>
            </w:r>
            <w:r w:rsidR="00D1596F">
              <w:t>.</w:t>
            </w:r>
            <w:r>
              <w:t xml:space="preserve"> 2010</w:t>
            </w:r>
          </w:p>
        </w:tc>
      </w:tr>
      <w:tr w:rsidR="00F55714" w:rsidRPr="002B3506" w:rsidTr="00130A4A">
        <w:trPr>
          <w:trHeight w:val="300"/>
        </w:trPr>
        <w:tc>
          <w:tcPr>
            <w:tcW w:w="5104" w:type="dxa"/>
            <w:noWrap/>
            <w:tcMar>
              <w:top w:w="0" w:type="dxa"/>
              <w:left w:w="108" w:type="dxa"/>
              <w:bottom w:w="0" w:type="dxa"/>
              <w:right w:w="108" w:type="dxa"/>
            </w:tcMar>
          </w:tcPr>
          <w:p w:rsidR="00F55714" w:rsidRPr="001718CA" w:rsidRDefault="00F55714" w:rsidP="00BB0C93">
            <w:pPr>
              <w:pStyle w:val="Tabletext"/>
              <w:keepNext/>
              <w:keepLines/>
            </w:pPr>
            <w:r w:rsidRPr="001718CA">
              <w:t xml:space="preserve">Atelier </w:t>
            </w:r>
            <w:r>
              <w:t>UIT</w:t>
            </w:r>
            <w:r w:rsidRPr="001718CA">
              <w:t>-ANFR</w:t>
            </w:r>
            <w:r>
              <w:t xml:space="preserve"> </w:t>
            </w:r>
            <w:r w:rsidRPr="001718CA">
              <w:t xml:space="preserve">sur la gestion du spectre dans les Iles du Pacifique </w:t>
            </w:r>
          </w:p>
        </w:tc>
        <w:tc>
          <w:tcPr>
            <w:tcW w:w="1843" w:type="dxa"/>
            <w:noWrap/>
            <w:tcMar>
              <w:top w:w="0" w:type="dxa"/>
              <w:left w:w="108" w:type="dxa"/>
              <w:bottom w:w="0" w:type="dxa"/>
              <w:right w:w="108" w:type="dxa"/>
            </w:tcMar>
          </w:tcPr>
          <w:p w:rsidR="00F55714" w:rsidRPr="002B3506" w:rsidRDefault="00F55714" w:rsidP="00BB0C93">
            <w:pPr>
              <w:pStyle w:val="Tabletext"/>
              <w:keepNext/>
              <w:keepLines/>
            </w:pPr>
            <w:r>
              <w:t xml:space="preserve">Nouméa, </w:t>
            </w:r>
            <w:r w:rsidR="00D1596F">
              <w:t>N</w:t>
            </w:r>
            <w:r>
              <w:t xml:space="preserve">ouvelle-Calédonie </w:t>
            </w:r>
          </w:p>
        </w:tc>
        <w:tc>
          <w:tcPr>
            <w:tcW w:w="1950" w:type="dxa"/>
            <w:tcMar>
              <w:top w:w="0" w:type="dxa"/>
              <w:left w:w="108" w:type="dxa"/>
              <w:bottom w:w="0" w:type="dxa"/>
              <w:right w:w="108" w:type="dxa"/>
            </w:tcMar>
          </w:tcPr>
          <w:p w:rsidR="00F55714" w:rsidRPr="002B3506" w:rsidRDefault="00C500F9" w:rsidP="00BB0C93">
            <w:pPr>
              <w:pStyle w:val="Tabletext"/>
              <w:keepNext/>
              <w:keepLines/>
            </w:pPr>
            <w:r>
              <w:t xml:space="preserve">11-15 </w:t>
            </w:r>
            <w:r w:rsidR="00F55714">
              <w:t>avril 2011</w:t>
            </w:r>
          </w:p>
        </w:tc>
      </w:tr>
      <w:tr w:rsidR="00F55714" w:rsidRPr="002B3506" w:rsidTr="00130A4A">
        <w:trPr>
          <w:trHeight w:val="300"/>
        </w:trPr>
        <w:tc>
          <w:tcPr>
            <w:tcW w:w="5104" w:type="dxa"/>
            <w:noWrap/>
            <w:tcMar>
              <w:top w:w="0" w:type="dxa"/>
              <w:left w:w="108" w:type="dxa"/>
              <w:bottom w:w="0" w:type="dxa"/>
              <w:right w:w="108" w:type="dxa"/>
            </w:tcMar>
          </w:tcPr>
          <w:p w:rsidR="00F55714" w:rsidRPr="001718CA" w:rsidRDefault="00D1596F" w:rsidP="00D1596F">
            <w:pPr>
              <w:pStyle w:val="Tabletext"/>
            </w:pPr>
            <w:r w:rsidRPr="00EA232C">
              <w:t>A</w:t>
            </w:r>
            <w:r w:rsidR="00F55714" w:rsidRPr="00EA232C">
              <w:t xml:space="preserve">telier </w:t>
            </w:r>
            <w:r w:rsidR="00F55714">
              <w:t>UIT</w:t>
            </w:r>
            <w:r w:rsidR="00F55714" w:rsidRPr="00EA232C">
              <w:t xml:space="preserve">-AICTO </w:t>
            </w:r>
            <w:r w:rsidR="00F55714">
              <w:t xml:space="preserve">sur la </w:t>
            </w:r>
            <w:r w:rsidR="00F55714" w:rsidRPr="00EA232C">
              <w:t xml:space="preserve">gestion du spectre radioélectrique </w:t>
            </w:r>
            <w:r w:rsidR="00F55714">
              <w:t>pour</w:t>
            </w:r>
            <w:r w:rsidR="00F55714" w:rsidRPr="00EA232C">
              <w:t xml:space="preserve"> les services de </w:t>
            </w:r>
            <w:r w:rsidR="003B11CF" w:rsidRPr="00EA232C">
              <w:t>T</w:t>
            </w:r>
            <w:r w:rsidR="00F55714" w:rsidRPr="00EA232C">
              <w:t>erre</w:t>
            </w:r>
          </w:p>
        </w:tc>
        <w:tc>
          <w:tcPr>
            <w:tcW w:w="1843" w:type="dxa"/>
            <w:noWrap/>
            <w:tcMar>
              <w:top w:w="0" w:type="dxa"/>
              <w:left w:w="108" w:type="dxa"/>
              <w:bottom w:w="0" w:type="dxa"/>
              <w:right w:w="108" w:type="dxa"/>
            </w:tcMar>
          </w:tcPr>
          <w:p w:rsidR="00F55714" w:rsidRDefault="00F55714" w:rsidP="00D1596F">
            <w:pPr>
              <w:pStyle w:val="Tabletext"/>
            </w:pPr>
            <w:r>
              <w:t>Amman, Jordanie</w:t>
            </w:r>
          </w:p>
        </w:tc>
        <w:tc>
          <w:tcPr>
            <w:tcW w:w="1950" w:type="dxa"/>
            <w:tcMar>
              <w:top w:w="0" w:type="dxa"/>
              <w:left w:w="108" w:type="dxa"/>
              <w:bottom w:w="0" w:type="dxa"/>
              <w:right w:w="108" w:type="dxa"/>
            </w:tcMar>
          </w:tcPr>
          <w:p w:rsidR="00F55714" w:rsidRDefault="00C500F9" w:rsidP="00D1596F">
            <w:pPr>
              <w:pStyle w:val="Tabletext"/>
            </w:pPr>
            <w:r>
              <w:t xml:space="preserve">10-12 </w:t>
            </w:r>
            <w:r w:rsidR="00F55714">
              <w:t>mai 2011</w:t>
            </w:r>
          </w:p>
        </w:tc>
      </w:tr>
      <w:tr w:rsidR="00F55714" w:rsidRPr="002B3506" w:rsidTr="00130A4A">
        <w:trPr>
          <w:trHeight w:val="300"/>
        </w:trPr>
        <w:tc>
          <w:tcPr>
            <w:tcW w:w="5104" w:type="dxa"/>
            <w:noWrap/>
            <w:tcMar>
              <w:top w:w="0" w:type="dxa"/>
              <w:left w:w="108" w:type="dxa"/>
              <w:bottom w:w="0" w:type="dxa"/>
              <w:right w:w="108" w:type="dxa"/>
            </w:tcMar>
          </w:tcPr>
          <w:p w:rsidR="00F55714" w:rsidRPr="0062139F" w:rsidRDefault="00F55714" w:rsidP="00D1596F">
            <w:pPr>
              <w:pStyle w:val="Tabletext"/>
            </w:pPr>
            <w:r w:rsidRPr="0062139F">
              <w:t xml:space="preserve">Atelier sur la gestion régionale du spectre et le passage à la radiodiffusion DTTB </w:t>
            </w:r>
          </w:p>
        </w:tc>
        <w:tc>
          <w:tcPr>
            <w:tcW w:w="1843" w:type="dxa"/>
            <w:noWrap/>
            <w:tcMar>
              <w:top w:w="0" w:type="dxa"/>
              <w:left w:w="108" w:type="dxa"/>
              <w:bottom w:w="0" w:type="dxa"/>
              <w:right w:w="108" w:type="dxa"/>
            </w:tcMar>
          </w:tcPr>
          <w:p w:rsidR="00F55714" w:rsidRDefault="00F55714" w:rsidP="00D1596F">
            <w:pPr>
              <w:pStyle w:val="Tabletext"/>
            </w:pPr>
            <w:r>
              <w:t>Hanoi, Viet</w:t>
            </w:r>
            <w:r w:rsidR="00D1596F">
              <w:t xml:space="preserve"> N</w:t>
            </w:r>
            <w:r>
              <w:t>am</w:t>
            </w:r>
          </w:p>
        </w:tc>
        <w:tc>
          <w:tcPr>
            <w:tcW w:w="1950" w:type="dxa"/>
            <w:tcMar>
              <w:top w:w="0" w:type="dxa"/>
              <w:left w:w="108" w:type="dxa"/>
              <w:bottom w:w="0" w:type="dxa"/>
              <w:right w:w="108" w:type="dxa"/>
            </w:tcMar>
          </w:tcPr>
          <w:p w:rsidR="00F55714" w:rsidRDefault="00C500F9" w:rsidP="00D1596F">
            <w:pPr>
              <w:pStyle w:val="Tabletext"/>
            </w:pPr>
            <w:r>
              <w:t xml:space="preserve">26-27 </w:t>
            </w:r>
            <w:r w:rsidR="00F55714">
              <w:t>mai 2011</w:t>
            </w:r>
          </w:p>
        </w:tc>
      </w:tr>
      <w:tr w:rsidR="00F55714" w:rsidRPr="003C73D8" w:rsidTr="00130A4A">
        <w:trPr>
          <w:trHeight w:val="300"/>
          <w:trPrChange w:id="100" w:author="rancy" w:date="2011-04-20T15:45:00Z">
            <w:trPr>
              <w:gridBefore w:val="1"/>
              <w:trHeight w:val="300"/>
              <w:jc w:val="center"/>
            </w:trPr>
          </w:trPrChange>
        </w:trPr>
        <w:tc>
          <w:tcPr>
            <w:tcW w:w="8897" w:type="dxa"/>
            <w:gridSpan w:val="3"/>
            <w:noWrap/>
            <w:tcMar>
              <w:top w:w="0" w:type="dxa"/>
              <w:left w:w="108" w:type="dxa"/>
              <w:bottom w:w="0" w:type="dxa"/>
              <w:right w:w="108" w:type="dxa"/>
            </w:tcMar>
            <w:tcPrChange w:id="101"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F55714" w:rsidRPr="00130A4A" w:rsidRDefault="00F55714" w:rsidP="00130A4A">
            <w:pPr>
              <w:pStyle w:val="Tabletext"/>
              <w:jc w:val="center"/>
              <w:rPr>
                <w:b/>
                <w:bCs/>
              </w:rPr>
            </w:pPr>
            <w:r w:rsidRPr="00130A4A">
              <w:rPr>
                <w:b/>
                <w:bCs/>
              </w:rPr>
              <w:t>Questions relatives aux commissions d'études</w:t>
            </w:r>
          </w:p>
        </w:tc>
      </w:tr>
      <w:tr w:rsidR="00F55714" w:rsidRPr="002B3506" w:rsidTr="00130A4A">
        <w:trPr>
          <w:trHeight w:val="300"/>
          <w:trPrChange w:id="102" w:author="rancy" w:date="2011-04-20T15:45:00Z">
            <w:trPr>
              <w:gridBefore w:val="1"/>
              <w:trHeight w:val="300"/>
              <w:jc w:val="center"/>
            </w:trPr>
          </w:trPrChange>
        </w:trPr>
        <w:tc>
          <w:tcPr>
            <w:tcW w:w="5104" w:type="dxa"/>
            <w:noWrap/>
            <w:tcMar>
              <w:top w:w="0" w:type="dxa"/>
              <w:left w:w="108" w:type="dxa"/>
              <w:bottom w:w="0" w:type="dxa"/>
              <w:right w:w="108" w:type="dxa"/>
            </w:tcMar>
            <w:hideMark/>
            <w:tcPrChange w:id="103"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F55714" w:rsidRPr="00D1596F" w:rsidRDefault="00F55714" w:rsidP="00D1596F">
            <w:pPr>
              <w:pStyle w:val="Tabletext"/>
              <w:rPr>
                <w:rFonts w:eastAsiaTheme="minorEastAsia"/>
              </w:rPr>
            </w:pPr>
            <w:r w:rsidRPr="00D1596F">
              <w:t>Atelier conjoint UIT/UER sur l'accessibilité de la radiodiffusion et de la TVIP - L'</w:t>
            </w:r>
            <w:r w:rsidR="003B11CF" w:rsidRPr="00D1596F">
              <w:t>accès pour tous</w:t>
            </w:r>
            <w:bookmarkStart w:id="104" w:name="_GoBack"/>
            <w:bookmarkEnd w:id="104"/>
          </w:p>
        </w:tc>
        <w:tc>
          <w:tcPr>
            <w:tcW w:w="1843" w:type="dxa"/>
            <w:noWrap/>
            <w:tcMar>
              <w:top w:w="0" w:type="dxa"/>
              <w:left w:w="108" w:type="dxa"/>
              <w:bottom w:w="0" w:type="dxa"/>
              <w:right w:w="108" w:type="dxa"/>
            </w:tcMar>
            <w:hideMark/>
            <w:tcPrChange w:id="105"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F55714" w:rsidRPr="002B3506" w:rsidRDefault="00D1596F" w:rsidP="00D1596F">
            <w:pPr>
              <w:pStyle w:val="Tabletext"/>
              <w:rPr>
                <w:rFonts w:eastAsiaTheme="minorEastAsia"/>
              </w:rPr>
            </w:pPr>
            <w:r>
              <w:t>Genè</w:t>
            </w:r>
            <w:r w:rsidR="00F55714" w:rsidRPr="002B3506">
              <w:t>v</w:t>
            </w:r>
            <w:r w:rsidR="00F55714">
              <w:t>e</w:t>
            </w:r>
          </w:p>
        </w:tc>
        <w:tc>
          <w:tcPr>
            <w:tcW w:w="1950" w:type="dxa"/>
            <w:tcMar>
              <w:top w:w="0" w:type="dxa"/>
              <w:left w:w="108" w:type="dxa"/>
              <w:bottom w:w="0" w:type="dxa"/>
              <w:right w:w="108" w:type="dxa"/>
            </w:tcMar>
            <w:hideMark/>
            <w:tcPrChange w:id="106"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F55714" w:rsidRPr="002B3506" w:rsidRDefault="00C500F9" w:rsidP="00C500F9">
            <w:pPr>
              <w:pStyle w:val="Tabletext"/>
              <w:rPr>
                <w:rFonts w:eastAsiaTheme="minorEastAsia"/>
              </w:rPr>
            </w:pPr>
            <w:r>
              <w:t xml:space="preserve">23-24 </w:t>
            </w:r>
            <w:r w:rsidR="00F55714">
              <w:t>nov</w:t>
            </w:r>
            <w:r>
              <w:t>.</w:t>
            </w:r>
            <w:r w:rsidR="00F55714">
              <w:t xml:space="preserve"> 20</w:t>
            </w:r>
            <w:r w:rsidR="00F55714" w:rsidRPr="002B3506">
              <w:t>10</w:t>
            </w:r>
          </w:p>
        </w:tc>
      </w:tr>
    </w:tbl>
    <w:p w:rsidR="00FC5B70" w:rsidRDefault="00FC5B70" w:rsidP="00450B70">
      <w:pPr>
        <w:pStyle w:val="Normalaftertitle"/>
        <w:rPr>
          <w:rFonts w:eastAsiaTheme="minorEastAsia"/>
        </w:rPr>
      </w:pPr>
      <w:r>
        <w:rPr>
          <w:rFonts w:eastAsiaTheme="minorEastAsia"/>
        </w:rPr>
        <w:br w:type="page"/>
      </w:r>
    </w:p>
    <w:p w:rsidR="00F55714" w:rsidRPr="00450B70" w:rsidRDefault="00F55714" w:rsidP="00450B70">
      <w:pPr>
        <w:pStyle w:val="Normalaftertitle"/>
        <w:rPr>
          <w:rFonts w:ascii="Segoe UI" w:hAnsi="Segoe UI" w:cs="Segoe UI"/>
          <w:color w:val="333333"/>
          <w:sz w:val="18"/>
          <w:szCs w:val="18"/>
          <w:lang w:eastAsia="zh-CN"/>
        </w:rPr>
      </w:pPr>
      <w:r w:rsidRPr="0062139F">
        <w:rPr>
          <w:rFonts w:eastAsiaTheme="minorEastAsia"/>
        </w:rPr>
        <w:t xml:space="preserve">En outre, le </w:t>
      </w:r>
      <w:r w:rsidR="00450B70" w:rsidRPr="0062139F">
        <w:rPr>
          <w:rFonts w:eastAsiaTheme="minorEastAsia"/>
        </w:rPr>
        <w:t>D</w:t>
      </w:r>
      <w:r w:rsidRPr="0062139F">
        <w:rPr>
          <w:rFonts w:eastAsiaTheme="minorEastAsia"/>
        </w:rPr>
        <w:t xml:space="preserve">épartement des services spatiaux du BR a </w:t>
      </w:r>
      <w:r w:rsidR="00450B70">
        <w:rPr>
          <w:rFonts w:eastAsiaTheme="minorEastAsia"/>
        </w:rPr>
        <w:t xml:space="preserve">organisé </w:t>
      </w:r>
      <w:r w:rsidRPr="0062139F">
        <w:rPr>
          <w:rFonts w:eastAsiaTheme="minorEastAsia"/>
        </w:rPr>
        <w:t xml:space="preserve">à Genève des réunions et des ateliers avec des représentants du Venezuela, des Pays-Bas et de la Bolivie pendant </w:t>
      </w:r>
      <w:r w:rsidR="00450B70">
        <w:rPr>
          <w:rFonts w:eastAsiaTheme="minorEastAsia"/>
        </w:rPr>
        <w:t>le premier semestre de 2010 et a</w:t>
      </w:r>
      <w:r w:rsidRPr="0062139F">
        <w:rPr>
          <w:rFonts w:eastAsiaTheme="minorEastAsia"/>
        </w:rPr>
        <w:t xml:space="preserve"> particip</w:t>
      </w:r>
      <w:r w:rsidR="00450B70">
        <w:rPr>
          <w:rFonts w:eastAsiaTheme="minorEastAsia"/>
        </w:rPr>
        <w:t>é</w:t>
      </w:r>
      <w:r w:rsidRPr="0062139F">
        <w:rPr>
          <w:rFonts w:eastAsiaTheme="minorEastAsia"/>
        </w:rPr>
        <w:t xml:space="preserve"> à l'atelier ONU/OOSA/ESA sur les petits satellites </w:t>
      </w:r>
      <w:r>
        <w:rPr>
          <w:rFonts w:eastAsiaTheme="minorEastAsia"/>
        </w:rPr>
        <w:t>(</w:t>
      </w:r>
      <w:r w:rsidR="00450B70">
        <w:rPr>
          <w:rFonts w:eastAsiaTheme="minorEastAsia"/>
        </w:rPr>
        <w:t>G</w:t>
      </w:r>
      <w:r>
        <w:rPr>
          <w:rFonts w:eastAsiaTheme="minorEastAsia"/>
        </w:rPr>
        <w:t>r</w:t>
      </w:r>
      <w:r w:rsidR="00450B70">
        <w:rPr>
          <w:rFonts w:eastAsiaTheme="minorEastAsia"/>
        </w:rPr>
        <w:t>a</w:t>
      </w:r>
      <w:r>
        <w:rPr>
          <w:rFonts w:eastAsiaTheme="minorEastAsia"/>
        </w:rPr>
        <w:t xml:space="preserve">z, Autriche). </w:t>
      </w:r>
      <w:r w:rsidRPr="00576BF8">
        <w:rPr>
          <w:rFonts w:eastAsiaTheme="minorEastAsia"/>
        </w:rPr>
        <w:t xml:space="preserve">Le </w:t>
      </w:r>
      <w:r w:rsidR="00450B70" w:rsidRPr="00576BF8">
        <w:rPr>
          <w:rFonts w:eastAsiaTheme="minorEastAsia"/>
        </w:rPr>
        <w:t>D</w:t>
      </w:r>
      <w:r w:rsidRPr="00576BF8">
        <w:rPr>
          <w:rFonts w:eastAsiaTheme="minorEastAsia"/>
        </w:rPr>
        <w:t xml:space="preserve">épartement </w:t>
      </w:r>
      <w:r w:rsidR="00450B70">
        <w:rPr>
          <w:rFonts w:eastAsiaTheme="minorEastAsia"/>
        </w:rPr>
        <w:t>des commissions d'études du BR a</w:t>
      </w:r>
      <w:r w:rsidRPr="00576BF8">
        <w:rPr>
          <w:rFonts w:eastAsiaTheme="minorEastAsia"/>
        </w:rPr>
        <w:t xml:space="preserve"> particip</w:t>
      </w:r>
      <w:r w:rsidR="00450B70">
        <w:rPr>
          <w:rFonts w:eastAsiaTheme="minorEastAsia"/>
        </w:rPr>
        <w:t>é</w:t>
      </w:r>
      <w:r w:rsidRPr="00576BF8">
        <w:rPr>
          <w:rFonts w:eastAsiaTheme="minorEastAsia"/>
        </w:rPr>
        <w:t xml:space="preserve"> à des réunions de l'ONU consacrée</w:t>
      </w:r>
      <w:r w:rsidR="00450B70">
        <w:rPr>
          <w:rFonts w:eastAsiaTheme="minorEastAsia"/>
        </w:rPr>
        <w:t>s</w:t>
      </w:r>
      <w:r w:rsidRPr="00576BF8">
        <w:rPr>
          <w:rFonts w:eastAsiaTheme="minorEastAsia"/>
        </w:rPr>
        <w:t xml:space="preserve"> aux changements climatiques (par exemple au</w:t>
      </w:r>
      <w:r>
        <w:rPr>
          <w:rFonts w:eastAsiaTheme="minorEastAsia"/>
        </w:rPr>
        <w:t>x</w:t>
      </w:r>
      <w:r w:rsidRPr="00450B70">
        <w:rPr>
          <w:rFonts w:eastAsiaTheme="minorEastAsia"/>
        </w:rPr>
        <w:t xml:space="preserve"> </w:t>
      </w:r>
      <w:r w:rsidR="00450B70">
        <w:rPr>
          <w:rFonts w:eastAsiaTheme="minorEastAsia"/>
        </w:rPr>
        <w:t>"</w:t>
      </w:r>
      <w:r w:rsidRPr="00450B70">
        <w:t>P</w:t>
      </w:r>
      <w:r w:rsidR="00450B70" w:rsidRPr="00450B70">
        <w:t xml:space="preserve">ourparlers de </w:t>
      </w:r>
      <w:r w:rsidRPr="00450B70">
        <w:t>T</w:t>
      </w:r>
      <w:r w:rsidR="00450B70" w:rsidRPr="00450B70">
        <w:t xml:space="preserve">ianjin </w:t>
      </w:r>
      <w:r w:rsidRPr="00450B70">
        <w:t xml:space="preserve">(Chine) </w:t>
      </w:r>
      <w:r w:rsidR="00450B70" w:rsidRPr="00450B70">
        <w:t>sur les changements climatiques</w:t>
      </w:r>
      <w:r w:rsidR="00450B70">
        <w:t>"</w:t>
      </w:r>
      <w:r w:rsidR="00450B70" w:rsidRPr="00450B70">
        <w:t xml:space="preserve"> </w:t>
      </w:r>
      <w:r w:rsidRPr="00450B70">
        <w:t xml:space="preserve">organisés dans le cadre de la </w:t>
      </w:r>
      <w:r w:rsidR="00450B70">
        <w:t>CCNUCC, à la 16ème</w:t>
      </w:r>
      <w:r w:rsidRPr="00450B70">
        <w:t xml:space="preserve"> </w:t>
      </w:r>
      <w:r w:rsidR="00450B70">
        <w:t>C</w:t>
      </w:r>
      <w:r w:rsidRPr="00450B70">
        <w:t xml:space="preserve">onférence des </w:t>
      </w:r>
      <w:r w:rsidR="00450B70" w:rsidRPr="00450B70">
        <w:t>P</w:t>
      </w:r>
      <w:r w:rsidR="00450B70">
        <w:t>arties tenue à Cancun (</w:t>
      </w:r>
      <w:r w:rsidRPr="00450B70">
        <w:t>Mex</w:t>
      </w:r>
      <w:r w:rsidR="00450B70">
        <w:rPr>
          <w:color w:val="333333"/>
        </w:rPr>
        <w:t>ique), à la 15ème</w:t>
      </w:r>
      <w:r>
        <w:rPr>
          <w:color w:val="333333"/>
        </w:rPr>
        <w:t xml:space="preserve"> réunion du </w:t>
      </w:r>
      <w:r w:rsidR="00450B70">
        <w:rPr>
          <w:color w:val="333333"/>
        </w:rPr>
        <w:t>G</w:t>
      </w:r>
      <w:r>
        <w:rPr>
          <w:color w:val="333333"/>
        </w:rPr>
        <w:t xml:space="preserve">roupe </w:t>
      </w:r>
      <w:r w:rsidR="00450B70">
        <w:rPr>
          <w:color w:val="333333"/>
        </w:rPr>
        <w:t xml:space="preserve">de </w:t>
      </w:r>
      <w:r>
        <w:rPr>
          <w:color w:val="333333"/>
        </w:rPr>
        <w:t xml:space="preserve">collaboration </w:t>
      </w:r>
      <w:r w:rsidR="00450B70">
        <w:rPr>
          <w:color w:val="333333"/>
        </w:rPr>
        <w:t xml:space="preserve">pour la normalisation </w:t>
      </w:r>
      <w:r>
        <w:rPr>
          <w:color w:val="333333"/>
        </w:rPr>
        <w:t xml:space="preserve">mondiale </w:t>
      </w:r>
      <w:r w:rsidR="00450B70">
        <w:rPr>
          <w:color w:val="333333"/>
        </w:rPr>
        <w:t>et à la 24ème édition</w:t>
      </w:r>
      <w:r>
        <w:rPr>
          <w:color w:val="333333"/>
        </w:rPr>
        <w:t xml:space="preserve"> du </w:t>
      </w:r>
      <w:r w:rsidR="00450B70">
        <w:rPr>
          <w:color w:val="333333"/>
        </w:rPr>
        <w:t>F</w:t>
      </w:r>
      <w:r>
        <w:rPr>
          <w:color w:val="333333"/>
        </w:rPr>
        <w:t>orum mondial sur la recherche en matière de technologies hertziennes (Pen</w:t>
      </w:r>
      <w:r w:rsidR="00C8677F">
        <w:rPr>
          <w:color w:val="333333"/>
        </w:rPr>
        <w:t>ang, Malaisie) ainsi qu'à la 34ème</w:t>
      </w:r>
      <w:r>
        <w:rPr>
          <w:color w:val="333333"/>
        </w:rPr>
        <w:t xml:space="preserve"> réunion commune de la RCC sur la</w:t>
      </w:r>
      <w:r w:rsidR="00FC5B70">
        <w:rPr>
          <w:color w:val="333333"/>
        </w:rPr>
        <w:t> </w:t>
      </w:r>
      <w:r>
        <w:rPr>
          <w:color w:val="333333"/>
        </w:rPr>
        <w:t>CEM.</w:t>
      </w:r>
    </w:p>
    <w:p w:rsidR="00F55714" w:rsidRPr="009F69D6" w:rsidRDefault="00F55714" w:rsidP="00771E60">
      <w:pPr>
        <w:rPr>
          <w:rFonts w:asciiTheme="majorBidi" w:hAnsiTheme="majorBidi" w:cstheme="majorBidi"/>
          <w:szCs w:val="24"/>
        </w:rPr>
      </w:pPr>
      <w:r w:rsidRPr="00576BF8">
        <w:rPr>
          <w:rFonts w:asciiTheme="majorBidi" w:hAnsiTheme="majorBidi" w:cstheme="majorBidi"/>
          <w:szCs w:val="24"/>
        </w:rPr>
        <w:t xml:space="preserve">Le </w:t>
      </w:r>
      <w:r w:rsidR="00C8677F" w:rsidRPr="00576BF8">
        <w:rPr>
          <w:rFonts w:asciiTheme="majorBidi" w:hAnsiTheme="majorBidi" w:cstheme="majorBidi"/>
          <w:szCs w:val="24"/>
        </w:rPr>
        <w:t>S</w:t>
      </w:r>
      <w:r w:rsidRPr="00576BF8">
        <w:rPr>
          <w:rFonts w:asciiTheme="majorBidi" w:hAnsiTheme="majorBidi" w:cstheme="majorBidi"/>
          <w:szCs w:val="24"/>
        </w:rPr>
        <w:t xml:space="preserve">éminaire mondial des radiocommunications </w:t>
      </w:r>
      <w:r w:rsidR="00C8677F">
        <w:rPr>
          <w:rFonts w:asciiTheme="majorBidi" w:hAnsiTheme="majorBidi" w:cstheme="majorBidi"/>
          <w:szCs w:val="24"/>
        </w:rPr>
        <w:t xml:space="preserve">de </w:t>
      </w:r>
      <w:r w:rsidRPr="00576BF8">
        <w:rPr>
          <w:rFonts w:asciiTheme="majorBidi" w:hAnsiTheme="majorBidi" w:cstheme="majorBidi"/>
          <w:szCs w:val="24"/>
        </w:rPr>
        <w:t>2010 (WRS-10</w:t>
      </w:r>
      <w:r w:rsidR="00DD3419">
        <w:rPr>
          <w:rFonts w:asciiTheme="majorBidi" w:hAnsiTheme="majorBidi" w:cstheme="majorBidi"/>
          <w:szCs w:val="24"/>
        </w:rPr>
        <w:t>) s'est tenu</w:t>
      </w:r>
      <w:r w:rsidRPr="00576BF8">
        <w:rPr>
          <w:rFonts w:asciiTheme="majorBidi" w:hAnsiTheme="majorBidi" w:cstheme="majorBidi"/>
          <w:szCs w:val="24"/>
        </w:rPr>
        <w:t xml:space="preserve"> en présence de 469</w:t>
      </w:r>
      <w:r w:rsidR="0029702C">
        <w:rPr>
          <w:rFonts w:asciiTheme="majorBidi" w:hAnsiTheme="majorBidi" w:cstheme="majorBidi"/>
          <w:szCs w:val="24"/>
        </w:rPr>
        <w:t> </w:t>
      </w:r>
      <w:r w:rsidR="00DD3419">
        <w:rPr>
          <w:rFonts w:asciiTheme="majorBidi" w:hAnsiTheme="majorBidi" w:cstheme="majorBidi"/>
          <w:szCs w:val="24"/>
        </w:rPr>
        <w:t>participants représentant 115 E</w:t>
      </w:r>
      <w:r w:rsidRPr="00576BF8">
        <w:rPr>
          <w:rFonts w:asciiTheme="majorBidi" w:hAnsiTheme="majorBidi" w:cstheme="majorBidi"/>
          <w:szCs w:val="24"/>
        </w:rPr>
        <w:t xml:space="preserve">tats </w:t>
      </w:r>
      <w:r w:rsidR="00DD3419" w:rsidRPr="00576BF8">
        <w:rPr>
          <w:rFonts w:asciiTheme="majorBidi" w:hAnsiTheme="majorBidi" w:cstheme="majorBidi"/>
          <w:szCs w:val="24"/>
        </w:rPr>
        <w:t>M</w:t>
      </w:r>
      <w:r w:rsidRPr="00576BF8">
        <w:rPr>
          <w:rFonts w:asciiTheme="majorBidi" w:hAnsiTheme="majorBidi" w:cstheme="majorBidi"/>
          <w:szCs w:val="24"/>
        </w:rPr>
        <w:t xml:space="preserve">embres et 21 représentants de 11 organisations. </w:t>
      </w:r>
      <w:r w:rsidR="00771E60" w:rsidRPr="00DD3419">
        <w:rPr>
          <w:rFonts w:asciiTheme="majorBidi" w:hAnsiTheme="majorBidi" w:cstheme="majorBidi"/>
          <w:szCs w:val="24"/>
        </w:rPr>
        <w:t>Trente</w:t>
      </w:r>
      <w:r w:rsidR="00771E60" w:rsidRPr="00DD3419">
        <w:rPr>
          <w:rFonts w:asciiTheme="majorBidi" w:hAnsiTheme="majorBidi" w:cstheme="majorBidi"/>
          <w:szCs w:val="24"/>
        </w:rPr>
        <w:noBreakHyphen/>
        <w:t>six bourses ont été octroyées au</w:t>
      </w:r>
      <w:r w:rsidR="000D4494">
        <w:rPr>
          <w:rFonts w:asciiTheme="majorBidi" w:hAnsiTheme="majorBidi" w:cstheme="majorBidi"/>
          <w:szCs w:val="24"/>
        </w:rPr>
        <w:t>x délégués des pays suivants: Bé</w:t>
      </w:r>
      <w:r w:rsidR="00771E60" w:rsidRPr="00DD3419">
        <w:rPr>
          <w:rFonts w:asciiTheme="majorBidi" w:hAnsiTheme="majorBidi" w:cstheme="majorBidi"/>
          <w:szCs w:val="24"/>
        </w:rPr>
        <w:t>nin, Bhoutan, Burkina Faso, Burundi, Cameroun, R</w:t>
      </w:r>
      <w:r w:rsidR="00771E60">
        <w:rPr>
          <w:rFonts w:asciiTheme="majorBidi" w:hAnsiTheme="majorBidi" w:cstheme="majorBidi"/>
          <w:szCs w:val="24"/>
        </w:rPr>
        <w:t>é</w:t>
      </w:r>
      <w:r w:rsidR="00771E60" w:rsidRPr="00DD3419">
        <w:rPr>
          <w:rFonts w:asciiTheme="majorBidi" w:hAnsiTheme="majorBidi" w:cstheme="majorBidi"/>
          <w:szCs w:val="24"/>
        </w:rPr>
        <w:t>publi</w:t>
      </w:r>
      <w:r w:rsidR="00771E60">
        <w:rPr>
          <w:rFonts w:asciiTheme="majorBidi" w:hAnsiTheme="majorBidi" w:cstheme="majorBidi"/>
          <w:szCs w:val="24"/>
        </w:rPr>
        <w:t>que centrafricaine</w:t>
      </w:r>
      <w:r w:rsidR="00771E60" w:rsidRPr="00DD3419">
        <w:rPr>
          <w:rFonts w:asciiTheme="majorBidi" w:hAnsiTheme="majorBidi" w:cstheme="majorBidi"/>
          <w:szCs w:val="24"/>
        </w:rPr>
        <w:t xml:space="preserve">, </w:t>
      </w:r>
      <w:r w:rsidR="00771E60">
        <w:rPr>
          <w:rFonts w:asciiTheme="majorBidi" w:hAnsiTheme="majorBidi" w:cstheme="majorBidi"/>
          <w:szCs w:val="24"/>
        </w:rPr>
        <w:t>Tchad, Comore</w:t>
      </w:r>
      <w:r w:rsidR="00771E60" w:rsidRPr="00DD3419">
        <w:rPr>
          <w:rFonts w:asciiTheme="majorBidi" w:hAnsiTheme="majorBidi" w:cstheme="majorBidi"/>
          <w:szCs w:val="24"/>
        </w:rPr>
        <w:t>s, R</w:t>
      </w:r>
      <w:r w:rsidR="00771E60">
        <w:rPr>
          <w:rFonts w:asciiTheme="majorBidi" w:hAnsiTheme="majorBidi" w:cstheme="majorBidi"/>
          <w:szCs w:val="24"/>
        </w:rPr>
        <w:t>é</w:t>
      </w:r>
      <w:r w:rsidR="00771E60" w:rsidRPr="00DD3419">
        <w:rPr>
          <w:rFonts w:asciiTheme="majorBidi" w:hAnsiTheme="majorBidi" w:cstheme="majorBidi"/>
          <w:szCs w:val="24"/>
        </w:rPr>
        <w:t>publi</w:t>
      </w:r>
      <w:r w:rsidR="00771E60">
        <w:rPr>
          <w:rFonts w:asciiTheme="majorBidi" w:hAnsiTheme="majorBidi" w:cstheme="majorBidi"/>
          <w:szCs w:val="24"/>
        </w:rPr>
        <w:t xml:space="preserve">que démocratique du </w:t>
      </w:r>
      <w:r w:rsidR="0029702C">
        <w:rPr>
          <w:rFonts w:asciiTheme="majorBidi" w:hAnsiTheme="majorBidi" w:cstheme="majorBidi"/>
          <w:szCs w:val="24"/>
        </w:rPr>
        <w:t>Congo, Côte </w:t>
      </w:r>
      <w:r w:rsidR="00771E60" w:rsidRPr="00DD3419">
        <w:rPr>
          <w:rFonts w:asciiTheme="majorBidi" w:hAnsiTheme="majorBidi" w:cstheme="majorBidi"/>
          <w:szCs w:val="24"/>
        </w:rPr>
        <w:t>d'Ivoire, Cuba, Djibouti, Ethiopi</w:t>
      </w:r>
      <w:r w:rsidR="00771E60">
        <w:rPr>
          <w:rFonts w:asciiTheme="majorBidi" w:hAnsiTheme="majorBidi" w:cstheme="majorBidi"/>
          <w:szCs w:val="24"/>
        </w:rPr>
        <w:t>e</w:t>
      </w:r>
      <w:r w:rsidR="00771E60" w:rsidRPr="00DD3419">
        <w:rPr>
          <w:rFonts w:asciiTheme="majorBidi" w:hAnsiTheme="majorBidi" w:cstheme="majorBidi"/>
          <w:szCs w:val="24"/>
        </w:rPr>
        <w:t>, Er</w:t>
      </w:r>
      <w:r w:rsidR="00771E60">
        <w:rPr>
          <w:rFonts w:asciiTheme="majorBidi" w:hAnsiTheme="majorBidi" w:cstheme="majorBidi"/>
          <w:szCs w:val="24"/>
        </w:rPr>
        <w:t>y</w:t>
      </w:r>
      <w:r w:rsidR="00771E60" w:rsidRPr="00DD3419">
        <w:rPr>
          <w:rFonts w:asciiTheme="majorBidi" w:hAnsiTheme="majorBidi" w:cstheme="majorBidi"/>
          <w:szCs w:val="24"/>
        </w:rPr>
        <w:t>t</w:t>
      </w:r>
      <w:r w:rsidR="00771E60">
        <w:rPr>
          <w:rFonts w:asciiTheme="majorBidi" w:hAnsiTheme="majorBidi" w:cstheme="majorBidi"/>
          <w:szCs w:val="24"/>
        </w:rPr>
        <w:t>h</w:t>
      </w:r>
      <w:r w:rsidR="00771E60" w:rsidRPr="00DD3419">
        <w:rPr>
          <w:rFonts w:asciiTheme="majorBidi" w:hAnsiTheme="majorBidi" w:cstheme="majorBidi"/>
          <w:szCs w:val="24"/>
        </w:rPr>
        <w:t>r</w:t>
      </w:r>
      <w:r w:rsidR="00771E60">
        <w:rPr>
          <w:rFonts w:asciiTheme="majorBidi" w:hAnsiTheme="majorBidi" w:cstheme="majorBidi"/>
          <w:szCs w:val="24"/>
        </w:rPr>
        <w:t>ée, Gambie</w:t>
      </w:r>
      <w:r w:rsidR="00771E60" w:rsidRPr="00DD3419">
        <w:rPr>
          <w:rFonts w:asciiTheme="majorBidi" w:hAnsiTheme="majorBidi" w:cstheme="majorBidi"/>
          <w:szCs w:val="24"/>
        </w:rPr>
        <w:t>, Haïti, Indonési</w:t>
      </w:r>
      <w:r w:rsidR="00771E60">
        <w:rPr>
          <w:rFonts w:asciiTheme="majorBidi" w:hAnsiTheme="majorBidi" w:cstheme="majorBidi"/>
          <w:szCs w:val="24"/>
        </w:rPr>
        <w:t>e</w:t>
      </w:r>
      <w:r w:rsidR="00771E60" w:rsidRPr="00DD3419">
        <w:rPr>
          <w:rFonts w:asciiTheme="majorBidi" w:hAnsiTheme="majorBidi" w:cstheme="majorBidi"/>
          <w:szCs w:val="24"/>
        </w:rPr>
        <w:t xml:space="preserve">, </w:t>
      </w:r>
      <w:r w:rsidR="00771E60">
        <w:rPr>
          <w:rFonts w:asciiTheme="majorBidi" w:hAnsiTheme="majorBidi" w:cstheme="majorBidi"/>
          <w:szCs w:val="24"/>
        </w:rPr>
        <w:t xml:space="preserve">Kirghizistan, République démocratique populaire </w:t>
      </w:r>
      <w:r w:rsidR="00771E60" w:rsidRPr="00DD3419">
        <w:rPr>
          <w:rFonts w:asciiTheme="majorBidi" w:hAnsiTheme="majorBidi" w:cstheme="majorBidi"/>
          <w:szCs w:val="24"/>
        </w:rPr>
        <w:t>Lao</w:t>
      </w:r>
      <w:r w:rsidR="00771E60" w:rsidRPr="009F69D6">
        <w:rPr>
          <w:rFonts w:asciiTheme="majorBidi" w:hAnsiTheme="majorBidi" w:cstheme="majorBidi"/>
          <w:szCs w:val="24"/>
        </w:rPr>
        <w:t>, Lesotho, Madagascar, Maldives, Mali, Mauritanie</w:t>
      </w:r>
      <w:r w:rsidR="00771E60">
        <w:rPr>
          <w:rFonts w:asciiTheme="majorBidi" w:hAnsiTheme="majorBidi" w:cstheme="majorBidi"/>
          <w:szCs w:val="24"/>
        </w:rPr>
        <w:t>, Moldova, Mongolie, Mozambique, Myanmar, Né</w:t>
      </w:r>
      <w:r w:rsidR="00771E60" w:rsidRPr="009F69D6">
        <w:rPr>
          <w:rFonts w:asciiTheme="majorBidi" w:hAnsiTheme="majorBidi" w:cstheme="majorBidi"/>
          <w:szCs w:val="24"/>
        </w:rPr>
        <w:t>pal, Niger, Pakistan,</w:t>
      </w:r>
      <w:r w:rsidR="00771E60">
        <w:rPr>
          <w:rFonts w:asciiTheme="majorBidi" w:hAnsiTheme="majorBidi" w:cstheme="majorBidi"/>
          <w:szCs w:val="24"/>
        </w:rPr>
        <w:t xml:space="preserve"> Papouasie-Nouvelle-Guinée, Rwanda, Samoa, Sé</w:t>
      </w:r>
      <w:r w:rsidR="00771E60" w:rsidRPr="009F69D6">
        <w:rPr>
          <w:rFonts w:asciiTheme="majorBidi" w:hAnsiTheme="majorBidi" w:cstheme="majorBidi"/>
          <w:szCs w:val="24"/>
        </w:rPr>
        <w:t>n</w:t>
      </w:r>
      <w:r w:rsidR="00771E60">
        <w:rPr>
          <w:rFonts w:asciiTheme="majorBidi" w:hAnsiTheme="majorBidi" w:cstheme="majorBidi"/>
          <w:szCs w:val="24"/>
        </w:rPr>
        <w:t>é</w:t>
      </w:r>
      <w:r w:rsidR="00771E60" w:rsidRPr="009F69D6">
        <w:rPr>
          <w:rFonts w:asciiTheme="majorBidi" w:hAnsiTheme="majorBidi" w:cstheme="majorBidi"/>
          <w:szCs w:val="24"/>
        </w:rPr>
        <w:t>gal, S</w:t>
      </w:r>
      <w:r w:rsidR="00771E60">
        <w:rPr>
          <w:rFonts w:asciiTheme="majorBidi" w:hAnsiTheme="majorBidi" w:cstheme="majorBidi"/>
          <w:szCs w:val="24"/>
        </w:rPr>
        <w:t>o</w:t>
      </w:r>
      <w:r w:rsidR="00771E60" w:rsidRPr="009F69D6">
        <w:rPr>
          <w:rFonts w:asciiTheme="majorBidi" w:hAnsiTheme="majorBidi" w:cstheme="majorBidi"/>
          <w:szCs w:val="24"/>
        </w:rPr>
        <w:t>udan, Ta</w:t>
      </w:r>
      <w:r w:rsidR="00771E60">
        <w:rPr>
          <w:rFonts w:asciiTheme="majorBidi" w:hAnsiTheme="majorBidi" w:cstheme="majorBidi"/>
          <w:szCs w:val="24"/>
        </w:rPr>
        <w:t>d</w:t>
      </w:r>
      <w:r w:rsidR="00771E60" w:rsidRPr="009F69D6">
        <w:rPr>
          <w:rFonts w:asciiTheme="majorBidi" w:hAnsiTheme="majorBidi" w:cstheme="majorBidi"/>
          <w:szCs w:val="24"/>
        </w:rPr>
        <w:t xml:space="preserve">jikistan, </w:t>
      </w:r>
      <w:r w:rsidR="00771E60">
        <w:rPr>
          <w:rFonts w:asciiTheme="majorBidi" w:hAnsiTheme="majorBidi" w:cstheme="majorBidi"/>
          <w:szCs w:val="24"/>
        </w:rPr>
        <w:t>Ou</w:t>
      </w:r>
      <w:r w:rsidR="00771E60" w:rsidRPr="009F69D6">
        <w:rPr>
          <w:rFonts w:asciiTheme="majorBidi" w:hAnsiTheme="majorBidi" w:cstheme="majorBidi"/>
          <w:szCs w:val="24"/>
        </w:rPr>
        <w:t>ganda, Viet</w:t>
      </w:r>
      <w:r w:rsidR="00771E60">
        <w:rPr>
          <w:rFonts w:asciiTheme="majorBidi" w:hAnsiTheme="majorBidi" w:cstheme="majorBidi"/>
          <w:szCs w:val="24"/>
        </w:rPr>
        <w:t xml:space="preserve"> N</w:t>
      </w:r>
      <w:r w:rsidR="00771E60" w:rsidRPr="009F69D6">
        <w:rPr>
          <w:rFonts w:asciiTheme="majorBidi" w:hAnsiTheme="majorBidi" w:cstheme="majorBidi"/>
          <w:szCs w:val="24"/>
        </w:rPr>
        <w:t>am</w:t>
      </w:r>
      <w:r w:rsidR="00771E60">
        <w:rPr>
          <w:rFonts w:asciiTheme="majorBidi" w:hAnsiTheme="majorBidi" w:cstheme="majorBidi"/>
          <w:szCs w:val="24"/>
        </w:rPr>
        <w:t xml:space="preserve"> et </w:t>
      </w:r>
      <w:r w:rsidR="00771E60" w:rsidRPr="009F69D6">
        <w:rPr>
          <w:rFonts w:asciiTheme="majorBidi" w:hAnsiTheme="majorBidi" w:cstheme="majorBidi"/>
          <w:szCs w:val="24"/>
        </w:rPr>
        <w:t>Y</w:t>
      </w:r>
      <w:r w:rsidR="00771E60">
        <w:rPr>
          <w:rFonts w:asciiTheme="majorBidi" w:hAnsiTheme="majorBidi" w:cstheme="majorBidi"/>
          <w:szCs w:val="24"/>
        </w:rPr>
        <w:t>é</w:t>
      </w:r>
      <w:r w:rsidR="00771E60" w:rsidRPr="009F69D6">
        <w:rPr>
          <w:rFonts w:asciiTheme="majorBidi" w:hAnsiTheme="majorBidi" w:cstheme="majorBidi"/>
          <w:szCs w:val="24"/>
        </w:rPr>
        <w:t xml:space="preserve">men. </w:t>
      </w:r>
    </w:p>
    <w:p w:rsidR="00F55714" w:rsidRDefault="000D4494" w:rsidP="00130A4A">
      <w:pPr>
        <w:rPr>
          <w:rFonts w:asciiTheme="majorBidi" w:eastAsiaTheme="minorEastAsia" w:hAnsiTheme="majorBidi" w:cstheme="majorBidi"/>
          <w:szCs w:val="24"/>
        </w:rPr>
      </w:pPr>
      <w:r w:rsidRPr="00576BF8">
        <w:rPr>
          <w:rFonts w:asciiTheme="majorBidi" w:eastAsiaTheme="minorEastAsia" w:hAnsiTheme="majorBidi" w:cstheme="majorBidi"/>
          <w:szCs w:val="24"/>
        </w:rPr>
        <w:t>P</w:t>
      </w:r>
      <w:r w:rsidR="00F55714" w:rsidRPr="00576BF8">
        <w:rPr>
          <w:rFonts w:asciiTheme="majorBidi" w:eastAsiaTheme="minorEastAsia" w:hAnsiTheme="majorBidi" w:cstheme="majorBidi"/>
          <w:szCs w:val="24"/>
        </w:rPr>
        <w:t xml:space="preserve">our 2011, le BR, en </w:t>
      </w:r>
      <w:r w:rsidR="0029702C" w:rsidRPr="00576BF8">
        <w:rPr>
          <w:rFonts w:asciiTheme="majorBidi" w:eastAsiaTheme="minorEastAsia" w:hAnsiTheme="majorBidi" w:cstheme="majorBidi"/>
          <w:szCs w:val="24"/>
        </w:rPr>
        <w:t>coopération</w:t>
      </w:r>
      <w:r w:rsidR="00F55714" w:rsidRPr="00576BF8">
        <w:rPr>
          <w:rFonts w:asciiTheme="majorBidi" w:eastAsiaTheme="minorEastAsia" w:hAnsiTheme="majorBidi" w:cstheme="majorBidi"/>
          <w:szCs w:val="24"/>
        </w:rPr>
        <w:t xml:space="preserve"> avec le</w:t>
      </w:r>
      <w:r w:rsidR="00F0031C">
        <w:rPr>
          <w:rFonts w:asciiTheme="majorBidi" w:eastAsiaTheme="minorEastAsia" w:hAnsiTheme="majorBidi" w:cstheme="majorBidi"/>
          <w:szCs w:val="24"/>
        </w:rPr>
        <w:t xml:space="preserve"> </w:t>
      </w:r>
      <w:r w:rsidR="00F55714" w:rsidRPr="00576BF8">
        <w:rPr>
          <w:rFonts w:asciiTheme="majorBidi" w:eastAsiaTheme="minorEastAsia" w:hAnsiTheme="majorBidi" w:cstheme="majorBidi"/>
          <w:szCs w:val="24"/>
        </w:rPr>
        <w:t xml:space="preserve">BDT, envisage d'organiser plusieurs </w:t>
      </w:r>
      <w:r w:rsidR="00130A4A">
        <w:rPr>
          <w:rFonts w:asciiTheme="majorBidi" w:eastAsiaTheme="minorEastAsia" w:hAnsiTheme="majorBidi" w:cstheme="majorBidi"/>
          <w:szCs w:val="24"/>
        </w:rPr>
        <w:t>a</w:t>
      </w:r>
      <w:r w:rsidR="00F55714" w:rsidRPr="00576BF8">
        <w:rPr>
          <w:rFonts w:asciiTheme="majorBidi" w:eastAsiaTheme="minorEastAsia" w:hAnsiTheme="majorBidi" w:cstheme="majorBidi"/>
          <w:szCs w:val="24"/>
        </w:rPr>
        <w:t>teliers de l'UIT sur la gestion du spectre, l'accent</w:t>
      </w:r>
      <w:r>
        <w:rPr>
          <w:rFonts w:asciiTheme="majorBidi" w:eastAsiaTheme="minorEastAsia" w:hAnsiTheme="majorBidi" w:cstheme="majorBidi"/>
          <w:szCs w:val="24"/>
        </w:rPr>
        <w:t xml:space="preserve"> étant mis</w:t>
      </w:r>
      <w:r w:rsidR="00F55714" w:rsidRPr="00576BF8">
        <w:rPr>
          <w:rFonts w:asciiTheme="majorBidi" w:eastAsiaTheme="minorEastAsia" w:hAnsiTheme="majorBidi" w:cstheme="majorBidi"/>
          <w:szCs w:val="24"/>
        </w:rPr>
        <w:t xml:space="preserve"> en particulier sur le passage </w:t>
      </w:r>
      <w:r w:rsidR="00F55714">
        <w:rPr>
          <w:rFonts w:asciiTheme="majorBidi" w:eastAsiaTheme="minorEastAsia" w:hAnsiTheme="majorBidi" w:cstheme="majorBidi"/>
          <w:szCs w:val="24"/>
        </w:rPr>
        <w:t xml:space="preserve">à la radiodiffusion numérique de </w:t>
      </w:r>
      <w:r>
        <w:rPr>
          <w:rFonts w:asciiTheme="majorBidi" w:eastAsiaTheme="minorEastAsia" w:hAnsiTheme="majorBidi" w:cstheme="majorBidi"/>
          <w:szCs w:val="24"/>
        </w:rPr>
        <w:t>T</w:t>
      </w:r>
      <w:r w:rsidR="00F55714">
        <w:rPr>
          <w:rFonts w:asciiTheme="majorBidi" w:eastAsiaTheme="minorEastAsia" w:hAnsiTheme="majorBidi" w:cstheme="majorBidi"/>
          <w:szCs w:val="24"/>
        </w:rPr>
        <w:t xml:space="preserve">erre et au dividende numérique. </w:t>
      </w:r>
      <w:r w:rsidR="00F55714" w:rsidRPr="003D5BE7">
        <w:rPr>
          <w:rFonts w:asciiTheme="majorBidi" w:eastAsiaTheme="minorEastAsia" w:hAnsiTheme="majorBidi" w:cstheme="majorBidi"/>
          <w:szCs w:val="24"/>
        </w:rPr>
        <w:t>Ces ateliers visent à examiner les besoins partic</w:t>
      </w:r>
      <w:r>
        <w:rPr>
          <w:rFonts w:asciiTheme="majorBidi" w:eastAsiaTheme="minorEastAsia" w:hAnsiTheme="majorBidi" w:cstheme="majorBidi"/>
          <w:szCs w:val="24"/>
        </w:rPr>
        <w:t>uliers</w:t>
      </w:r>
      <w:r w:rsidRPr="000D4494">
        <w:rPr>
          <w:rFonts w:asciiTheme="majorBidi" w:eastAsiaTheme="minorEastAsia" w:hAnsiTheme="majorBidi" w:cstheme="majorBidi"/>
          <w:szCs w:val="24"/>
        </w:rPr>
        <w:t xml:space="preserve"> </w:t>
      </w:r>
      <w:r>
        <w:rPr>
          <w:rFonts w:asciiTheme="majorBidi" w:eastAsiaTheme="minorEastAsia" w:hAnsiTheme="majorBidi" w:cstheme="majorBidi"/>
          <w:szCs w:val="24"/>
        </w:rPr>
        <w:t>en matière de gestion du spectre au niveau sous régional</w:t>
      </w:r>
      <w:r w:rsidR="00F55714">
        <w:rPr>
          <w:rFonts w:asciiTheme="majorBidi" w:eastAsiaTheme="minorEastAsia" w:hAnsiTheme="majorBidi" w:cstheme="majorBidi"/>
          <w:szCs w:val="24"/>
        </w:rPr>
        <w:t xml:space="preserve">. </w:t>
      </w:r>
      <w:r w:rsidR="00F55714" w:rsidRPr="003D5BE7">
        <w:rPr>
          <w:rFonts w:asciiTheme="majorBidi" w:eastAsiaTheme="minorEastAsia" w:hAnsiTheme="majorBidi" w:cstheme="majorBidi"/>
          <w:szCs w:val="24"/>
        </w:rPr>
        <w:t xml:space="preserve">Ils seront organisés conjointement avec les parties intéressées </w:t>
      </w:r>
      <w:r w:rsidR="00130A4A">
        <w:rPr>
          <w:rFonts w:asciiTheme="majorBidi" w:eastAsiaTheme="minorEastAsia" w:hAnsiTheme="majorBidi" w:cstheme="majorBidi"/>
          <w:szCs w:val="24"/>
        </w:rPr>
        <w:t>dans chaque sous-</w:t>
      </w:r>
      <w:r w:rsidR="00F55714">
        <w:rPr>
          <w:rFonts w:asciiTheme="majorBidi" w:eastAsiaTheme="minorEastAsia" w:hAnsiTheme="majorBidi" w:cstheme="majorBidi"/>
          <w:szCs w:val="24"/>
        </w:rPr>
        <w:t xml:space="preserve">région, en collaboration étroite avec le BDT et les bureaux régionaux de l'UIT. </w:t>
      </w:r>
      <w:r w:rsidR="00F55714" w:rsidRPr="003D5BE7">
        <w:rPr>
          <w:rFonts w:asciiTheme="majorBidi" w:eastAsiaTheme="minorEastAsia" w:hAnsiTheme="majorBidi" w:cstheme="majorBidi"/>
          <w:szCs w:val="24"/>
        </w:rPr>
        <w:t xml:space="preserve">Le programme détaillé est accessible sur le site </w:t>
      </w:r>
      <w:r w:rsidR="00144613">
        <w:rPr>
          <w:rFonts w:asciiTheme="majorBidi" w:eastAsiaTheme="minorEastAsia" w:hAnsiTheme="majorBidi" w:cstheme="majorBidi"/>
          <w:szCs w:val="24"/>
        </w:rPr>
        <w:t>web</w:t>
      </w:r>
      <w:r w:rsidR="00F55714" w:rsidRPr="003D5BE7">
        <w:rPr>
          <w:rFonts w:asciiTheme="majorBidi" w:eastAsiaTheme="minorEastAsia" w:hAnsiTheme="majorBidi" w:cstheme="majorBidi"/>
          <w:szCs w:val="24"/>
        </w:rPr>
        <w:t xml:space="preserve"> l'</w:t>
      </w:r>
      <w:r w:rsidR="00F0031C">
        <w:rPr>
          <w:rFonts w:asciiTheme="majorBidi" w:eastAsiaTheme="minorEastAsia" w:hAnsiTheme="majorBidi" w:cstheme="majorBidi"/>
          <w:szCs w:val="24"/>
        </w:rPr>
        <w:t>UIT-R</w:t>
      </w:r>
      <w:r w:rsidR="00130A4A">
        <w:rPr>
          <w:rFonts w:asciiTheme="majorBidi" w:eastAsiaTheme="minorEastAsia" w:hAnsiTheme="majorBidi" w:cstheme="majorBidi"/>
          <w:szCs w:val="24"/>
        </w:rPr>
        <w:t xml:space="preserve"> </w:t>
      </w:r>
      <w:r w:rsidR="00F55714" w:rsidRPr="003D5BE7">
        <w:rPr>
          <w:rFonts w:asciiTheme="majorBidi" w:eastAsiaTheme="minorEastAsia" w:hAnsiTheme="majorBidi" w:cstheme="majorBidi"/>
          <w:szCs w:val="24"/>
        </w:rPr>
        <w:t xml:space="preserve">(voir la rubrique </w:t>
      </w:r>
      <w:r w:rsidR="00F36B3E">
        <w:rPr>
          <w:rFonts w:asciiTheme="majorBidi" w:eastAsiaTheme="minorEastAsia" w:hAnsiTheme="majorBidi" w:cstheme="majorBidi"/>
          <w:szCs w:val="24"/>
        </w:rPr>
        <w:t>«</w:t>
      </w:r>
      <w:r w:rsidRPr="003D5BE7">
        <w:rPr>
          <w:rFonts w:asciiTheme="majorBidi" w:eastAsiaTheme="minorEastAsia" w:hAnsiTheme="majorBidi" w:cstheme="majorBidi"/>
          <w:szCs w:val="24"/>
        </w:rPr>
        <w:t>S</w:t>
      </w:r>
      <w:r w:rsidR="00F55714" w:rsidRPr="003D5BE7">
        <w:rPr>
          <w:rFonts w:asciiTheme="majorBidi" w:eastAsiaTheme="minorEastAsia" w:hAnsiTheme="majorBidi" w:cstheme="majorBidi"/>
          <w:szCs w:val="24"/>
        </w:rPr>
        <w:t>éminaire</w:t>
      </w:r>
      <w:r>
        <w:rPr>
          <w:rFonts w:asciiTheme="majorBidi" w:eastAsiaTheme="minorEastAsia" w:hAnsiTheme="majorBidi" w:cstheme="majorBidi"/>
          <w:szCs w:val="24"/>
        </w:rPr>
        <w:t>s</w:t>
      </w:r>
      <w:r w:rsidR="00F55714" w:rsidRPr="003D5BE7">
        <w:rPr>
          <w:rFonts w:asciiTheme="majorBidi" w:eastAsiaTheme="minorEastAsia" w:hAnsiTheme="majorBidi" w:cstheme="majorBidi"/>
          <w:szCs w:val="24"/>
        </w:rPr>
        <w:t>/atelier</w:t>
      </w:r>
      <w:r>
        <w:rPr>
          <w:rFonts w:asciiTheme="majorBidi" w:eastAsiaTheme="minorEastAsia" w:hAnsiTheme="majorBidi" w:cstheme="majorBidi"/>
          <w:szCs w:val="24"/>
        </w:rPr>
        <w:t>s</w:t>
      </w:r>
      <w:r w:rsidR="00F36B3E">
        <w:rPr>
          <w:rFonts w:asciiTheme="majorBidi" w:eastAsiaTheme="minorEastAsia" w:hAnsiTheme="majorBidi" w:cstheme="majorBidi"/>
          <w:szCs w:val="24"/>
        </w:rPr>
        <w:t>»</w:t>
      </w:r>
      <w:r w:rsidR="00F55714">
        <w:rPr>
          <w:rFonts w:asciiTheme="majorBidi" w:eastAsiaTheme="minorEastAsia" w:hAnsiTheme="majorBidi" w:cstheme="majorBidi"/>
          <w:szCs w:val="24"/>
        </w:rPr>
        <w:t>).</w:t>
      </w:r>
    </w:p>
    <w:p w:rsidR="00F55714" w:rsidRPr="00325F7A" w:rsidRDefault="00F55714" w:rsidP="000D4494">
      <w:pPr>
        <w:pStyle w:val="Heading2"/>
      </w:pPr>
      <w:r w:rsidRPr="00325F7A">
        <w:t>8.1</w:t>
      </w:r>
      <w:r w:rsidRPr="00325F7A">
        <w:tab/>
      </w:r>
      <w:r w:rsidR="002C0B01" w:rsidRPr="00325F7A">
        <w:t>C</w:t>
      </w:r>
      <w:r w:rsidRPr="00325F7A">
        <w:t xml:space="preserve">oordination intersectorielle des séminaires et ateliers </w:t>
      </w:r>
    </w:p>
    <w:p w:rsidR="00F55714" w:rsidRPr="009C2554" w:rsidRDefault="002C0B01" w:rsidP="001B384E">
      <w:pPr>
        <w:rPr>
          <w:lang w:val="fr-CH"/>
        </w:rPr>
      </w:pPr>
      <w:r>
        <w:rPr>
          <w:lang w:val="fr-CH"/>
        </w:rPr>
        <w:t>L</w:t>
      </w:r>
      <w:r w:rsidR="00F55714" w:rsidRPr="009C2554">
        <w:rPr>
          <w:lang w:val="fr-CH"/>
        </w:rPr>
        <w:t xml:space="preserve">'Annexe 2 de la Décision 5 de la Conférence de plénipotentiaires </w:t>
      </w:r>
      <w:r w:rsidR="0029702C" w:rsidRPr="009C2554">
        <w:rPr>
          <w:lang w:val="fr-CH"/>
        </w:rPr>
        <w:t>énumèr</w:t>
      </w:r>
      <w:r w:rsidR="0029702C">
        <w:rPr>
          <w:lang w:val="fr-CH"/>
        </w:rPr>
        <w:t>e</w:t>
      </w:r>
      <w:r w:rsidR="00F55714" w:rsidRPr="009C2554">
        <w:rPr>
          <w:lang w:val="fr-CH"/>
        </w:rPr>
        <w:t xml:space="preserve"> un certain nombre de mesures de réduction des dépenses pour </w:t>
      </w:r>
      <w:r w:rsidR="001B384E">
        <w:rPr>
          <w:lang w:val="fr-CH"/>
        </w:rPr>
        <w:t xml:space="preserve">l'exercice budgétaire 2012-2015 </w:t>
      </w:r>
      <w:r w:rsidR="00F55714">
        <w:rPr>
          <w:lang w:val="fr-CH"/>
        </w:rPr>
        <w:t>et préconise à cette fin</w:t>
      </w:r>
      <w:r w:rsidR="00F0031C">
        <w:rPr>
          <w:lang w:val="fr-CH"/>
        </w:rPr>
        <w:t xml:space="preserve"> </w:t>
      </w:r>
      <w:r w:rsidR="001B384E">
        <w:rPr>
          <w:lang w:val="fr-CH" w:eastAsia="zh-CN"/>
        </w:rPr>
        <w:t>«</w:t>
      </w:r>
      <w:r w:rsidR="00F55714" w:rsidRPr="009C2554">
        <w:rPr>
          <w:lang w:val="fr-CH"/>
        </w:rPr>
        <w:t>la coordination et l'harmonisation des séminaires et ateliers organisés par les trois Secteurs</w:t>
      </w:r>
      <w:r w:rsidR="001B384E">
        <w:rPr>
          <w:lang w:val="fr-CH"/>
        </w:rPr>
        <w:t>,</w:t>
      </w:r>
      <w:r w:rsidR="00F55714" w:rsidRPr="009C2554">
        <w:rPr>
          <w:lang w:val="fr-CH"/>
        </w:rPr>
        <w:t xml:space="preserve"> afin d'éviter qu'ils ne portent sur les mêmes sujets et de permettre au secrétariat d'y participer le plus efficacement possible</w:t>
      </w:r>
      <w:r w:rsidR="001B384E" w:rsidRPr="001B384E">
        <w:rPr>
          <w:lang w:val="fr-CH" w:eastAsia="zh-CN"/>
        </w:rPr>
        <w:t>»</w:t>
      </w:r>
      <w:r w:rsidR="00F55714" w:rsidRPr="009C2554">
        <w:rPr>
          <w:lang w:val="fr-CH"/>
        </w:rPr>
        <w:t>.</w:t>
      </w:r>
    </w:p>
    <w:p w:rsidR="00F55714" w:rsidRPr="009C2554" w:rsidRDefault="00F55714" w:rsidP="001B384E">
      <w:pPr>
        <w:rPr>
          <w:lang w:val="fr-CH"/>
        </w:rPr>
      </w:pPr>
      <w:r w:rsidRPr="009C2554">
        <w:rPr>
          <w:lang w:val="fr-CH"/>
        </w:rPr>
        <w:t>Les Directeurs des trois Bureaux ont d</w:t>
      </w:r>
      <w:r>
        <w:rPr>
          <w:lang w:val="fr-CH"/>
        </w:rPr>
        <w:t xml:space="preserve">écidé </w:t>
      </w:r>
      <w:r w:rsidRPr="009C2554">
        <w:rPr>
          <w:lang w:val="fr-CH"/>
        </w:rPr>
        <w:t>de cré</w:t>
      </w:r>
      <w:r>
        <w:rPr>
          <w:lang w:val="fr-CH"/>
        </w:rPr>
        <w:t xml:space="preserve">er </w:t>
      </w:r>
      <w:r w:rsidRPr="009C2554">
        <w:rPr>
          <w:lang w:val="fr-CH"/>
        </w:rPr>
        <w:t xml:space="preserve">un Groupe d'action </w:t>
      </w:r>
      <w:r>
        <w:rPr>
          <w:lang w:val="fr-CH"/>
        </w:rPr>
        <w:t xml:space="preserve">mixte </w:t>
      </w:r>
      <w:r w:rsidRPr="009C2554">
        <w:rPr>
          <w:lang w:val="fr-CH"/>
        </w:rPr>
        <w:t xml:space="preserve">chargé de </w:t>
      </w:r>
      <w:r w:rsidR="001B384E">
        <w:rPr>
          <w:lang w:val="fr-CH"/>
        </w:rPr>
        <w:t>rationaliser</w:t>
      </w:r>
      <w:r>
        <w:rPr>
          <w:lang w:val="fr-CH"/>
        </w:rPr>
        <w:t>,</w:t>
      </w:r>
      <w:r w:rsidR="001B384E">
        <w:rPr>
          <w:lang w:val="fr-CH"/>
        </w:rPr>
        <w:t xml:space="preserve"> </w:t>
      </w:r>
      <w:r>
        <w:rPr>
          <w:lang w:val="fr-CH"/>
        </w:rPr>
        <w:t xml:space="preserve">de coordonner </w:t>
      </w:r>
      <w:r w:rsidRPr="009C2554">
        <w:rPr>
          <w:lang w:val="fr-CH"/>
        </w:rPr>
        <w:t xml:space="preserve">et de regrouper les </w:t>
      </w:r>
      <w:r>
        <w:rPr>
          <w:lang w:val="fr-CH"/>
        </w:rPr>
        <w:t>manifestations</w:t>
      </w:r>
      <w:r w:rsidR="00F0031C">
        <w:rPr>
          <w:lang w:val="fr-CH"/>
        </w:rPr>
        <w:t xml:space="preserve"> </w:t>
      </w:r>
      <w:r w:rsidRPr="009C2554">
        <w:rPr>
          <w:lang w:val="fr-CH"/>
        </w:rPr>
        <w:t>organisé</w:t>
      </w:r>
      <w:r>
        <w:rPr>
          <w:lang w:val="fr-CH"/>
        </w:rPr>
        <w:t>e</w:t>
      </w:r>
      <w:r w:rsidRPr="009C2554">
        <w:rPr>
          <w:lang w:val="fr-CH"/>
        </w:rPr>
        <w:t xml:space="preserve">s sur un même thème. </w:t>
      </w:r>
      <w:r>
        <w:rPr>
          <w:lang w:val="fr-CH"/>
        </w:rPr>
        <w:t>En conséquence,</w:t>
      </w:r>
      <w:r w:rsidR="00F0031C">
        <w:rPr>
          <w:lang w:val="fr-CH"/>
        </w:rPr>
        <w:t xml:space="preserve"> </w:t>
      </w:r>
      <w:r w:rsidRPr="009C2554">
        <w:rPr>
          <w:lang w:val="fr-CH"/>
        </w:rPr>
        <w:t>tous les ateliers et les séminaires porte</w:t>
      </w:r>
      <w:r>
        <w:rPr>
          <w:lang w:val="fr-CH"/>
        </w:rPr>
        <w:t>ro</w:t>
      </w:r>
      <w:r w:rsidRPr="009C2554">
        <w:rPr>
          <w:lang w:val="fr-CH"/>
        </w:rPr>
        <w:t xml:space="preserve">nt le label UIT </w:t>
      </w:r>
      <w:r>
        <w:rPr>
          <w:lang w:val="fr-CH"/>
        </w:rPr>
        <w:t>pour traduire le</w:t>
      </w:r>
      <w:r w:rsidR="00F0031C">
        <w:rPr>
          <w:lang w:val="fr-CH"/>
        </w:rPr>
        <w:t xml:space="preserve"> </w:t>
      </w:r>
      <w:r w:rsidRPr="009C2554">
        <w:rPr>
          <w:lang w:val="fr-CH"/>
        </w:rPr>
        <w:t xml:space="preserve">concept d'une </w:t>
      </w:r>
      <w:r w:rsidR="001B384E" w:rsidRPr="001B384E">
        <w:rPr>
          <w:lang w:val="fr-CH" w:eastAsia="zh-CN"/>
        </w:rPr>
        <w:t>«</w:t>
      </w:r>
      <w:r w:rsidR="001B384E" w:rsidRPr="009C2554">
        <w:rPr>
          <w:lang w:val="fr-CH"/>
        </w:rPr>
        <w:t>UIT soudée</w:t>
      </w:r>
      <w:r w:rsidR="001B384E" w:rsidRPr="001B384E">
        <w:rPr>
          <w:lang w:val="fr-CH" w:eastAsia="zh-CN"/>
        </w:rPr>
        <w:t>»</w:t>
      </w:r>
      <w:r w:rsidRPr="009C2554">
        <w:rPr>
          <w:lang w:val="fr-CH"/>
        </w:rPr>
        <w:t xml:space="preserve"> et ne </w:t>
      </w:r>
      <w:r>
        <w:rPr>
          <w:lang w:val="fr-CH"/>
        </w:rPr>
        <w:t xml:space="preserve">correspondront </w:t>
      </w:r>
      <w:r w:rsidRPr="009C2554">
        <w:rPr>
          <w:lang w:val="fr-CH"/>
        </w:rPr>
        <w:t>plus</w:t>
      </w:r>
      <w:r>
        <w:rPr>
          <w:lang w:val="fr-CH"/>
        </w:rPr>
        <w:t xml:space="preserve"> à </w:t>
      </w:r>
      <w:r w:rsidRPr="009C2554">
        <w:rPr>
          <w:lang w:val="fr-CH"/>
        </w:rPr>
        <w:t xml:space="preserve">des </w:t>
      </w:r>
      <w:r>
        <w:rPr>
          <w:lang w:val="fr-CH"/>
        </w:rPr>
        <w:t>manifestations</w:t>
      </w:r>
      <w:r w:rsidR="00F0031C">
        <w:rPr>
          <w:lang w:val="fr-CH"/>
        </w:rPr>
        <w:t xml:space="preserve"> </w:t>
      </w:r>
      <w:r w:rsidRPr="009C2554">
        <w:rPr>
          <w:lang w:val="fr-CH"/>
        </w:rPr>
        <w:t>propres à tel ou tel Secteur</w:t>
      </w:r>
      <w:r>
        <w:rPr>
          <w:lang w:val="fr-CH"/>
        </w:rPr>
        <w:t>.</w:t>
      </w:r>
      <w:r w:rsidRPr="009C2554">
        <w:rPr>
          <w:lang w:val="fr-CH"/>
        </w:rPr>
        <w:t xml:space="preserve"> </w:t>
      </w:r>
    </w:p>
    <w:p w:rsidR="00F55714" w:rsidRPr="009C2554" w:rsidRDefault="00F55714" w:rsidP="00D0168F">
      <w:pPr>
        <w:rPr>
          <w:lang w:val="fr-CH"/>
        </w:rPr>
      </w:pPr>
      <w:r w:rsidRPr="009C2554">
        <w:rPr>
          <w:lang w:val="fr-CH"/>
        </w:rPr>
        <w:t>Le Groupe d'action s'est réuni à plusieurs reprises pendant le</w:t>
      </w:r>
      <w:r>
        <w:rPr>
          <w:lang w:val="fr-CH"/>
        </w:rPr>
        <w:t>s</w:t>
      </w:r>
      <w:r w:rsidRPr="009C2554">
        <w:rPr>
          <w:lang w:val="fr-CH"/>
        </w:rPr>
        <w:t xml:space="preserve"> p</w:t>
      </w:r>
      <w:r>
        <w:rPr>
          <w:lang w:val="fr-CH"/>
        </w:rPr>
        <w:t>remier et</w:t>
      </w:r>
      <w:r w:rsidR="00F0031C">
        <w:rPr>
          <w:lang w:val="fr-CH"/>
        </w:rPr>
        <w:t xml:space="preserve"> </w:t>
      </w:r>
      <w:r>
        <w:rPr>
          <w:lang w:val="fr-CH"/>
        </w:rPr>
        <w:t>deuxième trimestre</w:t>
      </w:r>
      <w:r w:rsidRPr="009C2554">
        <w:rPr>
          <w:lang w:val="fr-CH"/>
        </w:rPr>
        <w:t xml:space="preserve"> de 2011 pour</w:t>
      </w:r>
      <w:r w:rsidR="00D0168F">
        <w:rPr>
          <w:lang w:val="fr-CH"/>
        </w:rPr>
        <w:t>:</w:t>
      </w:r>
      <w:r w:rsidRPr="009C2554">
        <w:rPr>
          <w:lang w:val="fr-CH"/>
        </w:rPr>
        <w:t xml:space="preserve"> 1)</w:t>
      </w:r>
      <w:r w:rsidR="00D0168F">
        <w:rPr>
          <w:lang w:val="fr-CH"/>
        </w:rPr>
        <w:t> </w:t>
      </w:r>
      <w:r w:rsidRPr="009C2554">
        <w:rPr>
          <w:lang w:val="fr-CH"/>
        </w:rPr>
        <w:t xml:space="preserve">identifier très rapidement les </w:t>
      </w:r>
      <w:r>
        <w:rPr>
          <w:lang w:val="fr-CH"/>
        </w:rPr>
        <w:t>manifestations</w:t>
      </w:r>
      <w:r w:rsidR="00F0031C">
        <w:rPr>
          <w:lang w:val="fr-CH"/>
        </w:rPr>
        <w:t xml:space="preserve"> </w:t>
      </w:r>
      <w:r w:rsidRPr="009C2554">
        <w:rPr>
          <w:lang w:val="fr-CH"/>
        </w:rPr>
        <w:t>qui sont prévu</w:t>
      </w:r>
      <w:r>
        <w:rPr>
          <w:lang w:val="fr-CH"/>
        </w:rPr>
        <w:t>e</w:t>
      </w:r>
      <w:r w:rsidRPr="009C2554">
        <w:rPr>
          <w:lang w:val="fr-CH"/>
        </w:rPr>
        <w:t>s afin de trouver au plus tôt des synergies</w:t>
      </w:r>
      <w:r>
        <w:rPr>
          <w:lang w:val="fr-CH"/>
        </w:rPr>
        <w:t>;</w:t>
      </w:r>
      <w:r w:rsidRPr="009C2554">
        <w:rPr>
          <w:lang w:val="fr-CH"/>
        </w:rPr>
        <w:t xml:space="preserve"> 2)</w:t>
      </w:r>
      <w:r w:rsidR="00D0168F">
        <w:rPr>
          <w:lang w:val="fr-CH"/>
        </w:rPr>
        <w:t> </w:t>
      </w:r>
      <w:r w:rsidRPr="009C2554">
        <w:rPr>
          <w:lang w:val="fr-CH"/>
        </w:rPr>
        <w:t xml:space="preserve">identifier les possibilités de </w:t>
      </w:r>
      <w:r>
        <w:rPr>
          <w:lang w:val="fr-CH"/>
        </w:rPr>
        <w:t xml:space="preserve">regroupement </w:t>
      </w:r>
      <w:r w:rsidRPr="009C2554">
        <w:rPr>
          <w:lang w:val="fr-CH"/>
        </w:rPr>
        <w:t xml:space="preserve">des </w:t>
      </w:r>
      <w:r>
        <w:rPr>
          <w:lang w:val="fr-CH"/>
        </w:rPr>
        <w:t>manifestations</w:t>
      </w:r>
      <w:r w:rsidR="00F0031C">
        <w:rPr>
          <w:lang w:val="fr-CH"/>
        </w:rPr>
        <w:t>;</w:t>
      </w:r>
      <w:r w:rsidRPr="009C2554">
        <w:rPr>
          <w:lang w:val="fr-CH"/>
        </w:rPr>
        <w:t xml:space="preserve"> et 3) lorsqu'il n'est pas possible de </w:t>
      </w:r>
      <w:r>
        <w:rPr>
          <w:lang w:val="fr-CH"/>
        </w:rPr>
        <w:t xml:space="preserve">regrouper </w:t>
      </w:r>
      <w:r w:rsidRPr="009C2554">
        <w:rPr>
          <w:lang w:val="fr-CH"/>
        </w:rPr>
        <w:t xml:space="preserve">des </w:t>
      </w:r>
      <w:r>
        <w:rPr>
          <w:lang w:val="fr-CH"/>
        </w:rPr>
        <w:t>manifestations</w:t>
      </w:r>
      <w:r w:rsidRPr="009C2554">
        <w:rPr>
          <w:lang w:val="fr-CH"/>
        </w:rPr>
        <w:t xml:space="preserve">, par exemple dans les cas où </w:t>
      </w:r>
      <w:r>
        <w:rPr>
          <w:lang w:val="fr-CH"/>
        </w:rPr>
        <w:t>celles-ci</w:t>
      </w:r>
      <w:r w:rsidRPr="009C2554">
        <w:rPr>
          <w:lang w:val="fr-CH"/>
        </w:rPr>
        <w:t xml:space="preserve"> ne s'adressent pas au même public, </w:t>
      </w:r>
      <w:r>
        <w:rPr>
          <w:lang w:val="fr-CH"/>
        </w:rPr>
        <w:t xml:space="preserve">recenser </w:t>
      </w:r>
      <w:r w:rsidRPr="009C2554">
        <w:rPr>
          <w:lang w:val="fr-CH"/>
        </w:rPr>
        <w:t xml:space="preserve">les domaines où des synergies sont possibles (date et lieu choisis </w:t>
      </w:r>
      <w:r w:rsidR="00D0168F" w:rsidRPr="00D0168F">
        <w:rPr>
          <w:lang w:val="fr-CH"/>
        </w:rPr>
        <w:t>de façon</w:t>
      </w:r>
      <w:r w:rsidR="00D0168F">
        <w:rPr>
          <w:lang w:val="fr-CH"/>
        </w:rPr>
        <w:t xml:space="preserve"> que ces manifestations </w:t>
      </w:r>
      <w:r w:rsidRPr="009C2554">
        <w:rPr>
          <w:lang w:val="fr-CH"/>
        </w:rPr>
        <w:t xml:space="preserve">coïncident le plus possible avec ceux des </w:t>
      </w:r>
      <w:r>
        <w:rPr>
          <w:lang w:val="fr-CH"/>
        </w:rPr>
        <w:t>manifestations</w:t>
      </w:r>
      <w:r w:rsidRPr="009C2554">
        <w:rPr>
          <w:lang w:val="fr-CH"/>
        </w:rPr>
        <w:t xml:space="preserve"> existant</w:t>
      </w:r>
      <w:r w:rsidR="00D0168F">
        <w:rPr>
          <w:lang w:val="fr-CH"/>
        </w:rPr>
        <w:t>e</w:t>
      </w:r>
      <w:r w:rsidRPr="009C2554">
        <w:rPr>
          <w:lang w:val="fr-CH"/>
        </w:rPr>
        <w:t>s afin de réduire les frais administratifs généraux</w:t>
      </w:r>
      <w:r>
        <w:rPr>
          <w:lang w:val="fr-CH"/>
        </w:rPr>
        <w:t xml:space="preserve"> (coût</w:t>
      </w:r>
      <w:r w:rsidR="00D0168F">
        <w:rPr>
          <w:lang w:val="fr-CH"/>
        </w:rPr>
        <w:t>s</w:t>
      </w:r>
      <w:r>
        <w:rPr>
          <w:lang w:val="fr-CH"/>
        </w:rPr>
        <w:t xml:space="preserve"> </w:t>
      </w:r>
      <w:r w:rsidR="00D0168F">
        <w:rPr>
          <w:lang w:val="fr-CH"/>
        </w:rPr>
        <w:t xml:space="preserve">liés à la </w:t>
      </w:r>
      <w:r>
        <w:rPr>
          <w:lang w:val="fr-CH"/>
        </w:rPr>
        <w:t>participation d'</w:t>
      </w:r>
      <w:r w:rsidR="00D0168F">
        <w:rPr>
          <w:lang w:val="fr-CH"/>
        </w:rPr>
        <w:t>e</w:t>
      </w:r>
      <w:r w:rsidRPr="009C2554">
        <w:rPr>
          <w:lang w:val="fr-CH"/>
        </w:rPr>
        <w:t xml:space="preserve">xperts, </w:t>
      </w:r>
      <w:r>
        <w:rPr>
          <w:lang w:val="fr-CH"/>
        </w:rPr>
        <w:t xml:space="preserve">frais </w:t>
      </w:r>
      <w:r w:rsidRPr="009C2554">
        <w:rPr>
          <w:lang w:val="fr-CH"/>
        </w:rPr>
        <w:t xml:space="preserve">logistiques, frais de voyage, </w:t>
      </w:r>
      <w:r>
        <w:rPr>
          <w:lang w:val="fr-CH"/>
        </w:rPr>
        <w:t>recours à</w:t>
      </w:r>
      <w:r w:rsidRPr="009C2554">
        <w:rPr>
          <w:lang w:val="fr-CH"/>
        </w:rPr>
        <w:t xml:space="preserve"> des services d'experts internes</w:t>
      </w:r>
      <w:r>
        <w:rPr>
          <w:lang w:val="fr-CH"/>
        </w:rPr>
        <w:t>,</w:t>
      </w:r>
      <w:r w:rsidRPr="009C2554">
        <w:rPr>
          <w:lang w:val="fr-CH"/>
        </w:rPr>
        <w:t xml:space="preserve"> coordination des contenus, etc.). </w:t>
      </w:r>
    </w:p>
    <w:p w:rsidR="00FC5B70" w:rsidRDefault="00FC5B70" w:rsidP="00130A4A">
      <w:pPr>
        <w:rPr>
          <w:lang w:val="fr-CH"/>
        </w:rPr>
      </w:pPr>
      <w:r>
        <w:rPr>
          <w:lang w:val="fr-CH"/>
        </w:rPr>
        <w:br w:type="page"/>
      </w:r>
    </w:p>
    <w:p w:rsidR="00F55714" w:rsidRPr="00D0168F" w:rsidRDefault="00F55714" w:rsidP="00130A4A">
      <w:pPr>
        <w:rPr>
          <w:lang w:val="fr-CH"/>
        </w:rPr>
      </w:pPr>
      <w:r w:rsidRPr="009C2554">
        <w:rPr>
          <w:lang w:val="fr-CH"/>
        </w:rPr>
        <w:t xml:space="preserve">Le Groupe d'action a </w:t>
      </w:r>
      <w:r>
        <w:rPr>
          <w:lang w:val="fr-CH"/>
        </w:rPr>
        <w:t>également</w:t>
      </w:r>
      <w:r w:rsidR="00F0031C">
        <w:rPr>
          <w:lang w:val="fr-CH"/>
        </w:rPr>
        <w:t xml:space="preserve"> </w:t>
      </w:r>
      <w:r w:rsidRPr="009C2554">
        <w:rPr>
          <w:lang w:val="fr-CH"/>
        </w:rPr>
        <w:t>dressé la liste des thèmes pour lesquels une coord</w:t>
      </w:r>
      <w:r>
        <w:rPr>
          <w:lang w:val="fr-CH"/>
        </w:rPr>
        <w:t>ination intersectorielle s'</w:t>
      </w:r>
      <w:r w:rsidR="0029702C">
        <w:rPr>
          <w:lang w:val="fr-CH"/>
        </w:rPr>
        <w:t>avérait</w:t>
      </w:r>
      <w:r>
        <w:rPr>
          <w:lang w:val="fr-CH"/>
        </w:rPr>
        <w:t xml:space="preserve"> nécessaire et d</w:t>
      </w:r>
      <w:r w:rsidRPr="009C2554">
        <w:rPr>
          <w:lang w:val="fr-CH"/>
        </w:rPr>
        <w:t xml:space="preserve">es coordonnateurs de chaque Bureau et du Secrétariat général ont été désignés </w:t>
      </w:r>
      <w:r>
        <w:rPr>
          <w:lang w:val="fr-CH"/>
        </w:rPr>
        <w:t>pour chacun des thèmes suivants</w:t>
      </w:r>
      <w:r w:rsidR="00F0031C">
        <w:rPr>
          <w:lang w:val="fr-CH"/>
        </w:rPr>
        <w:t>:</w:t>
      </w:r>
      <w:r w:rsidR="00D0168F">
        <w:rPr>
          <w:lang w:val="fr-CH"/>
        </w:rPr>
        <w:t xml:space="preserve"> </w:t>
      </w:r>
      <w:r w:rsidR="00D0168F" w:rsidRPr="00D0168F">
        <w:rPr>
          <w:lang w:val="fr-CH"/>
        </w:rPr>
        <w:t>accessibilité</w:t>
      </w:r>
      <w:r w:rsidR="00D0168F">
        <w:rPr>
          <w:lang w:val="fr-CH"/>
        </w:rPr>
        <w:t xml:space="preserve">, </w:t>
      </w:r>
      <w:r w:rsidR="00D0168F" w:rsidRPr="00D0168F">
        <w:rPr>
          <w:lang w:val="fr-CH"/>
        </w:rPr>
        <w:t>conformité et interopérabilité</w:t>
      </w:r>
      <w:r w:rsidR="00D0168F">
        <w:rPr>
          <w:lang w:val="fr-CH"/>
        </w:rPr>
        <w:t xml:space="preserve">, </w:t>
      </w:r>
      <w:r w:rsidR="0029702C" w:rsidRPr="00D0168F">
        <w:rPr>
          <w:lang w:val="fr-CH"/>
        </w:rPr>
        <w:t>A</w:t>
      </w:r>
      <w:r w:rsidR="00D0168F" w:rsidRPr="00D0168F">
        <w:rPr>
          <w:lang w:val="fr-CH"/>
        </w:rPr>
        <w:t xml:space="preserve">cadémie </w:t>
      </w:r>
      <w:r w:rsidR="0029702C" w:rsidRPr="00D0168F">
        <w:rPr>
          <w:lang w:val="fr-CH"/>
        </w:rPr>
        <w:t>UIT</w:t>
      </w:r>
      <w:r w:rsidR="00D0168F">
        <w:rPr>
          <w:lang w:val="fr-CH"/>
        </w:rPr>
        <w:t xml:space="preserve">, </w:t>
      </w:r>
      <w:r w:rsidR="00D0168F" w:rsidRPr="00D0168F">
        <w:rPr>
          <w:lang w:val="fr-CH"/>
        </w:rPr>
        <w:t>gestion du spectre</w:t>
      </w:r>
      <w:r w:rsidR="00D0168F">
        <w:rPr>
          <w:lang w:val="fr-CH"/>
        </w:rPr>
        <w:t xml:space="preserve">, </w:t>
      </w:r>
      <w:r w:rsidR="00D0168F" w:rsidRPr="00D0168F">
        <w:rPr>
          <w:lang w:val="fr-CH"/>
        </w:rPr>
        <w:t>radiodiffusion</w:t>
      </w:r>
      <w:r w:rsidR="00D0168F">
        <w:rPr>
          <w:lang w:val="fr-CH"/>
        </w:rPr>
        <w:t xml:space="preserve">, </w:t>
      </w:r>
      <w:r w:rsidR="00D0168F" w:rsidRPr="00D0168F">
        <w:rPr>
          <w:lang w:val="fr-CH"/>
        </w:rPr>
        <w:t>statistiques</w:t>
      </w:r>
      <w:r w:rsidR="00D0168F">
        <w:rPr>
          <w:lang w:val="fr-CH"/>
        </w:rPr>
        <w:t xml:space="preserve">, </w:t>
      </w:r>
      <w:r w:rsidR="00D0168F" w:rsidRPr="00D0168F">
        <w:rPr>
          <w:lang w:val="fr-CH"/>
        </w:rPr>
        <w:t>sécurité</w:t>
      </w:r>
      <w:r w:rsidR="006A0DDB">
        <w:rPr>
          <w:lang w:val="fr-CH"/>
        </w:rPr>
        <w:t xml:space="preserve">, </w:t>
      </w:r>
      <w:r w:rsidR="006A0DDB" w:rsidRPr="00D0168F">
        <w:t>télécommunications</w:t>
      </w:r>
      <w:r w:rsidR="00D0168F" w:rsidRPr="00D0168F">
        <w:t xml:space="preserve"> d'urgence</w:t>
      </w:r>
      <w:r w:rsidR="00D0168F" w:rsidRPr="00D0168F">
        <w:rPr>
          <w:lang w:val="fr-CH"/>
        </w:rPr>
        <w:t xml:space="preserve"> et</w:t>
      </w:r>
      <w:r w:rsidR="00D0168F">
        <w:rPr>
          <w:lang w:val="fr-CH"/>
        </w:rPr>
        <w:t xml:space="preserve"> </w:t>
      </w:r>
      <w:r w:rsidR="00D0168F" w:rsidRPr="00D0168F">
        <w:t>changements climatiques</w:t>
      </w:r>
      <w:r w:rsidR="00D0168F">
        <w:rPr>
          <w:rFonts w:eastAsia="SimSun"/>
          <w:bCs/>
          <w:lang w:val="fr-CH"/>
        </w:rPr>
        <w:t>.</w:t>
      </w:r>
    </w:p>
    <w:p w:rsidR="00F55714" w:rsidRDefault="00F55714" w:rsidP="00D0168F">
      <w:pPr>
        <w:pStyle w:val="Heading1"/>
        <w:rPr>
          <w:rFonts w:ascii="Verdana" w:hAnsi="Verdana" w:cstheme="majorBidi"/>
          <w:sz w:val="20"/>
          <w:lang w:val="fr-CH"/>
        </w:rPr>
      </w:pPr>
      <w:r>
        <w:rPr>
          <w:lang w:val="fr-CH"/>
        </w:rPr>
        <w:t>9</w:t>
      </w:r>
      <w:r w:rsidR="00D0168F">
        <w:rPr>
          <w:lang w:val="fr-CH"/>
        </w:rPr>
        <w:tab/>
      </w:r>
      <w:r>
        <w:rPr>
          <w:lang w:val="fr-CH"/>
        </w:rPr>
        <w:t>Statistiques relatives aux Membres de S</w:t>
      </w:r>
      <w:r w:rsidRPr="00DA0EB5">
        <w:rPr>
          <w:lang w:val="fr-CH"/>
        </w:rPr>
        <w:t xml:space="preserve">ecteur et aux </w:t>
      </w:r>
      <w:r>
        <w:rPr>
          <w:lang w:val="fr-CH"/>
        </w:rPr>
        <w:t>A</w:t>
      </w:r>
      <w:r w:rsidRPr="00DA0EB5">
        <w:rPr>
          <w:lang w:val="fr-CH"/>
        </w:rPr>
        <w:t>ssociés</w:t>
      </w:r>
    </w:p>
    <w:p w:rsidR="00D228F7" w:rsidRDefault="00F55714" w:rsidP="0029702C">
      <w:r>
        <w:rPr>
          <w:lang w:val="fr-CH"/>
        </w:rPr>
        <w:t>L</w:t>
      </w:r>
      <w:r w:rsidRPr="00DA0EB5">
        <w:rPr>
          <w:lang w:val="fr-CH"/>
        </w:rPr>
        <w:t xml:space="preserve">es statistiques relatives </w:t>
      </w:r>
      <w:r>
        <w:rPr>
          <w:lang w:val="fr-CH"/>
        </w:rPr>
        <w:t>aux Membres de S</w:t>
      </w:r>
      <w:r w:rsidRPr="00DA0EB5">
        <w:rPr>
          <w:lang w:val="fr-CH"/>
        </w:rPr>
        <w:t xml:space="preserve">ecteur et aux </w:t>
      </w:r>
      <w:r>
        <w:rPr>
          <w:lang w:val="fr-CH"/>
        </w:rPr>
        <w:t>A</w:t>
      </w:r>
      <w:r w:rsidRPr="00DA0EB5">
        <w:rPr>
          <w:lang w:val="fr-CH"/>
        </w:rPr>
        <w:t>ssociés</w:t>
      </w:r>
      <w:r w:rsidR="0029702C">
        <w:rPr>
          <w:lang w:val="fr-CH"/>
        </w:rPr>
        <w:t xml:space="preserve"> </w:t>
      </w:r>
      <w:r>
        <w:rPr>
          <w:lang w:val="fr-CH"/>
        </w:rPr>
        <w:t>seront présentées dans un Addendum au présent document.</w:t>
      </w:r>
      <w:r w:rsidR="000B0319">
        <w:t xml:space="preserve"> </w:t>
      </w:r>
    </w:p>
    <w:p w:rsidR="0029702C" w:rsidRDefault="0029702C" w:rsidP="0029702C"/>
    <w:p w:rsidR="0029702C" w:rsidRDefault="0029702C" w:rsidP="0029702C"/>
    <w:p w:rsidR="0029702C" w:rsidRDefault="0029702C">
      <w:pPr>
        <w:jc w:val="center"/>
      </w:pPr>
      <w:r>
        <w:t>______________</w:t>
      </w:r>
    </w:p>
    <w:p w:rsidR="0029702C" w:rsidRDefault="0029702C" w:rsidP="0029702C"/>
    <w:p w:rsidR="006A0DDB" w:rsidRDefault="006A0DDB" w:rsidP="0029702C"/>
    <w:sectPr w:rsidR="006A0DDB">
      <w:headerReference w:type="even" r:id="rId54"/>
      <w:headerReference w:type="default" r:id="rId55"/>
      <w:footerReference w:type="even" r:id="rId56"/>
      <w:footerReference w:type="default" r:id="rId57"/>
      <w:footerReference w:type="first" r:id="rId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30" w:rsidRDefault="00235730">
      <w:r>
        <w:separator/>
      </w:r>
    </w:p>
  </w:endnote>
  <w:endnote w:type="continuationSeparator" w:id="0">
    <w:p w:rsidR="00235730" w:rsidRDefault="002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PSoeiKakugothicUB">
    <w:altName w:val="MS Gothic"/>
    <w:charset w:val="80"/>
    <w:family w:val="modern"/>
    <w:pitch w:val="variable"/>
    <w:sig w:usb0="80000281" w:usb1="28C76CF8" w:usb2="00000010" w:usb3="00000000" w:csb0="00020000"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30" w:rsidRDefault="00235730">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P:\FRA\ITU-R\AG\RAG11\RAG-1\000\001REV1F.DOCX</w:t>
    </w:r>
    <w:r>
      <w:rPr>
        <w:lang w:val="en-US"/>
      </w:rPr>
      <w:fldChar w:fldCharType="end"/>
    </w:r>
    <w:r>
      <w:rPr>
        <w:lang w:val="en-US"/>
      </w:rPr>
      <w:tab/>
    </w:r>
    <w:r>
      <w:fldChar w:fldCharType="begin"/>
    </w:r>
    <w:r>
      <w:instrText xml:space="preserve"> savedate \@ dd.MM.yy </w:instrText>
    </w:r>
    <w:r>
      <w:fldChar w:fldCharType="separate"/>
    </w:r>
    <w:r>
      <w:t>07.06.11</w:t>
    </w:r>
    <w:r>
      <w:fldChar w:fldCharType="end"/>
    </w:r>
    <w:r>
      <w:rPr>
        <w:lang w:val="en-US"/>
      </w:rPr>
      <w:tab/>
    </w:r>
    <w:r>
      <w:fldChar w:fldCharType="begin"/>
    </w:r>
    <w:r>
      <w:instrText xml:space="preserve"> printdate \@ dd.MM.yy </w:instrText>
    </w:r>
    <w:r>
      <w:fldChar w:fldCharType="separate"/>
    </w:r>
    <w:r>
      <w:t>07.06.11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30" w:rsidRDefault="00235730" w:rsidP="006F4D7C">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P:\FRA\ITU-R\AG\RAG11\RAG-1\000\001REV1F.DOCX</w:t>
    </w:r>
    <w:r>
      <w:rPr>
        <w:lang w:val="en-US"/>
      </w:rPr>
      <w:fldChar w:fldCharType="end"/>
    </w:r>
    <w:r>
      <w:rPr>
        <w:lang w:val="en-US"/>
      </w:rPr>
      <w:t xml:space="preserve"> (309222)</w:t>
    </w:r>
    <w:r>
      <w:rPr>
        <w:lang w:val="en-US"/>
      </w:rPr>
      <w:tab/>
    </w:r>
    <w:r>
      <w:fldChar w:fldCharType="begin"/>
    </w:r>
    <w:r>
      <w:instrText xml:space="preserve"> savedate \@ dd.MM.yy </w:instrText>
    </w:r>
    <w:r>
      <w:fldChar w:fldCharType="separate"/>
    </w:r>
    <w:r>
      <w:t>07.06.11</w:t>
    </w:r>
    <w:r>
      <w:fldChar w:fldCharType="end"/>
    </w:r>
    <w:r>
      <w:rPr>
        <w:lang w:val="en-US"/>
      </w:rPr>
      <w:tab/>
    </w:r>
    <w:r>
      <w:fldChar w:fldCharType="begin"/>
    </w:r>
    <w:r>
      <w:instrText xml:space="preserve"> printdate \@ dd.MM.yy </w:instrText>
    </w:r>
    <w:r>
      <w:fldChar w:fldCharType="separate"/>
    </w:r>
    <w:r>
      <w:t>07.06.11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30" w:rsidRDefault="00235730" w:rsidP="006F4D7C">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P:\FRA\ITU-R\AG\RAG11\RAG-1\000\001REV1F.DOCX</w:t>
    </w:r>
    <w:r>
      <w:rPr>
        <w:lang w:val="en-US"/>
      </w:rPr>
      <w:fldChar w:fldCharType="end"/>
    </w:r>
    <w:r>
      <w:rPr>
        <w:lang w:val="en-US"/>
      </w:rPr>
      <w:t xml:space="preserve"> (309222)</w:t>
    </w:r>
    <w:r>
      <w:rPr>
        <w:lang w:val="en-US"/>
      </w:rPr>
      <w:tab/>
    </w:r>
    <w:r>
      <w:fldChar w:fldCharType="begin"/>
    </w:r>
    <w:r>
      <w:instrText xml:space="preserve"> savedate \@ dd.MM.yy </w:instrText>
    </w:r>
    <w:r>
      <w:fldChar w:fldCharType="separate"/>
    </w:r>
    <w:r>
      <w:t>07.06.11</w:t>
    </w:r>
    <w:r>
      <w:fldChar w:fldCharType="end"/>
    </w:r>
    <w:r>
      <w:rPr>
        <w:lang w:val="en-US"/>
      </w:rPr>
      <w:tab/>
    </w:r>
    <w:r>
      <w:fldChar w:fldCharType="begin"/>
    </w:r>
    <w:r>
      <w:instrText xml:space="preserve"> printdate \@ dd.MM.yy </w:instrText>
    </w:r>
    <w:r>
      <w:fldChar w:fldCharType="separate"/>
    </w:r>
    <w:r>
      <w:t>07.06.11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30" w:rsidRDefault="00235730">
      <w:r>
        <w:t>____________________</w:t>
      </w:r>
    </w:p>
  </w:footnote>
  <w:footnote w:type="continuationSeparator" w:id="0">
    <w:p w:rsidR="00235730" w:rsidRDefault="0023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30" w:rsidRDefault="00235730">
    <w:pPr>
      <w:pStyle w:val="Header"/>
    </w:pPr>
    <w:r>
      <w:rPr>
        <w:lang w:val="es-ES"/>
      </w:rPr>
      <w:t xml:space="preserve">- </w:t>
    </w:r>
    <w:r>
      <w:fldChar w:fldCharType="begin"/>
    </w:r>
    <w:r>
      <w:instrText xml:space="preserve"> PAGE </w:instrText>
    </w:r>
    <w:r>
      <w:fldChar w:fldCharType="separate"/>
    </w:r>
    <w:r>
      <w:rPr>
        <w:noProof/>
      </w:rPr>
      <w:t>18</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30" w:rsidRDefault="00235730" w:rsidP="00925627">
    <w:pPr>
      <w:pStyle w:val="Header"/>
      <w:rPr>
        <w:lang w:val="es-ES"/>
      </w:rPr>
    </w:pPr>
    <w:r>
      <w:fldChar w:fldCharType="begin"/>
    </w:r>
    <w:r>
      <w:instrText xml:space="preserve"> PAGE </w:instrText>
    </w:r>
    <w:r>
      <w:fldChar w:fldCharType="separate"/>
    </w:r>
    <w:r w:rsidR="00DE3D94">
      <w:rPr>
        <w:noProof/>
      </w:rPr>
      <w:t>18</w:t>
    </w:r>
    <w:r>
      <w:rPr>
        <w:noProof/>
      </w:rPr>
      <w:fldChar w:fldCharType="end"/>
    </w:r>
  </w:p>
  <w:p w:rsidR="00235730" w:rsidRDefault="00235730" w:rsidP="0029702C">
    <w:pPr>
      <w:pStyle w:val="Header"/>
      <w:rPr>
        <w:lang w:val="es-ES"/>
      </w:rPr>
    </w:pPr>
    <w:r>
      <w:rPr>
        <w:lang w:val="es-ES"/>
      </w:rPr>
      <w:t>RAG11-1/1(Rév.1)-F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D0AC5"/>
    <w:multiLevelType w:val="multilevel"/>
    <w:tmpl w:val="57FEF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4D72D3"/>
    <w:multiLevelType w:val="multilevel"/>
    <w:tmpl w:val="57FEF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F1508C"/>
    <w:multiLevelType w:val="multilevel"/>
    <w:tmpl w:val="57FEF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0F35A87"/>
    <w:multiLevelType w:val="multilevel"/>
    <w:tmpl w:val="57FEF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3"/>
  </w:num>
  <w:num w:numId="13">
    <w:abstractNumId w:val="35"/>
  </w:num>
  <w:num w:numId="14">
    <w:abstractNumId w:val="28"/>
  </w:num>
  <w:num w:numId="15">
    <w:abstractNumId w:val="24"/>
  </w:num>
  <w:num w:numId="16">
    <w:abstractNumId w:val="34"/>
  </w:num>
  <w:num w:numId="17">
    <w:abstractNumId w:val="23"/>
  </w:num>
  <w:num w:numId="18">
    <w:abstractNumId w:val="10"/>
  </w:num>
  <w:num w:numId="19">
    <w:abstractNumId w:val="15"/>
  </w:num>
  <w:num w:numId="20">
    <w:abstractNumId w:val="16"/>
  </w:num>
  <w:num w:numId="21">
    <w:abstractNumId w:val="21"/>
  </w:num>
  <w:num w:numId="22">
    <w:abstractNumId w:val="37"/>
  </w:num>
  <w:num w:numId="23">
    <w:abstractNumId w:val="25"/>
  </w:num>
  <w:num w:numId="24">
    <w:abstractNumId w:val="27"/>
  </w:num>
  <w:num w:numId="25">
    <w:abstractNumId w:val="11"/>
  </w:num>
  <w:num w:numId="26">
    <w:abstractNumId w:val="22"/>
  </w:num>
  <w:num w:numId="27">
    <w:abstractNumId w:val="14"/>
  </w:num>
  <w:num w:numId="28">
    <w:abstractNumId w:val="19"/>
  </w:num>
  <w:num w:numId="29">
    <w:abstractNumId w:val="31"/>
  </w:num>
  <w:num w:numId="30">
    <w:abstractNumId w:val="40"/>
  </w:num>
  <w:num w:numId="31">
    <w:abstractNumId w:val="36"/>
  </w:num>
  <w:num w:numId="32">
    <w:abstractNumId w:val="32"/>
  </w:num>
  <w:num w:numId="33">
    <w:abstractNumId w:val="2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9"/>
  </w:num>
  <w:num w:numId="38">
    <w:abstractNumId w:val="38"/>
  </w:num>
  <w:num w:numId="39">
    <w:abstractNumId w:val="29"/>
  </w:num>
  <w:num w:numId="40">
    <w:abstractNumId w:val="1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21"/>
    <w:rsid w:val="00002D0E"/>
    <w:rsid w:val="00015B0A"/>
    <w:rsid w:val="000B0319"/>
    <w:rsid w:val="000B7E1B"/>
    <w:rsid w:val="000C5CC4"/>
    <w:rsid w:val="000D3381"/>
    <w:rsid w:val="000D4494"/>
    <w:rsid w:val="000D4CDA"/>
    <w:rsid w:val="00130A4A"/>
    <w:rsid w:val="00140AE6"/>
    <w:rsid w:val="00144613"/>
    <w:rsid w:val="00161BFE"/>
    <w:rsid w:val="001B384E"/>
    <w:rsid w:val="001B71FF"/>
    <w:rsid w:val="001E12D8"/>
    <w:rsid w:val="001F2F83"/>
    <w:rsid w:val="001F5442"/>
    <w:rsid w:val="00235730"/>
    <w:rsid w:val="00272A87"/>
    <w:rsid w:val="00275754"/>
    <w:rsid w:val="002816E8"/>
    <w:rsid w:val="0028467E"/>
    <w:rsid w:val="0029702C"/>
    <w:rsid w:val="002A0AB4"/>
    <w:rsid w:val="002C0B01"/>
    <w:rsid w:val="002D238A"/>
    <w:rsid w:val="002E4426"/>
    <w:rsid w:val="00307017"/>
    <w:rsid w:val="00361B4B"/>
    <w:rsid w:val="00376698"/>
    <w:rsid w:val="003A08F8"/>
    <w:rsid w:val="003B11CF"/>
    <w:rsid w:val="003F52BC"/>
    <w:rsid w:val="00400896"/>
    <w:rsid w:val="004121A4"/>
    <w:rsid w:val="004139C8"/>
    <w:rsid w:val="00446F9D"/>
    <w:rsid w:val="00450B70"/>
    <w:rsid w:val="00457930"/>
    <w:rsid w:val="004B7BAF"/>
    <w:rsid w:val="004D0579"/>
    <w:rsid w:val="0052210B"/>
    <w:rsid w:val="0052280F"/>
    <w:rsid w:val="005349FA"/>
    <w:rsid w:val="00535B4B"/>
    <w:rsid w:val="005430E4"/>
    <w:rsid w:val="00550669"/>
    <w:rsid w:val="00557D7E"/>
    <w:rsid w:val="00566DD3"/>
    <w:rsid w:val="0057170B"/>
    <w:rsid w:val="005A3180"/>
    <w:rsid w:val="005F21EF"/>
    <w:rsid w:val="005F5C54"/>
    <w:rsid w:val="00607A5D"/>
    <w:rsid w:val="006446AC"/>
    <w:rsid w:val="00655CDD"/>
    <w:rsid w:val="0067019B"/>
    <w:rsid w:val="00671A3A"/>
    <w:rsid w:val="00683AF1"/>
    <w:rsid w:val="006A0DDB"/>
    <w:rsid w:val="006B26B9"/>
    <w:rsid w:val="006B62FB"/>
    <w:rsid w:val="006F4D7C"/>
    <w:rsid w:val="00700F65"/>
    <w:rsid w:val="00702C84"/>
    <w:rsid w:val="00731C3E"/>
    <w:rsid w:val="00732B51"/>
    <w:rsid w:val="00735962"/>
    <w:rsid w:val="007364C5"/>
    <w:rsid w:val="007429C3"/>
    <w:rsid w:val="00747A2B"/>
    <w:rsid w:val="00771E60"/>
    <w:rsid w:val="00773E5E"/>
    <w:rsid w:val="0079072B"/>
    <w:rsid w:val="007A15E1"/>
    <w:rsid w:val="007D2357"/>
    <w:rsid w:val="007E64C0"/>
    <w:rsid w:val="008044A1"/>
    <w:rsid w:val="00815085"/>
    <w:rsid w:val="00847AAC"/>
    <w:rsid w:val="00853F7F"/>
    <w:rsid w:val="008658DF"/>
    <w:rsid w:val="00870F09"/>
    <w:rsid w:val="00925627"/>
    <w:rsid w:val="0093101F"/>
    <w:rsid w:val="00935555"/>
    <w:rsid w:val="009449E1"/>
    <w:rsid w:val="00960542"/>
    <w:rsid w:val="0097156E"/>
    <w:rsid w:val="0097509C"/>
    <w:rsid w:val="00980A1C"/>
    <w:rsid w:val="00980D4B"/>
    <w:rsid w:val="00996560"/>
    <w:rsid w:val="009A67A0"/>
    <w:rsid w:val="009C39B4"/>
    <w:rsid w:val="009C49C6"/>
    <w:rsid w:val="009E45F3"/>
    <w:rsid w:val="009F69D6"/>
    <w:rsid w:val="00A0336D"/>
    <w:rsid w:val="00A0481B"/>
    <w:rsid w:val="00A2457A"/>
    <w:rsid w:val="00A47765"/>
    <w:rsid w:val="00A9055C"/>
    <w:rsid w:val="00A968E1"/>
    <w:rsid w:val="00AB7F92"/>
    <w:rsid w:val="00B161AA"/>
    <w:rsid w:val="00B436F4"/>
    <w:rsid w:val="00B72456"/>
    <w:rsid w:val="00B73DE5"/>
    <w:rsid w:val="00BB0C93"/>
    <w:rsid w:val="00BD2FBC"/>
    <w:rsid w:val="00BF4621"/>
    <w:rsid w:val="00BF57F7"/>
    <w:rsid w:val="00C21A13"/>
    <w:rsid w:val="00C32AEC"/>
    <w:rsid w:val="00C4028B"/>
    <w:rsid w:val="00C500F9"/>
    <w:rsid w:val="00C82317"/>
    <w:rsid w:val="00C8677F"/>
    <w:rsid w:val="00C86D68"/>
    <w:rsid w:val="00CA5949"/>
    <w:rsid w:val="00CC5B9E"/>
    <w:rsid w:val="00CC7208"/>
    <w:rsid w:val="00CD4FE4"/>
    <w:rsid w:val="00CF65EA"/>
    <w:rsid w:val="00D0168F"/>
    <w:rsid w:val="00D05531"/>
    <w:rsid w:val="00D118D6"/>
    <w:rsid w:val="00D1596F"/>
    <w:rsid w:val="00D228F7"/>
    <w:rsid w:val="00D74117"/>
    <w:rsid w:val="00DB21BE"/>
    <w:rsid w:val="00DB3CFA"/>
    <w:rsid w:val="00DB49CA"/>
    <w:rsid w:val="00DC0659"/>
    <w:rsid w:val="00DD3419"/>
    <w:rsid w:val="00DE3D94"/>
    <w:rsid w:val="00DE5436"/>
    <w:rsid w:val="00E14BD4"/>
    <w:rsid w:val="00E64450"/>
    <w:rsid w:val="00E74F59"/>
    <w:rsid w:val="00E84F1C"/>
    <w:rsid w:val="00E90634"/>
    <w:rsid w:val="00E95548"/>
    <w:rsid w:val="00EF3CE5"/>
    <w:rsid w:val="00F0031C"/>
    <w:rsid w:val="00F05869"/>
    <w:rsid w:val="00F17376"/>
    <w:rsid w:val="00F20E43"/>
    <w:rsid w:val="00F2780A"/>
    <w:rsid w:val="00F36B3E"/>
    <w:rsid w:val="00F55714"/>
    <w:rsid w:val="00F7167E"/>
    <w:rsid w:val="00FC4EA3"/>
    <w:rsid w:val="00FC5B70"/>
    <w:rsid w:val="00FD7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5714"/>
    <w:rPr>
      <w:rFonts w:ascii="Times New Roman" w:hAnsi="Times New Roman"/>
      <w:b/>
      <w:sz w:val="24"/>
      <w:lang w:val="fr-FR"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F55714"/>
    <w:rPr>
      <w:rFonts w:ascii="Times New Roman" w:hAnsi="Times New Roman"/>
      <w:sz w:val="22"/>
      <w:lang w:val="fr-FR"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character" w:customStyle="1" w:styleId="CallChar">
    <w:name w:val="Call Char"/>
    <w:basedOn w:val="DefaultParagraphFont"/>
    <w:link w:val="Call"/>
    <w:uiPriority w:val="99"/>
    <w:locked/>
    <w:rsid w:val="00F55714"/>
    <w:rPr>
      <w:rFonts w:ascii="Times New Roman" w:hAnsi="Times New Roman"/>
      <w:i/>
      <w:sz w:val="24"/>
      <w:lang w:val="fr-FR"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uiPriority w:val="99"/>
    <w:rsid w:val="00F55714"/>
    <w:rPr>
      <w:rFonts w:ascii="Times New Roman" w:hAnsi="Times New Roman"/>
      <w:sz w:val="24"/>
      <w:lang w:val="fr-FR" w:eastAsia="en-US"/>
    </w:r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55714"/>
    <w:rPr>
      <w:rFonts w:ascii="Times New Roman" w:hAnsi="Times New Roman"/>
      <w:sz w:val="24"/>
      <w:lang w:val="fr-FR" w:eastAsia="en-US"/>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basedOn w:val="DefaultParagraphFont"/>
    <w:link w:val="Restitle"/>
    <w:locked/>
    <w:rsid w:val="00F55714"/>
    <w:rPr>
      <w:rFonts w:ascii="Times New Roman" w:hAnsi="Times New Roman"/>
      <w:b/>
      <w:sz w:val="28"/>
      <w:lang w:val="fr-FR"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odyText">
    <w:name w:val="Body Text"/>
    <w:basedOn w:val="Normal"/>
    <w:link w:val="BodyTextChar"/>
    <w:rsid w:val="00F55714"/>
    <w:rPr>
      <w:b/>
      <w:bCs/>
      <w:i/>
      <w:iCs/>
      <w:szCs w:val="24"/>
      <w:lang w:val="en-GB"/>
    </w:rPr>
  </w:style>
  <w:style w:type="character" w:customStyle="1" w:styleId="BodyTextChar">
    <w:name w:val="Body Text Char"/>
    <w:basedOn w:val="DefaultParagraphFont"/>
    <w:link w:val="BodyText"/>
    <w:rsid w:val="00F55714"/>
    <w:rPr>
      <w:rFonts w:ascii="Times New Roman" w:hAnsi="Times New Roman"/>
      <w:b/>
      <w:bCs/>
      <w:i/>
      <w:iCs/>
      <w:sz w:val="24"/>
      <w:szCs w:val="24"/>
      <w:lang w:val="en-GB" w:eastAsia="en-US"/>
    </w:rPr>
  </w:style>
  <w:style w:type="table" w:styleId="TableGrid">
    <w:name w:val="Table Grid"/>
    <w:basedOn w:val="TableNormal"/>
    <w:uiPriority w:val="59"/>
    <w:rsid w:val="00F5571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55714"/>
    <w:rPr>
      <w:color w:val="606420"/>
      <w:u w:val="single"/>
    </w:rPr>
  </w:style>
  <w:style w:type="character" w:styleId="Strong">
    <w:name w:val="Strong"/>
    <w:basedOn w:val="DefaultParagraphFont"/>
    <w:uiPriority w:val="22"/>
    <w:qFormat/>
    <w:rsid w:val="00F55714"/>
    <w:rPr>
      <w:b/>
      <w:bCs/>
    </w:rPr>
  </w:style>
  <w:style w:type="paragraph" w:styleId="BalloonText">
    <w:name w:val="Balloon Text"/>
    <w:basedOn w:val="Normal"/>
    <w:link w:val="BalloonTextChar"/>
    <w:rsid w:val="00F55714"/>
    <w:rPr>
      <w:rFonts w:ascii="Tahoma" w:hAnsi="Tahoma" w:cs="Tahoma"/>
      <w:sz w:val="16"/>
      <w:szCs w:val="16"/>
      <w:lang w:val="en-GB"/>
    </w:rPr>
  </w:style>
  <w:style w:type="character" w:customStyle="1" w:styleId="BalloonTextChar">
    <w:name w:val="Balloon Text Char"/>
    <w:basedOn w:val="DefaultParagraphFont"/>
    <w:link w:val="BalloonText"/>
    <w:rsid w:val="00F55714"/>
    <w:rPr>
      <w:rFonts w:ascii="Tahoma" w:hAnsi="Tahoma" w:cs="Tahoma"/>
      <w:sz w:val="16"/>
      <w:szCs w:val="16"/>
      <w:lang w:val="en-GB" w:eastAsia="en-US"/>
    </w:rPr>
  </w:style>
  <w:style w:type="paragraph" w:styleId="NormalWeb">
    <w:name w:val="Normal (Web)"/>
    <w:basedOn w:val="Normal"/>
    <w:rsid w:val="00F5571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msoins0">
    <w:name w:val="msoins"/>
    <w:basedOn w:val="DefaultParagraphFont"/>
    <w:rsid w:val="00F55714"/>
  </w:style>
  <w:style w:type="paragraph" w:styleId="ListParagraph">
    <w:name w:val="List Paragraph"/>
    <w:basedOn w:val="Normal"/>
    <w:uiPriority w:val="34"/>
    <w:qFormat/>
    <w:rsid w:val="00F55714"/>
    <w:pPr>
      <w:ind w:left="720"/>
      <w:contextualSpacing/>
      <w:jc w:val="both"/>
      <w:textAlignment w:val="auto"/>
    </w:pPr>
    <w:rPr>
      <w:lang w:val="en-GB"/>
    </w:rPr>
  </w:style>
  <w:style w:type="paragraph" w:styleId="Subtitle">
    <w:name w:val="Subtitle"/>
    <w:basedOn w:val="Normal"/>
    <w:next w:val="Normal"/>
    <w:link w:val="SubtitleChar"/>
    <w:uiPriority w:val="11"/>
    <w:qFormat/>
    <w:rsid w:val="00F55714"/>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55714"/>
    <w:rPr>
      <w:rFonts w:ascii="Cambria" w:eastAsia="SimSun" w:hAnsi="Cambria"/>
      <w:i/>
      <w:iCs/>
      <w:color w:val="4F81BD"/>
      <w:spacing w:val="15"/>
      <w:sz w:val="24"/>
      <w:szCs w:val="24"/>
    </w:rPr>
  </w:style>
  <w:style w:type="paragraph" w:styleId="BodyText2">
    <w:name w:val="Body Text 2"/>
    <w:basedOn w:val="Normal"/>
    <w:link w:val="BodyText2Char"/>
    <w:unhideWhenUsed/>
    <w:rsid w:val="00F55714"/>
    <w:pPr>
      <w:spacing w:after="120" w:line="480" w:lineRule="auto"/>
      <w:textAlignment w:val="auto"/>
    </w:pPr>
    <w:rPr>
      <w:lang w:val="en-GB"/>
    </w:rPr>
  </w:style>
  <w:style w:type="character" w:customStyle="1" w:styleId="BodyText2Char">
    <w:name w:val="Body Text 2 Char"/>
    <w:basedOn w:val="DefaultParagraphFont"/>
    <w:link w:val="BodyText2"/>
    <w:rsid w:val="00F55714"/>
    <w:rPr>
      <w:rFonts w:ascii="Times New Roman" w:hAnsi="Times New Roman"/>
      <w:sz w:val="24"/>
      <w:lang w:val="en-GB" w:eastAsia="en-US"/>
    </w:rPr>
  </w:style>
  <w:style w:type="paragraph" w:styleId="Revision">
    <w:name w:val="Revision"/>
    <w:hidden/>
    <w:uiPriority w:val="99"/>
    <w:semiHidden/>
    <w:rsid w:val="00F55714"/>
    <w:rPr>
      <w:rFonts w:ascii="Times New Roman" w:hAnsi="Times New Roman"/>
      <w:sz w:val="24"/>
      <w:lang w:val="en-GB" w:eastAsia="en-US"/>
    </w:rPr>
  </w:style>
  <w:style w:type="character" w:customStyle="1" w:styleId="CEONormalChar">
    <w:name w:val="CEO_Normal Char"/>
    <w:basedOn w:val="DefaultParagraphFont"/>
    <w:link w:val="CEONormal"/>
    <w:uiPriority w:val="99"/>
    <w:locked/>
    <w:rsid w:val="00F55714"/>
    <w:rPr>
      <w:szCs w:val="19"/>
      <w:lang w:val="en-GB" w:eastAsia="en-US"/>
    </w:rPr>
  </w:style>
  <w:style w:type="paragraph" w:customStyle="1" w:styleId="CEONormal">
    <w:name w:val="CEO_Normal"/>
    <w:link w:val="CEONormalChar"/>
    <w:uiPriority w:val="99"/>
    <w:rsid w:val="00F55714"/>
    <w:pPr>
      <w:spacing w:before="120" w:after="120"/>
    </w:pPr>
    <w:rPr>
      <w:szCs w:val="19"/>
      <w:lang w:val="en-GB" w:eastAsia="en-US"/>
    </w:rPr>
  </w:style>
  <w:style w:type="paragraph" w:customStyle="1" w:styleId="CEOcontributionStart">
    <w:name w:val="CEO_contributionStart"/>
    <w:basedOn w:val="CEONormal"/>
    <w:next w:val="CEONormal"/>
    <w:uiPriority w:val="99"/>
    <w:rsid w:val="00F55714"/>
    <w:pPr>
      <w:spacing w:before="360"/>
    </w:pPr>
  </w:style>
  <w:style w:type="paragraph" w:customStyle="1" w:styleId="AnnexNo">
    <w:name w:val="Annex_No"/>
    <w:basedOn w:val="Normal"/>
    <w:next w:val="Normal"/>
    <w:link w:val="AnnexNoChar"/>
    <w:rsid w:val="00E95548"/>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eastAsiaTheme="minorEastAsia" w:hAnsi="Calibri"/>
      <w:caps/>
      <w:lang w:val="en-GB"/>
    </w:rPr>
  </w:style>
  <w:style w:type="character" w:customStyle="1" w:styleId="AnnexNoChar">
    <w:name w:val="Annex_No Char"/>
    <w:basedOn w:val="DefaultParagraphFont"/>
    <w:link w:val="AnnexNo"/>
    <w:rsid w:val="00E95548"/>
    <w:rPr>
      <w:rFonts w:ascii="Calibri" w:eastAsiaTheme="minorEastAsia" w:hAnsi="Calibri"/>
      <w:caps/>
      <w:sz w:val="24"/>
      <w:lang w:val="en-GB" w:eastAsia="en-US"/>
    </w:rPr>
  </w:style>
  <w:style w:type="character" w:styleId="Hyperlink">
    <w:name w:val="Hyperlink"/>
    <w:basedOn w:val="DefaultParagraphFont"/>
    <w:uiPriority w:val="99"/>
    <w:rsid w:val="00E95548"/>
    <w:rPr>
      <w:color w:val="0000FF"/>
      <w:u w:val="single"/>
    </w:rPr>
  </w:style>
  <w:style w:type="paragraph" w:customStyle="1" w:styleId="TableTitle">
    <w:name w:val="Table_Title"/>
    <w:basedOn w:val="Normal"/>
    <w:next w:val="Tabletext"/>
    <w:rsid w:val="00566DD3"/>
    <w:pPr>
      <w:keepNext/>
      <w:tabs>
        <w:tab w:val="clear" w:pos="794"/>
        <w:tab w:val="clear" w:pos="1191"/>
        <w:tab w:val="clear" w:pos="1588"/>
        <w:tab w:val="clear" w:pos="1985"/>
      </w:tabs>
      <w:spacing w:before="0" w:after="120"/>
      <w:jc w:val="center"/>
    </w:pPr>
    <w:rPr>
      <w:rFonts w:ascii="Calibri" w:hAnsi="Calibri"/>
      <w:b/>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5714"/>
    <w:rPr>
      <w:rFonts w:ascii="Times New Roman" w:hAnsi="Times New Roman"/>
      <w:b/>
      <w:sz w:val="24"/>
      <w:lang w:val="fr-FR"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F55714"/>
    <w:rPr>
      <w:rFonts w:ascii="Times New Roman" w:hAnsi="Times New Roman"/>
      <w:sz w:val="22"/>
      <w:lang w:val="fr-FR"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character" w:customStyle="1" w:styleId="CallChar">
    <w:name w:val="Call Char"/>
    <w:basedOn w:val="DefaultParagraphFont"/>
    <w:link w:val="Call"/>
    <w:uiPriority w:val="99"/>
    <w:locked/>
    <w:rsid w:val="00F55714"/>
    <w:rPr>
      <w:rFonts w:ascii="Times New Roman" w:hAnsi="Times New Roman"/>
      <w:i/>
      <w:sz w:val="24"/>
      <w:lang w:val="fr-FR"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uiPriority w:val="99"/>
    <w:rsid w:val="00F55714"/>
    <w:rPr>
      <w:rFonts w:ascii="Times New Roman" w:hAnsi="Times New Roman"/>
      <w:sz w:val="24"/>
      <w:lang w:val="fr-FR" w:eastAsia="en-US"/>
    </w:r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55714"/>
    <w:rPr>
      <w:rFonts w:ascii="Times New Roman" w:hAnsi="Times New Roman"/>
      <w:sz w:val="24"/>
      <w:lang w:val="fr-FR" w:eastAsia="en-US"/>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basedOn w:val="DefaultParagraphFont"/>
    <w:link w:val="Restitle"/>
    <w:locked/>
    <w:rsid w:val="00F55714"/>
    <w:rPr>
      <w:rFonts w:ascii="Times New Roman" w:hAnsi="Times New Roman"/>
      <w:b/>
      <w:sz w:val="28"/>
      <w:lang w:val="fr-FR"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odyText">
    <w:name w:val="Body Text"/>
    <w:basedOn w:val="Normal"/>
    <w:link w:val="BodyTextChar"/>
    <w:rsid w:val="00F55714"/>
    <w:rPr>
      <w:b/>
      <w:bCs/>
      <w:i/>
      <w:iCs/>
      <w:szCs w:val="24"/>
      <w:lang w:val="en-GB"/>
    </w:rPr>
  </w:style>
  <w:style w:type="character" w:customStyle="1" w:styleId="BodyTextChar">
    <w:name w:val="Body Text Char"/>
    <w:basedOn w:val="DefaultParagraphFont"/>
    <w:link w:val="BodyText"/>
    <w:rsid w:val="00F55714"/>
    <w:rPr>
      <w:rFonts w:ascii="Times New Roman" w:hAnsi="Times New Roman"/>
      <w:b/>
      <w:bCs/>
      <w:i/>
      <w:iCs/>
      <w:sz w:val="24"/>
      <w:szCs w:val="24"/>
      <w:lang w:val="en-GB" w:eastAsia="en-US"/>
    </w:rPr>
  </w:style>
  <w:style w:type="table" w:styleId="TableGrid">
    <w:name w:val="Table Grid"/>
    <w:basedOn w:val="TableNormal"/>
    <w:uiPriority w:val="59"/>
    <w:rsid w:val="00F5571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55714"/>
    <w:rPr>
      <w:color w:val="606420"/>
      <w:u w:val="single"/>
    </w:rPr>
  </w:style>
  <w:style w:type="character" w:styleId="Strong">
    <w:name w:val="Strong"/>
    <w:basedOn w:val="DefaultParagraphFont"/>
    <w:uiPriority w:val="22"/>
    <w:qFormat/>
    <w:rsid w:val="00F55714"/>
    <w:rPr>
      <w:b/>
      <w:bCs/>
    </w:rPr>
  </w:style>
  <w:style w:type="paragraph" w:styleId="BalloonText">
    <w:name w:val="Balloon Text"/>
    <w:basedOn w:val="Normal"/>
    <w:link w:val="BalloonTextChar"/>
    <w:rsid w:val="00F55714"/>
    <w:rPr>
      <w:rFonts w:ascii="Tahoma" w:hAnsi="Tahoma" w:cs="Tahoma"/>
      <w:sz w:val="16"/>
      <w:szCs w:val="16"/>
      <w:lang w:val="en-GB"/>
    </w:rPr>
  </w:style>
  <w:style w:type="character" w:customStyle="1" w:styleId="BalloonTextChar">
    <w:name w:val="Balloon Text Char"/>
    <w:basedOn w:val="DefaultParagraphFont"/>
    <w:link w:val="BalloonText"/>
    <w:rsid w:val="00F55714"/>
    <w:rPr>
      <w:rFonts w:ascii="Tahoma" w:hAnsi="Tahoma" w:cs="Tahoma"/>
      <w:sz w:val="16"/>
      <w:szCs w:val="16"/>
      <w:lang w:val="en-GB" w:eastAsia="en-US"/>
    </w:rPr>
  </w:style>
  <w:style w:type="paragraph" w:styleId="NormalWeb">
    <w:name w:val="Normal (Web)"/>
    <w:basedOn w:val="Normal"/>
    <w:rsid w:val="00F5571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msoins0">
    <w:name w:val="msoins"/>
    <w:basedOn w:val="DefaultParagraphFont"/>
    <w:rsid w:val="00F55714"/>
  </w:style>
  <w:style w:type="paragraph" w:styleId="ListParagraph">
    <w:name w:val="List Paragraph"/>
    <w:basedOn w:val="Normal"/>
    <w:uiPriority w:val="34"/>
    <w:qFormat/>
    <w:rsid w:val="00F55714"/>
    <w:pPr>
      <w:ind w:left="720"/>
      <w:contextualSpacing/>
      <w:jc w:val="both"/>
      <w:textAlignment w:val="auto"/>
    </w:pPr>
    <w:rPr>
      <w:lang w:val="en-GB"/>
    </w:rPr>
  </w:style>
  <w:style w:type="paragraph" w:styleId="Subtitle">
    <w:name w:val="Subtitle"/>
    <w:basedOn w:val="Normal"/>
    <w:next w:val="Normal"/>
    <w:link w:val="SubtitleChar"/>
    <w:uiPriority w:val="11"/>
    <w:qFormat/>
    <w:rsid w:val="00F55714"/>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55714"/>
    <w:rPr>
      <w:rFonts w:ascii="Cambria" w:eastAsia="SimSun" w:hAnsi="Cambria"/>
      <w:i/>
      <w:iCs/>
      <w:color w:val="4F81BD"/>
      <w:spacing w:val="15"/>
      <w:sz w:val="24"/>
      <w:szCs w:val="24"/>
    </w:rPr>
  </w:style>
  <w:style w:type="paragraph" w:styleId="BodyText2">
    <w:name w:val="Body Text 2"/>
    <w:basedOn w:val="Normal"/>
    <w:link w:val="BodyText2Char"/>
    <w:unhideWhenUsed/>
    <w:rsid w:val="00F55714"/>
    <w:pPr>
      <w:spacing w:after="120" w:line="480" w:lineRule="auto"/>
      <w:textAlignment w:val="auto"/>
    </w:pPr>
    <w:rPr>
      <w:lang w:val="en-GB"/>
    </w:rPr>
  </w:style>
  <w:style w:type="character" w:customStyle="1" w:styleId="BodyText2Char">
    <w:name w:val="Body Text 2 Char"/>
    <w:basedOn w:val="DefaultParagraphFont"/>
    <w:link w:val="BodyText2"/>
    <w:rsid w:val="00F55714"/>
    <w:rPr>
      <w:rFonts w:ascii="Times New Roman" w:hAnsi="Times New Roman"/>
      <w:sz w:val="24"/>
      <w:lang w:val="en-GB" w:eastAsia="en-US"/>
    </w:rPr>
  </w:style>
  <w:style w:type="paragraph" w:styleId="Revision">
    <w:name w:val="Revision"/>
    <w:hidden/>
    <w:uiPriority w:val="99"/>
    <w:semiHidden/>
    <w:rsid w:val="00F55714"/>
    <w:rPr>
      <w:rFonts w:ascii="Times New Roman" w:hAnsi="Times New Roman"/>
      <w:sz w:val="24"/>
      <w:lang w:val="en-GB" w:eastAsia="en-US"/>
    </w:rPr>
  </w:style>
  <w:style w:type="character" w:customStyle="1" w:styleId="CEONormalChar">
    <w:name w:val="CEO_Normal Char"/>
    <w:basedOn w:val="DefaultParagraphFont"/>
    <w:link w:val="CEONormal"/>
    <w:uiPriority w:val="99"/>
    <w:locked/>
    <w:rsid w:val="00F55714"/>
    <w:rPr>
      <w:szCs w:val="19"/>
      <w:lang w:val="en-GB" w:eastAsia="en-US"/>
    </w:rPr>
  </w:style>
  <w:style w:type="paragraph" w:customStyle="1" w:styleId="CEONormal">
    <w:name w:val="CEO_Normal"/>
    <w:link w:val="CEONormalChar"/>
    <w:uiPriority w:val="99"/>
    <w:rsid w:val="00F55714"/>
    <w:pPr>
      <w:spacing w:before="120" w:after="120"/>
    </w:pPr>
    <w:rPr>
      <w:szCs w:val="19"/>
      <w:lang w:val="en-GB" w:eastAsia="en-US"/>
    </w:rPr>
  </w:style>
  <w:style w:type="paragraph" w:customStyle="1" w:styleId="CEOcontributionStart">
    <w:name w:val="CEO_contributionStart"/>
    <w:basedOn w:val="CEONormal"/>
    <w:next w:val="CEONormal"/>
    <w:uiPriority w:val="99"/>
    <w:rsid w:val="00F55714"/>
    <w:pPr>
      <w:spacing w:before="360"/>
    </w:pPr>
  </w:style>
  <w:style w:type="paragraph" w:customStyle="1" w:styleId="AnnexNo">
    <w:name w:val="Annex_No"/>
    <w:basedOn w:val="Normal"/>
    <w:next w:val="Normal"/>
    <w:link w:val="AnnexNoChar"/>
    <w:rsid w:val="00E95548"/>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eastAsiaTheme="minorEastAsia" w:hAnsi="Calibri"/>
      <w:caps/>
      <w:lang w:val="en-GB"/>
    </w:rPr>
  </w:style>
  <w:style w:type="character" w:customStyle="1" w:styleId="AnnexNoChar">
    <w:name w:val="Annex_No Char"/>
    <w:basedOn w:val="DefaultParagraphFont"/>
    <w:link w:val="AnnexNo"/>
    <w:rsid w:val="00E95548"/>
    <w:rPr>
      <w:rFonts w:ascii="Calibri" w:eastAsiaTheme="minorEastAsia" w:hAnsi="Calibri"/>
      <w:caps/>
      <w:sz w:val="24"/>
      <w:lang w:val="en-GB" w:eastAsia="en-US"/>
    </w:rPr>
  </w:style>
  <w:style w:type="character" w:styleId="Hyperlink">
    <w:name w:val="Hyperlink"/>
    <w:basedOn w:val="DefaultParagraphFont"/>
    <w:uiPriority w:val="99"/>
    <w:rsid w:val="00E95548"/>
    <w:rPr>
      <w:color w:val="0000FF"/>
      <w:u w:val="single"/>
    </w:rPr>
  </w:style>
  <w:style w:type="paragraph" w:customStyle="1" w:styleId="TableTitle">
    <w:name w:val="Table_Title"/>
    <w:basedOn w:val="Normal"/>
    <w:next w:val="Tabletext"/>
    <w:rsid w:val="00566DD3"/>
    <w:pPr>
      <w:keepNext/>
      <w:tabs>
        <w:tab w:val="clear" w:pos="794"/>
        <w:tab w:val="clear" w:pos="1191"/>
        <w:tab w:val="clear" w:pos="1588"/>
        <w:tab w:val="clear" w:pos="1985"/>
      </w:tabs>
      <w:spacing w:before="0" w:after="120"/>
      <w:jc w:val="center"/>
    </w:pPr>
    <w:rPr>
      <w:rFonts w:ascii="Calibri" w:hAnsi="Calibri"/>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0-CL-C-0014/en" TargetMode="External"/><Relationship Id="rId18" Type="http://schemas.openxmlformats.org/officeDocument/2006/relationships/hyperlink" Target="http://www.itu.int/cgi-bin/htsh/mm/scripts/mm.list?_search=UNIV&amp;_languageid=1" TargetMode="External"/><Relationship Id="rId26" Type="http://schemas.openxmlformats.org/officeDocument/2006/relationships/hyperlink" Target="http://www.itu.int/md/T09-TSAG-110208-TD-GEN-0247/en" TargetMode="External"/><Relationship Id="rId39" Type="http://schemas.openxmlformats.org/officeDocument/2006/relationships/hyperlink" Target="http://www.itu.int/md/R07-CPM11.02-C-0033/en" TargetMode="External"/><Relationship Id="rId21" Type="http://schemas.openxmlformats.org/officeDocument/2006/relationships/hyperlink" Target="http://www.itu.int/council/Basic-Texts/ResDecRec-PP10-e.docx" TargetMode="External"/><Relationship Id="rId34" Type="http://schemas.openxmlformats.org/officeDocument/2006/relationships/hyperlink" Target="http://www.itu.int/md/R07-CPM11.02-C-0032/en" TargetMode="External"/><Relationship Id="rId42" Type="http://schemas.openxmlformats.org/officeDocument/2006/relationships/hyperlink" Target="http://www.itu.int/md/R07CPM11.02-R-0001" TargetMode="External"/><Relationship Id="rId47" Type="http://schemas.openxmlformats.org/officeDocument/2006/relationships/hyperlink" Target="http://www.itu.int/md/R10-RRB.10.3-INF-0001/en" TargetMode="External"/><Relationship Id="rId50" Type="http://schemas.openxmlformats.org/officeDocument/2006/relationships/hyperlink" Target="http://www.itu.int/md/R00-CR-CIR-0321/en"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council/cext-2010/" TargetMode="Externa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council/Basic-Texts/ResDecRec-PP10-e.docx" TargetMode="External"/><Relationship Id="rId33" Type="http://schemas.openxmlformats.org/officeDocument/2006/relationships/hyperlink" Target="http://www.itu.int/md/R07-CPM11.02-C-0032/en" TargetMode="External"/><Relationship Id="rId38" Type="http://schemas.openxmlformats.org/officeDocument/2006/relationships/hyperlink" Target="http://www.itu.int/md/R07-CPM11.02-C-0032/en" TargetMode="External"/><Relationship Id="rId46" Type="http://schemas.openxmlformats.org/officeDocument/2006/relationships/hyperlink" Target="http://www.itu.int/md/R07-CPM11.02-R-0001/e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Decisionhttp://www.itu.int/council/Basic-Texts/ResDecRec-PP10-e.docx" TargetMode="External"/><Relationship Id="rId20" Type="http://schemas.openxmlformats.org/officeDocument/2006/relationships/hyperlink" Target="http://www.itu.int/council/Basic-Texts/ResDecRec-PP10-e.docx" TargetMode="External"/><Relationship Id="rId29" Type="http://schemas.openxmlformats.org/officeDocument/2006/relationships/hyperlink" Target="http://www.itu.int/md/T09-TSAG-110208-TD-GEN-0224/en" TargetMode="External"/><Relationship Id="rId41" Type="http://schemas.openxmlformats.org/officeDocument/2006/relationships/hyperlink" Target="http://www.itu.int/md/R07-CPM11.02-C-0001/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C2010/" TargetMode="External"/><Relationship Id="rId24" Type="http://schemas.openxmlformats.org/officeDocument/2006/relationships/hyperlink" Target="http://www.itu.int/council/Basic-Texts/ResDecRec-PP10-e.docx" TargetMode="External"/><Relationship Id="rId32" Type="http://schemas.openxmlformats.org/officeDocument/2006/relationships/hyperlink" Target="http://www.itu.int/ITU-R/go/WRC-12" TargetMode="External"/><Relationship Id="rId37" Type="http://schemas.openxmlformats.org/officeDocument/2006/relationships/hyperlink" Target="http://www.itu.int/md/R07-CPM11.02-C-0002/en" TargetMode="External"/><Relationship Id="rId40" Type="http://schemas.openxmlformats.org/officeDocument/2006/relationships/hyperlink" Target="http://www.itu.int/md/R07-CPM11.02-C-0034/en" TargetMode="External"/><Relationship Id="rId45" Type="http://schemas.openxmlformats.org/officeDocument/2006/relationships/hyperlink" Target="http://www.itu.int/ITU-R/go/wrc-12-regional" TargetMode="External"/><Relationship Id="rId53" Type="http://schemas.openxmlformats.org/officeDocument/2006/relationships/hyperlink" Target="http://www.itu.int/ITU-R/go/seminars" TargetMode="Externa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Decisionhttp://www.itu.int/council/Basic-Texts/ResDecRec-PP10-e.docx" TargetMode="External"/><Relationship Id="rId23" Type="http://schemas.openxmlformats.org/officeDocument/2006/relationships/hyperlink" Target="http://www.itu.int/pub/R-SP-LM.V-2011" TargetMode="External"/><Relationship Id="rId28" Type="http://schemas.openxmlformats.org/officeDocument/2006/relationships/hyperlink" Target="http://www.itu.int/council/Basic-Texts/ResDecRec-PP10-e.docx" TargetMode="External"/><Relationship Id="rId36" Type="http://schemas.openxmlformats.org/officeDocument/2006/relationships/hyperlink" Target="http://www.itu.int/md/R07-CPM11.02-C-0001/en" TargetMode="External"/><Relationship Id="rId49" Type="http://schemas.openxmlformats.org/officeDocument/2006/relationships/hyperlink" Target="http://www.itu.int/sns/plans.html" TargetMode="External"/><Relationship Id="rId57" Type="http://schemas.openxmlformats.org/officeDocument/2006/relationships/footer" Target="footer2.xml"/><Relationship Id="rId10" Type="http://schemas.openxmlformats.org/officeDocument/2006/relationships/hyperlink" Target="http://www.itu.int/md/R00-CA-CIR-0194/en" TargetMode="External"/><Relationship Id="rId19" Type="http://schemas.openxmlformats.org/officeDocument/2006/relationships/hyperlink" Target="http://www.itu.int/council/Basic-Texts/ResDecRec-PP10-e.docx" TargetMode="External"/><Relationship Id="rId31" Type="http://schemas.openxmlformats.org/officeDocument/2006/relationships/hyperlink" Target="http://www.itu.int/ITU-R/go/RA-12" TargetMode="External"/><Relationship Id="rId44" Type="http://schemas.openxmlformats.org/officeDocument/2006/relationships/hyperlink" Target="https://www.itu.int/exchweb/bin/redir.asp?URL=http://www.itu.int/ITU-R/index.asp?category=conferences%26rlink=wrc-12-info-10%26lang=en" TargetMode="External"/><Relationship Id="rId52" Type="http://schemas.openxmlformats.org/officeDocument/2006/relationships/hyperlink" Target="http://www.itu.int/ITU-R/go/performance-reports/%20"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council/Basic-Texts/ResDecRec-PP10-e.docx" TargetMode="External"/><Relationship Id="rId22" Type="http://schemas.openxmlformats.org/officeDocument/2006/relationships/hyperlink" Target="http://www.itu.int/pub/R-HDB-23" TargetMode="External"/><Relationship Id="rId27" Type="http://schemas.openxmlformats.org/officeDocument/2006/relationships/hyperlink" Target="http://www.itu.int/council/Basic-Texts/ResDecRec-PP10-e.docx" TargetMode="External"/><Relationship Id="rId30" Type="http://schemas.openxmlformats.org/officeDocument/2006/relationships/hyperlink" Target="http://www.itu.int/en/ITU-T/focusgroups/avaccessibility/Pages/tor.aspx" TargetMode="External"/><Relationship Id="rId35" Type="http://schemas.openxmlformats.org/officeDocument/2006/relationships/hyperlink" Target="http://www.itu.int/md/R07-CPM11.02-C-0034/en" TargetMode="External"/><Relationship Id="rId43" Type="http://schemas.openxmlformats.org/officeDocument/2006/relationships/hyperlink" Target="http://www.itu.int/pub/R-ACT-CPM.1-2011" TargetMode="External"/><Relationship Id="rId48" Type="http://schemas.openxmlformats.org/officeDocument/2006/relationships/hyperlink" Target="http://www.itu.int/ITU-R/go/res647"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itu.int/ITU-R/go/operational-plans/e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C89A-A5AA-4B75-8E1D-2FD89715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PF_RAG11.dotm</Template>
  <TotalTime>35</TotalTime>
  <Pages>20</Pages>
  <Words>10256</Words>
  <Characters>60484</Characters>
  <Application>Microsoft Office Word</Application>
  <DocSecurity>0</DocSecurity>
  <Lines>504</Lines>
  <Paragraphs>141</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RAPPORT À LA DIX-HUITIÈME RÉUNION DU GROUPE</vt:lpstr>
      <vt:lpstr>1	Introduction</vt:lpstr>
      <vt:lpstr>2	Questions relatives au Conseil </vt:lpstr>
      <vt:lpstr>    2.1	Recouvrement des coûts pour le traitement des fiches de notification des rés</vt:lpstr>
      <vt:lpstr>    2.2	Nouveaux groupes de travail du Conseil</vt:lpstr>
      <vt:lpstr>    2.3	Elaboration du projet de budget pour 2012-2013</vt:lpstr>
      <vt:lpstr>3	Résultats de la PP-10</vt:lpstr>
      <vt:lpstr>    3.1	Plan stratégique pour la période 2012-2015 (Résolution 71 (Rév. Guadalajara </vt:lpstr>
      <vt:lpstr>    3.2	Plan financier pour 2012-2015 (Décision 5 (Rév. Guadalajara, 2010))</vt:lpstr>
      <vt:lpstr>        3.2.1	Date de la première session de la RPC en vue de la CMR-15/16</vt:lpstr>
      <vt:lpstr>        3.3	Admission d'établissements universitaires (Résolution 169 (Guadalajara, 2010</vt:lpstr>
      <vt:lpstr>    3.4	Admission de Membres de Secteur des pays en développement (Résolution 170 (G</vt:lpstr>
      <vt:lpstr>    3.5	Accès en ligne gratuit aux publications de l'UIT-R (Décision 12 (Guadalajara</vt:lpstr>
      <vt:lpstr>    3.6	Documents et publications de l'Union (Résolution 66 (Rév. Guadalajara, 2010)</vt:lpstr>
      <vt:lpstr>    3.7	Méthodes de travail pour les réunions électroniques (Résolution 167 (Guadala</vt:lpstr>
      <vt:lpstr>    3.8	Contributions et inscription (Résolution 165 (Guadalajara, 2010))</vt:lpstr>
      <vt:lpstr>    3.9	Nombre de vice-présidents des groupes consultatifs, des commissions d'études</vt:lpstr>
      <vt:lpstr>    3.10	Conformité et interopérabilité (Résolution 177 (Guadalajara, 2010))</vt:lpstr>
      <vt:lpstr>4	Activités des Commissions d'études </vt:lpstr>
      <vt:lpstr>    4.1	Méthodes de travail</vt:lpstr>
      <vt:lpstr>    4.2	Travaux préparatoires des Commissions d'études en vue de la CMR-12</vt:lpstr>
      <vt:lpstr>    4.3	Activités notables menées par les Commissions d'études</vt:lpstr>
      <vt:lpstr>    4.4	Liaison et collaboration avec l'UIT-D et l'UIT-T, ainsi qu'avec d'autres org</vt:lpstr>
      <vt:lpstr>5	Travaux préparatoires en vue de l'AR-12</vt:lpstr>
      <vt:lpstr>6	Travaux préparatoires en vue de la CMR-12</vt:lpstr>
      <vt:lpstr>6.1	RPC11-2</vt:lpstr>
      <vt:lpstr>    6.2	Autres travaux préparatoires en vue de la CMR-12</vt:lpstr>
      <vt:lpstr>    6.3	Résolution 80 (Rév.CMR-07) </vt:lpstr>
      <vt:lpstr>    6.4	Base de données sur les communications d'urgence</vt:lpstr>
      <vt:lpstr>    6.5	Elaboration de logiciels relatifs à la conférence</vt:lpstr>
      <vt:lpstr>7	Planification opérationnelle</vt:lpstr>
      <vt:lpstr>8	Séminaires et ateliers</vt:lpstr>
      <vt:lpstr>    8.1	Coordination intersectorielle des séminaires et ateliers </vt:lpstr>
      <vt:lpstr>9	Statistiques relatives aux Membres de Secteur et aux Associés</vt:lpstr>
    </vt:vector>
  </TitlesOfParts>
  <Manager>General Secretariat - Pool</Manager>
  <Company>International Telecommunication Union (ITU)</Company>
  <LinksUpToDate>false</LinksUpToDate>
  <CharactersWithSpaces>70599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DIX-HUITIÈME RÉUNION DU GROUPE</dc:title>
  <dc:subject>GROUPE CONSULTATIF DES RADIOCOMMUNICATIONS</dc:subject>
  <dc:creator>Directeur du Bureau des radiocommunications</dc:creator>
  <cp:keywords>RAG03-1</cp:keywords>
  <dc:description>Document RAG11-1/1-F  For: _x000d_Document date: 21 avril 2011_x000d_Saved by PA-106485 at 16:40:34 on 10.05.2011</dc:description>
  <cp:lastModifiedBy>royer</cp:lastModifiedBy>
  <cp:revision>8</cp:revision>
  <cp:lastPrinted>2011-06-07T09:14:00Z</cp:lastPrinted>
  <dcterms:created xsi:type="dcterms:W3CDTF">2011-06-07T07:30:00Z</dcterms:created>
  <dcterms:modified xsi:type="dcterms:W3CDTF">2011-06-07T09:23:00Z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RAG11-1/1-F</vt:lpwstr>
  </property>
  <property fmtid="{D5CDD505-2E9C-101B-9397-08002B2CF9AE}" pid="3" name="Docdate">
    <vt:lpwstr>21 avril 2011</vt:lpwstr>
  </property>
  <property fmtid="{D5CDD505-2E9C-101B-9397-08002B2CF9AE}" pid="4" name="Docorlang">
    <vt:lpwstr>Original: anglais</vt:lpwstr>
  </property>
  <property fmtid="{D5CDD505-2E9C-101B-9397-08002B2CF9AE}" pid="5" name="Docauthor">
    <vt:lpwstr>Directeur du Bureau des radiocommunications</vt:lpwstr>
  </property>
</Properties>
</file>