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9889" w:type="dxa"/>
        <w:tblLayout w:type="fixed"/>
        <w:tblLook w:val="0000" w:firstRow="0" w:lastRow="0" w:firstColumn="0" w:lastColumn="0" w:noHBand="0" w:noVBand="0"/>
      </w:tblPr>
      <w:tblGrid>
        <w:gridCol w:w="6475"/>
        <w:gridCol w:w="3396"/>
        <w:gridCol w:w="18"/>
      </w:tblGrid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</w:tcPr>
          <w:p w:rsidR="00E76CBE" w:rsidRPr="00BA44BE" w:rsidRDefault="00076C50" w:rsidP="00233908">
            <w:pPr>
              <w:shd w:val="solid" w:color="FFFFFF" w:fill="FFFFFF"/>
              <w:spacing w:before="360" w:after="240" w:line="240" w:lineRule="atLeast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BA44BE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2433"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г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руппа </w:t>
            </w:r>
            <w:r w:rsidR="00AD2433"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п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="00AD2433"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р</w:t>
            </w:r>
            <w:r w:rsidRPr="00BA44BE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адиосвязи</w:t>
            </w:r>
            <w:r w:rsidRPr="00BA44BE">
              <w:rPr>
                <w:b/>
                <w:bCs/>
                <w:sz w:val="32"/>
                <w:szCs w:val="32"/>
                <w:lang w:val="ru-RU"/>
              </w:rPr>
              <w:br/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D1314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8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7411C2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D1314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1314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июня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7411C2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233908" w:rsidRPr="0023390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3174EF" w:rsidRPr="00BA44B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396" w:type="dxa"/>
          </w:tcPr>
          <w:p w:rsidR="00E76CBE" w:rsidRPr="00BA44BE" w:rsidRDefault="006B3FED" w:rsidP="00AD116F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r w:rsidRPr="00BA44BE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2B98BB4" wp14:editId="333152D5">
                  <wp:extent cx="1312545" cy="699770"/>
                  <wp:effectExtent l="19050" t="0" r="190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bottom w:val="single" w:sz="12" w:space="0" w:color="auto"/>
            </w:tcBorders>
          </w:tcPr>
          <w:p w:rsidR="00E76CBE" w:rsidRPr="00BA44BE" w:rsidRDefault="00E76CBE" w:rsidP="00AD116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E76CBE" w:rsidRPr="00BA44BE" w:rsidRDefault="00E76CBE" w:rsidP="00AD116F">
            <w:pPr>
              <w:shd w:val="solid" w:color="FFFFFF" w:fill="FFFFFF"/>
              <w:spacing w:before="0" w:after="48" w:line="240" w:lineRule="atLeast"/>
              <w:rPr>
                <w:szCs w:val="22"/>
                <w:lang w:val="ru-RU"/>
              </w:rPr>
            </w:pP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top w:val="single" w:sz="12" w:space="0" w:color="auto"/>
            </w:tcBorders>
          </w:tcPr>
          <w:p w:rsidR="00E76CBE" w:rsidRPr="00BA44BE" w:rsidRDefault="00E76CBE" w:rsidP="002811A8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E76CBE" w:rsidRPr="00BA44BE" w:rsidRDefault="00E76CBE" w:rsidP="002811A8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vMerge w:val="restart"/>
          </w:tcPr>
          <w:p w:rsidR="00E76CBE" w:rsidRPr="00BA44BE" w:rsidRDefault="00E76CBE" w:rsidP="002811A8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396" w:type="dxa"/>
          </w:tcPr>
          <w:p w:rsidR="00E76CBE" w:rsidRPr="00BA44BE" w:rsidRDefault="003174EF" w:rsidP="002811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</w:t>
            </w:r>
            <w:r w:rsidR="007411C2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D1314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-1/ADM/1-R</w:t>
            </w: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BA44BE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396" w:type="dxa"/>
          </w:tcPr>
          <w:p w:rsidR="00E76CBE" w:rsidRPr="00BA44BE" w:rsidRDefault="00D1314F" w:rsidP="002811A8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3</w:t>
            </w:r>
            <w:r w:rsidR="00170925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июня</w:t>
            </w:r>
            <w:r w:rsidR="003174E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20</w:t>
            </w:r>
            <w:r w:rsidR="007411C2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3174EF" w:rsidRPr="00BA44BE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E76CBE" w:rsidRPr="00BA44BE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BA44BE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396" w:type="dxa"/>
          </w:tcPr>
          <w:p w:rsidR="00E76CBE" w:rsidRPr="00BA44BE" w:rsidRDefault="003174EF" w:rsidP="002811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A4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076C50" w:rsidRPr="00BA4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E76CBE" w:rsidRPr="00BA44BE" w:rsidTr="00AD116F">
        <w:trPr>
          <w:cantSplit/>
        </w:trPr>
        <w:tc>
          <w:tcPr>
            <w:tcW w:w="9889" w:type="dxa"/>
            <w:gridSpan w:val="3"/>
          </w:tcPr>
          <w:p w:rsidR="00E76CBE" w:rsidRPr="00BA44BE" w:rsidRDefault="00E76CBE" w:rsidP="002811A8">
            <w:pPr>
              <w:pStyle w:val="Source"/>
              <w:spacing w:before="480" w:after="0"/>
              <w:rPr>
                <w:lang w:val="ru-RU"/>
              </w:rPr>
            </w:pPr>
            <w:bookmarkStart w:id="3" w:name="dsource" w:colFirst="0" w:colLast="0"/>
            <w:bookmarkEnd w:id="2"/>
          </w:p>
        </w:tc>
      </w:tr>
      <w:tr w:rsidR="00E76CBE" w:rsidRPr="00233908" w:rsidTr="00AD116F">
        <w:trPr>
          <w:cantSplit/>
        </w:trPr>
        <w:tc>
          <w:tcPr>
            <w:tcW w:w="9889" w:type="dxa"/>
            <w:gridSpan w:val="3"/>
          </w:tcPr>
          <w:p w:rsidR="002811A8" w:rsidRPr="00BA44BE" w:rsidRDefault="002811A8" w:rsidP="002811A8">
            <w:pPr>
              <w:pStyle w:val="Title1"/>
              <w:spacing w:before="120"/>
              <w:rPr>
                <w:caps w:val="0"/>
                <w:szCs w:val="26"/>
                <w:lang w:val="ru-RU"/>
              </w:rPr>
            </w:pPr>
            <w:bookmarkStart w:id="4" w:name="dtitle1" w:colFirst="0" w:colLast="0"/>
            <w:bookmarkEnd w:id="3"/>
            <w:r w:rsidRPr="00BA44BE">
              <w:rPr>
                <w:bCs/>
                <w:szCs w:val="26"/>
                <w:lang w:val="ru-RU"/>
              </w:rPr>
              <w:t>Проект повестки дня</w:t>
            </w:r>
            <w:r w:rsidRPr="00BA44BE">
              <w:rPr>
                <w:caps w:val="0"/>
                <w:szCs w:val="26"/>
                <w:lang w:val="ru-RU"/>
              </w:rPr>
              <w:t xml:space="preserve"> </w:t>
            </w:r>
          </w:p>
          <w:p w:rsidR="002811A8" w:rsidRPr="00BA44BE" w:rsidRDefault="00D1314F" w:rsidP="002811A8">
            <w:pPr>
              <w:pStyle w:val="Title1"/>
              <w:spacing w:before="120"/>
              <w:rPr>
                <w:szCs w:val="26"/>
                <w:lang w:val="ru-RU"/>
              </w:rPr>
            </w:pPr>
            <w:r w:rsidRPr="00BA44BE">
              <w:rPr>
                <w:caps w:val="0"/>
                <w:szCs w:val="26"/>
                <w:lang w:val="ru-RU"/>
              </w:rPr>
              <w:t>ВОСЕМНАДЦАТОГО</w:t>
            </w:r>
            <w:r w:rsidR="007411C2" w:rsidRPr="00BA44BE">
              <w:rPr>
                <w:caps w:val="0"/>
                <w:szCs w:val="26"/>
                <w:lang w:val="ru-RU"/>
              </w:rPr>
              <w:t xml:space="preserve"> </w:t>
            </w:r>
            <w:r w:rsidR="002811A8" w:rsidRPr="00BA44BE">
              <w:rPr>
                <w:szCs w:val="26"/>
                <w:lang w:val="ru-RU"/>
              </w:rPr>
              <w:t xml:space="preserve">собрания </w:t>
            </w:r>
          </w:p>
          <w:p w:rsidR="00E76CBE" w:rsidRPr="00BA44BE" w:rsidRDefault="003174EF" w:rsidP="002811A8">
            <w:pPr>
              <w:pStyle w:val="Title1"/>
              <w:spacing w:before="120"/>
              <w:rPr>
                <w:caps w:val="0"/>
                <w:szCs w:val="26"/>
                <w:lang w:val="ru-RU"/>
              </w:rPr>
            </w:pPr>
            <w:r w:rsidRPr="00BA44BE">
              <w:rPr>
                <w:szCs w:val="26"/>
                <w:lang w:val="ru-RU"/>
              </w:rPr>
              <w:t>Консультативной группы по радиосвязи</w:t>
            </w:r>
          </w:p>
        </w:tc>
      </w:tr>
      <w:tr w:rsidR="00286295" w:rsidRPr="00233908" w:rsidTr="00AD116F">
        <w:trPr>
          <w:cantSplit/>
        </w:trPr>
        <w:tc>
          <w:tcPr>
            <w:tcW w:w="9889" w:type="dxa"/>
            <w:gridSpan w:val="3"/>
          </w:tcPr>
          <w:p w:rsidR="00286295" w:rsidRPr="00BA44BE" w:rsidRDefault="00286295" w:rsidP="002811A8">
            <w:pPr>
              <w:spacing w:before="24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 xml:space="preserve">Женева, </w:t>
            </w:r>
            <w:r w:rsidR="00D1314F" w:rsidRPr="00BA44BE">
              <w:rPr>
                <w:lang w:val="ru-RU"/>
              </w:rPr>
              <w:t>8</w:t>
            </w:r>
            <w:r w:rsidRPr="00BA44BE">
              <w:rPr>
                <w:lang w:val="ru-RU"/>
              </w:rPr>
              <w:t>–</w:t>
            </w:r>
            <w:r w:rsidR="007411C2" w:rsidRPr="00BA44BE">
              <w:rPr>
                <w:lang w:val="ru-RU"/>
              </w:rPr>
              <w:t>1</w:t>
            </w:r>
            <w:r w:rsidR="00D1314F" w:rsidRPr="00BA44BE">
              <w:rPr>
                <w:lang w:val="ru-RU"/>
              </w:rPr>
              <w:t>0</w:t>
            </w:r>
            <w:r w:rsidRPr="00BA44BE">
              <w:rPr>
                <w:lang w:val="ru-RU"/>
              </w:rPr>
              <w:t xml:space="preserve"> </w:t>
            </w:r>
            <w:r w:rsidR="00D1314F" w:rsidRPr="00BA44BE">
              <w:rPr>
                <w:lang w:val="ru-RU"/>
              </w:rPr>
              <w:t>июня</w:t>
            </w:r>
            <w:r w:rsidRPr="00BA44BE">
              <w:rPr>
                <w:lang w:val="ru-RU"/>
              </w:rPr>
              <w:t xml:space="preserve"> 20</w:t>
            </w:r>
            <w:r w:rsidR="007411C2" w:rsidRPr="00BA44BE">
              <w:rPr>
                <w:lang w:val="ru-RU"/>
              </w:rPr>
              <w:t>1</w:t>
            </w:r>
            <w:r w:rsidR="00D1314F" w:rsidRPr="00BA44BE">
              <w:rPr>
                <w:lang w:val="ru-RU"/>
              </w:rPr>
              <w:t>1</w:t>
            </w:r>
            <w:r w:rsidRPr="00BA44BE">
              <w:rPr>
                <w:lang w:val="ru-RU"/>
              </w:rPr>
              <w:t xml:space="preserve"> года</w:t>
            </w:r>
            <w:r w:rsidRPr="00BA44BE">
              <w:rPr>
                <w:lang w:val="ru-RU"/>
              </w:rPr>
              <w:br/>
              <w:t xml:space="preserve">(Зал </w:t>
            </w:r>
            <w:r w:rsidR="00D1314F" w:rsidRPr="00BA44BE">
              <w:rPr>
                <w:lang w:val="ru-RU"/>
              </w:rPr>
              <w:t>С</w:t>
            </w:r>
            <w:r w:rsidRPr="00BA44BE">
              <w:rPr>
                <w:lang w:val="ru-RU"/>
              </w:rPr>
              <w:t>, здание МСЭ "Башня")</w:t>
            </w:r>
          </w:p>
        </w:tc>
      </w:tr>
    </w:tbl>
    <w:p w:rsidR="00286295" w:rsidRPr="00BA44BE" w:rsidRDefault="00286295">
      <w:pPr>
        <w:rPr>
          <w:lang w:val="ru-RU"/>
        </w:rPr>
      </w:pPr>
    </w:p>
    <w:bookmarkEnd w:id="4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687"/>
        <w:gridCol w:w="6379"/>
        <w:gridCol w:w="2126"/>
      </w:tblGrid>
      <w:tr w:rsidR="00AC7AF4" w:rsidRPr="00BA44BE" w:rsidTr="00E23C64">
        <w:trPr>
          <w:tblHeader/>
        </w:trPr>
        <w:tc>
          <w:tcPr>
            <w:tcW w:w="697" w:type="dxa"/>
            <w:vAlign w:val="center"/>
          </w:tcPr>
          <w:p w:rsidR="00AC7AF4" w:rsidRPr="00BA44BE" w:rsidRDefault="00AC7AF4" w:rsidP="00E23C6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687" w:type="dxa"/>
            <w:vAlign w:val="center"/>
          </w:tcPr>
          <w:p w:rsidR="00AC7AF4" w:rsidRPr="00BA44BE" w:rsidRDefault="00AC7AF4" w:rsidP="00E23C6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AC7AF4" w:rsidRPr="00BA44BE" w:rsidRDefault="00AC7AF4" w:rsidP="00E23C6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AC7AF4" w:rsidRPr="00BA44BE" w:rsidRDefault="00AC7AF4" w:rsidP="00BA44BE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BA44BE">
              <w:rPr>
                <w:b/>
                <w:bCs/>
                <w:lang w:val="ru-RU"/>
              </w:rPr>
              <w:t>Документ</w:t>
            </w:r>
            <w:r w:rsidRPr="00BA44BE">
              <w:rPr>
                <w:b/>
                <w:bCs/>
                <w:lang w:val="ru-RU"/>
              </w:rPr>
              <w:br/>
              <w:t>RAG11-1/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1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Вступительные замечания</w:t>
            </w:r>
          </w:p>
        </w:tc>
        <w:tc>
          <w:tcPr>
            <w:tcW w:w="2126" w:type="dxa"/>
          </w:tcPr>
          <w:p w:rsidR="00AC7AF4" w:rsidRPr="00BA44BE" w:rsidRDefault="00BA44BE" w:rsidP="00BA44BE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2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Утверждение повестки дня</w:t>
            </w:r>
          </w:p>
        </w:tc>
        <w:tc>
          <w:tcPr>
            <w:tcW w:w="2126" w:type="dxa"/>
          </w:tcPr>
          <w:p w:rsidR="00AC7AF4" w:rsidRPr="00BA44BE" w:rsidRDefault="00BA44BE" w:rsidP="00BA44BE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</w:p>
        </w:tc>
      </w:tr>
      <w:tr w:rsidR="00AC7AF4" w:rsidRPr="00233908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3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Вопросы, рассматриваемые Советом и Полномочной конференцией и относящиеся к КГР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3.1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Вопросы, рассматриваемые Советом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2, Add</w:t>
            </w:r>
            <w:r w:rsidR="00233908">
              <w:rPr>
                <w:lang w:val="en-US"/>
              </w:rPr>
              <w:t>s</w:t>
            </w:r>
            <w:r w:rsidRPr="00BA44BE">
              <w:rPr>
                <w:lang w:val="ru-RU"/>
              </w:rPr>
              <w:t>.1, 3, 4), 15 (п. 3)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3.2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Результаты ПК-10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3) , 15 (п. 7)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3.2.1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Предельные сроки и процедуры регистрации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3.8), 8, 15 (п. 6)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4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Деятельность исследовательских комиссий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4.1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Методы работы и деятельность исследовательских комиссий</w:t>
            </w:r>
            <w:r w:rsidR="00E23C64" w:rsidRPr="00BA44BE">
              <w:rPr>
                <w:lang w:val="ru-RU"/>
              </w:rPr>
              <w:t> </w:t>
            </w:r>
            <w:r w:rsidRPr="00BA44BE">
              <w:rPr>
                <w:lang w:val="ru-RU"/>
              </w:rPr>
              <w:t>МСЭ-R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</w:t>
            </w:r>
            <w:r w:rsidR="00233908">
              <w:rPr>
                <w:lang w:val="ru-RU"/>
              </w:rPr>
              <w:t>п</w:t>
            </w:r>
            <w:r w:rsidRPr="00BA44BE">
              <w:rPr>
                <w:lang w:val="ru-RU"/>
              </w:rPr>
              <w:t>. 4.1, 4.2, 4.3), 3, 6, 15 (п</w:t>
            </w:r>
            <w:r w:rsidR="00233908">
              <w:rPr>
                <w:lang w:val="ru-RU"/>
              </w:rPr>
              <w:t>п</w:t>
            </w:r>
            <w:bookmarkStart w:id="5" w:name="_GoBack"/>
            <w:bookmarkEnd w:id="5"/>
            <w:r w:rsidRPr="00BA44BE">
              <w:rPr>
                <w:lang w:val="ru-RU"/>
              </w:rPr>
              <w:t>. 1, 2, 9), 17, 19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4.2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Взаимодействие и сотрудничество с Секторами МСЭ-T и МСЭ</w:t>
            </w:r>
            <w:r w:rsidR="00E23C64" w:rsidRPr="00BA44BE">
              <w:rPr>
                <w:lang w:val="ru-RU"/>
              </w:rPr>
              <w:noBreakHyphen/>
            </w:r>
            <w:r w:rsidRPr="00BA44BE">
              <w:rPr>
                <w:lang w:val="ru-RU"/>
              </w:rPr>
              <w:t>D и с другими организациями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</w:t>
            </w:r>
            <w:r w:rsidR="00BA44BE">
              <w:rPr>
                <w:lang w:val="ru-RU"/>
              </w:rPr>
              <w:t xml:space="preserve"> </w:t>
            </w:r>
            <w:r w:rsidRPr="00BA44BE">
              <w:rPr>
                <w:lang w:val="ru-RU"/>
              </w:rPr>
              <w:t>4.4), 22, 23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4.3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Электронные методы работы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5, 15 (п. 10), 18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5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Рассмотрение информационных систем БР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14(Rev.1)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6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Подготовка к АР-12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5)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6.1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Пересмотры Резолюции МСЭ-R 1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15 (п. 8), 20, 24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6.2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Соответствие и функциональная совместимость радиооборудования</w:t>
            </w:r>
            <w:r w:rsidR="00E23C64" w:rsidRPr="00BA44BE">
              <w:rPr>
                <w:lang w:val="ru-RU"/>
              </w:rPr>
              <w:t xml:space="preserve"> </w:t>
            </w:r>
            <w:r w:rsidR="00E23C64" w:rsidRPr="00BA44BE">
              <w:rPr>
                <w:lang w:val="ru-RU"/>
              </w:rPr>
              <w:sym w:font="Symbol" w:char="F02D"/>
            </w:r>
            <w:r w:rsidR="00E23C64" w:rsidRPr="00BA44BE">
              <w:rPr>
                <w:lang w:val="ru-RU"/>
              </w:rPr>
              <w:t xml:space="preserve"> </w:t>
            </w:r>
            <w:r w:rsidRPr="00BA44BE">
              <w:rPr>
                <w:lang w:val="ru-RU"/>
              </w:rPr>
              <w:t>Резолюция 177 (Гвадалахара, 2010 г.)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3.10), 4, 10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6.3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 xml:space="preserve">Число заместителей </w:t>
            </w:r>
            <w:r w:rsidR="00BA44BE" w:rsidRPr="00BA44BE">
              <w:rPr>
                <w:lang w:val="ru-RU"/>
              </w:rPr>
              <w:t xml:space="preserve">председателя </w:t>
            </w:r>
            <w:r w:rsidRPr="00BA44BE">
              <w:rPr>
                <w:lang w:val="ru-RU"/>
              </w:rPr>
              <w:t>– Резолюция 166 (Гвадалахара, 2010 г.)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9, 15 (п. 5), 16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6.4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Межсекторальные группы Докладчиков – Резолюция МСЭ-R 6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2 + Add.1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0282C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6.5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Меры по другим текстам МСЭ-R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21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lastRenderedPageBreak/>
              <w:br w:type="page"/>
              <w:t>7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Подготовка к ВКР-12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7.1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Процесс ПСК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6.1)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7.2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БР и региональная деятельность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6.2)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7.3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Резолюция 80 (Пересм. ВКР-07)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6.3)</w:t>
            </w:r>
          </w:p>
        </w:tc>
      </w:tr>
      <w:tr w:rsidR="00AC7AF4" w:rsidRPr="00233908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8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Стратегическое, финансовое и оперативное планирование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8.1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Отчет о деятельности за 2010 год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7)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8.2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Проект Оперативного плана на 2012</w:t>
            </w:r>
            <w:r w:rsidR="00E23C64" w:rsidRPr="00BA44BE">
              <w:rPr>
                <w:lang w:val="ru-RU"/>
              </w:rPr>
              <w:sym w:font="Symbol" w:char="F02D"/>
            </w:r>
            <w:r w:rsidRPr="00BA44BE">
              <w:rPr>
                <w:lang w:val="ru-RU"/>
              </w:rPr>
              <w:t>2015 годы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 (п. 7), 15 (п. 4)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8.3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Стратегический план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7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highlight w:val="yellow"/>
                <w:lang w:val="ru-RU"/>
              </w:rPr>
            </w:pPr>
            <w:r w:rsidRPr="00BA44BE">
              <w:rPr>
                <w:lang w:val="ru-RU"/>
              </w:rPr>
              <w:t>9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Семинары и семинары-практикумы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highlight w:val="yellow"/>
                <w:lang w:val="ru-RU"/>
              </w:rPr>
            </w:pPr>
            <w:r w:rsidRPr="00BA44BE">
              <w:rPr>
                <w:lang w:val="ru-RU"/>
              </w:rPr>
              <w:t>1 (п. 8)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10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Межсекторальная деятельность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10.1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Изменение климата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12, 13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E23C6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10.2</w:t>
            </w: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ВВУИО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11</w:t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11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Дата(ы) следующего(их) собрания(й)</w:t>
            </w:r>
          </w:p>
        </w:tc>
        <w:tc>
          <w:tcPr>
            <w:tcW w:w="2126" w:type="dxa"/>
          </w:tcPr>
          <w:p w:rsidR="00AC7AF4" w:rsidRPr="00BA44BE" w:rsidRDefault="00BA44BE" w:rsidP="00BA44BE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12</w:t>
            </w: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AC7AF4" w:rsidRPr="00BA44BE" w:rsidTr="00E23C64">
        <w:tc>
          <w:tcPr>
            <w:tcW w:w="69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87" w:type="dxa"/>
          </w:tcPr>
          <w:p w:rsidR="00AC7AF4" w:rsidRPr="00BA44BE" w:rsidRDefault="00AC7AF4" w:rsidP="00E23C64">
            <w:pPr>
              <w:spacing w:before="60" w:after="60"/>
              <w:rPr>
                <w:lang w:val="ru-RU"/>
              </w:rPr>
            </w:pPr>
          </w:p>
        </w:tc>
        <w:tc>
          <w:tcPr>
            <w:tcW w:w="6379" w:type="dxa"/>
          </w:tcPr>
          <w:p w:rsidR="00AC7AF4" w:rsidRPr="00BA44BE" w:rsidRDefault="00E23C64" w:rsidP="00E23C64">
            <w:pPr>
              <w:tabs>
                <w:tab w:val="clear" w:pos="794"/>
                <w:tab w:val="left" w:pos="601"/>
              </w:tabs>
              <w:spacing w:before="60" w:after="60"/>
              <w:rPr>
                <w:lang w:val="ru-RU"/>
              </w:rPr>
            </w:pPr>
            <w:r w:rsidRPr="00BA44BE">
              <w:rPr>
                <w:lang w:val="ru-RU"/>
              </w:rPr>
              <w:sym w:font="Symbol" w:char="F02D"/>
            </w:r>
            <w:r w:rsidR="00AC7AF4" w:rsidRPr="00BA44BE">
              <w:rPr>
                <w:lang w:val="ru-RU"/>
              </w:rPr>
              <w:tab/>
              <w:t>Статистические данные по участию Членов Сектора</w:t>
            </w:r>
          </w:p>
        </w:tc>
        <w:tc>
          <w:tcPr>
            <w:tcW w:w="2126" w:type="dxa"/>
          </w:tcPr>
          <w:p w:rsidR="00AC7AF4" w:rsidRPr="00BA44BE" w:rsidRDefault="00AC7AF4" w:rsidP="00BA44BE">
            <w:pPr>
              <w:spacing w:before="60" w:after="60"/>
              <w:jc w:val="center"/>
              <w:rPr>
                <w:lang w:val="ru-RU"/>
              </w:rPr>
            </w:pPr>
            <w:r w:rsidRPr="00BA44BE">
              <w:rPr>
                <w:lang w:val="ru-RU"/>
              </w:rPr>
              <w:t>1(Add.2)</w:t>
            </w:r>
          </w:p>
        </w:tc>
      </w:tr>
    </w:tbl>
    <w:p w:rsidR="003174EF" w:rsidRPr="00BA44BE" w:rsidRDefault="003174EF" w:rsidP="00AD116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BA44BE">
        <w:rPr>
          <w:lang w:val="ru-RU"/>
        </w:rPr>
        <w:tab/>
        <w:t>Ж.Б. ЯО КУАКУ</w:t>
      </w:r>
      <w:r w:rsidRPr="00BA44BE">
        <w:rPr>
          <w:lang w:val="ru-RU"/>
        </w:rPr>
        <w:br/>
      </w:r>
      <w:r w:rsidRPr="00BA44BE">
        <w:rPr>
          <w:lang w:val="ru-RU"/>
        </w:rPr>
        <w:tab/>
        <w:t>Председатель Консультативной группы по радиосвязи</w:t>
      </w:r>
    </w:p>
    <w:sectPr w:rsidR="003174EF" w:rsidRPr="00BA44BE" w:rsidSect="00AD116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A8" w:rsidRDefault="002811A8">
      <w:r>
        <w:separator/>
      </w:r>
    </w:p>
  </w:endnote>
  <w:endnote w:type="continuationSeparator" w:id="0">
    <w:p w:rsidR="002811A8" w:rsidRDefault="0028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8" w:rsidRPr="00BA44BE" w:rsidRDefault="00AC7AF4" w:rsidP="00AC7AF4">
    <w:pPr>
      <w:pStyle w:val="Footer"/>
      <w:rPr>
        <w:lang w:val="en-US"/>
      </w:rPr>
    </w:pPr>
    <w:fldSimple w:instr=" FILENAME \p \* MERGEFORMAT ">
      <w:r w:rsidR="00233908">
        <w:t>P:\RUS\ITU-R\AG\RAG11\RAG-1\ADM\001R.docx</w:t>
      </w:r>
    </w:fldSimple>
    <w:r>
      <w:t xml:space="preserve"> </w:t>
    </w:r>
    <w:r w:rsidRPr="00A44806">
      <w:rPr>
        <w:lang w:val="en-US"/>
      </w:rPr>
      <w:t>(</w:t>
    </w:r>
    <w:r w:rsidRPr="00AC7AF4">
      <w:rPr>
        <w:lang w:val="en-US"/>
      </w:rPr>
      <w:t>309121</w:t>
    </w:r>
    <w:r w:rsidRPr="00A44806">
      <w:rPr>
        <w:lang w:val="en-US"/>
      </w:rPr>
      <w:t>)</w:t>
    </w:r>
    <w:r w:rsidRPr="00AC7AF4">
      <w:rPr>
        <w:lang w:val="en-US"/>
      </w:rPr>
      <w:tab/>
    </w:r>
    <w:r w:rsidRPr="00A44806">
      <w:fldChar w:fldCharType="begin"/>
    </w:r>
    <w:r w:rsidRPr="00A44806">
      <w:instrText xml:space="preserve"> SAVEDATE \@ DD.MM.YY </w:instrText>
    </w:r>
    <w:r w:rsidRPr="00A44806">
      <w:fldChar w:fldCharType="separate"/>
    </w:r>
    <w:r w:rsidR="00233908">
      <w:t>07.06.11</w:t>
    </w:r>
    <w:r w:rsidRPr="00A44806">
      <w:fldChar w:fldCharType="end"/>
    </w:r>
    <w:r w:rsidRPr="00AC7AF4">
      <w:rPr>
        <w:lang w:val="en-US"/>
      </w:rPr>
      <w:tab/>
    </w:r>
    <w:r w:rsidRPr="00A44806">
      <w:fldChar w:fldCharType="begin"/>
    </w:r>
    <w:r w:rsidRPr="00A44806">
      <w:instrText xml:space="preserve"> PRINTDATE \@ DD.MM.YY </w:instrText>
    </w:r>
    <w:r w:rsidRPr="00A44806">
      <w:fldChar w:fldCharType="separate"/>
    </w:r>
    <w:r w:rsidR="00233908">
      <w:t>07.06.11</w:t>
    </w:r>
    <w:r w:rsidRPr="00A448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8" w:rsidRPr="00AC7AF4" w:rsidRDefault="00233908" w:rsidP="00AC7AF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>
      <w:t>P:\RUS\ITU-R\AG\RAG11\RAG-1\ADM\001R.docx</w:t>
    </w:r>
    <w:r>
      <w:fldChar w:fldCharType="end"/>
    </w:r>
    <w:r w:rsidR="00AC7AF4">
      <w:t xml:space="preserve"> </w:t>
    </w:r>
    <w:r w:rsidR="00AC7AF4" w:rsidRPr="00A44806">
      <w:rPr>
        <w:lang w:val="en-US"/>
      </w:rPr>
      <w:t>(</w:t>
    </w:r>
    <w:r w:rsidR="00AC7AF4" w:rsidRPr="00AC7AF4">
      <w:rPr>
        <w:lang w:val="en-US"/>
      </w:rPr>
      <w:t>309121</w:t>
    </w:r>
    <w:r w:rsidR="00AC7AF4" w:rsidRPr="00A44806">
      <w:rPr>
        <w:lang w:val="en-US"/>
      </w:rPr>
      <w:t>)</w:t>
    </w:r>
    <w:r w:rsidR="00AC7AF4" w:rsidRPr="00AC7AF4">
      <w:rPr>
        <w:lang w:val="en-US"/>
      </w:rPr>
      <w:tab/>
    </w:r>
    <w:r w:rsidR="00AC7AF4" w:rsidRPr="00A44806">
      <w:fldChar w:fldCharType="begin"/>
    </w:r>
    <w:r w:rsidR="00AC7AF4" w:rsidRPr="00A44806">
      <w:instrText xml:space="preserve"> SAVEDATE \@ DD.MM.YY </w:instrText>
    </w:r>
    <w:r w:rsidR="00AC7AF4" w:rsidRPr="00A44806">
      <w:fldChar w:fldCharType="separate"/>
    </w:r>
    <w:r>
      <w:t>07.06.11</w:t>
    </w:r>
    <w:r w:rsidR="00AC7AF4" w:rsidRPr="00A44806">
      <w:fldChar w:fldCharType="end"/>
    </w:r>
    <w:r w:rsidR="00AC7AF4" w:rsidRPr="00AC7AF4">
      <w:rPr>
        <w:lang w:val="en-US"/>
      </w:rPr>
      <w:tab/>
    </w:r>
    <w:r w:rsidR="00AC7AF4" w:rsidRPr="00A44806">
      <w:fldChar w:fldCharType="begin"/>
    </w:r>
    <w:r w:rsidR="00AC7AF4" w:rsidRPr="00A44806">
      <w:instrText xml:space="preserve"> PRINTDATE \@ DD.MM.YY </w:instrText>
    </w:r>
    <w:r w:rsidR="00AC7AF4" w:rsidRPr="00A44806">
      <w:fldChar w:fldCharType="separate"/>
    </w:r>
    <w:r>
      <w:t>07.06.11</w:t>
    </w:r>
    <w:r w:rsidR="00AC7AF4" w:rsidRPr="00A448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A8" w:rsidRDefault="002811A8">
      <w:r>
        <w:t>____________________</w:t>
      </w:r>
    </w:p>
  </w:footnote>
  <w:footnote w:type="continuationSeparator" w:id="0">
    <w:p w:rsidR="002811A8" w:rsidRDefault="0028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8" w:rsidRPr="00076C50" w:rsidRDefault="002811A8">
    <w:pPr>
      <w:pStyle w:val="Header"/>
      <w:rPr>
        <w:rStyle w:val="PageNumber"/>
        <w:lang w:val="fr-F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908">
      <w:rPr>
        <w:rStyle w:val="PageNumber"/>
        <w:noProof/>
      </w:rPr>
      <w:t>2</w:t>
    </w:r>
    <w:r>
      <w:rPr>
        <w:rStyle w:val="PageNumber"/>
      </w:rPr>
      <w:fldChar w:fldCharType="end"/>
    </w:r>
    <w:r w:rsidRPr="00076C50">
      <w:rPr>
        <w:rStyle w:val="PageNumber"/>
        <w:lang w:val="fr-FR"/>
      </w:rPr>
      <w:t xml:space="preserve"> -</w:t>
    </w:r>
  </w:p>
  <w:p w:rsidR="002811A8" w:rsidRPr="00076C50" w:rsidRDefault="002811A8" w:rsidP="00AD116F">
    <w:pPr>
      <w:pStyle w:val="Header"/>
      <w:rPr>
        <w:lang w:val="fr-FR"/>
      </w:rPr>
    </w:pPr>
    <w:r>
      <w:rPr>
        <w:rStyle w:val="PageNumber"/>
        <w:lang w:val="fr-FR"/>
      </w:rPr>
      <w:t>RAG</w:t>
    </w:r>
    <w:r w:rsidR="00BA44BE">
      <w:rPr>
        <w:rStyle w:val="PageNumber"/>
        <w:lang w:val="ru-RU"/>
      </w:rPr>
      <w:t>11</w:t>
    </w:r>
    <w:r w:rsidRPr="00076C50">
      <w:rPr>
        <w:rStyle w:val="PageNumber"/>
        <w:lang w:val="fr-FR"/>
      </w:rPr>
      <w:t>-1/</w:t>
    </w:r>
    <w:r>
      <w:rPr>
        <w:rStyle w:val="PageNumber"/>
        <w:lang w:val="fr-FR"/>
      </w:rPr>
      <w:t>ADM/1</w:t>
    </w:r>
    <w:r w:rsidRPr="00076C50">
      <w:rPr>
        <w:rStyle w:val="PageNumber"/>
        <w:lang w:val="fr-FR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5"/>
    <w:rsid w:val="0002079B"/>
    <w:rsid w:val="000449EB"/>
    <w:rsid w:val="000505F9"/>
    <w:rsid w:val="000707FC"/>
    <w:rsid w:val="00076C50"/>
    <w:rsid w:val="0013691C"/>
    <w:rsid w:val="00170925"/>
    <w:rsid w:val="00233908"/>
    <w:rsid w:val="002811A8"/>
    <w:rsid w:val="00286295"/>
    <w:rsid w:val="0029009A"/>
    <w:rsid w:val="002F14F3"/>
    <w:rsid w:val="00312E02"/>
    <w:rsid w:val="003174EF"/>
    <w:rsid w:val="00371406"/>
    <w:rsid w:val="003854A0"/>
    <w:rsid w:val="00435917"/>
    <w:rsid w:val="004A0CC0"/>
    <w:rsid w:val="004A379A"/>
    <w:rsid w:val="00575CF6"/>
    <w:rsid w:val="005B221B"/>
    <w:rsid w:val="006432FF"/>
    <w:rsid w:val="00652F7C"/>
    <w:rsid w:val="006A78EC"/>
    <w:rsid w:val="006B3FED"/>
    <w:rsid w:val="007411C2"/>
    <w:rsid w:val="00787AC9"/>
    <w:rsid w:val="007D6803"/>
    <w:rsid w:val="00854F46"/>
    <w:rsid w:val="0088136D"/>
    <w:rsid w:val="00885854"/>
    <w:rsid w:val="00923AE0"/>
    <w:rsid w:val="009602EC"/>
    <w:rsid w:val="009853A7"/>
    <w:rsid w:val="009C2173"/>
    <w:rsid w:val="00A0282C"/>
    <w:rsid w:val="00AC7AF4"/>
    <w:rsid w:val="00AD116F"/>
    <w:rsid w:val="00AD2433"/>
    <w:rsid w:val="00B66B3C"/>
    <w:rsid w:val="00BA44BE"/>
    <w:rsid w:val="00C65E7C"/>
    <w:rsid w:val="00D1314F"/>
    <w:rsid w:val="00D2456A"/>
    <w:rsid w:val="00E05DD3"/>
    <w:rsid w:val="00E13953"/>
    <w:rsid w:val="00E23C64"/>
    <w:rsid w:val="00E36CA2"/>
    <w:rsid w:val="00E76CBE"/>
    <w:rsid w:val="00EA4B93"/>
    <w:rsid w:val="00ED0A16"/>
    <w:rsid w:val="00EF48BB"/>
    <w:rsid w:val="00F00579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R\PR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2722-BAA4-472A-995F-081D7F4F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PR_RAG07.DOT</Template>
  <TotalTime>130</TotalTime>
  <Pages>2</Pages>
  <Words>322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Maloletkova, Svetlana</cp:lastModifiedBy>
  <cp:revision>8</cp:revision>
  <cp:lastPrinted>2011-06-07T09:22:00Z</cp:lastPrinted>
  <dcterms:created xsi:type="dcterms:W3CDTF">2011-06-06T12:06:00Z</dcterms:created>
  <dcterms:modified xsi:type="dcterms:W3CDTF">2011-06-07T09:22:00Z</dcterms:modified>
</cp:coreProperties>
</file>