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B10F0"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w:t>
            </w:r>
            <w:r w:rsidR="000069D4">
              <w:rPr>
                <w:rFonts w:ascii="Verdana" w:hAnsi="Verdana" w:cs="Times New Roman Bold"/>
                <w:b/>
                <w:bCs/>
                <w:sz w:val="26"/>
                <w:szCs w:val="26"/>
              </w:rPr>
              <w:t>adiocommunication Study Groups</w:t>
            </w:r>
          </w:p>
        </w:tc>
        <w:tc>
          <w:tcPr>
            <w:tcW w:w="3451" w:type="dxa"/>
          </w:tcPr>
          <w:p w:rsidR="000069D4" w:rsidRDefault="00C824E6" w:rsidP="00C824E6">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8B16AB" w:rsidRPr="004A34B7" w:rsidRDefault="008B16AB" w:rsidP="00277EB3">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4A34B7">
              <w:rPr>
                <w:rFonts w:ascii="Verdana" w:hAnsi="Verdana"/>
                <w:sz w:val="20"/>
                <w:lang w:val="fr-CH"/>
              </w:rPr>
              <w:t>Source:</w:t>
            </w:r>
            <w:r w:rsidRPr="004A34B7">
              <w:rPr>
                <w:rFonts w:ascii="Verdana" w:hAnsi="Verdana"/>
                <w:sz w:val="20"/>
                <w:lang w:val="fr-CH"/>
              </w:rPr>
              <w:tab/>
              <w:t>Document 4</w:t>
            </w:r>
            <w:r w:rsidR="00277EB3">
              <w:rPr>
                <w:rFonts w:ascii="Verdana" w:hAnsi="Verdana"/>
                <w:sz w:val="20"/>
                <w:lang w:val="fr-CH"/>
              </w:rPr>
              <w:t>A</w:t>
            </w:r>
            <w:r w:rsidRPr="004A34B7">
              <w:rPr>
                <w:rFonts w:ascii="Verdana" w:hAnsi="Verdana"/>
                <w:sz w:val="20"/>
                <w:lang w:val="fr-CH"/>
              </w:rPr>
              <w:t>/TEMP/</w:t>
            </w:r>
            <w:r w:rsidR="00277EB3">
              <w:rPr>
                <w:rFonts w:ascii="Verdana" w:hAnsi="Verdana"/>
                <w:sz w:val="20"/>
                <w:lang w:val="fr-CH"/>
              </w:rPr>
              <w:t>196</w:t>
            </w:r>
          </w:p>
          <w:p w:rsidR="000069D4" w:rsidRPr="00982084" w:rsidRDefault="008B16AB" w:rsidP="00277EB3">
            <w:pPr>
              <w:shd w:val="solid" w:color="FFFFFF" w:fill="FFFFFF"/>
              <w:tabs>
                <w:tab w:val="clear" w:pos="1134"/>
                <w:tab w:val="clear" w:pos="1871"/>
                <w:tab w:val="clear" w:pos="2268"/>
              </w:tabs>
              <w:spacing w:before="0" w:after="240"/>
              <w:ind w:left="1134" w:hanging="1134"/>
              <w:rPr>
                <w:rFonts w:ascii="Verdana" w:hAnsi="Verdana"/>
                <w:sz w:val="20"/>
              </w:rPr>
            </w:pPr>
            <w:r w:rsidRPr="00277EB3">
              <w:rPr>
                <w:rFonts w:ascii="Verdana" w:hAnsi="Verdana"/>
                <w:sz w:val="20"/>
                <w:lang w:val="fr-CH"/>
              </w:rPr>
              <w:t>Reference:</w:t>
            </w:r>
            <w:r w:rsidRPr="00277EB3">
              <w:rPr>
                <w:rFonts w:ascii="Verdana" w:hAnsi="Verdana"/>
                <w:sz w:val="20"/>
                <w:lang w:val="fr-CH"/>
              </w:rPr>
              <w:tab/>
            </w:r>
            <w:r w:rsidR="00277EB3" w:rsidRPr="00277EB3">
              <w:rPr>
                <w:rFonts w:ascii="Verdana" w:hAnsi="Verdana"/>
                <w:sz w:val="20"/>
                <w:lang w:val="fr-CH"/>
              </w:rPr>
              <w:t>Documents 4A/278 (Annex 13), 344 and 346</w:t>
            </w:r>
          </w:p>
        </w:tc>
        <w:tc>
          <w:tcPr>
            <w:tcW w:w="3451" w:type="dxa"/>
          </w:tcPr>
          <w:p w:rsidR="000069D4" w:rsidRPr="00C824E6" w:rsidRDefault="008B16AB" w:rsidP="00277EB3">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964148">
              <w:rPr>
                <w:rFonts w:ascii="Verdana" w:hAnsi="Verdana"/>
                <w:b/>
                <w:sz w:val="20"/>
                <w:lang w:eastAsia="zh-CN"/>
              </w:rPr>
              <w:t>1</w:t>
            </w:r>
            <w:r w:rsidR="00277EB3">
              <w:rPr>
                <w:rFonts w:ascii="Verdana" w:hAnsi="Verdana"/>
                <w:b/>
                <w:sz w:val="20"/>
                <w:lang w:eastAsia="zh-CN"/>
              </w:rPr>
              <w:t>1</w:t>
            </w:r>
            <w:r>
              <w:rPr>
                <w:rFonts w:ascii="Verdana" w:hAnsi="Verdana"/>
                <w:b/>
                <w:sz w:val="20"/>
                <w:lang w:eastAsia="zh-CN"/>
              </w:rPr>
              <w:t xml:space="preserve"> to</w:t>
            </w:r>
            <w:r>
              <w:rPr>
                <w:rFonts w:ascii="Verdana" w:hAnsi="Verdana"/>
                <w:b/>
                <w:sz w:val="20"/>
                <w:lang w:eastAsia="zh-CN"/>
              </w:rPr>
              <w:br/>
            </w:r>
            <w:r w:rsidR="00C824E6">
              <w:rPr>
                <w:rFonts w:ascii="Verdana" w:hAnsi="Verdana"/>
                <w:b/>
                <w:sz w:val="20"/>
                <w:lang w:eastAsia="zh-CN"/>
              </w:rPr>
              <w:t xml:space="preserve">Document </w:t>
            </w:r>
            <w:r>
              <w:rPr>
                <w:rFonts w:ascii="Verdana" w:hAnsi="Verdana"/>
                <w:b/>
                <w:sz w:val="20"/>
                <w:lang w:eastAsia="zh-CN"/>
              </w:rPr>
              <w:t>4</w:t>
            </w:r>
            <w:r w:rsidR="00277EB3">
              <w:rPr>
                <w:rFonts w:ascii="Verdana" w:hAnsi="Verdana"/>
                <w:b/>
                <w:sz w:val="20"/>
                <w:lang w:eastAsia="zh-CN"/>
              </w:rPr>
              <w:t>A</w:t>
            </w:r>
            <w:r>
              <w:rPr>
                <w:rFonts w:ascii="Verdana" w:hAnsi="Verdana"/>
                <w:b/>
                <w:sz w:val="20"/>
                <w:lang w:eastAsia="zh-CN"/>
              </w:rPr>
              <w:t>/</w:t>
            </w:r>
            <w:r w:rsidR="00277EB3">
              <w:rPr>
                <w:rFonts w:ascii="Verdana" w:hAnsi="Verdana"/>
                <w:b/>
                <w:sz w:val="20"/>
                <w:lang w:eastAsia="zh-CN"/>
              </w:rPr>
              <w:t>368</w:t>
            </w:r>
            <w:r w:rsidR="00C824E6">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C824E6" w:rsidRDefault="00A41EDA" w:rsidP="00277EB3">
            <w:pPr>
              <w:shd w:val="solid" w:color="FFFFFF" w:fill="FFFFFF"/>
              <w:spacing w:before="0" w:line="240" w:lineRule="atLeast"/>
              <w:rPr>
                <w:rFonts w:ascii="Verdana" w:hAnsi="Verdana"/>
                <w:sz w:val="20"/>
                <w:lang w:eastAsia="zh-CN"/>
              </w:rPr>
            </w:pPr>
            <w:r>
              <w:rPr>
                <w:rFonts w:ascii="Verdana" w:hAnsi="Verdana"/>
                <w:b/>
                <w:sz w:val="20"/>
                <w:lang w:eastAsia="zh-CN"/>
              </w:rPr>
              <w:t>2</w:t>
            </w:r>
            <w:r w:rsidR="00277EB3">
              <w:rPr>
                <w:rFonts w:ascii="Verdana" w:hAnsi="Verdana"/>
                <w:b/>
                <w:sz w:val="20"/>
                <w:lang w:eastAsia="zh-CN"/>
              </w:rPr>
              <w:t>6</w:t>
            </w:r>
            <w:r w:rsidR="00C824E6">
              <w:rPr>
                <w:rFonts w:ascii="Verdana" w:hAnsi="Verdana"/>
                <w:b/>
                <w:sz w:val="20"/>
                <w:lang w:eastAsia="zh-CN"/>
              </w:rPr>
              <w:t xml:space="preserve">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C824E6" w:rsidRDefault="00C824E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8B16AB" w:rsidP="00277EB3">
            <w:pPr>
              <w:pStyle w:val="Source"/>
              <w:rPr>
                <w:lang w:eastAsia="zh-CN"/>
              </w:rPr>
            </w:pPr>
            <w:bookmarkStart w:id="5" w:name="dsource" w:colFirst="0" w:colLast="0"/>
            <w:bookmarkEnd w:id="4"/>
            <w:r w:rsidRPr="00E85C39">
              <w:rPr>
                <w:lang w:eastAsia="zh-CN"/>
              </w:rPr>
              <w:t xml:space="preserve">Annex </w:t>
            </w:r>
            <w:r w:rsidR="00964148">
              <w:rPr>
                <w:lang w:eastAsia="zh-CN"/>
              </w:rPr>
              <w:t>1</w:t>
            </w:r>
            <w:r w:rsidR="00277EB3">
              <w:rPr>
                <w:lang w:eastAsia="zh-CN"/>
              </w:rPr>
              <w:t>1</w:t>
            </w:r>
            <w:r w:rsidRPr="00E85C39">
              <w:rPr>
                <w:lang w:eastAsia="zh-CN"/>
              </w:rPr>
              <w:t xml:space="preserve"> to </w:t>
            </w:r>
            <w:r>
              <w:rPr>
                <w:lang w:eastAsia="zh-CN"/>
              </w:rPr>
              <w:t>Working Party 4</w:t>
            </w:r>
            <w:r w:rsidR="00277EB3">
              <w:rPr>
                <w:lang w:eastAsia="zh-CN"/>
              </w:rPr>
              <w:t>A</w:t>
            </w:r>
            <w:r>
              <w:rPr>
                <w:lang w:eastAsia="zh-CN"/>
              </w:rPr>
              <w:t xml:space="preserve"> Chairman’s Report</w:t>
            </w:r>
          </w:p>
        </w:tc>
      </w:tr>
      <w:tr w:rsidR="000069D4">
        <w:trPr>
          <w:cantSplit/>
        </w:trPr>
        <w:tc>
          <w:tcPr>
            <w:tcW w:w="10031" w:type="dxa"/>
            <w:gridSpan w:val="2"/>
          </w:tcPr>
          <w:p w:rsidR="000069D4" w:rsidRDefault="00277EB3" w:rsidP="00A5173C">
            <w:pPr>
              <w:pStyle w:val="Title1"/>
              <w:rPr>
                <w:lang w:eastAsia="zh-CN"/>
              </w:rPr>
            </w:pPr>
            <w:bookmarkStart w:id="6" w:name="drec" w:colFirst="0" w:colLast="0"/>
            <w:bookmarkEnd w:id="5"/>
            <w:r>
              <w:t>WOrking document towards a Preliminary draft</w:t>
            </w:r>
            <w:r>
              <w:br/>
              <w:t>new report itu-r S.[ASSym.fss</w:t>
            </w:r>
          </w:p>
        </w:tc>
      </w:tr>
      <w:tr w:rsidR="000069D4">
        <w:trPr>
          <w:cantSplit/>
        </w:trPr>
        <w:tc>
          <w:tcPr>
            <w:tcW w:w="10031" w:type="dxa"/>
            <w:gridSpan w:val="2"/>
          </w:tcPr>
          <w:p w:rsidR="000069D4" w:rsidRDefault="00277EB3" w:rsidP="00C824E6">
            <w:pPr>
              <w:pStyle w:val="Title4"/>
              <w:rPr>
                <w:lang w:eastAsia="zh-CN"/>
              </w:rPr>
            </w:pPr>
            <w:bookmarkStart w:id="7" w:name="dtitle1" w:colFirst="0" w:colLast="0"/>
            <w:bookmarkEnd w:id="6"/>
            <w:r w:rsidRPr="007F38A9">
              <w:t>A</w:t>
            </w:r>
            <w:r>
              <w:t>ddressing</w:t>
            </w:r>
            <w:r w:rsidRPr="007F38A9">
              <w:t xml:space="preserve"> </w:t>
            </w:r>
            <w:r>
              <w:t>t</w:t>
            </w:r>
            <w:r w:rsidRPr="007F38A9">
              <w:t xml:space="preserve">he </w:t>
            </w:r>
            <w:r>
              <w:t xml:space="preserve">inefficiency associated with the asymmetry </w:t>
            </w:r>
            <w:r w:rsidRPr="007F38A9">
              <w:t>o</w:t>
            </w:r>
            <w:r>
              <w:t>f</w:t>
            </w:r>
            <w:r w:rsidRPr="007F38A9">
              <w:t xml:space="preserve"> e</w:t>
            </w:r>
            <w:r>
              <w:t>xisting</w:t>
            </w:r>
            <w:r w:rsidRPr="007F38A9">
              <w:t xml:space="preserve"> </w:t>
            </w:r>
            <w:r>
              <w:t xml:space="preserve">unplanned </w:t>
            </w:r>
            <w:r w:rsidRPr="007F38A9">
              <w:t xml:space="preserve">FSS </w:t>
            </w:r>
            <w:r>
              <w:t xml:space="preserve">uplink/downlink </w:t>
            </w:r>
            <w:r w:rsidRPr="007F38A9">
              <w:t>s</w:t>
            </w:r>
            <w:r>
              <w:t>pectrum</w:t>
            </w:r>
            <w:r w:rsidRPr="007F38A9">
              <w:t xml:space="preserve"> i</w:t>
            </w:r>
            <w:r>
              <w:t>n</w:t>
            </w:r>
            <w:r w:rsidRPr="007F38A9">
              <w:t xml:space="preserve"> t</w:t>
            </w:r>
            <w:r>
              <w:t>he</w:t>
            </w:r>
            <w:r w:rsidRPr="007F38A9">
              <w:t xml:space="preserve"> 10-15 </w:t>
            </w:r>
            <w:r>
              <w:t>GHz</w:t>
            </w:r>
            <w:r w:rsidRPr="007F38A9">
              <w:t xml:space="preserve"> b</w:t>
            </w:r>
            <w:r>
              <w:t>and</w:t>
            </w:r>
          </w:p>
        </w:tc>
      </w:tr>
    </w:tbl>
    <w:p w:rsidR="00277EB3" w:rsidRDefault="00277EB3" w:rsidP="00277EB3">
      <w:pPr>
        <w:rPr>
          <w:i/>
        </w:rPr>
      </w:pPr>
      <w:bookmarkStart w:id="8" w:name="dbreak"/>
      <w:bookmarkEnd w:id="7"/>
      <w:bookmarkEnd w:id="8"/>
    </w:p>
    <w:p w:rsidR="00277EB3" w:rsidRPr="00032E43" w:rsidRDefault="00277EB3" w:rsidP="00277EB3">
      <w:pPr>
        <w:rPr>
          <w:i/>
        </w:rPr>
      </w:pPr>
      <w:r w:rsidRPr="00032E43">
        <w:rPr>
          <w:i/>
        </w:rPr>
        <w:t xml:space="preserve">Editor’s Note: </w:t>
      </w:r>
      <w:r>
        <w:rPr>
          <w:i/>
        </w:rPr>
        <w:t>I</w:t>
      </w:r>
      <w:r w:rsidRPr="00032E43">
        <w:rPr>
          <w:i/>
        </w:rPr>
        <w:t xml:space="preserve">t has been suggested that the term asymmetrical needs to be reviewed to address the shortfall of uplink spectrum in the 10-15 GHz frequency band. </w:t>
      </w:r>
    </w:p>
    <w:p w:rsidR="00277EB3" w:rsidRPr="00D91699" w:rsidRDefault="00277EB3" w:rsidP="00277EB3">
      <w:pPr>
        <w:pStyle w:val="Heading1"/>
      </w:pPr>
      <w:r>
        <w:t>1</w:t>
      </w:r>
      <w:r>
        <w:tab/>
      </w:r>
      <w:r w:rsidRPr="00D91699">
        <w:t>Introduction</w:t>
      </w:r>
    </w:p>
    <w:p w:rsidR="00277EB3" w:rsidRDefault="00277EB3" w:rsidP="00277EB3">
      <w:r>
        <w:t xml:space="preserve">The existing unplanned FSS bands in the 10-15 GHz range are extensively used for a myriad of applications. The very small aperture terminal (VSAT) services, video distribution, broadband networks, internet services, satellite news gathering, and backhaul links have triggered the rapid rise in the demand curve for this frequency range. Satellite traffic is typically symmetrical in a large variety of applications, i.e. similar amounts of Earth-to-space (uplink) and space-to-Earth (downlink) traffic are transmitted. Hence, in order to accommodate these services in the most efficient manner, there is a need for equal amounts of uplink and downlink spectrum in the frequency range of 10-15 GHz. </w:t>
      </w:r>
    </w:p>
    <w:p w:rsidR="00277EB3" w:rsidRDefault="00277EB3" w:rsidP="00277EB3">
      <w:r>
        <w:t xml:space="preserve">Working Party 4A has received contributions highlighting issues associated with asymmetrical uplink/downlink spectrum in the 10-15 GHz band in ITU Regions 2 and 3.  This Report is expected to address difficulties related to the asymmetry in the total amount of allocated uplink and downlink spectrum for the unplanned FSS in the 10-15 GHz range. Within some ITU Regions, there is more downlink unplanned FSS spectrum available as compared to the uplink unplanned FSS spectrum. Background as to why this leads to difficulties in the use of the spectrum is given in this Report, and a work plan for studies is laid out to properly address the uplink/downlink spectrum asymmetry. </w:t>
      </w:r>
    </w:p>
    <w:p w:rsidR="00277EB3" w:rsidRDefault="00277EB3" w:rsidP="00277EB3">
      <w:pPr>
        <w:rPr>
          <w:sz w:val="28"/>
        </w:rPr>
      </w:pPr>
      <w:r>
        <w:br w:type="page"/>
      </w:r>
    </w:p>
    <w:p w:rsidR="00277EB3" w:rsidRPr="00D91699" w:rsidRDefault="00277EB3" w:rsidP="00277EB3">
      <w:pPr>
        <w:pStyle w:val="Heading1"/>
      </w:pPr>
      <w:r>
        <w:lastRenderedPageBreak/>
        <w:t>2</w:t>
      </w:r>
      <w:r>
        <w:tab/>
      </w:r>
      <w:r w:rsidRPr="00D91699">
        <w:t>Issues related to asymmetry of unp</w:t>
      </w:r>
      <w:r>
        <w:t>lanned FSS uplink/downlink spectrum in the</w:t>
      </w:r>
      <w:r>
        <w:br/>
      </w:r>
      <w:r w:rsidRPr="00D91699">
        <w:t>10-15 GHz range</w:t>
      </w:r>
    </w:p>
    <w:p w:rsidR="00277EB3" w:rsidRDefault="00277EB3" w:rsidP="00277EB3">
      <w:r>
        <w:rPr>
          <w:lang w:val="en-CA"/>
        </w:rPr>
        <w:t>T</w:t>
      </w:r>
      <w:r>
        <w:t xml:space="preserve">he shortage in the uplink spectrum in some ITU Regions can be illustrated with the following example: overall </w:t>
      </w:r>
      <w:r>
        <w:rPr>
          <w:lang w:val="en-CA"/>
        </w:rPr>
        <w:t>the 200 MHz spectrum asymmetry in Region 2 and 300 MHz in Region 3</w:t>
      </w:r>
      <w:r>
        <w:t xml:space="preserve"> translates to approximately 10 and 14 transponders for each respective Region, considering a transponder bandwidth of 36 MHz in both polarisations. </w:t>
      </w:r>
      <w:r>
        <w:rPr>
          <w:lang w:val="en-CA"/>
        </w:rPr>
        <w:t>The industry norm is for satellites to employ frequency re-use by means of beam and/or polarisation isolation, to optimally use the available spectrum.</w:t>
      </w:r>
    </w:p>
    <w:p w:rsidR="00277EB3" w:rsidRDefault="00277EB3" w:rsidP="00277EB3">
      <w:r>
        <w:t>M</w:t>
      </w:r>
      <w:r>
        <w:rPr>
          <w:lang w:val="en-CA"/>
        </w:rPr>
        <w:t xml:space="preserve">any satellites currently deployed have used up the available bands in their respective regions, both in the uplink and the downlink. However, due to the variety of services that satellites in the FSS offer, some administrations have expressed an urgent need for a symmetrical allocation of bandwidth in both directions in </w:t>
      </w:r>
      <w:r>
        <w:t>the 10-15 GHz frequency range</w:t>
      </w:r>
      <w:r>
        <w:rPr>
          <w:lang w:val="en-CA"/>
        </w:rPr>
        <w:t xml:space="preserve">. To date, satellite operators and manufacturers have dealt with this bandwidth limitation in the uplink by </w:t>
      </w:r>
      <w:r>
        <w:t>designing ever more complicated payload configurations. This consequentially adds to the weight and complexity of the satellites being built, and hence leads to overall higher costs for these satellite projects.</w:t>
      </w:r>
    </w:p>
    <w:p w:rsidR="00277EB3" w:rsidRDefault="00277EB3" w:rsidP="00277EB3">
      <w:r>
        <w:t>Another way to cope with the insufficiency of uplink spectrum in the 10-15 GHz band is to use allocated unplanned FSS bands outside of the 10-15 GHz band. There are examples of satellites that use unplanned FSS uplink bands in the 6 GHz band and in the 27-30 GHz band that are paired with the 10-15 GHz downlink bands. However, this leads to inefficient use of the orbital/spectrum resource for the following reasons:</w:t>
      </w:r>
    </w:p>
    <w:p w:rsidR="00277EB3" w:rsidRDefault="00277EB3" w:rsidP="00277EB3">
      <w:pPr>
        <w:pStyle w:val="enumlev1"/>
        <w:ind w:right="-142"/>
      </w:pPr>
      <w:r>
        <w:t>1)</w:t>
      </w:r>
      <w:r>
        <w:tab/>
        <w:t>By resorting to uplink bands outside the 10-15 GHz range, such as the 6 GHz or 27</w:t>
      </w:r>
      <w:r>
        <w:noBreakHyphen/>
        <w:t>30 GHz bands, less spectrum becomes available for satellites operating in the 6/4 GHz or 30/20 GHz bands. Therefore, the problem of insufficient uplink spectrum in the 10</w:t>
      </w:r>
      <w:r>
        <w:noBreakHyphen/>
        <w:t>15 GHz band propagates into other unplanned FSS bands that are also heavily used.</w:t>
      </w:r>
    </w:p>
    <w:p w:rsidR="00277EB3" w:rsidRPr="000054BE" w:rsidRDefault="00277EB3" w:rsidP="00277EB3">
      <w:pPr>
        <w:pStyle w:val="enumlev1"/>
        <w:rPr>
          <w:lang w:val="en-CA"/>
        </w:rPr>
      </w:pPr>
      <w:r>
        <w:rPr>
          <w:lang w:val="en-CA"/>
        </w:rPr>
        <w:t>2)</w:t>
      </w:r>
      <w:r>
        <w:rPr>
          <w:lang w:val="en-CA"/>
        </w:rPr>
        <w:tab/>
        <w:t xml:space="preserve">To enable the use of alternative and widely separated uplink bands as indicated above, this requires the utilisation of dual band antennas with transmission/reception capabilities both onboard the satellites and at the earth stations. Such antennas, which require more complex engineering and manufacturing designs, are </w:t>
      </w:r>
      <w:r w:rsidRPr="000054BE">
        <w:rPr>
          <w:lang w:val="en-CA"/>
        </w:rPr>
        <w:t xml:space="preserve">also more expensive to end users. </w:t>
      </w:r>
    </w:p>
    <w:p w:rsidR="00277EB3" w:rsidRPr="00161C83" w:rsidRDefault="00277EB3" w:rsidP="00277EB3">
      <w:pPr>
        <w:pStyle w:val="enumlev1"/>
        <w:rPr>
          <w:lang w:val="en-CA"/>
        </w:rPr>
      </w:pPr>
      <w:r>
        <w:rPr>
          <w:lang w:val="en-CA"/>
        </w:rPr>
        <w:t>3)</w:t>
      </w:r>
      <w:r>
        <w:rPr>
          <w:lang w:val="en-CA"/>
        </w:rPr>
        <w:tab/>
        <w:t xml:space="preserve">Dual band antennas are usually less optimized in terms of gain and sidelobe performances compared to single band transmission/reception antennas. </w:t>
      </w:r>
      <w:r w:rsidRPr="00161C83">
        <w:rPr>
          <w:lang w:val="en-CA"/>
        </w:rPr>
        <w:t xml:space="preserve">This also requires the use of dual band transmit amplifiers, which increases the cost of earth stations. </w:t>
      </w:r>
    </w:p>
    <w:p w:rsidR="00277EB3" w:rsidRPr="00886504" w:rsidRDefault="00277EB3" w:rsidP="00277EB3">
      <w:pPr>
        <w:rPr>
          <w:lang w:val="en-CA"/>
        </w:rPr>
      </w:pPr>
      <w:r w:rsidRPr="008B75BB">
        <w:rPr>
          <w:lang w:val="en-CA"/>
        </w:rPr>
        <w:t xml:space="preserve">Faced with the current congestion and </w:t>
      </w:r>
      <w:r>
        <w:rPr>
          <w:lang w:val="en-CA"/>
        </w:rPr>
        <w:t xml:space="preserve">uplink </w:t>
      </w:r>
      <w:r w:rsidRPr="008B75BB">
        <w:rPr>
          <w:lang w:val="en-CA"/>
        </w:rPr>
        <w:t>spectrum insufficiency, it is difficult for satellite operators to effectively expand their communication services to meet the growing market demands. Consequently, the digital divide is further widened as essential communication services are</w:t>
      </w:r>
      <w:r>
        <w:t xml:space="preserve"> not attainable in rural areas and developing countries.</w:t>
      </w:r>
    </w:p>
    <w:p w:rsidR="00277EB3" w:rsidRPr="00D91699" w:rsidRDefault="00277EB3" w:rsidP="00277EB3">
      <w:pPr>
        <w:pStyle w:val="Heading1"/>
      </w:pPr>
      <w:r>
        <w:t>3</w:t>
      </w:r>
      <w:r>
        <w:tab/>
      </w:r>
      <w:r w:rsidRPr="00D91699">
        <w:t>Overvi</w:t>
      </w:r>
      <w:r>
        <w:t>ew of unplanned FSS allocations</w:t>
      </w:r>
    </w:p>
    <w:p w:rsidR="00277EB3" w:rsidRDefault="00277EB3" w:rsidP="00277EB3">
      <w:pPr>
        <w:rPr>
          <w:lang w:val="en-CA"/>
        </w:rPr>
      </w:pPr>
      <w:r>
        <w:t xml:space="preserve">As mentioned in previous section, </w:t>
      </w:r>
      <w:r>
        <w:rPr>
          <w:lang w:val="en-CA"/>
        </w:rPr>
        <w:t>many satellites currently deployed have used up the available bands in their respective regions, both on the uplink and the downlink. It is noted that this spectrum asymmetry needs to be resolved to ensure that the uplink and downlink satellite traffic requirements can be fulfilled and managed efficiently.</w:t>
      </w:r>
    </w:p>
    <w:p w:rsidR="00277EB3" w:rsidRDefault="00277EB3" w:rsidP="00277EB3">
      <w:r>
        <w:t>For example, as indicated in Table 1 below, there is a difference of 200 MHz when comparing the amounts of spectrum allocated to the uplink and downlink unplanned FSS allocations in Region 2.</w:t>
      </w:r>
    </w:p>
    <w:p w:rsidR="00277EB3" w:rsidRDefault="00277EB3" w:rsidP="00277EB3">
      <w:pPr>
        <w:pStyle w:val="TableNo"/>
      </w:pPr>
      <w:r>
        <w:br w:type="page"/>
        <w:t>Table 1</w:t>
      </w:r>
    </w:p>
    <w:p w:rsidR="00277EB3" w:rsidRPr="00975709" w:rsidRDefault="00277EB3" w:rsidP="00277EB3">
      <w:pPr>
        <w:pStyle w:val="Tabletitle"/>
      </w:pPr>
      <w:r w:rsidRPr="00327C94">
        <w:t xml:space="preserve">The unplanned FSS bands in </w:t>
      </w:r>
      <w:r>
        <w:t>the 10-15 GHz range in ITU Region 2</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8"/>
        <w:gridCol w:w="2050"/>
        <w:tblGridChange w:id="9">
          <w:tblGrid>
            <w:gridCol w:w="3998"/>
            <w:gridCol w:w="2050"/>
          </w:tblGrid>
        </w:tblGridChange>
      </w:tblGrid>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head"/>
            </w:pPr>
            <w:r w:rsidRPr="007F38A9">
              <w:t>Frequency bands (GHz)</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head"/>
            </w:pPr>
            <w:r>
              <w:t xml:space="preserve">Bandwidth </w:t>
            </w:r>
            <w:r w:rsidRPr="007F38A9">
              <w:t>(MHz)</w:t>
            </w:r>
          </w:p>
        </w:tc>
      </w:tr>
      <w:tr w:rsidR="00277EB3" w:rsidRPr="007F38A9" w:rsidTr="009F2333">
        <w:trPr>
          <w:jc w:val="center"/>
        </w:trPr>
        <w:tc>
          <w:tcPr>
            <w:tcW w:w="6048" w:type="dxa"/>
            <w:gridSpan w:val="2"/>
            <w:tcBorders>
              <w:top w:val="single" w:sz="4" w:space="0" w:color="auto"/>
              <w:left w:val="single" w:sz="4" w:space="0" w:color="auto"/>
              <w:bottom w:val="single" w:sz="4" w:space="0" w:color="auto"/>
              <w:right w:val="single" w:sz="4" w:space="0" w:color="auto"/>
            </w:tcBorders>
          </w:tcPr>
          <w:p w:rsidR="00277EB3" w:rsidRPr="00FC6084" w:rsidRDefault="00277EB3" w:rsidP="009F2333">
            <w:pPr>
              <w:pStyle w:val="Tabletext"/>
              <w:rPr>
                <w:b/>
              </w:rPr>
            </w:pPr>
            <w:r>
              <w:rPr>
                <w:b/>
              </w:rPr>
              <w:t>Earth-to-space direction (uplink)</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12.7-12.75</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13.75-14.5</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750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Total spectrum in the uplink</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800</w:t>
            </w:r>
          </w:p>
        </w:tc>
      </w:tr>
      <w:tr w:rsidR="00277EB3" w:rsidRPr="007F38A9" w:rsidTr="009F2333">
        <w:trPr>
          <w:jc w:val="center"/>
        </w:trPr>
        <w:tc>
          <w:tcPr>
            <w:tcW w:w="6048" w:type="dxa"/>
            <w:gridSpan w:val="2"/>
            <w:tcBorders>
              <w:top w:val="single" w:sz="4" w:space="0" w:color="auto"/>
              <w:left w:val="single" w:sz="4" w:space="0" w:color="auto"/>
              <w:bottom w:val="single" w:sz="4" w:space="0" w:color="auto"/>
              <w:right w:val="single" w:sz="4" w:space="0" w:color="auto"/>
            </w:tcBorders>
          </w:tcPr>
          <w:p w:rsidR="00277EB3" w:rsidRPr="00FC6084" w:rsidRDefault="00277EB3" w:rsidP="009F2333">
            <w:pPr>
              <w:pStyle w:val="Tabletext"/>
              <w:rPr>
                <w:b/>
              </w:rPr>
            </w:pPr>
            <w:r>
              <w:rPr>
                <w:b/>
              </w:rPr>
              <w:t>space-to-Earth direction (downlink)</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10.95-11.2</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250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11.45-11.7</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250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11.7-12.2</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500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Total spectrum in the downlink</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1</w:t>
            </w:r>
            <w:r>
              <w:rPr>
                <w:b/>
                <w:bCs/>
              </w:rPr>
              <w:t xml:space="preserve"> </w:t>
            </w:r>
            <w:r w:rsidRPr="007F38A9">
              <w:rPr>
                <w:b/>
                <w:bCs/>
              </w:rPr>
              <w:t>000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Uplink a</w:t>
            </w:r>
            <w:r>
              <w:rPr>
                <w:b/>
                <w:bCs/>
              </w:rPr>
              <w:t>nd downlink spectrum difference</w:t>
            </w:r>
          </w:p>
        </w:tc>
        <w:tc>
          <w:tcPr>
            <w:tcW w:w="205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200</w:t>
            </w:r>
          </w:p>
        </w:tc>
      </w:tr>
    </w:tbl>
    <w:p w:rsidR="00277EB3" w:rsidRDefault="00277EB3" w:rsidP="00277EB3"/>
    <w:p w:rsidR="00277EB3" w:rsidRPr="00886504" w:rsidRDefault="00277EB3" w:rsidP="00277EB3">
      <w:pPr>
        <w:rPr>
          <w:lang w:val="en-CA"/>
        </w:rPr>
      </w:pPr>
      <w:r>
        <w:t>For Region 3, as indicated in Table 2 below, there is a difference of 300 MHz when comparing the amounts of spectrum allocated to the uplink and downlink unplanned FSS allocations.</w:t>
      </w:r>
    </w:p>
    <w:p w:rsidR="00277EB3" w:rsidRDefault="00277EB3" w:rsidP="00277EB3">
      <w:pPr>
        <w:pStyle w:val="TableNo"/>
      </w:pPr>
      <w:r>
        <w:t>Table 2</w:t>
      </w:r>
    </w:p>
    <w:p w:rsidR="00277EB3" w:rsidRDefault="00277EB3" w:rsidP="00277EB3">
      <w:pPr>
        <w:pStyle w:val="Tabletitle"/>
      </w:pPr>
      <w:r w:rsidRPr="00327C94">
        <w:t xml:space="preserve">The </w:t>
      </w:r>
      <w:r>
        <w:t>unplanned FSS bands in the 10-15 GHz range in ITU Region 3</w:t>
      </w:r>
    </w:p>
    <w:tbl>
      <w:tblPr>
        <w:tblW w:w="5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8"/>
        <w:gridCol w:w="1980"/>
        <w:tblGridChange w:id="10">
          <w:tblGrid>
            <w:gridCol w:w="3998"/>
            <w:gridCol w:w="1980"/>
          </w:tblGrid>
        </w:tblGridChange>
      </w:tblGrid>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head"/>
            </w:pPr>
            <w:r w:rsidRPr="007F38A9">
              <w:t>Frequency bands (GHz)</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head"/>
            </w:pPr>
            <w:r>
              <w:t xml:space="preserve">Bandwidth </w:t>
            </w:r>
            <w:r w:rsidRPr="007F38A9">
              <w:t>(MHz)</w:t>
            </w:r>
          </w:p>
        </w:tc>
      </w:tr>
      <w:tr w:rsidR="00277EB3" w:rsidRPr="00FC6084" w:rsidTr="009F2333">
        <w:trPr>
          <w:jc w:val="center"/>
        </w:trPr>
        <w:tc>
          <w:tcPr>
            <w:tcW w:w="5978" w:type="dxa"/>
            <w:gridSpan w:val="2"/>
            <w:tcBorders>
              <w:top w:val="single" w:sz="4" w:space="0" w:color="auto"/>
              <w:left w:val="single" w:sz="4" w:space="0" w:color="auto"/>
              <w:bottom w:val="single" w:sz="4" w:space="0" w:color="auto"/>
              <w:right w:val="single" w:sz="4" w:space="0" w:color="auto"/>
            </w:tcBorders>
          </w:tcPr>
          <w:p w:rsidR="00277EB3" w:rsidRPr="00FC6084" w:rsidRDefault="00277EB3" w:rsidP="009F2333">
            <w:pPr>
              <w:pStyle w:val="Tabletext"/>
              <w:rPr>
                <w:b/>
              </w:rPr>
            </w:pPr>
            <w:r>
              <w:rPr>
                <w:b/>
              </w:rPr>
              <w:t>Earth-to-space direction (uplink)</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13.75-14.5</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750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Total spectrum in the uplink</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750</w:t>
            </w:r>
          </w:p>
        </w:tc>
      </w:tr>
      <w:tr w:rsidR="00277EB3" w:rsidRPr="007F38A9" w:rsidTr="009F2333">
        <w:trPr>
          <w:jc w:val="center"/>
        </w:trPr>
        <w:tc>
          <w:tcPr>
            <w:tcW w:w="5978" w:type="dxa"/>
            <w:gridSpan w:val="2"/>
            <w:tcBorders>
              <w:top w:val="single" w:sz="4" w:space="0" w:color="auto"/>
              <w:left w:val="single" w:sz="4" w:space="0" w:color="auto"/>
              <w:bottom w:val="single" w:sz="4" w:space="0" w:color="auto"/>
              <w:right w:val="single" w:sz="4" w:space="0" w:color="auto"/>
            </w:tcBorders>
          </w:tcPr>
          <w:p w:rsidR="00277EB3" w:rsidRPr="00FC6084" w:rsidRDefault="00277EB3" w:rsidP="009F2333">
            <w:pPr>
              <w:pStyle w:val="Tabletext"/>
              <w:rPr>
                <w:b/>
              </w:rPr>
            </w:pPr>
            <w:r>
              <w:rPr>
                <w:b/>
              </w:rPr>
              <w:t>space-to-Earth direction (downlink)</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10.95-11.2</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250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11.45-11.7</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250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pPr>
            <w:r w:rsidRPr="007F38A9">
              <w:t>12.2-12.75</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pPr>
            <w:r w:rsidRPr="007F38A9">
              <w:t>550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Total spectrum in the downlink</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1</w:t>
            </w:r>
            <w:r>
              <w:rPr>
                <w:b/>
                <w:bCs/>
              </w:rPr>
              <w:t xml:space="preserve"> </w:t>
            </w:r>
            <w:r w:rsidRPr="007F38A9">
              <w:rPr>
                <w:b/>
                <w:bCs/>
              </w:rPr>
              <w:t>050</w:t>
            </w:r>
          </w:p>
        </w:tc>
      </w:tr>
      <w:tr w:rsidR="00277EB3" w:rsidRPr="007F38A9" w:rsidTr="009F2333">
        <w:trPr>
          <w:jc w:val="center"/>
        </w:trPr>
        <w:tc>
          <w:tcPr>
            <w:tcW w:w="3998"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rPr>
                <w:b/>
                <w:bCs/>
              </w:rPr>
            </w:pPr>
            <w:r w:rsidRPr="007F38A9">
              <w:rPr>
                <w:b/>
                <w:bCs/>
              </w:rPr>
              <w:t xml:space="preserve">Uplink and downlink spectrum difference </w:t>
            </w:r>
          </w:p>
        </w:tc>
        <w:tc>
          <w:tcPr>
            <w:tcW w:w="1980" w:type="dxa"/>
            <w:tcBorders>
              <w:top w:val="single" w:sz="4" w:space="0" w:color="auto"/>
              <w:left w:val="single" w:sz="4" w:space="0" w:color="auto"/>
              <w:bottom w:val="single" w:sz="4" w:space="0" w:color="auto"/>
              <w:right w:val="single" w:sz="4" w:space="0" w:color="auto"/>
            </w:tcBorders>
          </w:tcPr>
          <w:p w:rsidR="00277EB3" w:rsidRPr="007F38A9" w:rsidRDefault="00277EB3" w:rsidP="009F2333">
            <w:pPr>
              <w:pStyle w:val="Tabletext"/>
              <w:jc w:val="center"/>
              <w:rPr>
                <w:b/>
                <w:bCs/>
              </w:rPr>
            </w:pPr>
            <w:r w:rsidRPr="007F38A9">
              <w:rPr>
                <w:b/>
                <w:bCs/>
              </w:rPr>
              <w:t>300</w:t>
            </w:r>
          </w:p>
        </w:tc>
      </w:tr>
    </w:tbl>
    <w:p w:rsidR="00277EB3" w:rsidRDefault="00277EB3" w:rsidP="00277EB3"/>
    <w:p w:rsidR="00277EB3" w:rsidRPr="00D91699" w:rsidRDefault="00277EB3" w:rsidP="00277EB3">
      <w:pPr>
        <w:pStyle w:val="Heading1"/>
      </w:pPr>
      <w:r>
        <w:t>4</w:t>
      </w:r>
      <w:r>
        <w:tab/>
      </w:r>
      <w:r w:rsidRPr="00D91699">
        <w:t>Work plan to address the asymmetry of unplanned FSS uplink/downlink spectrum in the 10-15 GHz range</w:t>
      </w:r>
    </w:p>
    <w:p w:rsidR="00277EB3" w:rsidRDefault="00277EB3" w:rsidP="00277EB3">
      <w:r>
        <w:t>To</w:t>
      </w:r>
      <w:r w:rsidRPr="0005559B">
        <w:t xml:space="preserve"> </w:t>
      </w:r>
      <w:r>
        <w:rPr>
          <w:lang w:val="en-CA"/>
        </w:rPr>
        <w:t xml:space="preserve">facilitate </w:t>
      </w:r>
      <w:r>
        <w:t>efficient spectrum utilisation and accessibility to satellite services, it is necessary to resolve the shortage in the uplink spectrum in the 10-15 GHz range. Therefore, t</w:t>
      </w:r>
      <w:r w:rsidRPr="0005559B">
        <w:t xml:space="preserve">his </w:t>
      </w:r>
      <w:r>
        <w:t xml:space="preserve">Report proposes a work plan that leads </w:t>
      </w:r>
      <w:r w:rsidRPr="0005559B">
        <w:t>t</w:t>
      </w:r>
      <w:r>
        <w:t>o sharing studies in order to identify suitable frequency bands which could address this issue, while ensuring compatibility with the existing services in identified bands and allocations.</w:t>
      </w:r>
    </w:p>
    <w:p w:rsidR="00277EB3" w:rsidRPr="000E6AA1" w:rsidRDefault="00277EB3" w:rsidP="00277EB3">
      <w:pPr>
        <w:pStyle w:val="Heading2"/>
        <w:rPr>
          <w:lang w:val="en-CA"/>
        </w:rPr>
      </w:pPr>
      <w:r>
        <w:rPr>
          <w:lang w:val="en-CA"/>
        </w:rPr>
        <w:t>4.1</w:t>
      </w:r>
      <w:r>
        <w:rPr>
          <w:lang w:val="en-CA"/>
        </w:rPr>
        <w:tab/>
        <w:t>Possible bands for consideration</w:t>
      </w:r>
    </w:p>
    <w:p w:rsidR="00277EB3" w:rsidRDefault="00277EB3" w:rsidP="00277EB3">
      <w:pPr>
        <w:rPr>
          <w:lang w:val="en-CA"/>
        </w:rPr>
      </w:pPr>
      <w:r>
        <w:rPr>
          <w:lang w:val="en-CA"/>
        </w:rPr>
        <w:t xml:space="preserve">Additional unplanned FSS spectrum in the Earth-to-space direction that is contiguous (or near contiguous) to the existing allocations is necessary to address this uplink spectrum insufficiency for the following reasons: </w:t>
      </w:r>
    </w:p>
    <w:p w:rsidR="00277EB3" w:rsidRDefault="00277EB3" w:rsidP="00277EB3">
      <w:pPr>
        <w:pStyle w:val="enumlev1"/>
        <w:rPr>
          <w:lang w:val="en-CA"/>
        </w:rPr>
      </w:pPr>
      <w:r>
        <w:rPr>
          <w:lang w:val="en-CA"/>
        </w:rPr>
        <w:t>–</w:t>
      </w:r>
      <w:r>
        <w:rPr>
          <w:lang w:val="en-CA"/>
        </w:rPr>
        <w:tab/>
        <w:t>it would help to ensure compatibility with the existing ground infrastructure;</w:t>
      </w:r>
    </w:p>
    <w:p w:rsidR="00277EB3" w:rsidRDefault="00277EB3" w:rsidP="00277EB3">
      <w:pPr>
        <w:pStyle w:val="enumlev1"/>
        <w:rPr>
          <w:lang w:val="en-CA"/>
        </w:rPr>
      </w:pPr>
      <w:r>
        <w:rPr>
          <w:lang w:val="en-CA"/>
        </w:rPr>
        <w:t>–</w:t>
      </w:r>
      <w:r>
        <w:rPr>
          <w:lang w:val="en-CA"/>
        </w:rPr>
        <w:tab/>
        <w:t>the necessity to invest in new user equipment would be minimised;</w:t>
      </w:r>
    </w:p>
    <w:p w:rsidR="00277EB3" w:rsidRDefault="00277EB3" w:rsidP="00277EB3">
      <w:pPr>
        <w:pStyle w:val="enumlev1"/>
        <w:rPr>
          <w:lang w:val="en-CA"/>
        </w:rPr>
      </w:pPr>
      <w:r>
        <w:rPr>
          <w:lang w:val="en-CA"/>
        </w:rPr>
        <w:t>–</w:t>
      </w:r>
      <w:r>
        <w:rPr>
          <w:lang w:val="en-CA"/>
        </w:rPr>
        <w:tab/>
        <w:t>the design of the satellite could be simplified and this reduces the cost of the satellite project.</w:t>
      </w:r>
    </w:p>
    <w:p w:rsidR="00277EB3" w:rsidRDefault="00277EB3" w:rsidP="00277EB3">
      <w:pPr>
        <w:rPr>
          <w:lang w:val="en-CA"/>
        </w:rPr>
      </w:pPr>
      <w:r>
        <w:rPr>
          <w:lang w:val="en-CA"/>
        </w:rPr>
        <w:t>These above measures effectively translate to a reduction in costs to the end users.</w:t>
      </w:r>
    </w:p>
    <w:p w:rsidR="00277EB3" w:rsidRDefault="00277EB3" w:rsidP="00277EB3">
      <w:r>
        <w:rPr>
          <w:lang w:val="en-CA"/>
        </w:rPr>
        <w:t xml:space="preserve">In view of the reasons above, and based on an initial review of the Table of Frequency Allocations in Article 5 of the Radio Regulations, it is suggested </w:t>
      </w:r>
      <w:r>
        <w:t>that a review could be conducted in the frequency bands listed in Table 4. However, a review of possible bands other than those listed in Table 4 is also welcomed.</w:t>
      </w:r>
    </w:p>
    <w:p w:rsidR="00277EB3" w:rsidRPr="00F469DA" w:rsidRDefault="00277EB3" w:rsidP="00277EB3">
      <w:pPr>
        <w:pStyle w:val="headingb0"/>
      </w:pPr>
      <w:r w:rsidRPr="00F469DA">
        <w:t xml:space="preserve">Possible </w:t>
      </w:r>
      <w:r>
        <w:t>bands to be reviewed for study:</w:t>
      </w:r>
    </w:p>
    <w:p w:rsidR="00277EB3" w:rsidRPr="0067349C" w:rsidRDefault="00277EB3" w:rsidP="00277EB3">
      <w:pPr>
        <w:tabs>
          <w:tab w:val="left" w:pos="709"/>
        </w:tabs>
      </w:pPr>
      <w:r w:rsidRPr="00AC7A2F">
        <w:rPr>
          <w:bCs/>
        </w:rPr>
        <w:t>a)</w:t>
      </w:r>
      <w:r>
        <w:tab/>
        <w:t>Potential bands with no FSS allocation</w:t>
      </w:r>
    </w:p>
    <w:p w:rsidR="00277EB3" w:rsidRDefault="00277EB3" w:rsidP="00277EB3">
      <w:pPr>
        <w:ind w:left="709" w:right="-142" w:firstLine="11"/>
      </w:pPr>
      <w:r>
        <w:t>The possibility on the use of the bands of 13.25-13.4 GHz, 13.4-13.75 GHz, 14.8-15.35 GHz, 15.4-15.43 GHz, 15.63-15.7 GHz and 15.7-16.6 GHz could be examined.</w:t>
      </w:r>
    </w:p>
    <w:p w:rsidR="00277EB3" w:rsidRPr="0067349C" w:rsidRDefault="00277EB3" w:rsidP="00277EB3">
      <w:pPr>
        <w:tabs>
          <w:tab w:val="left" w:pos="709"/>
        </w:tabs>
      </w:pPr>
      <w:r>
        <w:t>b)</w:t>
      </w:r>
      <w:r>
        <w:tab/>
        <w:t xml:space="preserve">Potential </w:t>
      </w:r>
      <w:r w:rsidRPr="0067349C">
        <w:t>bands with FSS allocation</w:t>
      </w:r>
      <w:r>
        <w:t xml:space="preserve"> beyond those mentioned above</w:t>
      </w:r>
    </w:p>
    <w:p w:rsidR="00277EB3" w:rsidRDefault="00277EB3" w:rsidP="00277EB3">
      <w:pPr>
        <w:ind w:left="720" w:right="-284"/>
      </w:pPr>
      <w:r>
        <w:t>The possibility of removing the current regulatory restrictions in the band of 15.43-15.63 GHz, to facilitate its use for unplanned FSS could be examined.</w:t>
      </w:r>
    </w:p>
    <w:p w:rsidR="00277EB3" w:rsidRPr="0057046E" w:rsidRDefault="00277EB3" w:rsidP="00277EB3">
      <w:pPr>
        <w:pStyle w:val="TableNo"/>
      </w:pPr>
      <w:r w:rsidRPr="0057046E">
        <w:t xml:space="preserve">Table </w:t>
      </w:r>
      <w:r>
        <w:t>4</w:t>
      </w:r>
    </w:p>
    <w:p w:rsidR="00277EB3" w:rsidRPr="00D91699" w:rsidRDefault="00277EB3" w:rsidP="00277EB3">
      <w:pPr>
        <w:pStyle w:val="Tabletitle"/>
      </w:pPr>
      <w:r w:rsidRPr="00D91699">
        <w:t xml:space="preserve">Summary of possible bands </w:t>
      </w:r>
      <w:r>
        <w:t>for additional FSS uplink bands</w:t>
      </w:r>
    </w:p>
    <w:tbl>
      <w:tblPr>
        <w:tblW w:w="0" w:type="auto"/>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2"/>
        <w:gridCol w:w="2316"/>
        <w:gridCol w:w="3536"/>
      </w:tblGrid>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head"/>
            </w:pPr>
            <w:r w:rsidRPr="00D91699">
              <w:t>Frequency bands (GHz)</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head"/>
            </w:pPr>
            <w:r w:rsidRPr="00D91699">
              <w:t>Bandwidth (MHz)</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head"/>
            </w:pPr>
            <w:r w:rsidRPr="00D91699">
              <w:t xml:space="preserve">Allocation to FSS </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13.25-13.4</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150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13.4-13.75</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350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14.8-15.35</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550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15.4-15.43</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30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15.43-15.63</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200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pPr>
            <w:r w:rsidRPr="00D91699">
              <w:t>Yes, but limited to feeder links of non</w:t>
            </w:r>
            <w:r w:rsidRPr="00D91699">
              <w:noBreakHyphen/>
              <w:t>geostationary systems in the mobile</w:t>
            </w:r>
            <w:r w:rsidRPr="00D91699">
              <w:noBreakHyphen/>
              <w:t xml:space="preserve">satellite service </w:t>
            </w:r>
            <w:r>
              <w:br/>
            </w:r>
            <w:r w:rsidRPr="00D91699">
              <w:t>(RR No. 5.511A)</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15.63-15.7</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70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r w:rsidR="00277EB3" w:rsidRPr="00D91699" w:rsidTr="009F2333">
        <w:trPr>
          <w:jc w:val="center"/>
        </w:trPr>
        <w:tc>
          <w:tcPr>
            <w:tcW w:w="2432"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15.7-16.6</w:t>
            </w:r>
          </w:p>
        </w:tc>
        <w:tc>
          <w:tcPr>
            <w:tcW w:w="231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900</w:t>
            </w:r>
          </w:p>
        </w:tc>
        <w:tc>
          <w:tcPr>
            <w:tcW w:w="3536" w:type="dxa"/>
            <w:tcBorders>
              <w:top w:val="single" w:sz="4" w:space="0" w:color="auto"/>
              <w:left w:val="single" w:sz="4" w:space="0" w:color="auto"/>
              <w:bottom w:val="single" w:sz="4" w:space="0" w:color="auto"/>
              <w:right w:val="single" w:sz="4" w:space="0" w:color="auto"/>
            </w:tcBorders>
          </w:tcPr>
          <w:p w:rsidR="00277EB3" w:rsidRPr="00D91699" w:rsidRDefault="00277EB3" w:rsidP="009F2333">
            <w:pPr>
              <w:pStyle w:val="Tabletext"/>
              <w:jc w:val="center"/>
            </w:pPr>
            <w:r w:rsidRPr="00D91699">
              <w:t>No</w:t>
            </w:r>
          </w:p>
        </w:tc>
      </w:tr>
    </w:tbl>
    <w:p w:rsidR="00277EB3" w:rsidRPr="00D91699" w:rsidRDefault="00277EB3" w:rsidP="00277EB3">
      <w:pPr>
        <w:tabs>
          <w:tab w:val="left" w:pos="709"/>
          <w:tab w:val="left" w:pos="993"/>
        </w:tabs>
        <w:ind w:left="993" w:hanging="993"/>
        <w:rPr>
          <w:sz w:val="22"/>
          <w:szCs w:val="22"/>
        </w:rPr>
      </w:pPr>
      <w:r w:rsidRPr="00D91699">
        <w:rPr>
          <w:sz w:val="22"/>
          <w:szCs w:val="22"/>
        </w:rPr>
        <w:tab/>
        <w:t>*</w:t>
      </w:r>
      <w:r w:rsidRPr="00D91699">
        <w:rPr>
          <w:sz w:val="22"/>
          <w:szCs w:val="22"/>
        </w:rPr>
        <w:tab/>
        <w:t xml:space="preserve">Allocated to FSS for which complete information for advance publication has been received by </w:t>
      </w:r>
      <w:r w:rsidRPr="00D91699">
        <w:rPr>
          <w:sz w:val="22"/>
          <w:szCs w:val="22"/>
        </w:rPr>
        <w:br/>
        <w:t>the BR by 21 November 1997.</w:t>
      </w:r>
    </w:p>
    <w:p w:rsidR="00277EB3" w:rsidRPr="00B23349" w:rsidRDefault="00277EB3" w:rsidP="00277EB3"/>
    <w:p w:rsidR="00277EB3" w:rsidRPr="00F469DA" w:rsidRDefault="00277EB3" w:rsidP="00277EB3">
      <w:pPr>
        <w:pStyle w:val="Heading2"/>
      </w:pPr>
      <w:r>
        <w:t>4.2</w:t>
      </w:r>
      <w:r>
        <w:tab/>
        <w:t>Steps for the work plan</w:t>
      </w:r>
    </w:p>
    <w:p w:rsidR="00277EB3" w:rsidRPr="0005559B" w:rsidRDefault="00277EB3" w:rsidP="00277EB3">
      <w:r>
        <w:t xml:space="preserve">It is noted that the review of the possible bands has to be done with careful consideration. It is also noted that the existing asymmetries in the unplanned FSS uplink/downlink spectrum for the range of 10-15 GHz, are results of clear decisions of past Conferences based on extensive discussions. </w:t>
      </w:r>
    </w:p>
    <w:p w:rsidR="00277EB3" w:rsidRDefault="00277EB3" w:rsidP="00277EB3">
      <w:r>
        <w:t>Many of the bands mentioned in Table 4 above are already used by other services and might be the subject of studies currently being carried out with respect to a number of agenda items for WRC-12. For these reasons the following steps should be taken:</w:t>
      </w:r>
    </w:p>
    <w:p w:rsidR="00277EB3" w:rsidRDefault="00277EB3" w:rsidP="00277EB3">
      <w:pPr>
        <w:pStyle w:val="enumlev1"/>
      </w:pPr>
      <w:r>
        <w:t>1)</w:t>
      </w:r>
      <w:r>
        <w:tab/>
        <w:t>Detailed study of the current allocations. Each band mentioned should be studied for its current allocation and use, to make sure that its use by other services is well understood.</w:t>
      </w:r>
    </w:p>
    <w:p w:rsidR="00277EB3" w:rsidRDefault="00277EB3" w:rsidP="00277EB3">
      <w:pPr>
        <w:pStyle w:val="enumlev1"/>
      </w:pPr>
      <w:r>
        <w:t>2)</w:t>
      </w:r>
      <w:r>
        <w:tab/>
        <w:t>A review of studies performed in previous study cycles on the mentioned bands has to be performed. This is important as it might contain relevant materials for study that would avoid duplication of study efforts.</w:t>
      </w:r>
    </w:p>
    <w:p w:rsidR="00277EB3" w:rsidRDefault="00277EB3" w:rsidP="00277EB3">
      <w:pPr>
        <w:pStyle w:val="enumlev1"/>
      </w:pPr>
      <w:r>
        <w:t>3)</w:t>
      </w:r>
      <w:r>
        <w:tab/>
        <w:t>Study of bands for review with respect to the current agenda items for WRC-12. It is understood that a number of the bands mentioned are included in the current study cycle for certain agenda items in WRC-12. This should be carefully examined in order to understand all the issues involved.</w:t>
      </w:r>
    </w:p>
    <w:p w:rsidR="00277EB3" w:rsidRDefault="00277EB3" w:rsidP="00277EB3">
      <w:pPr>
        <w:pStyle w:val="enumlev1"/>
      </w:pPr>
      <w:r>
        <w:t>4)</w:t>
      </w:r>
      <w:r>
        <w:tab/>
        <w:t>Upon complete inventory and study of the above points, send out liaison statements to concerned Working Parties in order to understand the usage and requirements of existing allocations in the bands being reviewed.</w:t>
      </w:r>
    </w:p>
    <w:p w:rsidR="00277EB3" w:rsidRDefault="00277EB3" w:rsidP="00277EB3">
      <w:pPr>
        <w:pStyle w:val="enumlev1"/>
      </w:pPr>
      <w:r>
        <w:t>5)</w:t>
      </w:r>
      <w:r>
        <w:tab/>
        <w:t>Based on comments received perform further studies in order to find suitable frequency bands which could address the issue of asymmetry in the unplanned FSS uplink/downlink spectrum for the range of 10-15 GHz, while ensuring compatibility with existing services and allocations.</w:t>
      </w:r>
    </w:p>
    <w:p w:rsidR="00277EB3" w:rsidRPr="0005559B" w:rsidRDefault="00277EB3" w:rsidP="00277EB3"/>
    <w:p w:rsidR="00277EB3" w:rsidRDefault="00277EB3" w:rsidP="00277EB3"/>
    <w:p w:rsidR="00964148" w:rsidRDefault="00964148" w:rsidP="00964148">
      <w:pPr>
        <w:tabs>
          <w:tab w:val="left" w:pos="5600"/>
        </w:tabs>
      </w:pPr>
    </w:p>
    <w:sectPr w:rsidR="00964148"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63" w:rsidRDefault="007A0763">
      <w:r>
        <w:separator/>
      </w:r>
    </w:p>
  </w:endnote>
  <w:endnote w:type="continuationSeparator" w:id="0">
    <w:p w:rsidR="007A0763" w:rsidRDefault="007A076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uturaA Bk BT">
    <w:altName w:val="Corbel"/>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宋体">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Pr="00D61747" w:rsidRDefault="00CF5911">
    <w:pPr>
      <w:pStyle w:val="Footer"/>
      <w:rPr>
        <w:lang w:val="en-US"/>
      </w:rPr>
    </w:pPr>
    <w:fldSimple w:instr=" FILENAME \p \* MERGEFORMAT ">
      <w:r w:rsidR="005C500D" w:rsidRPr="005C500D">
        <w:rPr>
          <w:lang w:val="en-US"/>
        </w:rPr>
        <w:t>M</w:t>
      </w:r>
      <w:r w:rsidR="005C500D">
        <w:t>:\BRSGD\TEXT2010\SG04\WP4C\400\436\436N13e.docx</w:t>
      </w:r>
    </w:fldSimple>
    <w:r w:rsidR="007A0763" w:rsidRPr="00D61747">
      <w:rPr>
        <w:lang w:val="en-US"/>
      </w:rPr>
      <w:tab/>
    </w:r>
    <w:r>
      <w:fldChar w:fldCharType="begin"/>
    </w:r>
    <w:r w:rsidR="007A0763">
      <w:instrText xml:space="preserve"> savedate \@ dd.MM.yy </w:instrText>
    </w:r>
    <w:r>
      <w:fldChar w:fldCharType="separate"/>
    </w:r>
    <w:r w:rsidR="008644A9">
      <w:t>22.04.10</w:t>
    </w:r>
    <w:r>
      <w:fldChar w:fldCharType="end"/>
    </w:r>
    <w:r w:rsidR="007A0763" w:rsidRPr="00D61747">
      <w:rPr>
        <w:lang w:val="en-US"/>
      </w:rPr>
      <w:tab/>
    </w:r>
    <w:r>
      <w:fldChar w:fldCharType="begin"/>
    </w:r>
    <w:r w:rsidR="007A0763">
      <w:instrText xml:space="preserve"> printdate \@ dd.MM.yy </w:instrText>
    </w:r>
    <w:r>
      <w:fldChar w:fldCharType="separate"/>
    </w:r>
    <w:r w:rsidR="005C500D">
      <w:t>22.04.10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Pr="0089521F" w:rsidRDefault="00CF5911" w:rsidP="00BC003A">
    <w:pPr>
      <w:pStyle w:val="Footer"/>
      <w:rPr>
        <w:lang w:val="en-US"/>
      </w:rPr>
    </w:pPr>
    <w:fldSimple w:instr=" FILENAME \p \* MERGEFORMAT ">
      <w:r w:rsidR="005C500D" w:rsidRPr="005C500D">
        <w:rPr>
          <w:lang w:val="en-US"/>
        </w:rPr>
        <w:t>M</w:t>
      </w:r>
      <w:r w:rsidR="005C500D">
        <w:t>:\BRSGD\TEXT2010\SG04\WP4C\400\436\436N13e.docx</w:t>
      </w:r>
    </w:fldSimple>
    <w:r w:rsidR="007A0763" w:rsidRPr="0089521F">
      <w:rPr>
        <w:lang w:val="en-US"/>
      </w:rPr>
      <w:tab/>
    </w:r>
    <w:r>
      <w:fldChar w:fldCharType="begin"/>
    </w:r>
    <w:r w:rsidR="007A0763">
      <w:instrText xml:space="preserve"> savedate \@ dd.MM.yy </w:instrText>
    </w:r>
    <w:r>
      <w:fldChar w:fldCharType="separate"/>
    </w:r>
    <w:r w:rsidR="008644A9">
      <w:t>22.04.10</w:t>
    </w:r>
    <w:r>
      <w:fldChar w:fldCharType="end"/>
    </w:r>
    <w:r w:rsidR="007A0763" w:rsidRPr="0089521F">
      <w:rPr>
        <w:lang w:val="en-US"/>
      </w:rPr>
      <w:tab/>
    </w:r>
    <w:r>
      <w:fldChar w:fldCharType="begin"/>
    </w:r>
    <w:r w:rsidR="007A0763">
      <w:instrText xml:space="preserve"> printdate \@ dd.MM.yy </w:instrText>
    </w:r>
    <w:r>
      <w:fldChar w:fldCharType="separate"/>
    </w:r>
    <w:r w:rsidR="005C500D">
      <w:t>22.04.10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63" w:rsidRDefault="007A0763">
      <w:r>
        <w:t>____________________</w:t>
      </w:r>
    </w:p>
  </w:footnote>
  <w:footnote w:type="continuationSeparator" w:id="0">
    <w:p w:rsidR="007A0763" w:rsidRDefault="007A0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63" w:rsidRDefault="007A0763" w:rsidP="00330567">
    <w:pPr>
      <w:pStyle w:val="Header"/>
      <w:rPr>
        <w:rStyle w:val="PageNumber"/>
      </w:rPr>
    </w:pPr>
    <w:r>
      <w:rPr>
        <w:lang w:val="en-US"/>
      </w:rPr>
      <w:t xml:space="preserve">- </w:t>
    </w:r>
    <w:r w:rsidR="00CF5911">
      <w:rPr>
        <w:rStyle w:val="PageNumber"/>
      </w:rPr>
      <w:fldChar w:fldCharType="begin"/>
    </w:r>
    <w:r>
      <w:rPr>
        <w:rStyle w:val="PageNumber"/>
      </w:rPr>
      <w:instrText xml:space="preserve"> PAGE </w:instrText>
    </w:r>
    <w:r w:rsidR="00CF5911">
      <w:rPr>
        <w:rStyle w:val="PageNumber"/>
      </w:rPr>
      <w:fldChar w:fldCharType="separate"/>
    </w:r>
    <w:r w:rsidR="00277EB3">
      <w:rPr>
        <w:rStyle w:val="PageNumber"/>
        <w:noProof/>
      </w:rPr>
      <w:t>2</w:t>
    </w:r>
    <w:r w:rsidR="00CF5911">
      <w:rPr>
        <w:rStyle w:val="PageNumber"/>
      </w:rPr>
      <w:fldChar w:fldCharType="end"/>
    </w:r>
    <w:r>
      <w:rPr>
        <w:rStyle w:val="PageNumber"/>
      </w:rPr>
      <w:t xml:space="preserve"> -</w:t>
    </w:r>
  </w:p>
  <w:p w:rsidR="007A0763" w:rsidRDefault="007A0763" w:rsidP="00277EB3">
    <w:pPr>
      <w:pStyle w:val="Header"/>
      <w:rPr>
        <w:lang w:val="en-US"/>
      </w:rPr>
    </w:pPr>
    <w:r>
      <w:rPr>
        <w:lang w:val="en-US"/>
      </w:rPr>
      <w:t>4</w:t>
    </w:r>
    <w:r w:rsidR="00277EB3">
      <w:rPr>
        <w:lang w:val="en-US"/>
      </w:rPr>
      <w:t>A</w:t>
    </w:r>
    <w:r>
      <w:rPr>
        <w:lang w:val="en-US"/>
      </w:rPr>
      <w:t>/</w:t>
    </w:r>
    <w:r w:rsidR="00277EB3">
      <w:rPr>
        <w:lang w:val="en-US"/>
      </w:rPr>
      <w:t>368</w:t>
    </w:r>
    <w:r>
      <w:rPr>
        <w:lang w:val="en-US"/>
      </w:rPr>
      <w:t xml:space="preserve"> (Annex 1</w:t>
    </w:r>
    <w:r w:rsidR="00277EB3">
      <w:rPr>
        <w:lang w:val="en-US"/>
      </w:rPr>
      <w:t>1</w:t>
    </w:r>
    <w:r>
      <w:rPr>
        <w:lang w:val="en-US"/>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287"/>
        </w:tabs>
        <w:ind w:left="1287" w:hanging="360"/>
      </w:pPr>
      <w:rPr>
        <w:rFonts w:ascii="Arial Narrow" w:hAnsi="Arial Narrow"/>
      </w:rPr>
    </w:lvl>
  </w:abstractNum>
  <w:abstractNum w:abstractNumId="1">
    <w:nsid w:val="12265FC3"/>
    <w:multiLevelType w:val="hybridMultilevel"/>
    <w:tmpl w:val="258245D8"/>
    <w:lvl w:ilvl="0" w:tplc="8B92FB4C">
      <w:start w:val="1"/>
      <w:numFmt w:val="lowerRoman"/>
      <w:lvlText w:val="%1)"/>
      <w:lvlJc w:val="left"/>
      <w:pPr>
        <w:tabs>
          <w:tab w:val="num" w:pos="1515"/>
        </w:tabs>
        <w:ind w:left="1515" w:hanging="720"/>
      </w:pPr>
      <w:rPr>
        <w:rFonts w:hint="default"/>
      </w:rPr>
    </w:lvl>
    <w:lvl w:ilvl="1" w:tplc="08090019" w:tentative="1">
      <w:start w:val="1"/>
      <w:numFmt w:val="lowerLetter"/>
      <w:lvlText w:val="%2."/>
      <w:lvlJc w:val="left"/>
      <w:pPr>
        <w:tabs>
          <w:tab w:val="num" w:pos="1875"/>
        </w:tabs>
        <w:ind w:left="1875" w:hanging="360"/>
      </w:pPr>
    </w:lvl>
    <w:lvl w:ilvl="2" w:tplc="0809001B" w:tentative="1">
      <w:start w:val="1"/>
      <w:numFmt w:val="lowerRoman"/>
      <w:lvlText w:val="%3."/>
      <w:lvlJc w:val="right"/>
      <w:pPr>
        <w:tabs>
          <w:tab w:val="num" w:pos="2595"/>
        </w:tabs>
        <w:ind w:left="2595" w:hanging="180"/>
      </w:pPr>
    </w:lvl>
    <w:lvl w:ilvl="3" w:tplc="0809000F" w:tentative="1">
      <w:start w:val="1"/>
      <w:numFmt w:val="decimal"/>
      <w:lvlText w:val="%4."/>
      <w:lvlJc w:val="left"/>
      <w:pPr>
        <w:tabs>
          <w:tab w:val="num" w:pos="3315"/>
        </w:tabs>
        <w:ind w:left="3315" w:hanging="360"/>
      </w:pPr>
    </w:lvl>
    <w:lvl w:ilvl="4" w:tplc="08090019" w:tentative="1">
      <w:start w:val="1"/>
      <w:numFmt w:val="lowerLetter"/>
      <w:lvlText w:val="%5."/>
      <w:lvlJc w:val="left"/>
      <w:pPr>
        <w:tabs>
          <w:tab w:val="num" w:pos="4035"/>
        </w:tabs>
        <w:ind w:left="4035" w:hanging="360"/>
      </w:pPr>
    </w:lvl>
    <w:lvl w:ilvl="5" w:tplc="0809001B" w:tentative="1">
      <w:start w:val="1"/>
      <w:numFmt w:val="lowerRoman"/>
      <w:lvlText w:val="%6."/>
      <w:lvlJc w:val="right"/>
      <w:pPr>
        <w:tabs>
          <w:tab w:val="num" w:pos="4755"/>
        </w:tabs>
        <w:ind w:left="4755" w:hanging="180"/>
      </w:pPr>
    </w:lvl>
    <w:lvl w:ilvl="6" w:tplc="0809000F" w:tentative="1">
      <w:start w:val="1"/>
      <w:numFmt w:val="decimal"/>
      <w:lvlText w:val="%7."/>
      <w:lvlJc w:val="left"/>
      <w:pPr>
        <w:tabs>
          <w:tab w:val="num" w:pos="5475"/>
        </w:tabs>
        <w:ind w:left="5475" w:hanging="360"/>
      </w:pPr>
    </w:lvl>
    <w:lvl w:ilvl="7" w:tplc="08090019" w:tentative="1">
      <w:start w:val="1"/>
      <w:numFmt w:val="lowerLetter"/>
      <w:lvlText w:val="%8."/>
      <w:lvlJc w:val="left"/>
      <w:pPr>
        <w:tabs>
          <w:tab w:val="num" w:pos="6195"/>
        </w:tabs>
        <w:ind w:left="6195" w:hanging="360"/>
      </w:pPr>
    </w:lvl>
    <w:lvl w:ilvl="8" w:tplc="0809001B" w:tentative="1">
      <w:start w:val="1"/>
      <w:numFmt w:val="lowerRoman"/>
      <w:lvlText w:val="%9."/>
      <w:lvlJc w:val="right"/>
      <w:pPr>
        <w:tabs>
          <w:tab w:val="num" w:pos="6915"/>
        </w:tabs>
        <w:ind w:left="6915" w:hanging="180"/>
      </w:pPr>
    </w:lvl>
  </w:abstractNum>
  <w:abstractNum w:abstractNumId="2">
    <w:nsid w:val="19D8164A"/>
    <w:multiLevelType w:val="hybridMultilevel"/>
    <w:tmpl w:val="26AABE20"/>
    <w:lvl w:ilvl="0" w:tplc="746A9352">
      <w:start w:val="1"/>
      <w:numFmt w:val="decimal"/>
      <w:pStyle w:val="Comment"/>
      <w:lvlText w:val="Comme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3C7EE0"/>
    <w:multiLevelType w:val="hybridMultilevel"/>
    <w:tmpl w:val="203888E8"/>
    <w:lvl w:ilvl="0" w:tplc="BFE0794E">
      <w:start w:val="1"/>
      <w:numFmt w:val="decimal"/>
      <w:lvlText w:val="%1."/>
      <w:lvlJc w:val="left"/>
      <w:pPr>
        <w:tabs>
          <w:tab w:val="num" w:pos="1068"/>
        </w:tabs>
        <w:ind w:left="1068" w:hanging="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pPr>
      <w:rPr>
        <w:rFonts w:ascii="Times New Roman" w:hAnsi="Times New Roman" w:cs="Times New Roman"/>
        <w:b w:val="0"/>
        <w:sz w:val="22"/>
      </w:rPr>
    </w:lvl>
    <w:lvl w:ilvl="2">
      <w:start w:val="1"/>
      <w:numFmt w:val="decimal"/>
      <w:pStyle w:val="3Para"/>
      <w:lvlText w:val="%1.%2.%3"/>
      <w:lvlJc w:val="left"/>
      <w:pPr>
        <w:tabs>
          <w:tab w:val="num" w:pos="0"/>
        </w:tabs>
      </w:pPr>
      <w:rPr>
        <w:rFonts w:ascii="Times New Roman" w:hAnsi="Times New Roman" w:cs="Times New Roman"/>
        <w:b w:val="0"/>
        <w:sz w:val="22"/>
      </w:rPr>
    </w:lvl>
    <w:lvl w:ilvl="3">
      <w:start w:val="1"/>
      <w:numFmt w:val="decimal"/>
      <w:pStyle w:val="4Para"/>
      <w:lvlText w:val="%1.%2.%3.%4"/>
      <w:lvlJc w:val="left"/>
      <w:pPr>
        <w:tabs>
          <w:tab w:val="num" w:pos="0"/>
        </w:tabs>
      </w:pPr>
      <w:rPr>
        <w:rFonts w:ascii="Times New Roman" w:hAnsi="Times New Roman" w:cs="Times New Roman"/>
        <w:b w:val="0"/>
        <w:sz w:val="22"/>
      </w:rPr>
    </w:lvl>
    <w:lvl w:ilvl="4">
      <w:start w:val="1"/>
      <w:numFmt w:val="decimal"/>
      <w:pStyle w:val="5Para"/>
      <w:lvlText w:val="%1.%2.%3.%4.%5"/>
      <w:lvlJc w:val="left"/>
      <w:pPr>
        <w:tabs>
          <w:tab w:val="num" w:pos="0"/>
        </w:tabs>
      </w:pPr>
      <w:rPr>
        <w:rFonts w:ascii="Times New Roman" w:hAnsi="Times New Roman" w:cs="Times New Roman"/>
        <w:b w:val="0"/>
        <w:sz w:val="22"/>
      </w:rPr>
    </w:lvl>
    <w:lvl w:ilvl="5">
      <w:start w:val="1"/>
      <w:numFmt w:val="decimal"/>
      <w:pStyle w:val="6Para"/>
      <w:lvlText w:val="%1.%2.%3.%4.%5.%6"/>
      <w:lvlJc w:val="left"/>
      <w:pPr>
        <w:tabs>
          <w:tab w:val="num" w:pos="0"/>
        </w:tabs>
      </w:pPr>
      <w:rPr>
        <w:rFonts w:ascii="Times New Roman" w:hAnsi="Times New Roman" w:cs="Times New Roman"/>
        <w:b w:val="0"/>
        <w:sz w:val="22"/>
      </w:rPr>
    </w:lvl>
    <w:lvl w:ilvl="6">
      <w:start w:val="1"/>
      <w:numFmt w:val="decimal"/>
      <w:pStyle w:val="7Para"/>
      <w:lvlText w:val="%1.%2.%3.%4.%5.%6.%7"/>
      <w:lvlJc w:val="left"/>
      <w:pPr>
        <w:tabs>
          <w:tab w:val="num" w:pos="0"/>
        </w:tabs>
      </w:pPr>
      <w:rPr>
        <w:rFonts w:ascii="Times New Roman" w:hAnsi="Times New Roman" w:cs="Times New Roman"/>
        <w:b w:val="0"/>
        <w:sz w:val="22"/>
      </w:rPr>
    </w:lvl>
    <w:lvl w:ilvl="7">
      <w:start w:val="1"/>
      <w:numFmt w:val="decimal"/>
      <w:pStyle w:val="8Para"/>
      <w:lvlText w:val="%1.%2.%3.%4.%5.%6.%7.%8"/>
      <w:lvlJc w:val="left"/>
      <w:pPr>
        <w:tabs>
          <w:tab w:val="num" w:pos="0"/>
        </w:tabs>
      </w:pPr>
      <w:rPr>
        <w:rFonts w:ascii="Times New Roman" w:hAnsi="Times New Roman" w:cs="Times New Roman"/>
        <w:b w:val="0"/>
        <w:sz w:val="22"/>
      </w:rPr>
    </w:lvl>
    <w:lvl w:ilvl="8">
      <w:start w:val="1"/>
      <w:numFmt w:val="decimal"/>
      <w:pStyle w:val="1Para"/>
      <w:lvlText w:val="%9."/>
      <w:lvlJc w:val="left"/>
      <w:pPr>
        <w:tabs>
          <w:tab w:val="num" w:pos="0"/>
        </w:tabs>
      </w:pPr>
      <w:rPr>
        <w:rFonts w:ascii="Times New Roman" w:hAnsi="Times New Roman" w:cs="Times New Roman"/>
        <w:b w:val="0"/>
        <w:sz w:val="22"/>
      </w:rPr>
    </w:lvl>
  </w:abstractNum>
  <w:abstractNum w:abstractNumId="5">
    <w:nsid w:val="3CBA6DF9"/>
    <w:multiLevelType w:val="hybridMultilevel"/>
    <w:tmpl w:val="6EA2D260"/>
    <w:lvl w:ilvl="0" w:tplc="FFFFFFFF">
      <w:start w:val="1"/>
      <w:numFmt w:val="decimal"/>
      <w:lvlText w:val="%1."/>
      <w:lvlJc w:val="left"/>
      <w:pPr>
        <w:tabs>
          <w:tab w:val="num" w:pos="1068"/>
        </w:tabs>
        <w:ind w:left="1068" w:hanging="372"/>
      </w:pPr>
      <w:rPr>
        <w:rFonts w:cs="Times New Roman" w:hint="default"/>
      </w:rPr>
    </w:lvl>
    <w:lvl w:ilvl="1" w:tplc="FFFFFFFF">
      <w:start w:val="1"/>
      <w:numFmt w:val="lowerLetter"/>
      <w:lvlText w:val="%2."/>
      <w:lvlJc w:val="left"/>
      <w:pPr>
        <w:tabs>
          <w:tab w:val="num" w:pos="1776"/>
        </w:tabs>
        <w:ind w:left="1776" w:hanging="360"/>
      </w:pPr>
      <w:rPr>
        <w:rFonts w:cs="Times New Roman"/>
      </w:rPr>
    </w:lvl>
    <w:lvl w:ilvl="2" w:tplc="FFFFFFFF">
      <w:start w:val="1"/>
      <w:numFmt w:val="lowerRoman"/>
      <w:lvlText w:val="%3."/>
      <w:lvlJc w:val="right"/>
      <w:pPr>
        <w:tabs>
          <w:tab w:val="num" w:pos="2496"/>
        </w:tabs>
        <w:ind w:left="2496" w:hanging="180"/>
      </w:pPr>
      <w:rPr>
        <w:rFonts w:cs="Times New Roman"/>
      </w:rPr>
    </w:lvl>
    <w:lvl w:ilvl="3" w:tplc="FFFFFFFF">
      <w:start w:val="1"/>
      <w:numFmt w:val="decimal"/>
      <w:lvlText w:val="%4."/>
      <w:lvlJc w:val="left"/>
      <w:pPr>
        <w:tabs>
          <w:tab w:val="num" w:pos="3216"/>
        </w:tabs>
        <w:ind w:left="3216" w:hanging="360"/>
      </w:pPr>
      <w:rPr>
        <w:rFonts w:cs="Times New Roman"/>
      </w:rPr>
    </w:lvl>
    <w:lvl w:ilvl="4" w:tplc="FFFFFFFF">
      <w:start w:val="1"/>
      <w:numFmt w:val="lowerLetter"/>
      <w:lvlText w:val="%5."/>
      <w:lvlJc w:val="left"/>
      <w:pPr>
        <w:tabs>
          <w:tab w:val="num" w:pos="3936"/>
        </w:tabs>
        <w:ind w:left="3936" w:hanging="360"/>
      </w:pPr>
      <w:rPr>
        <w:rFonts w:cs="Times New Roman"/>
      </w:rPr>
    </w:lvl>
    <w:lvl w:ilvl="5" w:tplc="FFFFFFFF">
      <w:start w:val="1"/>
      <w:numFmt w:val="lowerRoman"/>
      <w:lvlText w:val="%6."/>
      <w:lvlJc w:val="right"/>
      <w:pPr>
        <w:tabs>
          <w:tab w:val="num" w:pos="4656"/>
        </w:tabs>
        <w:ind w:left="4656" w:hanging="180"/>
      </w:pPr>
      <w:rPr>
        <w:rFonts w:cs="Times New Roman"/>
      </w:rPr>
    </w:lvl>
    <w:lvl w:ilvl="6" w:tplc="FFFFFFFF">
      <w:start w:val="1"/>
      <w:numFmt w:val="decimal"/>
      <w:lvlText w:val="%7."/>
      <w:lvlJc w:val="left"/>
      <w:pPr>
        <w:tabs>
          <w:tab w:val="num" w:pos="5376"/>
        </w:tabs>
        <w:ind w:left="5376" w:hanging="360"/>
      </w:pPr>
      <w:rPr>
        <w:rFonts w:cs="Times New Roman"/>
      </w:rPr>
    </w:lvl>
    <w:lvl w:ilvl="7" w:tplc="FFFFFFFF">
      <w:start w:val="1"/>
      <w:numFmt w:val="lowerLetter"/>
      <w:lvlText w:val="%8."/>
      <w:lvlJc w:val="left"/>
      <w:pPr>
        <w:tabs>
          <w:tab w:val="num" w:pos="6096"/>
        </w:tabs>
        <w:ind w:left="6096" w:hanging="360"/>
      </w:pPr>
      <w:rPr>
        <w:rFonts w:cs="Times New Roman"/>
      </w:rPr>
    </w:lvl>
    <w:lvl w:ilvl="8" w:tplc="FFFFFFFF">
      <w:start w:val="1"/>
      <w:numFmt w:val="lowerRoman"/>
      <w:lvlText w:val="%9."/>
      <w:lvlJc w:val="right"/>
      <w:pPr>
        <w:tabs>
          <w:tab w:val="num" w:pos="6816"/>
        </w:tabs>
        <w:ind w:left="6816" w:hanging="180"/>
      </w:pPr>
      <w:rPr>
        <w:rFonts w:cs="Times New Roman"/>
      </w:rPr>
    </w:lvl>
  </w:abstractNum>
  <w:abstractNum w:abstractNumId="6">
    <w:nsid w:val="43071CC9"/>
    <w:multiLevelType w:val="hybridMultilevel"/>
    <w:tmpl w:val="FFF89B0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nsid w:val="4F5E0FF0"/>
    <w:multiLevelType w:val="hybridMultilevel"/>
    <w:tmpl w:val="F9DC2098"/>
    <w:lvl w:ilvl="0" w:tplc="1A1ACAE0">
      <w:start w:val="1"/>
      <w:numFmt w:val="lowerLetter"/>
      <w:lvlText w:val="%1)"/>
      <w:lvlJc w:val="left"/>
      <w:pPr>
        <w:tabs>
          <w:tab w:val="num" w:pos="1176"/>
        </w:tabs>
        <w:ind w:left="1176" w:hanging="360"/>
      </w:pPr>
      <w:rPr>
        <w:rFonts w:cs="Times New Roman" w:hint="default"/>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nsid w:val="557C34D9"/>
    <w:multiLevelType w:val="hybridMultilevel"/>
    <w:tmpl w:val="DF1A7BFE"/>
    <w:lvl w:ilvl="0" w:tplc="7DDA733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91E61BA"/>
    <w:multiLevelType w:val="multilevel"/>
    <w:tmpl w:val="649077D0"/>
    <w:lvl w:ilvl="0">
      <w:start w:val="1"/>
      <w:numFmt w:val="decimal"/>
      <w:lvlRestart w:val="0"/>
      <w:pStyle w:val="Dots"/>
      <w:isLgl/>
      <w:lvlText w:val=". . ."/>
      <w:lvlJc w:val="left"/>
      <w:pPr>
        <w:tabs>
          <w:tab w:val="num" w:pos="360"/>
        </w:tabs>
        <w:ind w:left="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6B1F47B8"/>
    <w:multiLevelType w:val="hybridMultilevel"/>
    <w:tmpl w:val="915A9AFC"/>
    <w:lvl w:ilvl="0" w:tplc="9BBA981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79305E"/>
    <w:multiLevelType w:val="hybridMultilevel"/>
    <w:tmpl w:val="FBCC7292"/>
    <w:lvl w:ilvl="0" w:tplc="8464733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11"/>
  </w:num>
  <w:num w:numId="5">
    <w:abstractNumId w:val="10"/>
  </w:num>
  <w:num w:numId="6">
    <w:abstractNumId w:val="8"/>
  </w:num>
  <w:num w:numId="7">
    <w:abstractNumId w:val="4"/>
  </w:num>
  <w:num w:numId="8">
    <w:abstractNumId w:val="9"/>
  </w:num>
  <w:num w:numId="9">
    <w:abstractNumId w:val="1"/>
  </w:num>
  <w:num w:numId="10">
    <w:abstractNumId w:val="2"/>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CF468A"/>
    <w:rsid w:val="000069D4"/>
    <w:rsid w:val="000174AD"/>
    <w:rsid w:val="000A7D55"/>
    <w:rsid w:val="000B10F0"/>
    <w:rsid w:val="000C2E8E"/>
    <w:rsid w:val="000C5EAB"/>
    <w:rsid w:val="000E0E7C"/>
    <w:rsid w:val="000E5223"/>
    <w:rsid w:val="000F1B4B"/>
    <w:rsid w:val="000F332A"/>
    <w:rsid w:val="0012744F"/>
    <w:rsid w:val="00156F66"/>
    <w:rsid w:val="00182528"/>
    <w:rsid w:val="0018500B"/>
    <w:rsid w:val="00196A19"/>
    <w:rsid w:val="001C4F7A"/>
    <w:rsid w:val="00202DC1"/>
    <w:rsid w:val="002116EE"/>
    <w:rsid w:val="002309D8"/>
    <w:rsid w:val="002345C1"/>
    <w:rsid w:val="00277EB3"/>
    <w:rsid w:val="002A7FE2"/>
    <w:rsid w:val="002B1088"/>
    <w:rsid w:val="002E1B4F"/>
    <w:rsid w:val="002F2E67"/>
    <w:rsid w:val="00302C10"/>
    <w:rsid w:val="00310465"/>
    <w:rsid w:val="00315546"/>
    <w:rsid w:val="00330567"/>
    <w:rsid w:val="0037677E"/>
    <w:rsid w:val="00386A9D"/>
    <w:rsid w:val="00391081"/>
    <w:rsid w:val="003B2789"/>
    <w:rsid w:val="003C13CE"/>
    <w:rsid w:val="003C2031"/>
    <w:rsid w:val="003E2518"/>
    <w:rsid w:val="00400B61"/>
    <w:rsid w:val="00445081"/>
    <w:rsid w:val="004A34B7"/>
    <w:rsid w:val="004B1EF7"/>
    <w:rsid w:val="004B3FAD"/>
    <w:rsid w:val="004C776F"/>
    <w:rsid w:val="00501DCA"/>
    <w:rsid w:val="00513A47"/>
    <w:rsid w:val="005408DF"/>
    <w:rsid w:val="00564D97"/>
    <w:rsid w:val="00573344"/>
    <w:rsid w:val="00583F9B"/>
    <w:rsid w:val="005B08C7"/>
    <w:rsid w:val="005C500D"/>
    <w:rsid w:val="005E5C10"/>
    <w:rsid w:val="005F2C78"/>
    <w:rsid w:val="00605D63"/>
    <w:rsid w:val="006144E4"/>
    <w:rsid w:val="006359E2"/>
    <w:rsid w:val="00650299"/>
    <w:rsid w:val="00655FC5"/>
    <w:rsid w:val="006570A8"/>
    <w:rsid w:val="006E2CD1"/>
    <w:rsid w:val="00712985"/>
    <w:rsid w:val="00783E33"/>
    <w:rsid w:val="007A0763"/>
    <w:rsid w:val="00822581"/>
    <w:rsid w:val="008309DD"/>
    <w:rsid w:val="0083227A"/>
    <w:rsid w:val="00844351"/>
    <w:rsid w:val="008644A9"/>
    <w:rsid w:val="00866900"/>
    <w:rsid w:val="00881BA1"/>
    <w:rsid w:val="0089521F"/>
    <w:rsid w:val="008B16AB"/>
    <w:rsid w:val="008C26B8"/>
    <w:rsid w:val="00906E16"/>
    <w:rsid w:val="00921493"/>
    <w:rsid w:val="00964148"/>
    <w:rsid w:val="00982084"/>
    <w:rsid w:val="00995963"/>
    <w:rsid w:val="009B61EB"/>
    <w:rsid w:val="009C2064"/>
    <w:rsid w:val="009C6209"/>
    <w:rsid w:val="009D1697"/>
    <w:rsid w:val="009E2631"/>
    <w:rsid w:val="00A014F8"/>
    <w:rsid w:val="00A35040"/>
    <w:rsid w:val="00A41EDA"/>
    <w:rsid w:val="00A5173C"/>
    <w:rsid w:val="00A61AEF"/>
    <w:rsid w:val="00AF173A"/>
    <w:rsid w:val="00B066A4"/>
    <w:rsid w:val="00B07A13"/>
    <w:rsid w:val="00B4279B"/>
    <w:rsid w:val="00B45FC9"/>
    <w:rsid w:val="00BC003A"/>
    <w:rsid w:val="00BC7CCF"/>
    <w:rsid w:val="00BE470B"/>
    <w:rsid w:val="00C57A91"/>
    <w:rsid w:val="00C6080D"/>
    <w:rsid w:val="00C824E6"/>
    <w:rsid w:val="00CA1962"/>
    <w:rsid w:val="00CC01C2"/>
    <w:rsid w:val="00CF21F2"/>
    <w:rsid w:val="00CF468A"/>
    <w:rsid w:val="00CF5911"/>
    <w:rsid w:val="00D02712"/>
    <w:rsid w:val="00D214D0"/>
    <w:rsid w:val="00D465C2"/>
    <w:rsid w:val="00D61747"/>
    <w:rsid w:val="00D6546B"/>
    <w:rsid w:val="00DB6323"/>
    <w:rsid w:val="00DD3518"/>
    <w:rsid w:val="00DD4BED"/>
    <w:rsid w:val="00DE39F0"/>
    <w:rsid w:val="00DF0AF3"/>
    <w:rsid w:val="00E27D7E"/>
    <w:rsid w:val="00E311C8"/>
    <w:rsid w:val="00E42E13"/>
    <w:rsid w:val="00E46746"/>
    <w:rsid w:val="00E6257C"/>
    <w:rsid w:val="00E63C59"/>
    <w:rsid w:val="00E73B23"/>
    <w:rsid w:val="00EE03FD"/>
    <w:rsid w:val="00F41D74"/>
    <w:rsid w:val="00FA124A"/>
    <w:rsid w:val="00FA7DA1"/>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E63C59"/>
    <w:pPr>
      <w:spacing w:before="200"/>
      <w:outlineLvl w:val="1"/>
    </w:pPr>
    <w:rPr>
      <w:sz w:val="24"/>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eader odd22,h,ho"/>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NormalaftertitleChar">
    <w:name w:val="Normal_after_title Char"/>
    <w:basedOn w:val="DefaultParagraphFont"/>
    <w:link w:val="Normalaftertitle"/>
    <w:rsid w:val="00C824E6"/>
    <w:rPr>
      <w:rFonts w:ascii="Times New Roman" w:hAnsi="Times New Roman"/>
      <w:sz w:val="24"/>
      <w:lang w:val="en-GB" w:eastAsia="en-US"/>
    </w:rPr>
  </w:style>
  <w:style w:type="character" w:customStyle="1" w:styleId="CallChar">
    <w:name w:val="Call Char"/>
    <w:basedOn w:val="DefaultParagraphFont"/>
    <w:link w:val="Call"/>
    <w:rsid w:val="00C824E6"/>
    <w:rPr>
      <w:rFonts w:ascii="Times New Roman" w:hAnsi="Times New Roman"/>
      <w:i/>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C824E6"/>
    <w:rPr>
      <w:rFonts w:ascii="Times New Roman" w:hAnsi="Times New Roman"/>
      <w:sz w:val="24"/>
      <w:lang w:val="en-GB" w:eastAsia="en-US"/>
    </w:rPr>
  </w:style>
  <w:style w:type="paragraph" w:customStyle="1" w:styleId="AnnexNoTitle">
    <w:name w:val="Annex_NoTitle"/>
    <w:basedOn w:val="Normal"/>
    <w:next w:val="Normalaftertitle"/>
    <w:link w:val="AnnexNoTitleChar"/>
    <w:rsid w:val="00C824E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RectitleChar">
    <w:name w:val="Rec_title Char"/>
    <w:basedOn w:val="DefaultParagraphFont"/>
    <w:link w:val="Rectitle"/>
    <w:locked/>
    <w:rsid w:val="00C824E6"/>
    <w:rPr>
      <w:rFonts w:ascii="Times New Roman Bold" w:hAnsi="Times New Roman Bold"/>
      <w:b/>
      <w:sz w:val="28"/>
      <w:lang w:val="en-GB" w:eastAsia="en-US"/>
    </w:rPr>
  </w:style>
  <w:style w:type="character" w:customStyle="1" w:styleId="TabletitleChar">
    <w:name w:val="Table_title Char"/>
    <w:basedOn w:val="DefaultParagraphFont"/>
    <w:link w:val="Tabletitle"/>
    <w:rsid w:val="00C824E6"/>
    <w:rPr>
      <w:rFonts w:ascii="Times New Roman Bold" w:hAnsi="Times New Roman Bold"/>
      <w:b/>
      <w:lang w:val="en-GB" w:eastAsia="en-US"/>
    </w:rPr>
  </w:style>
  <w:style w:type="character" w:customStyle="1" w:styleId="TableNoChar">
    <w:name w:val="Table_No Char"/>
    <w:basedOn w:val="DefaultParagraphFont"/>
    <w:link w:val="TableNo"/>
    <w:rsid w:val="00C824E6"/>
    <w:rPr>
      <w:rFonts w:ascii="Times New Roman" w:hAnsi="Times New Roman"/>
      <w:caps/>
      <w:lang w:val="en-GB" w:eastAsia="en-US"/>
    </w:rPr>
  </w:style>
  <w:style w:type="character" w:styleId="Hyperlink">
    <w:name w:val="Hyperlink"/>
    <w:basedOn w:val="DefaultParagraphFont"/>
    <w:unhideWhenUsed/>
    <w:rsid w:val="00C824E6"/>
    <w:rPr>
      <w:color w:val="0000FF"/>
      <w:u w:val="single"/>
    </w:rPr>
  </w:style>
  <w:style w:type="character" w:customStyle="1" w:styleId="href">
    <w:name w:val="href"/>
    <w:basedOn w:val="DefaultParagraphFont"/>
    <w:rsid w:val="00C824E6"/>
    <w:rPr>
      <w:rFonts w:cs="Times New Roman"/>
    </w:rPr>
  </w:style>
  <w:style w:type="paragraph" w:customStyle="1" w:styleId="headfoot">
    <w:name w:val="head_foot"/>
    <w:basedOn w:val="Normal"/>
    <w:next w:val="Normalaftertitle0"/>
    <w:rsid w:val="00C824E6"/>
    <w:pPr>
      <w:tabs>
        <w:tab w:val="clear" w:pos="1134"/>
        <w:tab w:val="clear" w:pos="1871"/>
        <w:tab w:val="clear" w:pos="2268"/>
      </w:tabs>
      <w:spacing w:before="0"/>
      <w:jc w:val="both"/>
    </w:pPr>
    <w:rPr>
      <w:color w:val="FF0000"/>
      <w:sz w:val="8"/>
    </w:rPr>
  </w:style>
  <w:style w:type="paragraph" w:customStyle="1" w:styleId="AnnexNotitle0">
    <w:name w:val="Annex_No &amp; title"/>
    <w:basedOn w:val="Normal"/>
    <w:next w:val="Normalaftertitle"/>
    <w:link w:val="AnnexNotitleChar0"/>
    <w:rsid w:val="00C824E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HeadingSum">
    <w:name w:val="Heading_Sum"/>
    <w:basedOn w:val="Normal"/>
    <w:next w:val="Normal"/>
    <w:rsid w:val="00C824E6"/>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aftertitle"/>
    <w:rsid w:val="00C824E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headingb0">
    <w:name w:val="heading_b"/>
    <w:basedOn w:val="Heading3"/>
    <w:next w:val="Normal"/>
    <w:rsid w:val="00C824E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lang w:eastAsia="fr-FR"/>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E46746"/>
    <w:rPr>
      <w:rFonts w:ascii="Times New Roman" w:hAnsi="Times New Roman"/>
      <w:b/>
      <w:sz w:val="28"/>
      <w:lang w:val="en-GB" w:eastAsia="en-US"/>
    </w:rPr>
  </w:style>
  <w:style w:type="character" w:customStyle="1" w:styleId="enumlev1Char">
    <w:name w:val="enumlev1 Char"/>
    <w:basedOn w:val="DefaultParagraphFont"/>
    <w:link w:val="enumlev1"/>
    <w:locked/>
    <w:rsid w:val="00E46746"/>
    <w:rPr>
      <w:rFonts w:ascii="Times New Roman" w:hAnsi="Times New Roman"/>
      <w:sz w:val="24"/>
      <w:lang w:val="en-GB" w:eastAsia="en-US"/>
    </w:rPr>
  </w:style>
  <w:style w:type="character" w:customStyle="1" w:styleId="AnnexNoTitleChar">
    <w:name w:val="Annex_NoTitle Char"/>
    <w:basedOn w:val="DefaultParagraphFont"/>
    <w:link w:val="AnnexNoTitle"/>
    <w:rsid w:val="00E46746"/>
    <w:rPr>
      <w:rFonts w:ascii="Times New Roman" w:hAnsi="Times New Roman"/>
      <w:b/>
      <w:sz w:val="28"/>
      <w:lang w:val="en-GB" w:eastAsia="en-US"/>
    </w:rPr>
  </w:style>
  <w:style w:type="character" w:customStyle="1" w:styleId="Tabletitle0">
    <w:name w:val="Table_title Знак"/>
    <w:basedOn w:val="DefaultParagraphFont"/>
    <w:locked/>
    <w:rsid w:val="00E46746"/>
    <w:rPr>
      <w:rFonts w:ascii="Times New Roman" w:hAnsi="Times New Roman"/>
      <w:b/>
      <w:sz w:val="24"/>
      <w:lang w:val="en-GB" w:eastAsia="en-US"/>
    </w:rPr>
  </w:style>
  <w:style w:type="character" w:customStyle="1" w:styleId="TableNo0">
    <w:name w:val="Table_No Знак"/>
    <w:basedOn w:val="DefaultParagraphFont"/>
    <w:locked/>
    <w:rsid w:val="00E46746"/>
    <w:rPr>
      <w:rFonts w:ascii="Times New Roman" w:hAnsi="Times New Roman"/>
      <w:caps/>
      <w:sz w:val="24"/>
      <w:lang w:val="en-GB" w:eastAsia="en-US"/>
    </w:rPr>
  </w:style>
  <w:style w:type="character" w:customStyle="1" w:styleId="TabletextChar">
    <w:name w:val="Table_text Char"/>
    <w:basedOn w:val="DefaultParagraphFont"/>
    <w:link w:val="Tabletext"/>
    <w:locked/>
    <w:rsid w:val="00E46746"/>
    <w:rPr>
      <w:rFonts w:ascii="Times New Roman" w:hAnsi="Times New Roman"/>
      <w:lang w:val="en-GB" w:eastAsia="en-US"/>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DefaultParagraphFont"/>
    <w:link w:val="Heading2"/>
    <w:rsid w:val="009C6209"/>
    <w:rPr>
      <w:rFonts w:ascii="Times New Roman" w:hAnsi="Times New Roman"/>
      <w:b/>
      <w:sz w:val="24"/>
      <w:lang w:val="en-GB"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9C6209"/>
    <w:rPr>
      <w:rFonts w:ascii="Times New Roman" w:hAnsi="Times New Roman"/>
      <w:b/>
      <w:sz w:val="24"/>
      <w:lang w:val="en-GB"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9C6209"/>
    <w:rPr>
      <w:rFonts w:ascii="Times New Roman" w:hAnsi="Times New Roman"/>
      <w:b/>
      <w:sz w:val="24"/>
      <w:lang w:val="en-GB" w:eastAsia="en-US"/>
    </w:rPr>
  </w:style>
  <w:style w:type="character" w:customStyle="1" w:styleId="Heading5Char">
    <w:name w:val="Heading 5 Char"/>
    <w:basedOn w:val="DefaultParagraphFont"/>
    <w:link w:val="Heading5"/>
    <w:rsid w:val="009C6209"/>
    <w:rPr>
      <w:rFonts w:ascii="Times New Roman" w:hAnsi="Times New Roman"/>
      <w:b/>
      <w:sz w:val="24"/>
      <w:lang w:val="en-GB" w:eastAsia="en-US"/>
    </w:rPr>
  </w:style>
  <w:style w:type="character" w:customStyle="1" w:styleId="Heading6Char">
    <w:name w:val="Heading 6 Char"/>
    <w:basedOn w:val="DefaultParagraphFont"/>
    <w:link w:val="Heading6"/>
    <w:uiPriority w:val="99"/>
    <w:rsid w:val="009C6209"/>
    <w:rPr>
      <w:rFonts w:ascii="Times New Roman" w:hAnsi="Times New Roman"/>
      <w:b/>
      <w:sz w:val="24"/>
      <w:lang w:val="en-GB" w:eastAsia="en-US"/>
    </w:rPr>
  </w:style>
  <w:style w:type="character" w:customStyle="1" w:styleId="Heading7Char">
    <w:name w:val="Heading 7 Char"/>
    <w:basedOn w:val="DefaultParagraphFont"/>
    <w:link w:val="Heading7"/>
    <w:uiPriority w:val="99"/>
    <w:rsid w:val="009C6209"/>
    <w:rPr>
      <w:rFonts w:ascii="Times New Roman" w:hAnsi="Times New Roman"/>
      <w:b/>
      <w:sz w:val="24"/>
      <w:lang w:val="en-GB" w:eastAsia="en-US"/>
    </w:rPr>
  </w:style>
  <w:style w:type="character" w:customStyle="1" w:styleId="Heading8Char">
    <w:name w:val="Heading 8 Char"/>
    <w:basedOn w:val="DefaultParagraphFont"/>
    <w:link w:val="Heading8"/>
    <w:uiPriority w:val="99"/>
    <w:rsid w:val="009C6209"/>
    <w:rPr>
      <w:rFonts w:ascii="Times New Roman" w:hAnsi="Times New Roman"/>
      <w:b/>
      <w:sz w:val="24"/>
      <w:lang w:val="en-GB" w:eastAsia="en-US"/>
    </w:rPr>
  </w:style>
  <w:style w:type="character" w:customStyle="1" w:styleId="Heading9Char">
    <w:name w:val="Heading 9 Char"/>
    <w:basedOn w:val="DefaultParagraphFont"/>
    <w:link w:val="Heading9"/>
    <w:uiPriority w:val="99"/>
    <w:rsid w:val="009C6209"/>
    <w:rPr>
      <w:rFonts w:ascii="Times New Roman" w:hAnsi="Times New Roman"/>
      <w:b/>
      <w:sz w:val="24"/>
      <w:lang w:val="en-GB" w:eastAsia="en-US"/>
    </w:rPr>
  </w:style>
  <w:style w:type="character" w:customStyle="1" w:styleId="EquationlegendChar">
    <w:name w:val="Equation_legend Char"/>
    <w:basedOn w:val="DefaultParagraphFont"/>
    <w:link w:val="Equationlegend"/>
    <w:locked/>
    <w:rsid w:val="009C6209"/>
    <w:rPr>
      <w:rFonts w:ascii="Times New Roman" w:hAnsi="Times New Roman"/>
      <w:sz w:val="24"/>
      <w:lang w:val="en-GB" w:eastAsia="en-US"/>
    </w:rPr>
  </w:style>
  <w:style w:type="character" w:customStyle="1" w:styleId="FooterChar">
    <w:name w:val="Footer Char"/>
    <w:aliases w:val="footer odd Char1,pie de página Char1,fo Char,footer Char1"/>
    <w:basedOn w:val="DefaultParagraphFont"/>
    <w:link w:val="Footer"/>
    <w:rsid w:val="009C6209"/>
    <w:rPr>
      <w:rFonts w:ascii="Times New Roman" w:hAnsi="Times New Roman"/>
      <w:caps/>
      <w:noProof/>
      <w:sz w:val="16"/>
      <w:lang w:val="en-GB" w:eastAsia="en-US"/>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9C6209"/>
    <w:rPr>
      <w:rFonts w:ascii="Times New Roman" w:hAnsi="Times New Roman"/>
      <w:sz w:val="18"/>
      <w:lang w:val="en-GB" w:eastAsia="en-US"/>
    </w:rPr>
  </w:style>
  <w:style w:type="paragraph" w:customStyle="1" w:styleId="AppendixNoTitle">
    <w:name w:val="Appendix_NoTitle"/>
    <w:basedOn w:val="AnnexNoTitle"/>
    <w:next w:val="Normalaftertitle"/>
    <w:rsid w:val="009C6209"/>
  </w:style>
  <w:style w:type="character" w:customStyle="1" w:styleId="Rectitle0">
    <w:name w:val="Rec_title Знак"/>
    <w:basedOn w:val="DefaultParagraphFont"/>
    <w:locked/>
    <w:rsid w:val="009C6209"/>
    <w:rPr>
      <w:b/>
      <w:sz w:val="28"/>
      <w:lang w:val="en-GB" w:eastAsia="en-US" w:bidi="ar-SA"/>
    </w:rPr>
  </w:style>
  <w:style w:type="character" w:customStyle="1" w:styleId="FiguretitleChar">
    <w:name w:val="Figure_title Char"/>
    <w:basedOn w:val="TabletitleChar"/>
    <w:link w:val="Figuretitle"/>
    <w:locked/>
    <w:rsid w:val="009C6209"/>
    <w:rPr>
      <w:b/>
    </w:rPr>
  </w:style>
  <w:style w:type="character" w:customStyle="1" w:styleId="FigureNoChar">
    <w:name w:val="Figure_No Char"/>
    <w:basedOn w:val="DefaultParagraphFont"/>
    <w:link w:val="FigureNo"/>
    <w:rsid w:val="009C6209"/>
    <w:rPr>
      <w:rFonts w:ascii="Times New Roman" w:hAnsi="Times New Roman"/>
      <w:caps/>
      <w:lang w:val="en-GB" w:eastAsia="en-US"/>
    </w:rPr>
  </w:style>
  <w:style w:type="paragraph" w:styleId="BodyText">
    <w:name w:val="Body Text"/>
    <w:basedOn w:val="Normal"/>
    <w:link w:val="BodyTextChar"/>
    <w:rsid w:val="009C6209"/>
    <w:pPr>
      <w:tabs>
        <w:tab w:val="clear" w:pos="1134"/>
        <w:tab w:val="clear" w:pos="1871"/>
        <w:tab w:val="clear" w:pos="2268"/>
      </w:tabs>
      <w:overflowPunct/>
      <w:autoSpaceDE/>
      <w:autoSpaceDN/>
      <w:adjustRightInd/>
      <w:spacing w:before="0" w:line="360" w:lineRule="auto"/>
      <w:jc w:val="center"/>
      <w:textAlignment w:val="auto"/>
    </w:pPr>
    <w:rPr>
      <w:b/>
      <w:bCs/>
      <w:szCs w:val="24"/>
      <w:lang w:val="ru-RU" w:eastAsia="ru-RU"/>
    </w:rPr>
  </w:style>
  <w:style w:type="character" w:customStyle="1" w:styleId="BodyTextChar">
    <w:name w:val="Body Text Char"/>
    <w:basedOn w:val="DefaultParagraphFont"/>
    <w:link w:val="BodyText"/>
    <w:rsid w:val="009C6209"/>
    <w:rPr>
      <w:rFonts w:ascii="Times New Roman" w:hAnsi="Times New Roman"/>
      <w:b/>
      <w:bCs/>
      <w:sz w:val="24"/>
      <w:szCs w:val="24"/>
      <w:lang w:val="ru-RU" w:eastAsia="ru-RU"/>
    </w:rPr>
  </w:style>
  <w:style w:type="paragraph" w:styleId="BodyTextIndent">
    <w:name w:val="Body Text Indent"/>
    <w:basedOn w:val="Normal"/>
    <w:link w:val="BodyTextIndentChar"/>
    <w:rsid w:val="009C6209"/>
    <w:pPr>
      <w:tabs>
        <w:tab w:val="clear" w:pos="1134"/>
        <w:tab w:val="clear" w:pos="1871"/>
        <w:tab w:val="clear" w:pos="2268"/>
      </w:tabs>
      <w:overflowPunct/>
      <w:autoSpaceDE/>
      <w:autoSpaceDN/>
      <w:adjustRightInd/>
      <w:spacing w:before="0"/>
      <w:ind w:firstLine="708"/>
      <w:jc w:val="both"/>
      <w:textAlignment w:val="auto"/>
    </w:pPr>
    <w:rPr>
      <w:szCs w:val="24"/>
      <w:lang w:val="en-US" w:eastAsia="ru-RU"/>
    </w:rPr>
  </w:style>
  <w:style w:type="character" w:customStyle="1" w:styleId="BodyTextIndentChar">
    <w:name w:val="Body Text Indent Char"/>
    <w:basedOn w:val="DefaultParagraphFont"/>
    <w:link w:val="BodyTextIndent"/>
    <w:rsid w:val="009C6209"/>
    <w:rPr>
      <w:rFonts w:ascii="Times New Roman" w:hAnsi="Times New Roman"/>
      <w:sz w:val="24"/>
      <w:szCs w:val="24"/>
      <w:lang w:eastAsia="ru-RU"/>
    </w:rPr>
  </w:style>
  <w:style w:type="paragraph" w:styleId="Title">
    <w:name w:val="Title"/>
    <w:basedOn w:val="Normal"/>
    <w:link w:val="TitleChar"/>
    <w:qFormat/>
    <w:rsid w:val="009C6209"/>
    <w:pPr>
      <w:tabs>
        <w:tab w:val="clear" w:pos="1134"/>
        <w:tab w:val="clear" w:pos="1871"/>
        <w:tab w:val="clear" w:pos="2268"/>
      </w:tabs>
      <w:overflowPunct/>
      <w:autoSpaceDE/>
      <w:autoSpaceDN/>
      <w:adjustRightInd/>
      <w:jc w:val="center"/>
      <w:textAlignment w:val="auto"/>
    </w:pPr>
    <w:rPr>
      <w:rFonts w:ascii="Arial" w:hAnsi="Arial"/>
      <w:b/>
      <w:bCs/>
      <w:sz w:val="22"/>
      <w:lang w:val="en-US"/>
    </w:rPr>
  </w:style>
  <w:style w:type="character" w:customStyle="1" w:styleId="TitleChar">
    <w:name w:val="Title Char"/>
    <w:basedOn w:val="DefaultParagraphFont"/>
    <w:link w:val="Title"/>
    <w:rsid w:val="009C6209"/>
    <w:rPr>
      <w:rFonts w:ascii="Arial" w:hAnsi="Arial"/>
      <w:b/>
      <w:bCs/>
      <w:sz w:val="22"/>
      <w:lang w:eastAsia="en-US"/>
    </w:rPr>
  </w:style>
  <w:style w:type="table" w:styleId="TableGrid">
    <w:name w:val="Table Grid"/>
    <w:basedOn w:val="TableNormal"/>
    <w:rsid w:val="009C620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uiPriority w:val="99"/>
    <w:rsid w:val="009C6209"/>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hAnsi="Arial"/>
      <w:i/>
      <w:iCs/>
      <w:sz w:val="22"/>
      <w:szCs w:val="22"/>
      <w:lang w:val="en-US"/>
    </w:rPr>
  </w:style>
  <w:style w:type="paragraph" w:customStyle="1" w:styleId="StyleRecNoBefore12pt">
    <w:name w:val="Style Rec_No + Before:  12 pt"/>
    <w:basedOn w:val="RecNo"/>
    <w:uiPriority w:val="99"/>
    <w:rsid w:val="009C6209"/>
    <w:pPr>
      <w:tabs>
        <w:tab w:val="clear" w:pos="1134"/>
        <w:tab w:val="clear" w:pos="1871"/>
        <w:tab w:val="clear" w:pos="2268"/>
        <w:tab w:val="left" w:pos="794"/>
        <w:tab w:val="left" w:pos="1191"/>
        <w:tab w:val="left" w:pos="1588"/>
        <w:tab w:val="left" w:pos="1985"/>
      </w:tabs>
      <w:spacing w:before="240" w:line="320" w:lineRule="exact"/>
    </w:pPr>
    <w:rPr>
      <w:rFonts w:ascii="Arial" w:hAnsi="Arial"/>
      <w:b/>
      <w:sz w:val="24"/>
      <w:szCs w:val="24"/>
      <w:lang w:val="en-US"/>
    </w:rPr>
  </w:style>
  <w:style w:type="character" w:customStyle="1" w:styleId="Style14ptBoldItalic">
    <w:name w:val="Style 14 pt Bold Italic"/>
    <w:basedOn w:val="DefaultParagraphFont"/>
    <w:uiPriority w:val="99"/>
    <w:rsid w:val="009C6209"/>
    <w:rPr>
      <w:rFonts w:ascii="Arial" w:hAnsi="Arial" w:cs="Times New Roman"/>
      <w:b/>
      <w:bCs/>
      <w:i/>
      <w:iCs/>
      <w:sz w:val="28"/>
    </w:rPr>
  </w:style>
  <w:style w:type="paragraph" w:customStyle="1" w:styleId="picture">
    <w:name w:val="picture"/>
    <w:basedOn w:val="Normal"/>
    <w:uiPriority w:val="99"/>
    <w:rsid w:val="009C6209"/>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hAnsi="Arial" w:cs="Arial"/>
      <w:sz w:val="22"/>
      <w:lang w:val="en-US"/>
    </w:rPr>
  </w:style>
  <w:style w:type="paragraph" w:customStyle="1" w:styleId="BodyTextItalic">
    <w:name w:val="Body Text Italic"/>
    <w:basedOn w:val="BodyText"/>
    <w:link w:val="BodyTextItalicChar"/>
    <w:uiPriority w:val="99"/>
    <w:rsid w:val="009C6209"/>
    <w:pPr>
      <w:spacing w:after="120" w:line="240" w:lineRule="auto"/>
      <w:ind w:firstLine="720"/>
      <w:jc w:val="both"/>
    </w:pPr>
    <w:rPr>
      <w:i/>
    </w:rPr>
  </w:style>
  <w:style w:type="character" w:customStyle="1" w:styleId="BodyTextItalicChar">
    <w:name w:val="Body Text Italic Char"/>
    <w:basedOn w:val="BodyTextChar"/>
    <w:link w:val="BodyTextItalic"/>
    <w:uiPriority w:val="99"/>
    <w:locked/>
    <w:rsid w:val="009C6209"/>
    <w:rPr>
      <w:i/>
    </w:rPr>
  </w:style>
  <w:style w:type="paragraph" w:customStyle="1" w:styleId="BodyTextNoIndent">
    <w:name w:val="Body Text No Indent"/>
    <w:basedOn w:val="BodyText"/>
    <w:uiPriority w:val="99"/>
    <w:rsid w:val="009C6209"/>
    <w:pPr>
      <w:spacing w:after="120" w:line="240" w:lineRule="auto"/>
      <w:jc w:val="both"/>
    </w:pPr>
    <w:rPr>
      <w:b w:val="0"/>
      <w:bCs w:val="0"/>
      <w:lang w:val="en-US" w:eastAsia="en-US"/>
    </w:rPr>
  </w:style>
  <w:style w:type="paragraph" w:customStyle="1" w:styleId="equation0">
    <w:name w:val="equation"/>
    <w:basedOn w:val="BodyText"/>
    <w:link w:val="equationChar0"/>
    <w:uiPriority w:val="99"/>
    <w:rsid w:val="009C6209"/>
    <w:pPr>
      <w:tabs>
        <w:tab w:val="center" w:pos="4680"/>
        <w:tab w:val="right" w:pos="9360"/>
      </w:tabs>
      <w:spacing w:before="120" w:after="120" w:line="240" w:lineRule="auto"/>
      <w:jc w:val="left"/>
    </w:pPr>
  </w:style>
  <w:style w:type="character" w:customStyle="1" w:styleId="equationChar0">
    <w:name w:val="equation Char"/>
    <w:basedOn w:val="BodyTextChar"/>
    <w:link w:val="equation0"/>
    <w:uiPriority w:val="99"/>
    <w:locked/>
    <w:rsid w:val="009C6209"/>
  </w:style>
  <w:style w:type="paragraph" w:customStyle="1" w:styleId="StyleBodyTextSymbolsymbol">
    <w:name w:val="Style Body Text + Symbol (symbol)"/>
    <w:basedOn w:val="BodyText"/>
    <w:link w:val="StyleBodyTextSymbolsymbolChar"/>
    <w:uiPriority w:val="99"/>
    <w:rsid w:val="009C6209"/>
    <w:pPr>
      <w:spacing w:after="120" w:line="240" w:lineRule="auto"/>
      <w:ind w:firstLine="720"/>
      <w:jc w:val="both"/>
    </w:pPr>
    <w:rPr>
      <w:rFonts w:ascii="Symbol" w:hAnsi="Symbol"/>
      <w:b w:val="0"/>
      <w:bCs w:val="0"/>
      <w:i/>
      <w:lang w:val="en-US" w:eastAsia="en-US"/>
    </w:rPr>
  </w:style>
  <w:style w:type="character" w:customStyle="1" w:styleId="StyleBodyTextSymbolsymbolChar">
    <w:name w:val="Style Body Text + Symbol (symbol) Char"/>
    <w:basedOn w:val="BodyTextChar"/>
    <w:link w:val="StyleBodyTextSymbolsymbol"/>
    <w:uiPriority w:val="99"/>
    <w:locked/>
    <w:rsid w:val="009C6209"/>
    <w:rPr>
      <w:rFonts w:ascii="Symbol" w:hAnsi="Symbol"/>
      <w:i/>
      <w:lang w:eastAsia="en-US"/>
    </w:rPr>
  </w:style>
  <w:style w:type="paragraph" w:customStyle="1" w:styleId="Figurecaption">
    <w:name w:val="Figure caption"/>
    <w:basedOn w:val="BodyText"/>
    <w:link w:val="FigurecaptionChar"/>
    <w:uiPriority w:val="99"/>
    <w:rsid w:val="009C6209"/>
    <w:pPr>
      <w:spacing w:before="120" w:after="240" w:line="240" w:lineRule="auto"/>
      <w:jc w:val="both"/>
    </w:pPr>
    <w:rPr>
      <w:rFonts w:ascii="Arial" w:hAnsi="Arial"/>
      <w:b w:val="0"/>
      <w:bCs w:val="0"/>
      <w:sz w:val="20"/>
      <w:lang w:val="en-US" w:eastAsia="en-US"/>
    </w:rPr>
  </w:style>
  <w:style w:type="character" w:customStyle="1" w:styleId="FigurecaptionChar">
    <w:name w:val="Figure caption Char"/>
    <w:basedOn w:val="BodyTextChar"/>
    <w:link w:val="Figurecaption"/>
    <w:uiPriority w:val="99"/>
    <w:locked/>
    <w:rsid w:val="009C6209"/>
    <w:rPr>
      <w:rFonts w:ascii="Arial" w:hAnsi="Arial"/>
      <w:lang w:eastAsia="en-US"/>
    </w:rPr>
  </w:style>
  <w:style w:type="paragraph" w:customStyle="1" w:styleId="ReferencesText">
    <w:name w:val="References Text"/>
    <w:basedOn w:val="BodyText"/>
    <w:uiPriority w:val="99"/>
    <w:rsid w:val="009C6209"/>
    <w:pPr>
      <w:tabs>
        <w:tab w:val="left" w:pos="720"/>
      </w:tabs>
      <w:spacing w:line="240" w:lineRule="auto"/>
      <w:ind w:left="720" w:hanging="720"/>
      <w:jc w:val="both"/>
    </w:pPr>
    <w:rPr>
      <w:b w:val="0"/>
      <w:bCs w:val="0"/>
      <w:lang w:val="en-US" w:eastAsia="en-US"/>
    </w:rPr>
  </w:style>
  <w:style w:type="paragraph" w:customStyle="1" w:styleId="equationArial">
    <w:name w:val="equation + Arial"/>
    <w:aliases w:val="Centered"/>
    <w:basedOn w:val="equation0"/>
    <w:uiPriority w:val="99"/>
    <w:rsid w:val="009C6209"/>
    <w:pPr>
      <w:jc w:val="center"/>
    </w:pPr>
    <w:rPr>
      <w:rFonts w:ascii="Arial" w:hAnsi="Arial" w:cs="Arial"/>
    </w:rPr>
  </w:style>
  <w:style w:type="paragraph" w:styleId="CommentText">
    <w:name w:val="annotation text"/>
    <w:basedOn w:val="Normal"/>
    <w:link w:val="CommentTextChar"/>
    <w:rsid w:val="009C6209"/>
    <w:pPr>
      <w:tabs>
        <w:tab w:val="clear" w:pos="1134"/>
        <w:tab w:val="clear" w:pos="1871"/>
        <w:tab w:val="clear" w:pos="2268"/>
      </w:tabs>
      <w:overflowPunct/>
      <w:autoSpaceDE/>
      <w:autoSpaceDN/>
      <w:adjustRightInd/>
      <w:jc w:val="both"/>
      <w:textAlignment w:val="auto"/>
    </w:pPr>
    <w:rPr>
      <w:rFonts w:ascii="Arial" w:hAnsi="Arial"/>
      <w:sz w:val="20"/>
      <w:lang w:val="en-US"/>
    </w:rPr>
  </w:style>
  <w:style w:type="character" w:customStyle="1" w:styleId="CommentTextChar">
    <w:name w:val="Comment Text Char"/>
    <w:basedOn w:val="DefaultParagraphFont"/>
    <w:link w:val="CommentText"/>
    <w:rsid w:val="009C6209"/>
    <w:rPr>
      <w:rFonts w:ascii="Arial" w:hAnsi="Arial"/>
      <w:lang w:eastAsia="en-US"/>
    </w:rPr>
  </w:style>
  <w:style w:type="paragraph" w:styleId="BalloonText">
    <w:name w:val="Balloon Text"/>
    <w:basedOn w:val="Normal"/>
    <w:link w:val="BalloonTextChar"/>
    <w:unhideWhenUsed/>
    <w:rsid w:val="009C6209"/>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BalloonTextChar">
    <w:name w:val="Balloon Text Char"/>
    <w:basedOn w:val="DefaultParagraphFont"/>
    <w:link w:val="BalloonText"/>
    <w:rsid w:val="009C6209"/>
    <w:rPr>
      <w:rFonts w:ascii="Tahoma" w:hAnsi="Tahoma" w:cs="Tahoma"/>
      <w:sz w:val="16"/>
      <w:szCs w:val="16"/>
      <w:lang w:val="en-GB" w:eastAsia="en-US"/>
    </w:rPr>
  </w:style>
  <w:style w:type="paragraph" w:customStyle="1" w:styleId="RecTitleDate">
    <w:name w:val="Rec_Title/Date"/>
    <w:basedOn w:val="Normal"/>
    <w:next w:val="Normal"/>
    <w:rsid w:val="009C6209"/>
    <w:pPr>
      <w:keepNext/>
      <w:keepLines/>
      <w:tabs>
        <w:tab w:val="clear" w:pos="1134"/>
        <w:tab w:val="clear" w:pos="1871"/>
        <w:tab w:val="clear" w:pos="2268"/>
        <w:tab w:val="right" w:pos="9696"/>
      </w:tabs>
      <w:spacing w:before="136"/>
      <w:jc w:val="right"/>
    </w:pPr>
    <w:rPr>
      <w:rFonts w:eastAsia="MS Mincho"/>
      <w:sz w:val="20"/>
    </w:rPr>
  </w:style>
  <w:style w:type="paragraph" w:customStyle="1" w:styleId="Tablefin">
    <w:name w:val="Table_fin"/>
    <w:basedOn w:val="Normal"/>
    <w:next w:val="Normal"/>
    <w:rsid w:val="009C6209"/>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9C6209"/>
    <w:pPr>
      <w:tabs>
        <w:tab w:val="clear" w:pos="1134"/>
        <w:tab w:val="clear" w:pos="1871"/>
        <w:tab w:val="clear" w:pos="2268"/>
        <w:tab w:val="left" w:pos="2693"/>
        <w:tab w:val="left" w:pos="8789"/>
        <w:tab w:val="right" w:pos="9639"/>
      </w:tabs>
      <w:ind w:left="2693" w:hanging="2693"/>
      <w:jc w:val="both"/>
    </w:pPr>
  </w:style>
  <w:style w:type="paragraph" w:customStyle="1" w:styleId="Blanc">
    <w:name w:val="Blanc"/>
    <w:basedOn w:val="Normal"/>
    <w:next w:val="Tabletext"/>
    <w:rsid w:val="009C6209"/>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9C620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6209"/>
    <w:pPr>
      <w:tabs>
        <w:tab w:val="clear" w:pos="1134"/>
        <w:tab w:val="clear" w:pos="1871"/>
        <w:tab w:val="clear" w:pos="2268"/>
        <w:tab w:val="left" w:pos="2693"/>
        <w:tab w:val="left" w:leader="dot" w:pos="8789"/>
        <w:tab w:val="right" w:pos="9639"/>
      </w:tabs>
      <w:ind w:left="2693" w:right="964" w:hanging="2693"/>
      <w:jc w:val="both"/>
    </w:pPr>
  </w:style>
  <w:style w:type="character" w:customStyle="1" w:styleId="AnnexNotitleChar0">
    <w:name w:val="Annex_No &amp; title Char"/>
    <w:basedOn w:val="DefaultParagraphFont"/>
    <w:link w:val="AnnexNotitle0"/>
    <w:rsid w:val="009C6209"/>
    <w:rPr>
      <w:rFonts w:ascii="Times New Roman" w:eastAsia="MS Mincho" w:hAnsi="Times New Roman"/>
      <w:b/>
      <w:sz w:val="28"/>
      <w:lang w:val="en-GB" w:eastAsia="en-US"/>
    </w:rPr>
  </w:style>
  <w:style w:type="character" w:styleId="FollowedHyperlink">
    <w:name w:val="FollowedHyperlink"/>
    <w:basedOn w:val="DefaultParagraphFont"/>
    <w:rsid w:val="009C6209"/>
    <w:rPr>
      <w:color w:val="800080"/>
      <w:u w:val="single"/>
    </w:rPr>
  </w:style>
  <w:style w:type="character" w:customStyle="1" w:styleId="footeroddChar">
    <w:name w:val="footer odd Char"/>
    <w:aliases w:val="footer Char,pie de página Char,fo Char Char"/>
    <w:basedOn w:val="DefaultParagraphFont"/>
    <w:rsid w:val="009C6209"/>
    <w:rPr>
      <w:caps/>
      <w:noProof/>
      <w:sz w:val="16"/>
      <w:lang w:val="en-GB" w:eastAsia="en-US" w:bidi="ar-SA"/>
    </w:rPr>
  </w:style>
  <w:style w:type="paragraph" w:styleId="Subtitle">
    <w:name w:val="Subtitle"/>
    <w:basedOn w:val="Normal"/>
    <w:link w:val="SubtitleChar"/>
    <w:qFormat/>
    <w:rsid w:val="00964148"/>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964148"/>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964148"/>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964148"/>
  </w:style>
  <w:style w:type="paragraph" w:customStyle="1" w:styleId="Tableau">
    <w:name w:val="Tableau"/>
    <w:basedOn w:val="Normal"/>
    <w:rsid w:val="00964148"/>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964148"/>
    <w:rPr>
      <w:b/>
      <w:sz w:val="24"/>
      <w:lang w:val="en-GB" w:eastAsia="en-US" w:bidi="ar-SA"/>
    </w:rPr>
  </w:style>
  <w:style w:type="character" w:customStyle="1" w:styleId="EquationChar">
    <w:name w:val="Equation Char"/>
    <w:basedOn w:val="DefaultParagraphFont"/>
    <w:link w:val="Equation"/>
    <w:rsid w:val="00964148"/>
    <w:rPr>
      <w:rFonts w:ascii="Times New Roman" w:hAnsi="Times New Roman"/>
      <w:sz w:val="24"/>
      <w:lang w:val="en-GB" w:eastAsia="en-US"/>
    </w:rPr>
  </w:style>
  <w:style w:type="paragraph" w:styleId="ListParagraph">
    <w:name w:val="List Paragraph"/>
    <w:basedOn w:val="Normal"/>
    <w:link w:val="ListParagraphChar"/>
    <w:qFormat/>
    <w:rsid w:val="0096414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HeadingbChar">
    <w:name w:val="Heading_b Char"/>
    <w:basedOn w:val="DefaultParagraphFont"/>
    <w:link w:val="Headingb"/>
    <w:locked/>
    <w:rsid w:val="00964148"/>
    <w:rPr>
      <w:rFonts w:ascii="Times" w:hAnsi="Times"/>
      <w:b/>
      <w:sz w:val="24"/>
      <w:lang w:val="en-GB" w:eastAsia="en-US"/>
    </w:rPr>
  </w:style>
  <w:style w:type="character" w:customStyle="1" w:styleId="ListParagraphChar">
    <w:name w:val="List Paragraph Char"/>
    <w:basedOn w:val="DefaultParagraphFont"/>
    <w:link w:val="ListParagraph"/>
    <w:rsid w:val="00964148"/>
    <w:rPr>
      <w:rFonts w:ascii="Calibri" w:eastAsia="Calibri" w:hAnsi="Calibri"/>
      <w:sz w:val="22"/>
      <w:szCs w:val="22"/>
      <w:lang w:eastAsia="en-US"/>
    </w:rPr>
  </w:style>
  <w:style w:type="character" w:customStyle="1" w:styleId="Title1Char">
    <w:name w:val="Title 1 Char"/>
    <w:basedOn w:val="DefaultParagraphFont"/>
    <w:link w:val="Title1"/>
    <w:rsid w:val="00964148"/>
    <w:rPr>
      <w:rFonts w:ascii="Times New Roman" w:hAnsi="Times New Roman"/>
      <w:caps/>
      <w:sz w:val="28"/>
      <w:lang w:val="en-GB" w:eastAsia="en-US"/>
    </w:rPr>
  </w:style>
  <w:style w:type="character" w:customStyle="1" w:styleId="FootnoteCharacters">
    <w:name w:val="Footnote Characters"/>
    <w:basedOn w:val="DefaultParagraphFont"/>
    <w:rsid w:val="00964148"/>
    <w:rPr>
      <w:position w:val="5"/>
      <w:sz w:val="18"/>
    </w:rPr>
  </w:style>
  <w:style w:type="character" w:customStyle="1" w:styleId="WW-FootnoteCharacters">
    <w:name w:val="WW-Footnote Characters"/>
    <w:basedOn w:val="DefaultParagraphFont"/>
    <w:rsid w:val="00964148"/>
    <w:rPr>
      <w:position w:val="2"/>
      <w:sz w:val="18"/>
    </w:rPr>
  </w:style>
  <w:style w:type="character" w:customStyle="1" w:styleId="TablelegendChar">
    <w:name w:val="Table_legend Char"/>
    <w:basedOn w:val="TabletextChar"/>
    <w:link w:val="Tablelegend"/>
    <w:rsid w:val="00964148"/>
  </w:style>
  <w:style w:type="character" w:customStyle="1" w:styleId="NoteChar">
    <w:name w:val="Note Char"/>
    <w:basedOn w:val="DefaultParagraphFont"/>
    <w:link w:val="Note"/>
    <w:rsid w:val="00964148"/>
    <w:rPr>
      <w:rFonts w:ascii="Times New Roman" w:hAnsi="Times New Roman"/>
      <w:sz w:val="24"/>
      <w:lang w:val="en-GB" w:eastAsia="en-US"/>
    </w:rPr>
  </w:style>
  <w:style w:type="paragraph" w:customStyle="1" w:styleId="Note95pt">
    <w:name w:val="Note + 9.5 pt"/>
    <w:basedOn w:val="Normal"/>
    <w:link w:val="Note95ptCharChar"/>
    <w:rsid w:val="00964148"/>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964148"/>
    <w:rPr>
      <w:rFonts w:ascii="Times New Roman" w:eastAsia="SimSun" w:hAnsi="Times New Roman"/>
      <w:sz w:val="19"/>
      <w:szCs w:val="19"/>
      <w:lang w:val="ru-RU" w:eastAsia="ru-RU"/>
    </w:rPr>
  </w:style>
  <w:style w:type="character" w:styleId="Strong">
    <w:name w:val="Strong"/>
    <w:basedOn w:val="DefaultParagraphFont"/>
    <w:qFormat/>
    <w:rsid w:val="00964148"/>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964148"/>
    <w:rPr>
      <w:b/>
      <w:sz w:val="24"/>
      <w:lang w:val="en-GB" w:eastAsia="en-US" w:bidi="ar-SA"/>
    </w:rPr>
  </w:style>
  <w:style w:type="character" w:customStyle="1" w:styleId="SourceChar">
    <w:name w:val="Source Char"/>
    <w:basedOn w:val="DefaultParagraphFont"/>
    <w:link w:val="Source"/>
    <w:locked/>
    <w:rsid w:val="00964148"/>
    <w:rPr>
      <w:rFonts w:ascii="Times New Roman" w:hAnsi="Times New Roman"/>
      <w:b/>
      <w:sz w:val="28"/>
      <w:lang w:val="en-GB" w:eastAsia="en-US"/>
    </w:rPr>
  </w:style>
  <w:style w:type="paragraph" w:customStyle="1" w:styleId="1Para">
    <w:name w:val="1Para"/>
    <w:basedOn w:val="Normal"/>
    <w:rsid w:val="00964148"/>
    <w:pPr>
      <w:numPr>
        <w:ilvl w:val="8"/>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rsid w:val="00964148"/>
    <w:pPr>
      <w:numPr>
        <w:ilvl w:val="1"/>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964148"/>
    <w:pPr>
      <w:numPr>
        <w:ilvl w:val="2"/>
        <w:numId w:val="7"/>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964148"/>
    <w:pPr>
      <w:numPr>
        <w:ilvl w:val="3"/>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964148"/>
    <w:pPr>
      <w:numPr>
        <w:ilvl w:val="4"/>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964148"/>
    <w:pPr>
      <w:numPr>
        <w:ilvl w:val="5"/>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964148"/>
    <w:pPr>
      <w:numPr>
        <w:ilvl w:val="6"/>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964148"/>
    <w:pPr>
      <w:numPr>
        <w:ilvl w:val="7"/>
        <w:numId w:val="7"/>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1Heading">
    <w:name w:val="1Heading"/>
    <w:basedOn w:val="TOC1"/>
    <w:next w:val="2Para"/>
    <w:rsid w:val="00964148"/>
    <w:pPr>
      <w:keepLines w:val="0"/>
      <w:numPr>
        <w:numId w:val="7"/>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CharChar9">
    <w:name w:val="Char Char9"/>
    <w:basedOn w:val="DefaultParagraphFont"/>
    <w:locked/>
    <w:rsid w:val="00964148"/>
    <w:rPr>
      <w:b/>
      <w:sz w:val="24"/>
      <w:lang w:val="en-GB" w:eastAsia="en-US" w:bidi="ar-SA"/>
    </w:rPr>
  </w:style>
  <w:style w:type="paragraph" w:customStyle="1" w:styleId="TableText0">
    <w:name w:val="Table_Text"/>
    <w:basedOn w:val="Normal"/>
    <w:rsid w:val="00964148"/>
    <w:pPr>
      <w:keepNext/>
      <w:tabs>
        <w:tab w:val="clear" w:pos="1134"/>
        <w:tab w:val="clear" w:pos="1871"/>
        <w:tab w:val="clear" w:pos="2268"/>
        <w:tab w:val="left" w:pos="794"/>
        <w:tab w:val="left" w:pos="1191"/>
        <w:tab w:val="left" w:pos="1588"/>
        <w:tab w:val="left" w:pos="1985"/>
      </w:tabs>
      <w:spacing w:before="100" w:after="100" w:line="190" w:lineRule="exact"/>
      <w:jc w:val="both"/>
    </w:pPr>
    <w:rPr>
      <w:sz w:val="18"/>
    </w:rPr>
  </w:style>
  <w:style w:type="paragraph" w:customStyle="1" w:styleId="Dots">
    <w:name w:val="Dots"/>
    <w:basedOn w:val="Normal"/>
    <w:rsid w:val="00964148"/>
    <w:pPr>
      <w:numPr>
        <w:numId w:val="8"/>
      </w:numPr>
      <w:tabs>
        <w:tab w:val="clear" w:pos="1134"/>
        <w:tab w:val="clear" w:pos="1871"/>
        <w:tab w:val="clear" w:pos="2268"/>
      </w:tabs>
      <w:overflowPunct/>
      <w:spacing w:before="0" w:line="480" w:lineRule="auto"/>
      <w:jc w:val="both"/>
      <w:textAlignment w:val="auto"/>
    </w:pPr>
    <w:rPr>
      <w:sz w:val="22"/>
      <w:szCs w:val="24"/>
    </w:rPr>
  </w:style>
  <w:style w:type="paragraph" w:customStyle="1" w:styleId="TableTitle1">
    <w:name w:val="Table_Title"/>
    <w:basedOn w:val="Normal"/>
    <w:next w:val="TableText0"/>
    <w:rsid w:val="00964148"/>
    <w:pPr>
      <w:keepNext/>
      <w:keepLines/>
      <w:tabs>
        <w:tab w:val="clear" w:pos="1134"/>
        <w:tab w:val="clear" w:pos="1871"/>
        <w:tab w:val="clear" w:pos="2268"/>
        <w:tab w:val="left" w:pos="794"/>
        <w:tab w:val="left" w:pos="1191"/>
        <w:tab w:val="left" w:pos="1588"/>
        <w:tab w:val="left" w:pos="1985"/>
      </w:tabs>
      <w:spacing w:before="0" w:after="120"/>
      <w:jc w:val="center"/>
    </w:pPr>
    <w:rPr>
      <w:b/>
      <w:bCs/>
      <w:szCs w:val="24"/>
    </w:rPr>
  </w:style>
  <w:style w:type="paragraph" w:customStyle="1" w:styleId="TableHead0">
    <w:name w:val="Table_Head"/>
    <w:basedOn w:val="TableText0"/>
    <w:rsid w:val="0096414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bCs/>
      <w:sz w:val="22"/>
      <w:szCs w:val="22"/>
    </w:rPr>
  </w:style>
  <w:style w:type="paragraph" w:customStyle="1" w:styleId="Pagedocumentaire">
    <w:name w:val="Page documentaire"/>
    <w:basedOn w:val="Normal"/>
    <w:rsid w:val="00964148"/>
    <w:pPr>
      <w:tabs>
        <w:tab w:val="clear" w:pos="1134"/>
        <w:tab w:val="clear" w:pos="1871"/>
        <w:tab w:val="clear" w:pos="2268"/>
        <w:tab w:val="center" w:pos="567"/>
      </w:tabs>
      <w:overflowPunct/>
      <w:autoSpaceDE/>
      <w:autoSpaceDN/>
      <w:adjustRightInd/>
      <w:spacing w:before="60"/>
      <w:textAlignment w:val="auto"/>
    </w:pPr>
    <w:rPr>
      <w:rFonts w:ascii="FuturaA Bk BT" w:hAnsi="FuturaA Bk BT"/>
      <w:lang w:val="en-US" w:eastAsia="fr-FR"/>
    </w:rPr>
  </w:style>
  <w:style w:type="paragraph" w:customStyle="1" w:styleId="CharCharChar">
    <w:name w:val="Char Char Ch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character" w:customStyle="1" w:styleId="Artref0">
    <w:name w:val="Art#_ref"/>
    <w:basedOn w:val="DefaultParagraphFont"/>
    <w:rsid w:val="00964148"/>
    <w:rPr>
      <w:rFonts w:cs="Times New Roman"/>
    </w:rPr>
  </w:style>
  <w:style w:type="character" w:customStyle="1" w:styleId="AnnexNotitle1">
    <w:name w:val="Annex_No &amp; title Знак"/>
    <w:basedOn w:val="DefaultParagraphFont"/>
    <w:locked/>
    <w:rsid w:val="00964148"/>
    <w:rPr>
      <w:rFonts w:eastAsia="MS Mincho"/>
      <w:b/>
      <w:bCs/>
      <w:sz w:val="28"/>
      <w:szCs w:val="28"/>
      <w:lang w:val="en-GB" w:eastAsia="en-US" w:bidi="ar-SA"/>
    </w:rPr>
  </w:style>
  <w:style w:type="character" w:customStyle="1" w:styleId="enumlev10">
    <w:name w:val="enumlev1 Знак"/>
    <w:basedOn w:val="DefaultParagraphFont"/>
    <w:locked/>
    <w:rsid w:val="00964148"/>
    <w:rPr>
      <w:sz w:val="24"/>
      <w:lang w:val="en-GB" w:eastAsia="en-US" w:bidi="ar-SA"/>
    </w:rPr>
  </w:style>
  <w:style w:type="paragraph" w:customStyle="1" w:styleId="Car3">
    <w:name w:val="Car3"/>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8">
    <w:name w:val="Char Char8"/>
    <w:basedOn w:val="DefaultParagraphFont"/>
    <w:rsid w:val="00964148"/>
    <w:rPr>
      <w:b/>
      <w:sz w:val="24"/>
      <w:lang w:val="en-GB" w:eastAsia="en-US" w:bidi="ar-SA"/>
    </w:rPr>
  </w:style>
  <w:style w:type="paragraph" w:styleId="Caption">
    <w:name w:val="caption"/>
    <w:basedOn w:val="BodyText"/>
    <w:next w:val="BodyText"/>
    <w:autoRedefine/>
    <w:qFormat/>
    <w:rsid w:val="00964148"/>
    <w:pPr>
      <w:keepNext/>
      <w:spacing w:after="200" w:line="240" w:lineRule="auto"/>
    </w:pPr>
    <w:rPr>
      <w:rFonts w:ascii="Cambria" w:hAnsi="Cambria"/>
      <w:bCs w:val="0"/>
      <w:sz w:val="22"/>
      <w:szCs w:val="18"/>
      <w:lang w:val="en-US" w:eastAsia="en-US"/>
    </w:rPr>
  </w:style>
  <w:style w:type="character" w:customStyle="1" w:styleId="AnnexNoTitle2">
    <w:name w:val="Annex_NoTitle Знак"/>
    <w:basedOn w:val="DefaultParagraphFont"/>
    <w:locked/>
    <w:rsid w:val="00964148"/>
    <w:rPr>
      <w:b/>
      <w:sz w:val="28"/>
      <w:lang w:val="en-GB" w:eastAsia="en-US" w:bidi="ar-SA"/>
    </w:rPr>
  </w:style>
  <w:style w:type="character" w:customStyle="1" w:styleId="RestitleChar">
    <w:name w:val="Res_title Char"/>
    <w:basedOn w:val="DefaultParagraphFont"/>
    <w:link w:val="Restitle"/>
    <w:rsid w:val="00964148"/>
    <w:rPr>
      <w:rFonts w:ascii="Times New Roman Bold" w:hAnsi="Times New Roman Bold"/>
      <w:b/>
      <w:sz w:val="28"/>
      <w:lang w:val="en-GB" w:eastAsia="en-US"/>
    </w:rPr>
  </w:style>
  <w:style w:type="character" w:customStyle="1" w:styleId="ResNoChar">
    <w:name w:val="Res_No Char"/>
    <w:basedOn w:val="DefaultParagraphFont"/>
    <w:link w:val="ResNo"/>
    <w:rsid w:val="00964148"/>
    <w:rPr>
      <w:rFonts w:ascii="Times New Roman" w:hAnsi="Times New Roman"/>
      <w:caps/>
      <w:sz w:val="28"/>
      <w:lang w:val="en-GB" w:eastAsia="en-US"/>
    </w:rPr>
  </w:style>
  <w:style w:type="paragraph" w:styleId="NormalWeb">
    <w:name w:val="Normal (Web)"/>
    <w:basedOn w:val="Normal"/>
    <w:rsid w:val="00964148"/>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fr-FR" w:eastAsia="fr-FR"/>
    </w:rPr>
  </w:style>
  <w:style w:type="paragraph" w:customStyle="1" w:styleId="Car1">
    <w:name w:val="Car1"/>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character" w:customStyle="1" w:styleId="NormalaftertitleChar0">
    <w:name w:val="Normal after title Char"/>
    <w:basedOn w:val="DefaultParagraphFont"/>
    <w:link w:val="Normalaftertitle0"/>
    <w:rsid w:val="00964148"/>
    <w:rPr>
      <w:rFonts w:ascii="Times New Roman" w:hAnsi="Times New Roman"/>
      <w:sz w:val="24"/>
      <w:lang w:val="en-GB" w:eastAsia="en-US"/>
    </w:rPr>
  </w:style>
  <w:style w:type="character" w:customStyle="1" w:styleId="AnnexNoCar">
    <w:name w:val="Annex_No Car"/>
    <w:basedOn w:val="DefaultParagraphFont"/>
    <w:link w:val="AnnexNo"/>
    <w:rsid w:val="00964148"/>
    <w:rPr>
      <w:rFonts w:ascii="Times New Roman" w:hAnsi="Times New Roman"/>
      <w:caps/>
      <w:sz w:val="28"/>
      <w:lang w:val="en-GB" w:eastAsia="en-US"/>
    </w:rPr>
  </w:style>
  <w:style w:type="paragraph" w:customStyle="1" w:styleId="CarCharCharCarCarCharCharCar">
    <w:name w:val="Car Char Char Знак Знак Car Знак Знак Car Char Char Car"/>
    <w:basedOn w:val="Normal"/>
    <w:rsid w:val="0096414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styleId="CommentSubject">
    <w:name w:val="annotation subject"/>
    <w:basedOn w:val="CommentText"/>
    <w:next w:val="CommentText"/>
    <w:link w:val="CommentSubjectChar"/>
    <w:rsid w:val="00964148"/>
    <w:pPr>
      <w:tabs>
        <w:tab w:val="left" w:pos="794"/>
        <w:tab w:val="left" w:pos="1191"/>
        <w:tab w:val="left" w:pos="1588"/>
        <w:tab w:val="left" w:pos="1985"/>
      </w:tabs>
      <w:overflowPunct w:val="0"/>
      <w:autoSpaceDE w:val="0"/>
      <w:autoSpaceDN w:val="0"/>
      <w:adjustRightInd w:val="0"/>
      <w:jc w:val="left"/>
      <w:textAlignment w:val="baseline"/>
    </w:pPr>
    <w:rPr>
      <w:rFonts w:ascii="Times New Roman" w:hAnsi="Times New Roman"/>
      <w:b/>
      <w:bCs/>
      <w:lang w:val="en-GB"/>
    </w:rPr>
  </w:style>
  <w:style w:type="character" w:customStyle="1" w:styleId="CommentSubjectChar">
    <w:name w:val="Comment Subject Char"/>
    <w:basedOn w:val="CommentTextChar"/>
    <w:link w:val="CommentSubject"/>
    <w:rsid w:val="00964148"/>
    <w:rPr>
      <w:rFonts w:ascii="Times New Roman" w:hAnsi="Times New Roman"/>
      <w:b/>
      <w:bCs/>
      <w:lang w:val="en-GB"/>
    </w:rPr>
  </w:style>
  <w:style w:type="paragraph" w:customStyle="1" w:styleId="graphic">
    <w:name w:val="graphic"/>
    <w:basedOn w:val="BodyText"/>
    <w:autoRedefine/>
    <w:qFormat/>
    <w:rsid w:val="00964148"/>
    <w:pPr>
      <w:keepNext/>
      <w:spacing w:after="100" w:line="240" w:lineRule="auto"/>
      <w:ind w:left="-2"/>
    </w:pPr>
    <w:rPr>
      <w:b w:val="0"/>
      <w:bCs w:val="0"/>
      <w:i/>
      <w:lang w:val="en-US" w:eastAsia="en-US"/>
    </w:rPr>
  </w:style>
  <w:style w:type="paragraph" w:customStyle="1" w:styleId="ListParagraph1">
    <w:name w:val="List Paragraph1"/>
    <w:basedOn w:val="Normal"/>
    <w:qFormat/>
    <w:rsid w:val="00964148"/>
    <w:pPr>
      <w:tabs>
        <w:tab w:val="clear" w:pos="1134"/>
        <w:tab w:val="clear" w:pos="1871"/>
        <w:tab w:val="clear" w:pos="2268"/>
      </w:tabs>
      <w:overflowPunct/>
      <w:autoSpaceDE/>
      <w:autoSpaceDN/>
      <w:adjustRightInd/>
      <w:spacing w:before="0"/>
      <w:ind w:left="720"/>
      <w:textAlignment w:val="auto"/>
    </w:pPr>
    <w:rPr>
      <w:szCs w:val="22"/>
      <w:lang w:val="en-US"/>
    </w:rPr>
  </w:style>
  <w:style w:type="paragraph" w:customStyle="1" w:styleId="Note123">
    <w:name w:val="Note_1_2_3"/>
    <w:rsid w:val="00964148"/>
    <w:pPr>
      <w:tabs>
        <w:tab w:val="num" w:pos="1068"/>
      </w:tabs>
      <w:spacing w:after="260"/>
      <w:ind w:left="1068" w:hanging="708"/>
      <w:jc w:val="both"/>
    </w:pPr>
    <w:rPr>
      <w:rFonts w:ascii="Times New Roman" w:hAnsi="Times New Roman"/>
      <w:i/>
      <w:sz w:val="22"/>
      <w:szCs w:val="24"/>
      <w:lang w:val="en-GB" w:eastAsia="en-US"/>
    </w:rPr>
  </w:style>
  <w:style w:type="paragraph" w:customStyle="1" w:styleId="Listabc">
    <w:name w:val="List_a_b_c"/>
    <w:basedOn w:val="Normal"/>
    <w:rsid w:val="00964148"/>
    <w:pPr>
      <w:tabs>
        <w:tab w:val="clear" w:pos="1134"/>
        <w:tab w:val="clear" w:pos="1871"/>
        <w:tab w:val="clear" w:pos="2268"/>
        <w:tab w:val="left" w:pos="360"/>
        <w:tab w:val="num" w:pos="720"/>
      </w:tabs>
      <w:overflowPunct/>
      <w:spacing w:before="260" w:after="260"/>
      <w:ind w:left="1800" w:hanging="360"/>
      <w:jc w:val="both"/>
      <w:textAlignment w:val="auto"/>
    </w:pPr>
    <w:rPr>
      <w:sz w:val="22"/>
      <w:szCs w:val="24"/>
    </w:rPr>
  </w:style>
  <w:style w:type="paragraph" w:customStyle="1" w:styleId="X">
    <w:name w:val="X"/>
    <w:basedOn w:val="Normal"/>
    <w:rsid w:val="00964148"/>
    <w:pPr>
      <w:tabs>
        <w:tab w:val="clear" w:pos="1134"/>
        <w:tab w:val="clear" w:pos="1871"/>
        <w:tab w:val="clear" w:pos="2268"/>
        <w:tab w:val="num" w:pos="1176"/>
      </w:tabs>
      <w:overflowPunct/>
      <w:spacing w:before="0"/>
      <w:ind w:left="1176" w:hanging="360"/>
      <w:jc w:val="both"/>
      <w:textAlignment w:val="auto"/>
    </w:pPr>
    <w:rPr>
      <w:sz w:val="22"/>
      <w:szCs w:val="24"/>
      <w:lang w:val="en-US"/>
    </w:rPr>
  </w:style>
  <w:style w:type="paragraph" w:customStyle="1" w:styleId="RefPrincipal">
    <w:name w:val="RefPrincipal"/>
    <w:basedOn w:val="Normal"/>
    <w:rsid w:val="00964148"/>
    <w:pPr>
      <w:widowControl w:val="0"/>
      <w:tabs>
        <w:tab w:val="clear" w:pos="1134"/>
        <w:tab w:val="clear" w:pos="1871"/>
        <w:tab w:val="clear" w:pos="2268"/>
        <w:tab w:val="num" w:pos="1068"/>
      </w:tabs>
      <w:overflowPunct/>
      <w:spacing w:before="0"/>
      <w:ind w:left="1068" w:hanging="372"/>
      <w:textAlignment w:val="auto"/>
    </w:pPr>
    <w:rPr>
      <w:sz w:val="22"/>
      <w:szCs w:val="24"/>
    </w:rPr>
  </w:style>
  <w:style w:type="paragraph" w:customStyle="1" w:styleId="ListV">
    <w:name w:val="List_V"/>
    <w:basedOn w:val="Normal"/>
    <w:rsid w:val="00964148"/>
    <w:pPr>
      <w:tabs>
        <w:tab w:val="clear" w:pos="1134"/>
        <w:tab w:val="clear" w:pos="1871"/>
        <w:tab w:val="clear" w:pos="2268"/>
        <w:tab w:val="num" w:pos="720"/>
      </w:tabs>
      <w:overflowPunct/>
      <w:spacing w:before="0"/>
      <w:ind w:left="720" w:hanging="360"/>
      <w:jc w:val="both"/>
      <w:textAlignment w:val="auto"/>
    </w:pPr>
    <w:rPr>
      <w:sz w:val="22"/>
      <w:szCs w:val="24"/>
    </w:rPr>
  </w:style>
  <w:style w:type="paragraph" w:customStyle="1" w:styleId="FigureTitle0">
    <w:name w:val="Figure_Title"/>
    <w:basedOn w:val="Normal"/>
    <w:next w:val="Normal"/>
    <w:link w:val="FigureTitleChar0"/>
    <w:rsid w:val="00964148"/>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964148"/>
    <w:rPr>
      <w:rFonts w:ascii="Century" w:eastAsia="MS Mincho" w:hAnsi="Century"/>
      <w:b/>
      <w:kern w:val="2"/>
      <w:sz w:val="24"/>
      <w:szCs w:val="24"/>
      <w:lang w:val="en-GB" w:eastAsia="en-US"/>
    </w:rPr>
  </w:style>
  <w:style w:type="character" w:styleId="Emphasis">
    <w:name w:val="Emphasis"/>
    <w:basedOn w:val="DefaultParagraphFont"/>
    <w:qFormat/>
    <w:rsid w:val="00964148"/>
    <w:rPr>
      <w:rFonts w:cs="Times New Roman"/>
      <w:i/>
      <w:iCs/>
    </w:rPr>
  </w:style>
  <w:style w:type="paragraph" w:customStyle="1" w:styleId="Style1">
    <w:name w:val="Style1"/>
    <w:basedOn w:val="Normal"/>
    <w:rsid w:val="00964148"/>
    <w:pPr>
      <w:widowControl w:val="0"/>
      <w:tabs>
        <w:tab w:val="clear" w:pos="1134"/>
        <w:tab w:val="clear" w:pos="1871"/>
        <w:tab w:val="clear" w:pos="2268"/>
        <w:tab w:val="num" w:pos="720"/>
      </w:tabs>
      <w:overflowPunct/>
      <w:spacing w:before="0"/>
      <w:ind w:left="720" w:hanging="360"/>
      <w:textAlignment w:val="auto"/>
    </w:pPr>
    <w:rPr>
      <w:rFonts w:eastAsia="MS Mincho"/>
      <w:sz w:val="22"/>
      <w:szCs w:val="24"/>
    </w:rPr>
  </w:style>
  <w:style w:type="paragraph" w:customStyle="1" w:styleId="Comment">
    <w:name w:val="Comment"/>
    <w:basedOn w:val="Normal"/>
    <w:link w:val="CommentChar"/>
    <w:qFormat/>
    <w:rsid w:val="00964148"/>
    <w:pPr>
      <w:numPr>
        <w:numId w:val="10"/>
      </w:numPr>
      <w:tabs>
        <w:tab w:val="clear" w:pos="1134"/>
        <w:tab w:val="clear" w:pos="1871"/>
        <w:tab w:val="clear" w:pos="2268"/>
      </w:tabs>
    </w:pPr>
  </w:style>
  <w:style w:type="character" w:customStyle="1" w:styleId="CommentChar">
    <w:name w:val="Comment Char"/>
    <w:basedOn w:val="DefaultParagraphFont"/>
    <w:link w:val="Comment"/>
    <w:rsid w:val="00964148"/>
    <w:rPr>
      <w:rFonts w:ascii="Times New Roman" w:hAnsi="Times New Roman"/>
      <w:sz w:val="24"/>
      <w:lang w:val="en-GB" w:eastAsia="en-US"/>
    </w:rPr>
  </w:style>
  <w:style w:type="paragraph" w:customStyle="1" w:styleId="Courant">
    <w:name w:val="Courant"/>
    <w:basedOn w:val="Normal"/>
    <w:rsid w:val="00964148"/>
    <w:pPr>
      <w:tabs>
        <w:tab w:val="clear" w:pos="1134"/>
        <w:tab w:val="clear" w:pos="1871"/>
        <w:tab w:val="clear" w:pos="2268"/>
      </w:tabs>
      <w:overflowPunct/>
      <w:autoSpaceDE/>
      <w:autoSpaceDN/>
      <w:adjustRightInd/>
      <w:jc w:val="both"/>
      <w:textAlignment w:val="auto"/>
    </w:pPr>
    <w:rPr>
      <w:rFonts w:ascii="Arial" w:hAnsi="Arial"/>
      <w:lang w:eastAsia="fr-FR"/>
    </w:rPr>
  </w:style>
  <w:style w:type="character" w:customStyle="1" w:styleId="CharChar7">
    <w:name w:val="Char Char7"/>
    <w:basedOn w:val="Heading3Char"/>
    <w:rsid w:val="00964148"/>
    <w:rPr>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1766-6F20-4E3D-A4B6-78B4EC51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7</TotalTime>
  <Pages>5</Pages>
  <Words>1663</Words>
  <Characters>8955</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	Scope</vt:lpstr>
      <vt:lpstr>2	Summary</vt:lpstr>
      <vt:lpstr>3	Current AMS(R)S spectrum usage</vt:lpstr>
      <vt:lpstr>4	Radio regulatory background</vt:lpstr>
      <vt:lpstr>5	Methods to estimate spectrum requirements from AMS(R)S communications</vt:lpstr>
      <vt:lpstr>    5.1	Aviation requirements</vt:lpstr>
      <vt:lpstr>        5.1.1	Aviation needs by simulated approach</vt:lpstr>
      <vt:lpstr>        5.1.2	Aviation needs by PIAC approach</vt:lpstr>
      <vt:lpstr>        5.1.3	Aviation needs by statistical calculation approach</vt:lpstr>
      <vt:lpstr>        5.1.4	Aviation needs by calculation approach</vt:lpstr>
      <vt:lpstr>    5.2	Calculation methods for estimation of spectrum requirements</vt:lpstr>
      <vt:lpstr>        5.2.1	Case 1: Multiplicative approach</vt:lpstr>
      <vt:lpstr>        5.2.2	Case 2: PIAC Approach</vt:lpstr>
      <vt:lpstr>        5.2.3	Case 2: Other approaches</vt:lpstr>
      <vt:lpstr>6	Summation of global spectrum requirements for the AMS(R)S in the year 2025</vt:lpstr>
      <vt:lpstr>    6.1	Data service</vt:lpstr>
      <vt:lpstr>    6.2	Voice service</vt:lpstr>
      <vt:lpstr>    6.3	Summation</vt:lpstr>
      <vt:lpstr>6	Assumptions on satellite system</vt:lpstr>
      <vt:lpstr>    6.1	Europe</vt:lpstr>
      <vt:lpstr>        6.1.1	Case 1: ESA study</vt:lpstr>
      <vt:lpstr>        6.1.2	Case 2: UK study</vt:lpstr>
      <vt:lpstr>        6.1.2	Asia – Japan Study</vt:lpstr>
      <vt:lpstr>        6.1.3	South American System: Brazil Study</vt:lpstr>
      <vt:lpstr>        6.1.4	Middle-East/Africa System: Egypt Study</vt:lpstr>
      <vt:lpstr>        /</vt:lpstr>
      <vt:lpstr>        6.1.5	Oceanic Satellite System: UAE Study</vt:lpstr>
      <vt:lpstr>        6.1.6	World-wide studies</vt:lpstr>
      <vt:lpstr>/</vt:lpstr>
      <vt:lpstr>/</vt:lpstr>
      <vt:lpstr>7	Calculation of estimation of spectrum requirements</vt:lpstr>
      <vt:lpstr>    7.1	Europe</vt:lpstr>
      <vt:lpstr>        7.1.1	Case 1: ESA Study</vt:lpstr>
      <vt:lpstr>        7.1.2	Case 2: UK</vt:lpstr>
      <vt:lpstr>    7.2	Asia-Pacific: Japan Study </vt:lpstr>
      <vt:lpstr>    7.3	South American System</vt:lpstr>
      <vt:lpstr>        7.3.1	Information Volume per flight</vt:lpstr>
      <vt:lpstr>    a)	ATS data services group selected</vt:lpstr>
      <vt:lpstr>    b)	AOC services group associated</vt:lpstr>
      <vt:lpstr>    c)	Voice services associated</vt:lpstr>
    </vt:vector>
  </TitlesOfParts>
  <Manager/>
  <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bonet</dc:creator>
  <cp:keywords/>
  <dc:description/>
  <cp:lastModifiedBy>bonet</cp:lastModifiedBy>
  <cp:revision>3</cp:revision>
  <cp:lastPrinted>2010-04-22T14:12:00Z</cp:lastPrinted>
  <dcterms:created xsi:type="dcterms:W3CDTF">2010-04-26T08:56:00Z</dcterms:created>
  <dcterms:modified xsi:type="dcterms:W3CDTF">2010-04-26T09:03:00Z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