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AC69E1" w14:paraId="3D07EA8C" w14:textId="77777777" w:rsidTr="006A1921">
        <w:trPr>
          <w:jc w:val="center"/>
        </w:trPr>
        <w:tc>
          <w:tcPr>
            <w:tcW w:w="9889" w:type="dxa"/>
            <w:gridSpan w:val="3"/>
            <w:shd w:val="clear" w:color="auto" w:fill="auto"/>
          </w:tcPr>
          <w:p w14:paraId="6C513C26" w14:textId="77777777" w:rsidR="00EA15B3" w:rsidRDefault="008E38B4" w:rsidP="00117282">
            <w:pPr>
              <w:spacing w:before="0"/>
              <w:jc w:val="left"/>
              <w:rPr>
                <w:rFonts w:asciiTheme="minorHAnsi" w:hAnsiTheme="minorHAnsi" w:cstheme="minorHAnsi"/>
                <w:b/>
                <w:bCs/>
                <w:color w:val="808080"/>
                <w:sz w:val="28"/>
                <w:szCs w:val="28"/>
                <w:lang w:val="en-GB"/>
              </w:rPr>
            </w:pPr>
            <w:r w:rsidRPr="00AC69E1">
              <w:rPr>
                <w:rFonts w:asciiTheme="minorHAnsi" w:hAnsiTheme="minorHAnsi" w:cstheme="minorHAnsi"/>
                <w:b/>
                <w:bCs/>
                <w:color w:val="808080"/>
                <w:sz w:val="28"/>
                <w:szCs w:val="28"/>
                <w:lang w:val="en-GB"/>
              </w:rPr>
              <w:t xml:space="preserve">Radiocommunication </w:t>
            </w:r>
            <w:r w:rsidR="00AF70DA" w:rsidRPr="00AC69E1">
              <w:rPr>
                <w:rFonts w:asciiTheme="minorHAnsi" w:hAnsiTheme="minorHAnsi" w:cstheme="minorHAnsi"/>
                <w:b/>
                <w:bCs/>
                <w:color w:val="808080"/>
                <w:sz w:val="28"/>
                <w:szCs w:val="28"/>
                <w:lang w:val="en-GB"/>
              </w:rPr>
              <w:t>Bureau (BR)</w:t>
            </w:r>
          </w:p>
          <w:p w14:paraId="0083029D" w14:textId="77777777" w:rsidR="008E38B4" w:rsidRPr="00AC69E1" w:rsidRDefault="008E38B4" w:rsidP="00117282">
            <w:pPr>
              <w:spacing w:before="0"/>
              <w:jc w:val="left"/>
              <w:rPr>
                <w:rFonts w:asciiTheme="minorHAnsi" w:hAnsiTheme="minorHAnsi" w:cstheme="minorHAnsi"/>
                <w:b/>
                <w:bCs/>
                <w:color w:val="808080"/>
                <w:sz w:val="28"/>
                <w:szCs w:val="28"/>
                <w:lang w:val="en-GB"/>
              </w:rPr>
            </w:pPr>
          </w:p>
        </w:tc>
      </w:tr>
      <w:tr w:rsidR="00651777" w:rsidRPr="00AC69E1" w14:paraId="379BE7B7" w14:textId="77777777" w:rsidTr="006A1921">
        <w:trPr>
          <w:jc w:val="center"/>
        </w:trPr>
        <w:tc>
          <w:tcPr>
            <w:tcW w:w="7054" w:type="dxa"/>
            <w:gridSpan w:val="2"/>
            <w:shd w:val="clear" w:color="auto" w:fill="auto"/>
          </w:tcPr>
          <w:p w14:paraId="73BDC876" w14:textId="49BDFE77" w:rsidR="00A52F57" w:rsidRPr="00AC69E1" w:rsidRDefault="00EA1047" w:rsidP="00D74BDE">
            <w:pPr>
              <w:spacing w:before="0"/>
              <w:jc w:val="left"/>
              <w:rPr>
                <w:rFonts w:asciiTheme="minorHAnsi" w:hAnsiTheme="minorHAnsi" w:cstheme="minorHAnsi"/>
                <w:sz w:val="28"/>
                <w:szCs w:val="28"/>
                <w:lang w:val="en-GB"/>
              </w:rPr>
            </w:pPr>
            <w:r w:rsidRPr="00AC69E1">
              <w:rPr>
                <w:rFonts w:asciiTheme="minorHAnsi" w:hAnsiTheme="minorHAnsi" w:cstheme="minorHAnsi"/>
                <w:szCs w:val="24"/>
                <w:lang w:val="en-GB"/>
              </w:rPr>
              <w:t>Addendum 1 to</w:t>
            </w:r>
            <w:r w:rsidRPr="00AC69E1">
              <w:rPr>
                <w:rFonts w:asciiTheme="minorHAnsi" w:hAnsiTheme="minorHAnsi" w:cstheme="minorHAnsi"/>
                <w:szCs w:val="24"/>
                <w:lang w:val="en-GB"/>
              </w:rPr>
              <w:br/>
            </w:r>
            <w:r w:rsidR="00A52F57" w:rsidRPr="00AC69E1">
              <w:rPr>
                <w:rFonts w:asciiTheme="minorHAnsi" w:hAnsiTheme="minorHAnsi" w:cstheme="minorHAnsi"/>
                <w:szCs w:val="24"/>
                <w:lang w:val="en-GB"/>
              </w:rPr>
              <w:t>Circular</w:t>
            </w:r>
            <w:r w:rsidR="00656EF8" w:rsidRPr="00AC69E1">
              <w:rPr>
                <w:rFonts w:asciiTheme="minorHAnsi" w:hAnsiTheme="minorHAnsi" w:cstheme="minorHAnsi"/>
                <w:szCs w:val="24"/>
                <w:lang w:val="en-GB"/>
              </w:rPr>
              <w:t xml:space="preserve"> Letter</w:t>
            </w:r>
          </w:p>
          <w:p w14:paraId="52C046BC" w14:textId="1822305F" w:rsidR="00651777" w:rsidRPr="00AC69E1" w:rsidRDefault="00EA1047" w:rsidP="00D74BDE">
            <w:pPr>
              <w:spacing w:before="0"/>
              <w:jc w:val="left"/>
              <w:rPr>
                <w:rFonts w:asciiTheme="minorHAnsi" w:hAnsiTheme="minorHAnsi" w:cstheme="minorHAnsi"/>
                <w:b/>
                <w:bCs/>
                <w:szCs w:val="24"/>
                <w:lang w:val="en-GB"/>
              </w:rPr>
            </w:pPr>
            <w:r w:rsidRPr="00AC69E1">
              <w:rPr>
                <w:rFonts w:asciiTheme="minorHAnsi" w:hAnsiTheme="minorHAnsi" w:cstheme="minorHAnsi"/>
                <w:b/>
                <w:bCs/>
                <w:szCs w:val="24"/>
                <w:lang w:val="en-GB"/>
              </w:rPr>
              <w:t>5</w:t>
            </w:r>
            <w:r w:rsidR="00440D8B" w:rsidRPr="00AC69E1">
              <w:rPr>
                <w:rFonts w:asciiTheme="minorHAnsi" w:hAnsiTheme="minorHAnsi" w:cstheme="minorHAnsi"/>
                <w:b/>
                <w:bCs/>
                <w:szCs w:val="24"/>
                <w:lang w:val="en-GB"/>
              </w:rPr>
              <w:t>/LCCE/</w:t>
            </w:r>
            <w:r w:rsidR="005D5FAC" w:rsidRPr="00AC69E1">
              <w:rPr>
                <w:rFonts w:asciiTheme="minorHAnsi" w:hAnsiTheme="minorHAnsi" w:cstheme="minorHAnsi"/>
                <w:b/>
                <w:bCs/>
                <w:szCs w:val="24"/>
                <w:lang w:val="en-GB"/>
              </w:rPr>
              <w:t>109</w:t>
            </w:r>
          </w:p>
        </w:tc>
        <w:tc>
          <w:tcPr>
            <w:tcW w:w="2835" w:type="dxa"/>
            <w:shd w:val="clear" w:color="auto" w:fill="auto"/>
          </w:tcPr>
          <w:p w14:paraId="35667B7B" w14:textId="193A31F2" w:rsidR="00651777" w:rsidRPr="00AC69E1" w:rsidRDefault="00B82C0D" w:rsidP="00034340">
            <w:pPr>
              <w:spacing w:before="0"/>
              <w:jc w:val="right"/>
              <w:rPr>
                <w:rFonts w:asciiTheme="minorHAnsi" w:hAnsiTheme="minorHAnsi" w:cstheme="minorHAnsi"/>
                <w:szCs w:val="24"/>
                <w:lang w:val="en-GB"/>
              </w:rPr>
            </w:pPr>
            <w:r>
              <w:rPr>
                <w:rFonts w:asciiTheme="minorHAnsi" w:hAnsiTheme="minorHAnsi" w:cstheme="minorHAnsi"/>
                <w:szCs w:val="24"/>
                <w:lang w:val="en-GB"/>
              </w:rPr>
              <w:t>15</w:t>
            </w:r>
            <w:r w:rsidR="005D5FAC" w:rsidRPr="00AC69E1">
              <w:rPr>
                <w:rFonts w:asciiTheme="minorHAnsi" w:hAnsiTheme="minorHAnsi" w:cstheme="minorHAnsi"/>
                <w:szCs w:val="24"/>
                <w:lang w:val="en-GB"/>
              </w:rPr>
              <w:t xml:space="preserve"> February 2024</w:t>
            </w:r>
          </w:p>
        </w:tc>
      </w:tr>
      <w:tr w:rsidR="0037309C" w:rsidRPr="00AC69E1" w14:paraId="0BF88C29" w14:textId="77777777" w:rsidTr="006A1921">
        <w:trPr>
          <w:jc w:val="center"/>
        </w:trPr>
        <w:tc>
          <w:tcPr>
            <w:tcW w:w="9889" w:type="dxa"/>
            <w:gridSpan w:val="3"/>
            <w:shd w:val="clear" w:color="auto" w:fill="auto"/>
          </w:tcPr>
          <w:p w14:paraId="73151CA3" w14:textId="77777777" w:rsidR="0037309C" w:rsidRPr="00AC69E1" w:rsidRDefault="0037309C" w:rsidP="006047E5">
            <w:pPr>
              <w:spacing w:before="0"/>
              <w:jc w:val="left"/>
              <w:rPr>
                <w:rFonts w:asciiTheme="minorHAnsi" w:hAnsiTheme="minorHAnsi" w:cstheme="minorHAnsi"/>
                <w:szCs w:val="24"/>
                <w:lang w:val="en-GB"/>
              </w:rPr>
            </w:pPr>
          </w:p>
        </w:tc>
      </w:tr>
      <w:tr w:rsidR="0037309C" w:rsidRPr="00AC69E1" w14:paraId="147489FC" w14:textId="77777777" w:rsidTr="006A1921">
        <w:trPr>
          <w:jc w:val="center"/>
        </w:trPr>
        <w:tc>
          <w:tcPr>
            <w:tcW w:w="9889" w:type="dxa"/>
            <w:gridSpan w:val="3"/>
            <w:shd w:val="clear" w:color="auto" w:fill="auto"/>
          </w:tcPr>
          <w:p w14:paraId="5925A695" w14:textId="77777777" w:rsidR="0037309C" w:rsidRPr="00AC69E1" w:rsidRDefault="0037309C" w:rsidP="00D374CD">
            <w:pPr>
              <w:spacing w:before="0"/>
              <w:jc w:val="left"/>
              <w:rPr>
                <w:rFonts w:asciiTheme="minorHAnsi" w:hAnsiTheme="minorHAnsi" w:cstheme="minorHAnsi"/>
                <w:szCs w:val="24"/>
                <w:lang w:val="en-GB"/>
              </w:rPr>
            </w:pPr>
          </w:p>
        </w:tc>
      </w:tr>
      <w:tr w:rsidR="0037309C" w:rsidRPr="00AC69E1" w14:paraId="48475425" w14:textId="77777777" w:rsidTr="006A1921">
        <w:trPr>
          <w:jc w:val="center"/>
        </w:trPr>
        <w:tc>
          <w:tcPr>
            <w:tcW w:w="9889" w:type="dxa"/>
            <w:gridSpan w:val="3"/>
            <w:shd w:val="clear" w:color="auto" w:fill="auto"/>
          </w:tcPr>
          <w:p w14:paraId="55DE3295" w14:textId="5FC5DEAD" w:rsidR="00D21694" w:rsidRPr="00AC69E1" w:rsidRDefault="00656EF8" w:rsidP="00D74BDE">
            <w:pPr>
              <w:spacing w:before="0"/>
              <w:jc w:val="left"/>
              <w:rPr>
                <w:rFonts w:asciiTheme="minorHAnsi" w:hAnsiTheme="minorHAnsi" w:cstheme="minorHAnsi"/>
                <w:b/>
                <w:bCs/>
                <w:szCs w:val="24"/>
                <w:lang w:val="en-GB"/>
              </w:rPr>
            </w:pPr>
            <w:r w:rsidRPr="00AC69E1">
              <w:rPr>
                <w:rFonts w:asciiTheme="minorHAnsi" w:hAnsiTheme="minorHAnsi" w:cstheme="minorHAnsi"/>
                <w:b/>
                <w:szCs w:val="24"/>
                <w:lang w:val="en-GB"/>
              </w:rPr>
              <w:t>To Administrations of Member States of the ITU, Radiocommunication Sector Members,</w:t>
            </w:r>
            <w:r w:rsidRPr="00AC69E1">
              <w:rPr>
                <w:rFonts w:asciiTheme="minorHAnsi" w:hAnsiTheme="minorHAnsi" w:cstheme="minorHAnsi"/>
                <w:b/>
                <w:szCs w:val="24"/>
                <w:lang w:val="en-GB"/>
              </w:rPr>
              <w:br/>
              <w:t xml:space="preserve">ITU-R Associates </w:t>
            </w:r>
            <w:r w:rsidR="005D5FAC" w:rsidRPr="00AC69E1">
              <w:rPr>
                <w:rFonts w:asciiTheme="minorHAnsi" w:hAnsiTheme="minorHAnsi" w:cstheme="minorHAnsi"/>
                <w:b/>
                <w:szCs w:val="24"/>
                <w:lang w:val="en-GB"/>
              </w:rPr>
              <w:t xml:space="preserve">and ITU Academia </w:t>
            </w:r>
            <w:r w:rsidRPr="00AC69E1">
              <w:rPr>
                <w:rFonts w:asciiTheme="minorHAnsi" w:hAnsiTheme="minorHAnsi" w:cstheme="minorHAnsi"/>
                <w:b/>
                <w:szCs w:val="24"/>
                <w:lang w:val="en-GB"/>
              </w:rPr>
              <w:t>participating in the work of Radiocommunication Study</w:t>
            </w:r>
            <w:r w:rsidR="0080525B">
              <w:rPr>
                <w:rFonts w:asciiTheme="minorHAnsi" w:hAnsiTheme="minorHAnsi" w:cstheme="minorHAnsi"/>
                <w:b/>
                <w:szCs w:val="24"/>
                <w:lang w:val="en-GB"/>
              </w:rPr>
              <w:t> </w:t>
            </w:r>
            <w:r w:rsidRPr="00AC69E1">
              <w:rPr>
                <w:rFonts w:asciiTheme="minorHAnsi" w:hAnsiTheme="minorHAnsi" w:cstheme="minorHAnsi"/>
                <w:b/>
                <w:szCs w:val="24"/>
                <w:lang w:val="en-GB"/>
              </w:rPr>
              <w:t>Group 5</w:t>
            </w:r>
            <w:r w:rsidR="005D5FAC" w:rsidRPr="00AC69E1">
              <w:rPr>
                <w:rFonts w:asciiTheme="minorHAnsi" w:hAnsiTheme="minorHAnsi" w:cstheme="minorHAnsi"/>
                <w:b/>
                <w:szCs w:val="24"/>
                <w:lang w:val="en-GB"/>
              </w:rPr>
              <w:t xml:space="preserve"> </w:t>
            </w:r>
          </w:p>
        </w:tc>
      </w:tr>
      <w:tr w:rsidR="0037309C" w:rsidRPr="00AC69E1" w14:paraId="43CB9E2B" w14:textId="77777777" w:rsidTr="006A1921">
        <w:trPr>
          <w:jc w:val="center"/>
        </w:trPr>
        <w:tc>
          <w:tcPr>
            <w:tcW w:w="9889" w:type="dxa"/>
            <w:gridSpan w:val="3"/>
            <w:shd w:val="clear" w:color="auto" w:fill="auto"/>
          </w:tcPr>
          <w:p w14:paraId="7373FD5C" w14:textId="77777777" w:rsidR="0037309C" w:rsidRPr="00AC69E1" w:rsidRDefault="0037309C" w:rsidP="006047E5">
            <w:pPr>
              <w:spacing w:before="0"/>
              <w:jc w:val="left"/>
              <w:rPr>
                <w:rFonts w:asciiTheme="minorHAnsi" w:hAnsiTheme="minorHAnsi" w:cstheme="minorHAnsi"/>
                <w:szCs w:val="24"/>
                <w:lang w:val="en-GB"/>
              </w:rPr>
            </w:pPr>
          </w:p>
        </w:tc>
      </w:tr>
      <w:tr w:rsidR="00D74BDE" w:rsidRPr="00AC69E1" w14:paraId="079837BD" w14:textId="77777777" w:rsidTr="006A1921">
        <w:trPr>
          <w:jc w:val="center"/>
        </w:trPr>
        <w:tc>
          <w:tcPr>
            <w:tcW w:w="1526" w:type="dxa"/>
            <w:shd w:val="clear" w:color="auto" w:fill="auto"/>
          </w:tcPr>
          <w:p w14:paraId="757FB940" w14:textId="77777777" w:rsidR="00D74BDE" w:rsidRPr="00AC69E1" w:rsidRDefault="00D74BDE" w:rsidP="00D74BDE">
            <w:pPr>
              <w:spacing w:before="0"/>
              <w:jc w:val="left"/>
              <w:rPr>
                <w:rFonts w:asciiTheme="minorHAnsi" w:hAnsiTheme="minorHAnsi" w:cstheme="minorHAnsi"/>
                <w:szCs w:val="24"/>
                <w:lang w:val="en-GB"/>
              </w:rPr>
            </w:pPr>
            <w:r w:rsidRPr="00AC69E1">
              <w:rPr>
                <w:rFonts w:asciiTheme="minorHAnsi" w:hAnsiTheme="minorHAnsi" w:cstheme="minorHAnsi"/>
                <w:szCs w:val="24"/>
                <w:lang w:val="en-GB"/>
              </w:rPr>
              <w:t>Subject:</w:t>
            </w:r>
          </w:p>
        </w:tc>
        <w:tc>
          <w:tcPr>
            <w:tcW w:w="8363" w:type="dxa"/>
            <w:gridSpan w:val="2"/>
            <w:vMerge w:val="restart"/>
            <w:shd w:val="clear" w:color="auto" w:fill="auto"/>
          </w:tcPr>
          <w:p w14:paraId="5EC0054D" w14:textId="12086003" w:rsidR="00D74BDE" w:rsidRPr="00AC69E1" w:rsidRDefault="005D5FAC" w:rsidP="00A943A6">
            <w:pPr>
              <w:tabs>
                <w:tab w:val="clear" w:pos="794"/>
                <w:tab w:val="clear" w:pos="1191"/>
                <w:tab w:val="clear" w:pos="1588"/>
                <w:tab w:val="clear" w:pos="1985"/>
                <w:tab w:val="left" w:pos="709"/>
              </w:tabs>
              <w:spacing w:before="0"/>
              <w:jc w:val="left"/>
              <w:rPr>
                <w:rFonts w:asciiTheme="minorHAnsi" w:hAnsiTheme="minorHAnsi" w:cstheme="minorHAnsi"/>
                <w:b/>
                <w:bCs/>
                <w:szCs w:val="24"/>
                <w:lang w:val="en-GB"/>
              </w:rPr>
            </w:pPr>
            <w:bookmarkStart w:id="0" w:name="StartTyping_E"/>
            <w:bookmarkEnd w:id="0"/>
            <w:r w:rsidRPr="00AC69E1">
              <w:rPr>
                <w:rFonts w:asciiTheme="minorHAnsi" w:eastAsia="SimSun" w:hAnsiTheme="minorHAnsi" w:cstheme="minorHAnsi"/>
                <w:b/>
                <w:bCs/>
                <w:szCs w:val="24"/>
                <w:lang w:eastAsia="ko-KR"/>
              </w:rPr>
              <w:t xml:space="preserve">Announcement of </w:t>
            </w:r>
            <w:r w:rsidRPr="00AC69E1">
              <w:rPr>
                <w:rFonts w:asciiTheme="minorHAnsi" w:eastAsia="SimSun" w:hAnsiTheme="minorHAnsi" w:cstheme="minorHAnsi"/>
                <w:b/>
                <w:bCs/>
                <w:szCs w:val="24"/>
              </w:rPr>
              <w:t>a new proposal for candidate radio interface technology for the terrestrial radio interface(s) for IMT-2020 for the Revision 3 of Recommendation ITU-R M.2150 “Detailed specifications of the terrestrial radio interfaces of International Mobile Telecommunications-2020 (IMT-2020)”, and invitation to participate in its subsequent evaluation</w:t>
            </w:r>
          </w:p>
        </w:tc>
      </w:tr>
      <w:tr w:rsidR="00D74BDE" w:rsidRPr="00AC69E1" w14:paraId="2D78FB92" w14:textId="77777777" w:rsidTr="006A1921">
        <w:trPr>
          <w:jc w:val="center"/>
        </w:trPr>
        <w:tc>
          <w:tcPr>
            <w:tcW w:w="1526" w:type="dxa"/>
            <w:shd w:val="clear" w:color="auto" w:fill="auto"/>
          </w:tcPr>
          <w:p w14:paraId="759EFC30" w14:textId="77777777" w:rsidR="00D74BDE" w:rsidRPr="00AC69E1" w:rsidRDefault="00D74BDE" w:rsidP="00D74BDE">
            <w:pPr>
              <w:spacing w:before="0"/>
              <w:jc w:val="left"/>
              <w:rPr>
                <w:rFonts w:asciiTheme="minorHAnsi" w:hAnsiTheme="minorHAnsi" w:cstheme="minorHAnsi"/>
                <w:b/>
                <w:bCs/>
                <w:szCs w:val="24"/>
                <w:lang w:val="en-GB"/>
              </w:rPr>
            </w:pPr>
          </w:p>
        </w:tc>
        <w:tc>
          <w:tcPr>
            <w:tcW w:w="8363" w:type="dxa"/>
            <w:gridSpan w:val="2"/>
            <w:vMerge/>
            <w:shd w:val="clear" w:color="auto" w:fill="auto"/>
          </w:tcPr>
          <w:p w14:paraId="6F3DB5EB" w14:textId="77777777" w:rsidR="00D74BDE" w:rsidRPr="00AC69E1" w:rsidRDefault="00D74BDE" w:rsidP="00D74BDE">
            <w:pPr>
              <w:spacing w:before="0"/>
              <w:rPr>
                <w:rFonts w:asciiTheme="minorHAnsi" w:hAnsiTheme="minorHAnsi" w:cstheme="minorHAnsi"/>
                <w:b/>
                <w:bCs/>
                <w:szCs w:val="24"/>
                <w:lang w:val="en-GB"/>
              </w:rPr>
            </w:pPr>
          </w:p>
        </w:tc>
      </w:tr>
      <w:tr w:rsidR="00D74BDE" w:rsidRPr="00AC69E1" w14:paraId="7318E078" w14:textId="77777777" w:rsidTr="006A1921">
        <w:trPr>
          <w:jc w:val="center"/>
        </w:trPr>
        <w:tc>
          <w:tcPr>
            <w:tcW w:w="1526" w:type="dxa"/>
            <w:shd w:val="clear" w:color="auto" w:fill="auto"/>
          </w:tcPr>
          <w:p w14:paraId="1557EBFB" w14:textId="77777777" w:rsidR="00D74BDE" w:rsidRPr="00AC69E1" w:rsidRDefault="00D74BDE" w:rsidP="00D74BDE">
            <w:pPr>
              <w:spacing w:before="0"/>
              <w:jc w:val="left"/>
              <w:rPr>
                <w:rFonts w:asciiTheme="minorHAnsi" w:hAnsiTheme="minorHAnsi" w:cstheme="minorHAnsi"/>
                <w:b/>
                <w:bCs/>
                <w:szCs w:val="24"/>
                <w:lang w:val="en-GB"/>
              </w:rPr>
            </w:pPr>
          </w:p>
        </w:tc>
        <w:tc>
          <w:tcPr>
            <w:tcW w:w="8363" w:type="dxa"/>
            <w:gridSpan w:val="2"/>
            <w:vMerge/>
            <w:shd w:val="clear" w:color="auto" w:fill="auto"/>
          </w:tcPr>
          <w:p w14:paraId="6904AAC9" w14:textId="77777777" w:rsidR="00D74BDE" w:rsidRPr="00AC69E1" w:rsidRDefault="00D74BDE" w:rsidP="00D74BDE">
            <w:pPr>
              <w:spacing w:before="0"/>
              <w:rPr>
                <w:rFonts w:asciiTheme="minorHAnsi" w:hAnsiTheme="minorHAnsi" w:cstheme="minorHAnsi"/>
                <w:b/>
                <w:bCs/>
                <w:szCs w:val="24"/>
                <w:lang w:val="en-GB"/>
              </w:rPr>
            </w:pPr>
          </w:p>
        </w:tc>
      </w:tr>
      <w:tr w:rsidR="00D74BDE" w:rsidRPr="00AC69E1" w14:paraId="6A6B54B8" w14:textId="77777777" w:rsidTr="006A1921">
        <w:trPr>
          <w:jc w:val="center"/>
        </w:trPr>
        <w:tc>
          <w:tcPr>
            <w:tcW w:w="9889" w:type="dxa"/>
            <w:gridSpan w:val="3"/>
            <w:shd w:val="clear" w:color="auto" w:fill="auto"/>
          </w:tcPr>
          <w:p w14:paraId="1C685AAD" w14:textId="77777777" w:rsidR="00D74BDE" w:rsidRPr="00AC69E1" w:rsidRDefault="00D74BDE" w:rsidP="00D74BDE">
            <w:pPr>
              <w:spacing w:before="0"/>
              <w:jc w:val="left"/>
              <w:rPr>
                <w:rFonts w:asciiTheme="minorHAnsi" w:hAnsiTheme="minorHAnsi" w:cstheme="minorHAnsi"/>
                <w:b/>
                <w:bCs/>
                <w:szCs w:val="24"/>
                <w:lang w:val="en-GB"/>
              </w:rPr>
            </w:pPr>
          </w:p>
        </w:tc>
      </w:tr>
    </w:tbl>
    <w:p w14:paraId="3359A70A" w14:textId="77777777" w:rsidR="005D5FAC" w:rsidRPr="00AC69E1" w:rsidRDefault="005D5FAC" w:rsidP="005D5FAC">
      <w:pPr>
        <w:pStyle w:val="Heading1"/>
        <w:rPr>
          <w:rFonts w:asciiTheme="minorHAnsi" w:hAnsiTheme="minorHAnsi" w:cstheme="minorHAnsi"/>
        </w:rPr>
      </w:pPr>
      <w:r w:rsidRPr="00AC69E1">
        <w:rPr>
          <w:rFonts w:asciiTheme="minorHAnsi" w:hAnsiTheme="minorHAnsi" w:cstheme="minorHAnsi"/>
        </w:rPr>
        <w:t>1</w:t>
      </w:r>
      <w:r w:rsidRPr="00AC69E1">
        <w:rPr>
          <w:rFonts w:asciiTheme="minorHAnsi" w:hAnsiTheme="minorHAnsi" w:cstheme="minorHAnsi"/>
        </w:rPr>
        <w:tab/>
        <w:t>Introduction</w:t>
      </w:r>
    </w:p>
    <w:p w14:paraId="116A0380" w14:textId="77777777" w:rsidR="005D5FAC" w:rsidRPr="00AC69E1" w:rsidRDefault="005D5FAC" w:rsidP="005D5FAC">
      <w:pPr>
        <w:rPr>
          <w:rFonts w:asciiTheme="minorHAnsi" w:hAnsiTheme="minorHAnsi" w:cstheme="minorHAnsi"/>
        </w:rPr>
      </w:pPr>
      <w:r w:rsidRPr="00AC69E1">
        <w:rPr>
          <w:rFonts w:asciiTheme="minorHAnsi" w:hAnsiTheme="minorHAnsi" w:cstheme="minorHAnsi"/>
        </w:rPr>
        <w:t xml:space="preserve">Following on from the successful completion of the first release in 2020 and subsequent revisions of Recommendation </w:t>
      </w:r>
      <w:hyperlink r:id="rId8" w:history="1">
        <w:r w:rsidRPr="00AC69E1">
          <w:rPr>
            <w:rFonts w:asciiTheme="minorHAnsi" w:hAnsiTheme="minorHAnsi" w:cstheme="minorHAnsi"/>
            <w:color w:val="0000FF"/>
            <w:u w:val="single"/>
          </w:rPr>
          <w:t>ITU-R M.2150</w:t>
        </w:r>
      </w:hyperlink>
      <w:r w:rsidRPr="00AC69E1">
        <w:rPr>
          <w:rFonts w:asciiTheme="minorHAnsi" w:hAnsiTheme="minorHAnsi" w:cstheme="minorHAnsi"/>
        </w:rPr>
        <w:t xml:space="preserve">, ITU-R is continuing the work on ITU-R Recommendations for the </w:t>
      </w:r>
      <w:r w:rsidRPr="0080525B">
        <w:rPr>
          <w:rFonts w:asciiTheme="minorHAnsi" w:hAnsiTheme="minorHAnsi" w:cstheme="minorHAnsi"/>
          <w:spacing w:val="-4"/>
        </w:rPr>
        <w:t>terrestrial components of the IMT-</w:t>
      </w:r>
      <w:r w:rsidRPr="0080525B">
        <w:rPr>
          <w:rFonts w:asciiTheme="minorHAnsi" w:hAnsiTheme="minorHAnsi" w:cstheme="minorHAnsi"/>
          <w:spacing w:val="-4"/>
          <w:lang w:eastAsia="ko-KR"/>
        </w:rPr>
        <w:t>2020</w:t>
      </w:r>
      <w:r w:rsidRPr="0080525B">
        <w:rPr>
          <w:rFonts w:asciiTheme="minorHAnsi" w:hAnsiTheme="minorHAnsi" w:cstheme="minorHAnsi"/>
          <w:spacing w:val="-4"/>
        </w:rPr>
        <w:t xml:space="preserve"> radio interface(s). This work is guided by </w:t>
      </w:r>
      <w:hyperlink r:id="rId9" w:history="1">
        <w:r w:rsidRPr="0080525B">
          <w:rPr>
            <w:rStyle w:val="Hyperlink"/>
            <w:rFonts w:asciiTheme="minorHAnsi" w:hAnsiTheme="minorHAnsi" w:cstheme="minorHAnsi"/>
            <w:spacing w:val="-4"/>
          </w:rPr>
          <w:t xml:space="preserve">Resolution ITU-R </w:t>
        </w:r>
        <w:r w:rsidRPr="0080525B">
          <w:rPr>
            <w:rStyle w:val="Hyperlink"/>
            <w:rFonts w:asciiTheme="minorHAnsi" w:hAnsiTheme="minorHAnsi" w:cstheme="minorHAnsi"/>
            <w:spacing w:val="-4"/>
            <w:lang w:eastAsia="ko-KR"/>
          </w:rPr>
          <w:t>65</w:t>
        </w:r>
      </w:hyperlink>
      <w:r w:rsidRPr="00AC69E1">
        <w:rPr>
          <w:rFonts w:asciiTheme="minorHAnsi" w:hAnsiTheme="minorHAnsi" w:cstheme="minorHAnsi"/>
          <w:color w:val="0000FF"/>
          <w:u w:val="single"/>
          <w:lang w:eastAsia="ko-KR"/>
        </w:rPr>
        <w:t xml:space="preserve"> </w:t>
      </w:r>
      <w:r w:rsidRPr="00AC69E1">
        <w:rPr>
          <w:rFonts w:asciiTheme="minorHAnsi" w:hAnsiTheme="minorHAnsi" w:cstheme="minorHAnsi"/>
        </w:rPr>
        <w:t>and utilizing IMT-2020 process in</w:t>
      </w:r>
      <w:hyperlink r:id="rId10" w:history="1">
        <w:r w:rsidRPr="00AC69E1">
          <w:rPr>
            <w:rStyle w:val="Hyperlink"/>
            <w:rFonts w:asciiTheme="minorHAnsi" w:hAnsiTheme="minorHAnsi" w:cstheme="minorHAnsi"/>
            <w:lang w:eastAsia="ko-KR"/>
          </w:rPr>
          <w:t xml:space="preserve"> IMT-2020/2(Rev.2)</w:t>
        </w:r>
      </w:hyperlink>
      <w:r w:rsidRPr="00AC69E1">
        <w:rPr>
          <w:rFonts w:asciiTheme="minorHAnsi" w:hAnsiTheme="minorHAnsi" w:cstheme="minorHAnsi"/>
        </w:rPr>
        <w:t>.</w:t>
      </w:r>
    </w:p>
    <w:p w14:paraId="2B150950" w14:textId="77777777" w:rsidR="005D5FAC" w:rsidRPr="00AC69E1" w:rsidRDefault="005D5FAC" w:rsidP="005D5FAC">
      <w:pPr>
        <w:rPr>
          <w:rFonts w:asciiTheme="minorHAnsi" w:eastAsia="SimSun" w:hAnsiTheme="minorHAnsi" w:cstheme="minorHAnsi"/>
          <w:lang w:eastAsia="zh-CN"/>
        </w:rPr>
      </w:pPr>
      <w:r w:rsidRPr="00AC69E1">
        <w:rPr>
          <w:rFonts w:asciiTheme="minorHAnsi" w:hAnsiTheme="minorHAnsi" w:cstheme="minorHAnsi"/>
          <w:lang w:eastAsia="ja-JP"/>
        </w:rPr>
        <w:t>Within the ITU-R, the work on IMT-</w:t>
      </w:r>
      <w:r w:rsidRPr="00AC69E1">
        <w:rPr>
          <w:rFonts w:asciiTheme="minorHAnsi" w:hAnsiTheme="minorHAnsi" w:cstheme="minorHAnsi"/>
          <w:lang w:eastAsia="ko-KR"/>
        </w:rPr>
        <w:t>2020</w:t>
      </w:r>
      <w:r w:rsidRPr="00AC69E1">
        <w:rPr>
          <w:rFonts w:asciiTheme="minorHAnsi" w:hAnsiTheme="minorHAnsi" w:cstheme="minorHAnsi"/>
          <w:lang w:eastAsia="ja-JP"/>
        </w:rPr>
        <w:t xml:space="preserve"> </w:t>
      </w:r>
      <w:r w:rsidRPr="00AC69E1">
        <w:rPr>
          <w:rFonts w:asciiTheme="minorHAnsi" w:eastAsia="SimSun" w:hAnsiTheme="minorHAnsi" w:cstheme="minorHAnsi"/>
          <w:lang w:eastAsia="ja-JP"/>
        </w:rPr>
        <w:t xml:space="preserve">is </w:t>
      </w:r>
      <w:r w:rsidRPr="00AC69E1">
        <w:rPr>
          <w:rFonts w:asciiTheme="minorHAnsi" w:hAnsiTheme="minorHAnsi" w:cstheme="minorHAnsi"/>
          <w:lang w:eastAsia="ja-JP"/>
        </w:rPr>
        <w:t>be</w:t>
      </w:r>
      <w:r w:rsidRPr="00AC69E1">
        <w:rPr>
          <w:rFonts w:asciiTheme="minorHAnsi" w:eastAsia="SimSun" w:hAnsiTheme="minorHAnsi" w:cstheme="minorHAnsi"/>
          <w:lang w:eastAsia="ja-JP"/>
        </w:rPr>
        <w:t>ing</w:t>
      </w:r>
      <w:r w:rsidRPr="00AC69E1">
        <w:rPr>
          <w:rFonts w:asciiTheme="minorHAnsi" w:hAnsiTheme="minorHAnsi" w:cstheme="minorHAnsi"/>
          <w:lang w:eastAsia="ja-JP"/>
        </w:rPr>
        <w:t xml:space="preserve"> conducted in ITU</w:t>
      </w:r>
      <w:r w:rsidRPr="00AC69E1">
        <w:rPr>
          <w:rFonts w:asciiTheme="minorHAnsi" w:hAnsiTheme="minorHAnsi" w:cstheme="minorHAnsi"/>
          <w:lang w:eastAsia="ko-KR"/>
        </w:rPr>
        <w:t>-R Working Party 5D (WP 5D) of S</w:t>
      </w:r>
      <w:r w:rsidRPr="00AC69E1">
        <w:rPr>
          <w:rFonts w:asciiTheme="minorHAnsi" w:eastAsia="SimSun" w:hAnsiTheme="minorHAnsi" w:cstheme="minorHAnsi"/>
          <w:lang w:eastAsia="ja-JP"/>
        </w:rPr>
        <w:t xml:space="preserve">tudy </w:t>
      </w:r>
      <w:r w:rsidRPr="00AC69E1">
        <w:rPr>
          <w:rFonts w:asciiTheme="minorHAnsi" w:hAnsiTheme="minorHAnsi" w:cstheme="minorHAnsi"/>
          <w:lang w:eastAsia="ko-KR"/>
        </w:rPr>
        <w:t>G</w:t>
      </w:r>
      <w:r w:rsidRPr="00AC69E1">
        <w:rPr>
          <w:rFonts w:asciiTheme="minorHAnsi" w:eastAsia="SimSun" w:hAnsiTheme="minorHAnsi" w:cstheme="minorHAnsi"/>
          <w:lang w:eastAsia="ja-JP"/>
        </w:rPr>
        <w:t xml:space="preserve">roup </w:t>
      </w:r>
      <w:r w:rsidRPr="00AC69E1">
        <w:rPr>
          <w:rFonts w:asciiTheme="minorHAnsi" w:hAnsiTheme="minorHAnsi" w:cstheme="minorHAnsi"/>
          <w:lang w:eastAsia="ko-KR"/>
        </w:rPr>
        <w:t>5</w:t>
      </w:r>
      <w:r w:rsidRPr="00AC69E1">
        <w:rPr>
          <w:rFonts w:asciiTheme="minorHAnsi" w:hAnsiTheme="minorHAnsi" w:cstheme="minorHAnsi"/>
          <w:lang w:eastAsia="ja-JP"/>
        </w:rPr>
        <w:t xml:space="preserve"> as the group responsible for this work</w:t>
      </w:r>
      <w:r w:rsidRPr="00AC69E1">
        <w:rPr>
          <w:rFonts w:asciiTheme="minorHAnsi" w:eastAsia="SimSun" w:hAnsiTheme="minorHAnsi" w:cstheme="minorHAnsi"/>
        </w:rPr>
        <w:t>.</w:t>
      </w:r>
    </w:p>
    <w:p w14:paraId="6113044C" w14:textId="77777777" w:rsidR="005D5FAC" w:rsidRPr="00AC69E1" w:rsidRDefault="005D5FAC" w:rsidP="005D5FAC">
      <w:pPr>
        <w:pStyle w:val="Heading1"/>
        <w:rPr>
          <w:rFonts w:asciiTheme="minorHAnsi" w:hAnsiTheme="minorHAnsi" w:cstheme="minorHAnsi"/>
        </w:rPr>
      </w:pPr>
      <w:r w:rsidRPr="00AC69E1">
        <w:rPr>
          <w:rFonts w:asciiTheme="minorHAnsi" w:hAnsiTheme="minorHAnsi" w:cstheme="minorHAnsi"/>
        </w:rPr>
        <w:t>2</w:t>
      </w:r>
      <w:r w:rsidRPr="00AC69E1">
        <w:rPr>
          <w:rFonts w:asciiTheme="minorHAnsi" w:hAnsiTheme="minorHAnsi" w:cstheme="minorHAnsi"/>
        </w:rPr>
        <w:tab/>
        <w:t>Purpose of this Circular Letter</w:t>
      </w:r>
    </w:p>
    <w:p w14:paraId="3198C754" w14:textId="77777777" w:rsidR="005D5FAC" w:rsidRPr="00AC69E1" w:rsidRDefault="005D5FAC" w:rsidP="005D5FAC">
      <w:pPr>
        <w:rPr>
          <w:rFonts w:asciiTheme="minorHAnsi" w:hAnsiTheme="minorHAnsi" w:cstheme="minorHAnsi"/>
        </w:rPr>
      </w:pPr>
      <w:r w:rsidRPr="00AC69E1">
        <w:rPr>
          <w:rFonts w:asciiTheme="minorHAnsi" w:hAnsiTheme="minorHAnsi" w:cstheme="minorHAnsi"/>
        </w:rPr>
        <w:t xml:space="preserve">The purpose of this Circular Letter is: </w:t>
      </w:r>
    </w:p>
    <w:p w14:paraId="4D23B4B0" w14:textId="77777777" w:rsidR="005D5FAC" w:rsidRPr="00AC69E1" w:rsidRDefault="005D5FAC" w:rsidP="005D5FAC">
      <w:pPr>
        <w:pStyle w:val="enumlev1"/>
        <w:keepNext/>
        <w:keepLines/>
        <w:rPr>
          <w:rFonts w:asciiTheme="minorHAnsi" w:hAnsiTheme="minorHAnsi" w:cstheme="minorHAnsi"/>
          <w:lang w:eastAsia="zh-CN"/>
        </w:rPr>
      </w:pPr>
      <w:r w:rsidRPr="00AC69E1">
        <w:rPr>
          <w:rFonts w:asciiTheme="minorHAnsi" w:eastAsia="Malgun Gothic" w:hAnsiTheme="minorHAnsi" w:cstheme="minorHAnsi"/>
        </w:rPr>
        <w:t>–</w:t>
      </w:r>
      <w:r w:rsidRPr="00AC69E1">
        <w:rPr>
          <w:rFonts w:asciiTheme="minorHAnsi" w:eastAsia="Malgun Gothic" w:hAnsiTheme="minorHAnsi" w:cstheme="minorHAnsi"/>
        </w:rPr>
        <w:tab/>
        <w:t xml:space="preserve">to announce </w:t>
      </w:r>
      <w:r w:rsidRPr="00AC69E1">
        <w:rPr>
          <w:rFonts w:asciiTheme="minorHAnsi" w:hAnsiTheme="minorHAnsi" w:cstheme="minorHAnsi"/>
          <w:lang w:eastAsia="ja-JP"/>
        </w:rPr>
        <w:t xml:space="preserve">reception by ITU-R of a submission of a new proposal for candidate radio interface technology (RIT) for the terrestrial components of IMT 2020 in the update cycle for the revision </w:t>
      </w:r>
      <w:r w:rsidRPr="00AC69E1">
        <w:rPr>
          <w:rFonts w:asciiTheme="minorHAnsi" w:hAnsiTheme="minorHAnsi" w:cstheme="minorHAnsi"/>
          <w:lang w:eastAsia="zh-CN"/>
        </w:rPr>
        <w:t>3</w:t>
      </w:r>
      <w:r w:rsidRPr="00AC69E1">
        <w:rPr>
          <w:rFonts w:asciiTheme="minorHAnsi" w:hAnsiTheme="minorHAnsi" w:cstheme="minorHAnsi"/>
          <w:lang w:eastAsia="ja-JP"/>
        </w:rPr>
        <w:t xml:space="preserve"> of Recommendation ITU-R M.</w:t>
      </w:r>
      <w:proofErr w:type="gramStart"/>
      <w:r w:rsidRPr="00AC69E1">
        <w:rPr>
          <w:rFonts w:asciiTheme="minorHAnsi" w:hAnsiTheme="minorHAnsi" w:cstheme="minorHAnsi"/>
          <w:lang w:eastAsia="ja-JP"/>
        </w:rPr>
        <w:t>2150</w:t>
      </w:r>
      <w:r w:rsidRPr="00AC69E1">
        <w:rPr>
          <w:rFonts w:asciiTheme="minorHAnsi" w:hAnsiTheme="minorHAnsi" w:cstheme="minorHAnsi"/>
          <w:lang w:eastAsia="zh-CN"/>
        </w:rPr>
        <w:t>;</w:t>
      </w:r>
      <w:proofErr w:type="gramEnd"/>
    </w:p>
    <w:p w14:paraId="6DD78F3D" w14:textId="77777777" w:rsidR="005D5FAC" w:rsidRPr="00AC69E1" w:rsidRDefault="005D5FAC" w:rsidP="005D5FAC">
      <w:pPr>
        <w:pStyle w:val="enumlev1"/>
        <w:rPr>
          <w:rFonts w:asciiTheme="minorHAnsi" w:eastAsia="Malgun Gothic" w:hAnsiTheme="minorHAnsi" w:cstheme="minorHAnsi"/>
          <w:lang w:eastAsia="ja-JP"/>
        </w:rPr>
      </w:pPr>
      <w:r w:rsidRPr="00AC69E1">
        <w:rPr>
          <w:rFonts w:asciiTheme="minorHAnsi" w:eastAsia="Malgun Gothic" w:hAnsiTheme="minorHAnsi" w:cstheme="minorHAnsi"/>
        </w:rPr>
        <w:t>–</w:t>
      </w:r>
      <w:r w:rsidRPr="00AC69E1">
        <w:rPr>
          <w:rFonts w:asciiTheme="minorHAnsi" w:eastAsia="Malgun Gothic" w:hAnsiTheme="minorHAnsi" w:cstheme="minorHAnsi"/>
        </w:rPr>
        <w:tab/>
        <w:t xml:space="preserve">to </w:t>
      </w:r>
      <w:r w:rsidRPr="00AC69E1">
        <w:rPr>
          <w:rFonts w:asciiTheme="minorHAnsi" w:eastAsia="Malgun Gothic" w:hAnsiTheme="minorHAnsi" w:cstheme="minorHAnsi"/>
          <w:lang w:eastAsia="ja-JP"/>
        </w:rPr>
        <w:t>invite the formation of Independent Evaluation Groups (IEGs) and the subsequent submission of evaluation reports on this new candidate RIT according to the established detailed timeline.</w:t>
      </w:r>
    </w:p>
    <w:p w14:paraId="019F060F" w14:textId="77777777" w:rsidR="005D5FAC" w:rsidRPr="00AC69E1" w:rsidRDefault="005D5FAC" w:rsidP="005D5FAC">
      <w:pPr>
        <w:rPr>
          <w:rFonts w:asciiTheme="minorHAnsi" w:eastAsia="Malgun Gothic" w:hAnsiTheme="minorHAnsi" w:cstheme="minorHAnsi"/>
        </w:rPr>
      </w:pPr>
      <w:r w:rsidRPr="00AC69E1">
        <w:rPr>
          <w:rFonts w:asciiTheme="minorHAnsi" w:eastAsia="Malgun Gothic" w:hAnsiTheme="minorHAnsi" w:cstheme="minorHAnsi"/>
          <w:lang w:eastAsia="ja-JP"/>
        </w:rPr>
        <w:t xml:space="preserve">The Working Party 5D timeline shows that the submission of updates </w:t>
      </w:r>
      <w:r w:rsidRPr="00AC69E1">
        <w:rPr>
          <w:rFonts w:asciiTheme="minorHAnsi" w:hAnsiTheme="minorHAnsi" w:cstheme="minorHAnsi"/>
          <w:lang w:eastAsia="zh-CN"/>
        </w:rPr>
        <w:t xml:space="preserve">and new proposals </w:t>
      </w:r>
      <w:r w:rsidRPr="00AC69E1">
        <w:rPr>
          <w:rFonts w:asciiTheme="minorHAnsi" w:eastAsia="Malgun Gothic" w:hAnsiTheme="minorHAnsi" w:cstheme="minorHAnsi"/>
          <w:lang w:eastAsia="ja-JP"/>
        </w:rPr>
        <w:t>to be considered in the revision cycle is scheduled to begin from WP 5D meeting No. 44 (June 2023) and end at WP 5D meeting No. 50 (October 2025)</w:t>
      </w:r>
      <w:r w:rsidRPr="00AC69E1">
        <w:rPr>
          <w:rFonts w:asciiTheme="minorHAnsi" w:eastAsia="Malgun Gothic" w:hAnsiTheme="minorHAnsi" w:cstheme="minorHAnsi"/>
          <w:position w:val="6"/>
          <w:sz w:val="18"/>
          <w:lang w:eastAsia="ja-JP"/>
        </w:rPr>
        <w:footnoteReference w:id="1"/>
      </w:r>
      <w:r w:rsidRPr="00AC69E1">
        <w:rPr>
          <w:rFonts w:asciiTheme="minorHAnsi" w:eastAsia="Malgun Gothic" w:hAnsiTheme="minorHAnsi" w:cstheme="minorHAnsi"/>
          <w:lang w:eastAsia="ja-JP"/>
        </w:rPr>
        <w:t>.</w:t>
      </w:r>
    </w:p>
    <w:p w14:paraId="4CB81A55" w14:textId="77777777" w:rsidR="005D5FAC" w:rsidRPr="00AC69E1" w:rsidRDefault="005D5FAC" w:rsidP="005D5FAC">
      <w:pPr>
        <w:pStyle w:val="Heading1"/>
        <w:rPr>
          <w:rFonts w:asciiTheme="minorHAnsi" w:hAnsiTheme="minorHAnsi" w:cstheme="minorHAnsi"/>
        </w:rPr>
      </w:pPr>
      <w:bookmarkStart w:id="1" w:name="OLE_LINK14"/>
      <w:bookmarkStart w:id="2" w:name="OLE_LINK15"/>
      <w:r w:rsidRPr="00AC69E1">
        <w:rPr>
          <w:rFonts w:asciiTheme="minorHAnsi" w:hAnsiTheme="minorHAnsi" w:cstheme="minorHAnsi"/>
        </w:rPr>
        <w:lastRenderedPageBreak/>
        <w:t>3</w:t>
      </w:r>
      <w:r w:rsidRPr="00AC69E1">
        <w:rPr>
          <w:rFonts w:asciiTheme="minorHAnsi" w:eastAsia="Malgun Gothic" w:hAnsiTheme="minorHAnsi" w:cstheme="minorHAnsi"/>
        </w:rPr>
        <w:tab/>
      </w:r>
      <w:r w:rsidRPr="00AC69E1">
        <w:rPr>
          <w:rFonts w:asciiTheme="minorHAnsi" w:hAnsiTheme="minorHAnsi" w:cstheme="minorHAnsi"/>
        </w:rPr>
        <w:t>Proposed candidate technology</w:t>
      </w:r>
    </w:p>
    <w:bookmarkEnd w:id="1"/>
    <w:bookmarkEnd w:id="2"/>
    <w:p w14:paraId="4DD70127" w14:textId="77777777" w:rsidR="005D5FAC" w:rsidRPr="00AC69E1" w:rsidRDefault="005D5FAC" w:rsidP="005D5FAC">
      <w:pPr>
        <w:rPr>
          <w:rFonts w:asciiTheme="minorHAnsi" w:eastAsia="SimSun" w:hAnsiTheme="minorHAnsi" w:cstheme="minorHAnsi"/>
        </w:rPr>
      </w:pPr>
      <w:r w:rsidRPr="00AC69E1">
        <w:rPr>
          <w:rFonts w:asciiTheme="minorHAnsi" w:eastAsia="Malgun Gothic" w:hAnsiTheme="minorHAnsi" w:cstheme="minorHAnsi"/>
          <w:spacing w:val="-2"/>
        </w:rPr>
        <w:t>ITU-R</w:t>
      </w:r>
      <w:r w:rsidRPr="00AC69E1">
        <w:rPr>
          <w:rFonts w:asciiTheme="minorHAnsi" w:eastAsia="SimSun" w:hAnsiTheme="minorHAnsi" w:cstheme="minorHAnsi"/>
          <w:spacing w:val="-2"/>
        </w:rPr>
        <w:t xml:space="preserve"> WP 5D has reviewed the candidate technology proposed from a proponent to the 45</w:t>
      </w:r>
      <w:r w:rsidRPr="00AC69E1">
        <w:rPr>
          <w:rFonts w:asciiTheme="minorHAnsi" w:eastAsia="SimSun" w:hAnsiTheme="minorHAnsi" w:cstheme="minorHAnsi"/>
          <w:spacing w:val="-2"/>
          <w:vertAlign w:val="superscript"/>
        </w:rPr>
        <w:t>th</w:t>
      </w:r>
      <w:r w:rsidRPr="00AC69E1">
        <w:rPr>
          <w:rFonts w:asciiTheme="minorHAnsi" w:eastAsia="SimSun" w:hAnsiTheme="minorHAnsi" w:cstheme="minorHAnsi"/>
          <w:spacing w:val="-2"/>
        </w:rPr>
        <w:t xml:space="preserve"> meeting of WP 5D under Step 3 of the IMT-2020 submission and evaluation </w:t>
      </w:r>
      <w:proofErr w:type="gramStart"/>
      <w:r w:rsidRPr="00AC69E1">
        <w:rPr>
          <w:rFonts w:asciiTheme="minorHAnsi" w:eastAsia="SimSun" w:hAnsiTheme="minorHAnsi" w:cstheme="minorHAnsi"/>
          <w:spacing w:val="-2"/>
        </w:rPr>
        <w:t>process, and</w:t>
      </w:r>
      <w:proofErr w:type="gramEnd"/>
      <w:r w:rsidRPr="00AC69E1">
        <w:rPr>
          <w:rFonts w:asciiTheme="minorHAnsi" w:eastAsia="SimSun" w:hAnsiTheme="minorHAnsi" w:cstheme="minorHAnsi"/>
          <w:spacing w:val="-2"/>
        </w:rPr>
        <w:t xml:space="preserve"> acknowledged this </w:t>
      </w:r>
      <w:r w:rsidRPr="00AC69E1">
        <w:rPr>
          <w:rFonts w:asciiTheme="minorHAnsi" w:eastAsia="SimSun" w:hAnsiTheme="minorHAnsi" w:cstheme="minorHAnsi"/>
        </w:rPr>
        <w:t>submission as “complete” in conformance with Section 5 of Report ITU-R M.2411.</w:t>
      </w:r>
    </w:p>
    <w:p w14:paraId="4C54050B" w14:textId="77777777" w:rsidR="005D5FAC" w:rsidRPr="00AC69E1" w:rsidRDefault="005D5FAC" w:rsidP="005D5FAC">
      <w:pPr>
        <w:tabs>
          <w:tab w:val="left" w:pos="2608"/>
          <w:tab w:val="left" w:pos="3345"/>
        </w:tabs>
        <w:spacing w:before="80"/>
        <w:ind w:left="794" w:hanging="794"/>
        <w:rPr>
          <w:rFonts w:asciiTheme="minorHAnsi" w:eastAsia="Batang" w:hAnsiTheme="minorHAnsi" w:cstheme="minorHAnsi"/>
          <w:i/>
          <w:iCs/>
        </w:rPr>
      </w:pPr>
      <w:r w:rsidRPr="00AC69E1">
        <w:rPr>
          <w:rFonts w:asciiTheme="minorHAnsi" w:eastAsia="Batang" w:hAnsiTheme="minorHAnsi" w:cstheme="minorHAnsi"/>
          <w:lang w:eastAsia="ja-JP"/>
        </w:rPr>
        <w:t>–</w:t>
      </w:r>
      <w:r w:rsidRPr="00AC69E1">
        <w:rPr>
          <w:rFonts w:asciiTheme="minorHAnsi" w:eastAsia="Batang" w:hAnsiTheme="minorHAnsi" w:cstheme="minorHAnsi"/>
          <w:lang w:eastAsia="ja-JP"/>
        </w:rPr>
        <w:tab/>
        <w:t xml:space="preserve">Doc. </w:t>
      </w:r>
      <w:hyperlink r:id="rId11" w:history="1">
        <w:r w:rsidRPr="00AC69E1">
          <w:rPr>
            <w:rStyle w:val="Hyperlink"/>
            <w:rFonts w:asciiTheme="minorHAnsi" w:eastAsia="Batang" w:hAnsiTheme="minorHAnsi" w:cstheme="minorHAnsi"/>
            <w:lang w:eastAsia="ja-JP"/>
          </w:rPr>
          <w:t>IMT-2020/</w:t>
        </w:r>
        <w:r w:rsidRPr="00AC69E1">
          <w:rPr>
            <w:rStyle w:val="Hyperlink"/>
            <w:rFonts w:asciiTheme="minorHAnsi" w:hAnsiTheme="minorHAnsi" w:cstheme="minorHAnsi"/>
            <w:lang w:eastAsia="zh-CN"/>
          </w:rPr>
          <w:t>89</w:t>
        </w:r>
      </w:hyperlink>
      <w:r w:rsidRPr="00AC69E1">
        <w:rPr>
          <w:rFonts w:asciiTheme="minorHAnsi" w:eastAsia="Batang" w:hAnsiTheme="minorHAnsi" w:cstheme="minorHAnsi"/>
          <w:lang w:eastAsia="ja-JP"/>
        </w:rPr>
        <w:t xml:space="preserve"> − </w:t>
      </w:r>
      <w:r w:rsidRPr="00AC69E1">
        <w:rPr>
          <w:rFonts w:asciiTheme="minorHAnsi" w:eastAsia="Batang" w:hAnsiTheme="minorHAnsi" w:cstheme="minorHAnsi"/>
          <w:i/>
          <w:iCs/>
        </w:rPr>
        <w:t xml:space="preserve">Acknowledgement </w:t>
      </w:r>
      <w:r w:rsidRPr="00AC69E1">
        <w:rPr>
          <w:rFonts w:asciiTheme="minorHAnsi" w:eastAsia="Batang" w:hAnsiTheme="minorHAnsi" w:cstheme="minorHAnsi"/>
          <w:i/>
          <w:iCs/>
          <w:lang w:eastAsia="ja-JP"/>
        </w:rPr>
        <w:t>o</w:t>
      </w:r>
      <w:r w:rsidRPr="00AC69E1">
        <w:rPr>
          <w:rFonts w:asciiTheme="minorHAnsi" w:eastAsia="Batang" w:hAnsiTheme="minorHAnsi" w:cstheme="minorHAnsi"/>
          <w:i/>
          <w:iCs/>
        </w:rPr>
        <w:t xml:space="preserve">f </w:t>
      </w:r>
      <w:r w:rsidRPr="00AC69E1">
        <w:rPr>
          <w:rFonts w:asciiTheme="minorHAnsi" w:eastAsia="Batang" w:hAnsiTheme="minorHAnsi" w:cstheme="minorHAnsi"/>
          <w:i/>
          <w:iCs/>
          <w:lang w:eastAsia="ja-JP"/>
        </w:rPr>
        <w:t>c</w:t>
      </w:r>
      <w:r w:rsidRPr="00AC69E1">
        <w:rPr>
          <w:rFonts w:asciiTheme="minorHAnsi" w:eastAsia="Batang" w:hAnsiTheme="minorHAnsi" w:cstheme="minorHAnsi"/>
          <w:i/>
          <w:iCs/>
        </w:rPr>
        <w:t xml:space="preserve">andidate RIT </w:t>
      </w:r>
      <w:r w:rsidRPr="00AC69E1">
        <w:rPr>
          <w:rFonts w:asciiTheme="minorHAnsi" w:eastAsia="Batang" w:hAnsiTheme="minorHAnsi" w:cstheme="minorHAnsi"/>
          <w:i/>
          <w:iCs/>
          <w:lang w:eastAsia="ja-JP"/>
        </w:rPr>
        <w:t>s</w:t>
      </w:r>
      <w:r w:rsidRPr="00AC69E1">
        <w:rPr>
          <w:rFonts w:asciiTheme="minorHAnsi" w:eastAsia="Batang" w:hAnsiTheme="minorHAnsi" w:cstheme="minorHAnsi"/>
          <w:i/>
          <w:iCs/>
        </w:rPr>
        <w:t xml:space="preserve">ubmission </w:t>
      </w:r>
      <w:r w:rsidRPr="00AC69E1">
        <w:rPr>
          <w:rFonts w:asciiTheme="minorHAnsi" w:eastAsia="Batang" w:hAnsiTheme="minorHAnsi" w:cstheme="minorHAnsi"/>
          <w:i/>
          <w:iCs/>
          <w:lang w:eastAsia="ja-JP"/>
        </w:rPr>
        <w:t>from Nufront u</w:t>
      </w:r>
      <w:r w:rsidRPr="00AC69E1">
        <w:rPr>
          <w:rFonts w:asciiTheme="minorHAnsi" w:eastAsia="Batang" w:hAnsiTheme="minorHAnsi" w:cstheme="minorHAnsi"/>
          <w:i/>
          <w:iCs/>
        </w:rPr>
        <w:t xml:space="preserve">nder Step 3 </w:t>
      </w:r>
      <w:r w:rsidRPr="00AC69E1">
        <w:rPr>
          <w:rFonts w:asciiTheme="minorHAnsi" w:eastAsia="Batang" w:hAnsiTheme="minorHAnsi" w:cstheme="minorHAnsi"/>
          <w:i/>
          <w:iCs/>
          <w:lang w:eastAsia="ja-JP"/>
        </w:rPr>
        <w:t>of</w:t>
      </w:r>
      <w:r w:rsidRPr="00AC69E1">
        <w:rPr>
          <w:rFonts w:asciiTheme="minorHAnsi" w:eastAsia="Batang" w:hAnsiTheme="minorHAnsi" w:cstheme="minorHAnsi"/>
          <w:i/>
          <w:iCs/>
        </w:rPr>
        <w:t xml:space="preserve"> the I</w:t>
      </w:r>
      <w:r w:rsidRPr="00AC69E1">
        <w:rPr>
          <w:rFonts w:asciiTheme="minorHAnsi" w:eastAsia="Batang" w:hAnsiTheme="minorHAnsi" w:cstheme="minorHAnsi"/>
          <w:i/>
          <w:iCs/>
          <w:lang w:eastAsia="ja-JP"/>
        </w:rPr>
        <w:t>MT</w:t>
      </w:r>
      <w:r w:rsidRPr="00AC69E1">
        <w:rPr>
          <w:rFonts w:asciiTheme="minorHAnsi" w:eastAsia="Batang" w:hAnsiTheme="minorHAnsi" w:cstheme="minorHAnsi"/>
          <w:i/>
          <w:iCs/>
        </w:rPr>
        <w:t xml:space="preserve">-2020 </w:t>
      </w:r>
      <w:r w:rsidRPr="00AC69E1">
        <w:rPr>
          <w:rFonts w:asciiTheme="minorHAnsi" w:eastAsia="Batang" w:hAnsiTheme="minorHAnsi" w:cstheme="minorHAnsi"/>
          <w:i/>
          <w:iCs/>
          <w:lang w:eastAsia="ja-JP"/>
        </w:rPr>
        <w:t>p</w:t>
      </w:r>
      <w:r w:rsidRPr="00AC69E1">
        <w:rPr>
          <w:rFonts w:asciiTheme="minorHAnsi" w:eastAsia="Batang" w:hAnsiTheme="minorHAnsi" w:cstheme="minorHAnsi"/>
          <w:i/>
          <w:iCs/>
        </w:rPr>
        <w:t>rocess</w:t>
      </w:r>
    </w:p>
    <w:p w14:paraId="4E524299" w14:textId="77777777" w:rsidR="005D5FAC" w:rsidRPr="00AC69E1" w:rsidRDefault="005D5FAC" w:rsidP="005D5FAC">
      <w:pPr>
        <w:rPr>
          <w:rFonts w:asciiTheme="minorHAnsi" w:eastAsia="SimSun" w:hAnsiTheme="minorHAnsi" w:cstheme="minorHAnsi"/>
        </w:rPr>
      </w:pPr>
      <w:r w:rsidRPr="00AC69E1">
        <w:rPr>
          <w:rFonts w:asciiTheme="minorHAnsi" w:eastAsia="Malgun Gothic" w:hAnsiTheme="minorHAnsi" w:cstheme="minorHAnsi"/>
        </w:rPr>
        <w:t xml:space="preserve">For convenience, this submitted proposal is referenced in Document </w:t>
      </w:r>
      <w:hyperlink r:id="rId12" w:history="1">
        <w:r w:rsidRPr="00AC69E1">
          <w:rPr>
            <w:rStyle w:val="Hyperlink"/>
            <w:rFonts w:asciiTheme="minorHAnsi" w:eastAsia="Malgun Gothic" w:hAnsiTheme="minorHAnsi" w:cstheme="minorHAnsi"/>
          </w:rPr>
          <w:t>IMT-2020/</w:t>
        </w:r>
        <w:r w:rsidRPr="00AC69E1">
          <w:rPr>
            <w:rStyle w:val="Hyperlink"/>
            <w:rFonts w:asciiTheme="minorHAnsi" w:hAnsiTheme="minorHAnsi" w:cstheme="minorHAnsi"/>
            <w:lang w:eastAsia="zh-CN"/>
          </w:rPr>
          <w:t>88</w:t>
        </w:r>
      </w:hyperlink>
      <w:r w:rsidRPr="00AC69E1">
        <w:rPr>
          <w:rFonts w:asciiTheme="minorHAnsi" w:hAnsiTheme="minorHAnsi" w:cstheme="minorHAnsi"/>
          <w:lang w:eastAsia="zh-CN"/>
        </w:rPr>
        <w:t xml:space="preserve"> </w:t>
      </w:r>
      <w:r w:rsidRPr="00AC69E1">
        <w:rPr>
          <w:rFonts w:asciiTheme="minorHAnsi" w:eastAsia="Malgun Gothic" w:hAnsiTheme="minorHAnsi" w:cstheme="minorHAnsi"/>
        </w:rPr>
        <w:t>with supplementary information and also posted on the web page of “</w:t>
      </w:r>
      <w:hyperlink r:id="rId13" w:history="1">
        <w:r w:rsidRPr="00AC69E1">
          <w:rPr>
            <w:rFonts w:asciiTheme="minorHAnsi" w:eastAsia="Malgun Gothic" w:hAnsiTheme="minorHAnsi" w:cstheme="minorHAnsi"/>
            <w:color w:val="0000FF"/>
            <w:u w:val="single"/>
          </w:rPr>
          <w:t>Submission</w:t>
        </w:r>
        <w:r w:rsidRPr="00AC69E1">
          <w:rPr>
            <w:rFonts w:asciiTheme="minorHAnsi" w:eastAsia="SimSun" w:hAnsiTheme="minorHAnsi" w:cstheme="minorHAnsi"/>
            <w:color w:val="0000FF"/>
            <w:u w:val="single"/>
          </w:rPr>
          <w:t xml:space="preserve"> </w:t>
        </w:r>
        <w:r w:rsidRPr="00AC69E1">
          <w:rPr>
            <w:rFonts w:asciiTheme="minorHAnsi" w:eastAsia="Malgun Gothic" w:hAnsiTheme="minorHAnsi" w:cstheme="minorHAnsi"/>
            <w:color w:val="0000FF"/>
            <w:u w:val="single"/>
          </w:rPr>
          <w:t>and evaluation process for Revision 3 of Recommendation ITU-R M.2150 (2024-2025 work)</w:t>
        </w:r>
      </w:hyperlink>
      <w:r w:rsidRPr="00AC69E1">
        <w:rPr>
          <w:rFonts w:asciiTheme="minorHAnsi" w:eastAsia="Malgun Gothic" w:hAnsiTheme="minorHAnsi" w:cstheme="minorHAnsi"/>
        </w:rPr>
        <w:t xml:space="preserve">”. </w:t>
      </w:r>
    </w:p>
    <w:p w14:paraId="44D1CBFC" w14:textId="77777777" w:rsidR="005D5FAC" w:rsidRPr="00AC69E1" w:rsidRDefault="005D5FAC" w:rsidP="005D5FAC">
      <w:pPr>
        <w:pStyle w:val="Heading1"/>
        <w:rPr>
          <w:rFonts w:asciiTheme="minorHAnsi" w:hAnsiTheme="minorHAnsi" w:cstheme="minorHAnsi"/>
        </w:rPr>
      </w:pPr>
      <w:r w:rsidRPr="00AC69E1">
        <w:rPr>
          <w:rFonts w:asciiTheme="minorHAnsi" w:hAnsiTheme="minorHAnsi" w:cstheme="minorHAnsi"/>
        </w:rPr>
        <w:t>4</w:t>
      </w:r>
      <w:r w:rsidRPr="00AC69E1">
        <w:rPr>
          <w:rFonts w:asciiTheme="minorHAnsi" w:eastAsia="Malgun Gothic" w:hAnsiTheme="minorHAnsi" w:cstheme="minorHAnsi"/>
        </w:rPr>
        <w:tab/>
      </w:r>
      <w:r w:rsidRPr="00AC69E1">
        <w:rPr>
          <w:rFonts w:asciiTheme="minorHAnsi" w:hAnsiTheme="minorHAnsi" w:cstheme="minorHAnsi"/>
        </w:rPr>
        <w:t>Evaluation of candidate RITs or SRITs</w:t>
      </w:r>
    </w:p>
    <w:p w14:paraId="3F8B6BAC" w14:textId="77777777" w:rsidR="005D5FAC" w:rsidRPr="00AC69E1" w:rsidRDefault="005D5FAC" w:rsidP="005D5FAC">
      <w:pPr>
        <w:rPr>
          <w:rFonts w:asciiTheme="minorHAnsi" w:eastAsia="SimSun" w:hAnsiTheme="minorHAnsi" w:cstheme="minorHAnsi"/>
          <w:sz w:val="22"/>
        </w:rPr>
      </w:pPr>
      <w:r w:rsidRPr="00AC69E1">
        <w:rPr>
          <w:rFonts w:asciiTheme="minorHAnsi" w:eastAsia="Batang" w:hAnsiTheme="minorHAnsi" w:cstheme="minorHAnsi"/>
        </w:rPr>
        <w:t>Following</w:t>
      </w:r>
      <w:r w:rsidRPr="00AC69E1">
        <w:rPr>
          <w:rFonts w:asciiTheme="minorHAnsi" w:eastAsia="Batang" w:hAnsiTheme="minorHAnsi" w:cstheme="minorHAnsi"/>
          <w:lang w:eastAsia="ja-JP"/>
        </w:rPr>
        <w:t xml:space="preserve"> the IMT-2020 process on “Submission/Reception of the RIT and SRIT proposals and acknowledgement of receipt” in accordance with Document </w:t>
      </w:r>
      <w:hyperlink r:id="rId14" w:history="1">
        <w:r w:rsidRPr="00AC69E1">
          <w:rPr>
            <w:rFonts w:asciiTheme="minorHAnsi" w:eastAsia="Batang" w:hAnsiTheme="minorHAnsi" w:cstheme="minorHAnsi"/>
            <w:color w:val="0000FF"/>
            <w:u w:val="single"/>
          </w:rPr>
          <w:t>IMT-2020/2(Rev.2)</w:t>
        </w:r>
      </w:hyperlink>
      <w:r w:rsidRPr="00AC69E1">
        <w:rPr>
          <w:rFonts w:asciiTheme="minorHAnsi" w:eastAsia="Batang" w:hAnsiTheme="minorHAnsi" w:cstheme="minorHAnsi"/>
          <w:lang w:eastAsia="ja-JP"/>
        </w:rPr>
        <w:t xml:space="preserve">, WP 5D </w:t>
      </w:r>
      <w:r w:rsidRPr="00AC69E1">
        <w:rPr>
          <w:rFonts w:asciiTheme="minorHAnsi" w:eastAsia="Malgun Gothic" w:hAnsiTheme="minorHAnsi" w:cstheme="minorHAnsi"/>
        </w:rPr>
        <w:t xml:space="preserve">started the </w:t>
      </w:r>
      <w:r w:rsidRPr="00AC69E1">
        <w:rPr>
          <w:rFonts w:asciiTheme="minorHAnsi" w:eastAsia="Batang" w:hAnsiTheme="minorHAnsi" w:cstheme="minorHAnsi"/>
          <w:lang w:eastAsia="ja-JP"/>
        </w:rPr>
        <w:t>evaluation from its 4</w:t>
      </w:r>
      <w:r w:rsidRPr="00AC69E1">
        <w:rPr>
          <w:rFonts w:asciiTheme="minorHAnsi" w:eastAsia="SimSun" w:hAnsiTheme="minorHAnsi" w:cstheme="minorHAnsi"/>
        </w:rPr>
        <w:t>5</w:t>
      </w:r>
      <w:r w:rsidRPr="00AC69E1">
        <w:rPr>
          <w:rFonts w:asciiTheme="minorHAnsi" w:eastAsia="Batang" w:hAnsiTheme="minorHAnsi" w:cstheme="minorHAnsi"/>
          <w:vertAlign w:val="superscript"/>
          <w:lang w:eastAsia="ja-JP"/>
        </w:rPr>
        <w:t>th</w:t>
      </w:r>
      <w:r w:rsidRPr="00AC69E1">
        <w:rPr>
          <w:rFonts w:asciiTheme="minorHAnsi" w:eastAsia="Batang" w:hAnsiTheme="minorHAnsi" w:cstheme="minorHAnsi"/>
          <w:lang w:eastAsia="ja-JP"/>
        </w:rPr>
        <w:t xml:space="preserve"> meeting in February 202</w:t>
      </w:r>
      <w:r w:rsidRPr="00AC69E1">
        <w:rPr>
          <w:rFonts w:asciiTheme="minorHAnsi" w:eastAsia="SimSun" w:hAnsiTheme="minorHAnsi" w:cstheme="minorHAnsi"/>
        </w:rPr>
        <w:t>4</w:t>
      </w:r>
      <w:r w:rsidRPr="00AC69E1">
        <w:rPr>
          <w:rFonts w:asciiTheme="minorHAnsi" w:eastAsia="Batang" w:hAnsiTheme="minorHAnsi" w:cstheme="minorHAnsi"/>
        </w:rPr>
        <w:t>, and the evaluation will last until the 4</w:t>
      </w:r>
      <w:r w:rsidRPr="00AC69E1">
        <w:rPr>
          <w:rFonts w:asciiTheme="minorHAnsi" w:eastAsia="SimSun" w:hAnsiTheme="minorHAnsi" w:cstheme="minorHAnsi"/>
        </w:rPr>
        <w:t>8</w:t>
      </w:r>
      <w:r w:rsidRPr="00AC69E1">
        <w:rPr>
          <w:rFonts w:asciiTheme="minorHAnsi" w:eastAsia="SimSun" w:hAnsiTheme="minorHAnsi" w:cstheme="minorHAnsi"/>
          <w:vertAlign w:val="superscript"/>
        </w:rPr>
        <w:t>th</w:t>
      </w:r>
      <w:r w:rsidRPr="00AC69E1">
        <w:rPr>
          <w:rFonts w:asciiTheme="minorHAnsi" w:eastAsia="SimSun" w:hAnsiTheme="minorHAnsi" w:cstheme="minorHAnsi"/>
        </w:rPr>
        <w:t xml:space="preserve"> </w:t>
      </w:r>
      <w:r w:rsidRPr="00AC69E1">
        <w:rPr>
          <w:rFonts w:asciiTheme="minorHAnsi" w:eastAsia="Batang" w:hAnsiTheme="minorHAnsi" w:cstheme="minorHAnsi"/>
        </w:rPr>
        <w:t xml:space="preserve">meeting in </w:t>
      </w:r>
      <w:r w:rsidRPr="00AC69E1">
        <w:rPr>
          <w:rFonts w:asciiTheme="minorHAnsi" w:eastAsia="SimSun" w:hAnsiTheme="minorHAnsi" w:cstheme="minorHAnsi"/>
        </w:rPr>
        <w:t>February</w:t>
      </w:r>
      <w:r w:rsidRPr="00AC69E1">
        <w:rPr>
          <w:rFonts w:asciiTheme="minorHAnsi" w:eastAsia="Batang" w:hAnsiTheme="minorHAnsi" w:cstheme="minorHAnsi"/>
        </w:rPr>
        <w:t xml:space="preserve"> 202</w:t>
      </w:r>
      <w:r w:rsidRPr="00AC69E1">
        <w:rPr>
          <w:rFonts w:asciiTheme="minorHAnsi" w:eastAsia="SimSun" w:hAnsiTheme="minorHAnsi" w:cstheme="minorHAnsi"/>
        </w:rPr>
        <w:t>5</w:t>
      </w:r>
      <w:r w:rsidRPr="00AC69E1">
        <w:rPr>
          <w:rFonts w:asciiTheme="minorHAnsi" w:eastAsia="Batang" w:hAnsiTheme="minorHAnsi" w:cstheme="minorHAnsi"/>
        </w:rPr>
        <w:t xml:space="preserve">, when </w:t>
      </w:r>
      <w:r w:rsidRPr="00AC69E1">
        <w:rPr>
          <w:rFonts w:asciiTheme="minorHAnsi" w:eastAsia="SimSun" w:hAnsiTheme="minorHAnsi" w:cstheme="minorHAnsi"/>
        </w:rPr>
        <w:t xml:space="preserve">WP 5D expects to receive the final evaluation reports from the Independent Evaluation </w:t>
      </w:r>
      <w:r w:rsidRPr="00AC69E1">
        <w:rPr>
          <w:rFonts w:asciiTheme="minorHAnsi" w:eastAsia="Batang" w:hAnsiTheme="minorHAnsi" w:cstheme="minorHAnsi"/>
        </w:rPr>
        <w:t>Groups</w:t>
      </w:r>
      <w:r w:rsidRPr="00AC69E1">
        <w:rPr>
          <w:rFonts w:asciiTheme="minorHAnsi" w:eastAsia="SimSun" w:hAnsiTheme="minorHAnsi" w:cstheme="minorHAnsi"/>
        </w:rPr>
        <w:t>.</w:t>
      </w:r>
    </w:p>
    <w:p w14:paraId="62AE7941" w14:textId="4FC45F65" w:rsidR="005D5FAC" w:rsidRPr="00AC69E1" w:rsidRDefault="005D5FAC" w:rsidP="005D5FAC">
      <w:pPr>
        <w:rPr>
          <w:rFonts w:asciiTheme="minorHAnsi" w:eastAsia="Malgun Gothic" w:hAnsiTheme="minorHAnsi" w:cstheme="minorHAnsi"/>
          <w:i/>
          <w:iCs/>
          <w:lang w:eastAsia="ja-JP"/>
        </w:rPr>
      </w:pPr>
      <w:r w:rsidRPr="00AC69E1">
        <w:rPr>
          <w:rFonts w:asciiTheme="minorHAnsi" w:eastAsia="Malgun Gothic" w:hAnsiTheme="minorHAnsi" w:cstheme="minorHAnsi"/>
          <w:i/>
          <w:iCs/>
          <w:lang w:eastAsia="ja-JP"/>
        </w:rPr>
        <w:t xml:space="preserve">Potential Independent Evaluation Groups (IEGs) are requested to register with ITU-R </w:t>
      </w:r>
      <w:r w:rsidRPr="00AC69E1">
        <w:rPr>
          <w:rFonts w:asciiTheme="minorHAnsi" w:eastAsia="Malgun Gothic" w:hAnsiTheme="minorHAnsi" w:cstheme="minorHAnsi"/>
          <w:i/>
          <w:iCs/>
          <w:u w:val="single"/>
          <w:lang w:eastAsia="ja-JP"/>
        </w:rPr>
        <w:t xml:space="preserve">no later than </w:t>
      </w:r>
      <w:r w:rsidRPr="00AC69E1">
        <w:rPr>
          <w:rFonts w:asciiTheme="minorHAnsi" w:eastAsia="SimSun" w:hAnsiTheme="minorHAnsi" w:cstheme="minorHAnsi"/>
          <w:i/>
          <w:iCs/>
          <w:u w:val="single"/>
          <w:lang w:eastAsia="zh-CN"/>
        </w:rPr>
        <w:t>13</w:t>
      </w:r>
      <w:r w:rsidRPr="00AC69E1">
        <w:rPr>
          <w:rFonts w:asciiTheme="minorHAnsi" w:eastAsia="SimSun" w:hAnsiTheme="minorHAnsi" w:cstheme="minorHAnsi"/>
          <w:i/>
          <w:iCs/>
          <w:u w:val="single"/>
          <w:vertAlign w:val="superscript"/>
          <w:lang w:eastAsia="zh-CN"/>
        </w:rPr>
        <w:t>th</w:t>
      </w:r>
      <w:r w:rsidRPr="00AC69E1">
        <w:rPr>
          <w:rFonts w:asciiTheme="minorHAnsi" w:eastAsia="Malgun Gothic" w:hAnsiTheme="minorHAnsi" w:cstheme="minorHAnsi"/>
          <w:i/>
          <w:iCs/>
          <w:u w:val="single"/>
          <w:lang w:eastAsia="ja-JP"/>
        </w:rPr>
        <w:t xml:space="preserve"> </w:t>
      </w:r>
      <w:r w:rsidRPr="00AC69E1">
        <w:rPr>
          <w:rFonts w:asciiTheme="minorHAnsi" w:eastAsia="SimSun" w:hAnsiTheme="minorHAnsi" w:cstheme="minorHAnsi"/>
          <w:i/>
          <w:iCs/>
          <w:u w:val="single"/>
          <w:lang w:eastAsia="zh-CN"/>
        </w:rPr>
        <w:t>June</w:t>
      </w:r>
      <w:r w:rsidRPr="00AC69E1">
        <w:rPr>
          <w:rFonts w:asciiTheme="minorHAnsi" w:eastAsia="SimSun" w:hAnsiTheme="minorHAnsi" w:cstheme="minorHAnsi"/>
          <w:i/>
          <w:iCs/>
          <w:u w:val="single"/>
        </w:rPr>
        <w:t xml:space="preserve"> </w:t>
      </w:r>
      <w:r w:rsidRPr="00AC69E1">
        <w:rPr>
          <w:rFonts w:asciiTheme="minorHAnsi" w:eastAsia="Malgun Gothic" w:hAnsiTheme="minorHAnsi" w:cstheme="minorHAnsi"/>
          <w:i/>
          <w:iCs/>
          <w:u w:val="single"/>
          <w:lang w:eastAsia="ja-JP"/>
        </w:rPr>
        <w:t>202</w:t>
      </w:r>
      <w:r w:rsidRPr="00AC69E1">
        <w:rPr>
          <w:rFonts w:asciiTheme="minorHAnsi" w:eastAsia="SimSun" w:hAnsiTheme="minorHAnsi" w:cstheme="minorHAnsi"/>
          <w:i/>
          <w:iCs/>
          <w:u w:val="single"/>
        </w:rPr>
        <w:t>4</w:t>
      </w:r>
      <w:r w:rsidRPr="00AC69E1">
        <w:rPr>
          <w:rFonts w:asciiTheme="minorHAnsi" w:eastAsia="Malgun Gothic" w:hAnsiTheme="minorHAnsi" w:cstheme="minorHAnsi"/>
          <w:i/>
          <w:iCs/>
          <w:lang w:eastAsia="ja-JP"/>
        </w:rPr>
        <w:t xml:space="preserve"> to better enable dialog between the IEGs and Proponent Nufront</w:t>
      </w:r>
      <w:r w:rsidRPr="00AC69E1">
        <w:rPr>
          <w:rFonts w:asciiTheme="minorHAnsi" w:hAnsiTheme="minorHAnsi" w:cstheme="minorHAnsi"/>
          <w:i/>
          <w:iCs/>
          <w:lang w:eastAsia="zh-CN"/>
        </w:rPr>
        <w:t xml:space="preserve"> </w:t>
      </w:r>
      <w:proofErr w:type="gramStart"/>
      <w:r w:rsidRPr="00AC69E1">
        <w:rPr>
          <w:rFonts w:asciiTheme="minorHAnsi" w:hAnsiTheme="minorHAnsi" w:cstheme="minorHAnsi"/>
          <w:i/>
          <w:iCs/>
          <w:lang w:eastAsia="zh-CN"/>
        </w:rPr>
        <w:t>in order to</w:t>
      </w:r>
      <w:proofErr w:type="gramEnd"/>
      <w:r w:rsidRPr="00AC69E1">
        <w:rPr>
          <w:rFonts w:asciiTheme="minorHAnsi" w:hAnsiTheme="minorHAnsi" w:cstheme="minorHAnsi"/>
          <w:i/>
          <w:iCs/>
          <w:lang w:eastAsia="zh-CN"/>
        </w:rPr>
        <w:t xml:space="preserve"> meet the planned deadlines</w:t>
      </w:r>
      <w:r w:rsidRPr="00AC69E1">
        <w:rPr>
          <w:rFonts w:asciiTheme="minorHAnsi" w:eastAsia="Malgun Gothic" w:hAnsiTheme="minorHAnsi" w:cstheme="minorHAnsi"/>
          <w:i/>
          <w:iCs/>
          <w:lang w:eastAsia="ja-JP"/>
        </w:rPr>
        <w:t>. See Annex 1 for further details related to this request.</w:t>
      </w:r>
    </w:p>
    <w:p w14:paraId="5A6E8F4C" w14:textId="28282CFB" w:rsidR="005D5FAC" w:rsidRPr="00AC69E1" w:rsidRDefault="005D5FAC" w:rsidP="005D5FAC">
      <w:pPr>
        <w:rPr>
          <w:rFonts w:asciiTheme="minorHAnsi" w:eastAsia="Malgun Gothic" w:hAnsiTheme="minorHAnsi" w:cstheme="minorHAnsi"/>
        </w:rPr>
      </w:pPr>
      <w:r w:rsidRPr="00AC69E1">
        <w:rPr>
          <w:rFonts w:asciiTheme="minorHAnsi" w:eastAsia="Malgun Gothic" w:hAnsiTheme="minorHAnsi" w:cstheme="minorHAnsi"/>
        </w:rPr>
        <w:t>To facilitate the evaluation activities by registered or potential Independent Evaluation Groups, a</w:t>
      </w:r>
      <w:r w:rsidR="0080525B">
        <w:rPr>
          <w:rFonts w:asciiTheme="minorHAnsi" w:eastAsia="Malgun Gothic" w:hAnsiTheme="minorHAnsi" w:cstheme="minorHAnsi"/>
        </w:rPr>
        <w:t> </w:t>
      </w:r>
      <w:r w:rsidRPr="00AC69E1">
        <w:rPr>
          <w:rFonts w:asciiTheme="minorHAnsi" w:eastAsia="Malgun Gothic" w:hAnsiTheme="minorHAnsi" w:cstheme="minorHAnsi"/>
        </w:rPr>
        <w:t xml:space="preserve">designated </w:t>
      </w:r>
      <w:r w:rsidR="001F2767" w:rsidRPr="0080525B">
        <w:rPr>
          <w:rFonts w:eastAsia="Malgun Gothic"/>
        </w:rPr>
        <w:t>Evaluation Group discussion area</w:t>
      </w:r>
      <w:r w:rsidRPr="00AC69E1">
        <w:rPr>
          <w:rFonts w:asciiTheme="minorHAnsi" w:eastAsia="SimSun" w:hAnsiTheme="minorHAnsi" w:cstheme="minorHAnsi"/>
        </w:rPr>
        <w:t xml:space="preserve"> u</w:t>
      </w:r>
      <w:r w:rsidRPr="00AC69E1">
        <w:rPr>
          <w:rFonts w:asciiTheme="minorHAnsi" w:eastAsia="Malgun Gothic" w:hAnsiTheme="minorHAnsi" w:cstheme="minorHAnsi"/>
        </w:rPr>
        <w:t>nder the WP 5D web page has been set up</w:t>
      </w:r>
      <w:r w:rsidR="001F2767">
        <w:rPr>
          <w:rFonts w:asciiTheme="minorHAnsi" w:eastAsia="Malgun Gothic" w:hAnsiTheme="minorHAnsi" w:cstheme="minorHAnsi"/>
        </w:rPr>
        <w:t>,</w:t>
      </w:r>
      <w:r w:rsidRPr="00AC69E1">
        <w:rPr>
          <w:rFonts w:asciiTheme="minorHAnsi" w:eastAsia="Malgun Gothic" w:hAnsiTheme="minorHAnsi" w:cstheme="minorHAnsi"/>
        </w:rPr>
        <w:t xml:space="preserve"> associated with the candidate technology submission for </w:t>
      </w:r>
      <w:r w:rsidRPr="00AC69E1">
        <w:rPr>
          <w:rFonts w:asciiTheme="minorHAnsi" w:eastAsia="SimSun" w:hAnsiTheme="minorHAnsi" w:cstheme="minorHAnsi"/>
        </w:rPr>
        <w:t xml:space="preserve">Revision 3 of </w:t>
      </w:r>
      <w:r w:rsidRPr="00AC69E1">
        <w:rPr>
          <w:rFonts w:asciiTheme="minorHAnsi" w:eastAsia="Malgun Gothic" w:hAnsiTheme="minorHAnsi" w:cstheme="minorHAnsi"/>
        </w:rPr>
        <w:t>Recommendation ITU-R M.2150</w:t>
      </w:r>
      <w:r w:rsidR="001F2767">
        <w:rPr>
          <w:rFonts w:asciiTheme="minorHAnsi" w:eastAsia="Malgun Gothic" w:hAnsiTheme="minorHAnsi" w:cstheme="minorHAnsi"/>
        </w:rPr>
        <w:t>, and will be accessible for registered IEGs</w:t>
      </w:r>
      <w:r w:rsidRPr="00AC69E1">
        <w:rPr>
          <w:rFonts w:asciiTheme="minorHAnsi" w:eastAsia="Malgun Gothic" w:hAnsiTheme="minorHAnsi" w:cstheme="minorHAnsi"/>
        </w:rPr>
        <w:t>.</w:t>
      </w:r>
    </w:p>
    <w:p w14:paraId="5E7C4AE6" w14:textId="77777777" w:rsidR="005D5FAC" w:rsidRPr="00AC69E1" w:rsidRDefault="005D5FAC" w:rsidP="005D5FAC">
      <w:pPr>
        <w:pStyle w:val="Heading1"/>
        <w:rPr>
          <w:rFonts w:asciiTheme="minorHAnsi" w:hAnsiTheme="minorHAnsi" w:cstheme="minorHAnsi"/>
        </w:rPr>
      </w:pPr>
      <w:r w:rsidRPr="00AC69E1">
        <w:rPr>
          <w:rFonts w:asciiTheme="minorHAnsi" w:hAnsiTheme="minorHAnsi" w:cstheme="minorHAnsi"/>
          <w:lang w:eastAsia="zh-CN"/>
        </w:rPr>
        <w:t>5</w:t>
      </w:r>
      <w:r w:rsidRPr="00AC69E1">
        <w:rPr>
          <w:rFonts w:asciiTheme="minorHAnsi" w:hAnsiTheme="minorHAnsi" w:cstheme="minorHAnsi"/>
        </w:rPr>
        <w:tab/>
        <w:t>Procedural Information and further details</w:t>
      </w:r>
    </w:p>
    <w:p w14:paraId="61522FCC" w14:textId="77777777" w:rsidR="005D5FAC" w:rsidRPr="00AC69E1" w:rsidRDefault="005D5FAC" w:rsidP="005D5FAC">
      <w:pPr>
        <w:rPr>
          <w:rFonts w:asciiTheme="minorHAnsi" w:eastAsia="Malgun Gothic" w:hAnsiTheme="minorHAnsi" w:cstheme="minorHAnsi"/>
        </w:rPr>
      </w:pPr>
      <w:r w:rsidRPr="00AC69E1">
        <w:rPr>
          <w:rFonts w:asciiTheme="minorHAnsi" w:eastAsia="Malgun Gothic" w:hAnsiTheme="minorHAnsi" w:cstheme="minorHAnsi"/>
        </w:rPr>
        <w:t>Annex 1 provides a high-level overview of the process and procedures established for this revision of Recommendation ITU-R M.2150.</w:t>
      </w:r>
    </w:p>
    <w:p w14:paraId="29008193" w14:textId="77777777" w:rsidR="005D5FAC" w:rsidRPr="00AC69E1" w:rsidRDefault="005D5FAC" w:rsidP="005D5FAC">
      <w:pPr>
        <w:rPr>
          <w:rFonts w:asciiTheme="minorHAnsi" w:eastAsia="Malgun Gothic" w:hAnsiTheme="minorHAnsi" w:cstheme="minorHAnsi"/>
        </w:rPr>
      </w:pPr>
      <w:r w:rsidRPr="00AC69E1">
        <w:rPr>
          <w:rFonts w:asciiTheme="minorHAnsi" w:eastAsia="Malgun Gothic" w:hAnsiTheme="minorHAnsi" w:cstheme="minorHAnsi"/>
        </w:rPr>
        <w:t>Updates on the revision 3 of Recommendation ITU-R M.2150 will be announced on the IMT-2020 web page or in an Addendum to this Circular Letter.</w:t>
      </w:r>
    </w:p>
    <w:p w14:paraId="78808A33" w14:textId="7642C6F4" w:rsidR="00F4401E" w:rsidRPr="00AC69E1" w:rsidRDefault="00F4401E" w:rsidP="00F4401E">
      <w:pPr>
        <w:spacing w:before="1200"/>
        <w:jc w:val="left"/>
        <w:rPr>
          <w:rFonts w:asciiTheme="minorHAnsi" w:eastAsia="Malgun Gothic" w:hAnsiTheme="minorHAnsi" w:cstheme="minorHAnsi"/>
        </w:rPr>
      </w:pPr>
      <w:r w:rsidRPr="00AC69E1">
        <w:rPr>
          <w:rFonts w:asciiTheme="minorHAnsi" w:hAnsiTheme="minorHAnsi" w:cstheme="minorHAnsi"/>
          <w:szCs w:val="24"/>
          <w:lang w:val="en-GB"/>
        </w:rPr>
        <w:t>Mario Maniewicz</w:t>
      </w:r>
      <w:r w:rsidRPr="00AC69E1">
        <w:rPr>
          <w:rFonts w:asciiTheme="minorHAnsi" w:hAnsiTheme="minorHAnsi" w:cstheme="minorHAnsi"/>
          <w:szCs w:val="24"/>
          <w:lang w:val="en-GB"/>
        </w:rPr>
        <w:br/>
        <w:t>Director</w:t>
      </w:r>
    </w:p>
    <w:p w14:paraId="74158B89" w14:textId="77777777" w:rsidR="005D5FAC" w:rsidRPr="00AC69E1" w:rsidRDefault="005D5FAC" w:rsidP="00F4401E">
      <w:pPr>
        <w:spacing w:before="2000" w:after="120"/>
        <w:rPr>
          <w:rFonts w:asciiTheme="minorHAnsi" w:eastAsia="SimSun" w:hAnsiTheme="minorHAnsi" w:cstheme="minorHAnsi"/>
        </w:rPr>
      </w:pPr>
      <w:r w:rsidRPr="00AC69E1">
        <w:rPr>
          <w:rFonts w:asciiTheme="minorHAnsi" w:eastAsia="SimSun" w:hAnsiTheme="minorHAnsi" w:cstheme="minorHAnsi"/>
          <w:b/>
          <w:bCs/>
        </w:rPr>
        <w:t>Annexes</w:t>
      </w:r>
      <w:r w:rsidRPr="00AC69E1">
        <w:rPr>
          <w:rFonts w:asciiTheme="minorHAnsi" w:eastAsia="SimSun" w:hAnsiTheme="minorHAnsi" w:cstheme="minorHAnsi"/>
        </w:rPr>
        <w:t>:</w:t>
      </w:r>
      <w:r w:rsidRPr="00AC69E1">
        <w:rPr>
          <w:rFonts w:asciiTheme="minorHAnsi" w:eastAsia="SimSun" w:hAnsiTheme="minorHAnsi" w:cstheme="minorHAnsi"/>
        </w:rPr>
        <w:tab/>
      </w:r>
      <w:r w:rsidRPr="00AC69E1">
        <w:rPr>
          <w:rFonts w:asciiTheme="minorHAnsi" w:eastAsia="SimSun" w:hAnsiTheme="minorHAnsi" w:cstheme="minorHAnsi"/>
          <w:lang w:eastAsia="zh-CN"/>
        </w:rPr>
        <w:t>2</w:t>
      </w:r>
      <w:r w:rsidRPr="00AC69E1">
        <w:rPr>
          <w:rFonts w:asciiTheme="minorHAnsi" w:eastAsia="SimSun" w:hAnsiTheme="minorHAnsi" w:cstheme="minorHAnsi"/>
        </w:rPr>
        <w:t xml:space="preserve"> </w:t>
      </w:r>
    </w:p>
    <w:p w14:paraId="13779D6D" w14:textId="56180F73" w:rsidR="005D5FAC" w:rsidRPr="00AC69E1" w:rsidRDefault="005D5FAC" w:rsidP="005D5FAC">
      <w:pPr>
        <w:spacing w:after="120"/>
        <w:rPr>
          <w:rFonts w:asciiTheme="minorHAnsi" w:eastAsia="SimSun" w:hAnsiTheme="minorHAnsi" w:cstheme="minorHAnsi"/>
        </w:rPr>
      </w:pPr>
      <w:r w:rsidRPr="00AC69E1">
        <w:rPr>
          <w:rFonts w:asciiTheme="minorHAnsi" w:eastAsia="SimSun" w:hAnsiTheme="minorHAnsi" w:cstheme="minorHAnsi"/>
        </w:rPr>
        <w:br w:type="page"/>
      </w:r>
    </w:p>
    <w:p w14:paraId="6EDF1AD6" w14:textId="77777777" w:rsidR="005D5FAC" w:rsidRPr="00AC69E1" w:rsidRDefault="005D5FAC" w:rsidP="00AC69E1">
      <w:pPr>
        <w:pStyle w:val="AnnexNo"/>
        <w:rPr>
          <w:rFonts w:asciiTheme="minorHAnsi" w:hAnsiTheme="minorHAnsi" w:cstheme="minorHAnsi"/>
        </w:rPr>
      </w:pPr>
      <w:r w:rsidRPr="00AC69E1">
        <w:rPr>
          <w:rFonts w:asciiTheme="minorHAnsi" w:hAnsiTheme="minorHAnsi" w:cstheme="minorHAnsi"/>
        </w:rPr>
        <w:lastRenderedPageBreak/>
        <w:t>Annex 1</w:t>
      </w:r>
    </w:p>
    <w:p w14:paraId="00158573" w14:textId="77777777" w:rsidR="005D5FAC" w:rsidRPr="00AC69E1" w:rsidRDefault="005D5FAC" w:rsidP="005D5FAC">
      <w:pPr>
        <w:pStyle w:val="Heading1"/>
        <w:rPr>
          <w:rFonts w:asciiTheme="minorHAnsi" w:hAnsiTheme="minorHAnsi" w:cstheme="minorHAnsi"/>
        </w:rPr>
      </w:pPr>
      <w:r w:rsidRPr="00AC69E1">
        <w:rPr>
          <w:rFonts w:asciiTheme="minorHAnsi" w:hAnsiTheme="minorHAnsi" w:cstheme="minorHAnsi"/>
        </w:rPr>
        <w:t>1</w:t>
      </w:r>
      <w:r w:rsidRPr="00AC69E1">
        <w:rPr>
          <w:rFonts w:asciiTheme="minorHAnsi" w:hAnsiTheme="minorHAnsi" w:cstheme="minorHAnsi"/>
        </w:rPr>
        <w:tab/>
        <w:t>Web page for IMT-2020</w:t>
      </w:r>
    </w:p>
    <w:p w14:paraId="54AD2A13" w14:textId="77777777" w:rsidR="005D5FAC" w:rsidRPr="00AC69E1" w:rsidRDefault="005D5FAC" w:rsidP="005D5FAC">
      <w:pPr>
        <w:rPr>
          <w:rFonts w:asciiTheme="minorHAnsi" w:eastAsia="SimSun" w:hAnsiTheme="minorHAnsi" w:cstheme="minorHAnsi"/>
          <w:color w:val="1F4E79"/>
        </w:rPr>
      </w:pPr>
      <w:r w:rsidRPr="00AC69E1">
        <w:rPr>
          <w:rFonts w:asciiTheme="minorHAnsi" w:eastAsia="Malgun Gothic" w:hAnsiTheme="minorHAnsi" w:cstheme="minorHAnsi"/>
        </w:rPr>
        <w:t>The Radiocommunication Bureau has established a “</w:t>
      </w:r>
      <w:hyperlink r:id="rId15" w:history="1">
        <w:r w:rsidRPr="00AC69E1">
          <w:rPr>
            <w:rFonts w:asciiTheme="minorHAnsi" w:eastAsia="Malgun Gothic" w:hAnsiTheme="minorHAnsi" w:cstheme="minorHAnsi"/>
            <w:i/>
            <w:iCs/>
            <w:color w:val="0000FF"/>
            <w:u w:val="single"/>
          </w:rPr>
          <w:t xml:space="preserve">Web page for Revision 3 of </w:t>
        </w:r>
        <w:r w:rsidRPr="00AC69E1">
          <w:rPr>
            <w:rFonts w:asciiTheme="minorHAnsi" w:eastAsia="SimSun" w:hAnsiTheme="minorHAnsi" w:cstheme="minorHAnsi"/>
            <w:i/>
            <w:iCs/>
            <w:color w:val="0000FF"/>
            <w:u w:val="single"/>
          </w:rPr>
          <w:t>IMT-2020 Recommendation ITU</w:t>
        </w:r>
        <w:r w:rsidRPr="00AC69E1">
          <w:rPr>
            <w:rFonts w:asciiTheme="minorHAnsi" w:eastAsia="SimSun" w:hAnsiTheme="minorHAnsi" w:cstheme="minorHAnsi"/>
            <w:i/>
            <w:iCs/>
            <w:color w:val="0000FF"/>
            <w:u w:val="single"/>
          </w:rPr>
          <w:noBreakHyphen/>
          <w:t>R M.2150 (2024-2025 work)</w:t>
        </w:r>
      </w:hyperlink>
      <w:r w:rsidRPr="00AC69E1">
        <w:rPr>
          <w:rFonts w:asciiTheme="minorHAnsi" w:eastAsia="Malgun Gothic" w:hAnsiTheme="minorHAnsi" w:cstheme="minorHAnsi"/>
          <w:i/>
          <w:iCs/>
        </w:rPr>
        <w:t>”</w:t>
      </w:r>
      <w:r w:rsidRPr="00AC69E1">
        <w:rPr>
          <w:rFonts w:asciiTheme="minorHAnsi" w:eastAsia="Malgun Gothic" w:hAnsiTheme="minorHAnsi" w:cstheme="minorHAnsi"/>
        </w:rPr>
        <w:t xml:space="preserve"> to facilitate the development of update and new proposals and the work (if necessary) of the evaluation groups</w:t>
      </w:r>
      <w:r w:rsidRPr="00AC69E1">
        <w:rPr>
          <w:rFonts w:asciiTheme="minorHAnsi" w:eastAsia="SimSun" w:hAnsiTheme="minorHAnsi" w:cstheme="minorHAnsi"/>
        </w:rPr>
        <w:t>.</w:t>
      </w:r>
      <w:r w:rsidRPr="00AC69E1">
        <w:rPr>
          <w:rFonts w:asciiTheme="minorHAnsi" w:eastAsia="Malgun Gothic" w:hAnsiTheme="minorHAnsi" w:cstheme="minorHAnsi"/>
        </w:rPr>
        <w:t xml:space="preserve"> The IMT-</w:t>
      </w:r>
      <w:r w:rsidRPr="00AC69E1">
        <w:rPr>
          <w:rFonts w:asciiTheme="minorHAnsi" w:eastAsia="Malgun Gothic" w:hAnsiTheme="minorHAnsi" w:cstheme="minorHAnsi"/>
          <w:lang w:eastAsia="ko-KR"/>
        </w:rPr>
        <w:t>2020</w:t>
      </w:r>
      <w:r w:rsidRPr="00AC69E1">
        <w:rPr>
          <w:rFonts w:asciiTheme="minorHAnsi" w:eastAsia="Malgun Gothic" w:hAnsiTheme="minorHAnsi" w:cstheme="minorHAnsi"/>
        </w:rPr>
        <w:t xml:space="preserve"> web page </w:t>
      </w:r>
      <w:r w:rsidRPr="00AC69E1">
        <w:rPr>
          <w:rFonts w:asciiTheme="minorHAnsi" w:eastAsia="SimSun" w:hAnsiTheme="minorHAnsi" w:cstheme="minorHAnsi"/>
          <w:lang w:eastAsia="ja-JP"/>
        </w:rPr>
        <w:t xml:space="preserve">will </w:t>
      </w:r>
      <w:r w:rsidRPr="00AC69E1">
        <w:rPr>
          <w:rFonts w:asciiTheme="minorHAnsi" w:eastAsia="Malgun Gothic" w:hAnsiTheme="minorHAnsi" w:cstheme="minorHAnsi"/>
        </w:rPr>
        <w:t>provide details of the revision process including the submission of proposals, and will include the RIT and SRIT submissions, evaluation group registration and contact information, evaluation reports and other relevant information on the continued development of IMT-</w:t>
      </w:r>
      <w:r w:rsidRPr="00AC69E1">
        <w:rPr>
          <w:rFonts w:asciiTheme="minorHAnsi" w:eastAsia="Malgun Gothic" w:hAnsiTheme="minorHAnsi" w:cstheme="minorHAnsi"/>
          <w:lang w:eastAsia="ko-KR"/>
        </w:rPr>
        <w:t>2020</w:t>
      </w:r>
      <w:r w:rsidRPr="00AC69E1">
        <w:rPr>
          <w:rFonts w:asciiTheme="minorHAnsi" w:eastAsia="Malgun Gothic" w:hAnsiTheme="minorHAnsi" w:cstheme="minorHAnsi"/>
        </w:rPr>
        <w:t>. The IMT-2020 web page will be updated dynamically to reflect changes. Consequently, participants in the IMT-2020 development activities are kindly requested to periodically check that web page.</w:t>
      </w:r>
    </w:p>
    <w:p w14:paraId="1233F592" w14:textId="77777777" w:rsidR="005D5FAC" w:rsidRPr="00AC69E1" w:rsidRDefault="005D5FAC" w:rsidP="005D5FAC">
      <w:pPr>
        <w:pStyle w:val="Heading1"/>
        <w:rPr>
          <w:rFonts w:asciiTheme="minorHAnsi" w:hAnsiTheme="minorHAnsi" w:cstheme="minorHAnsi"/>
          <w:lang w:eastAsia="ja-JP"/>
        </w:rPr>
      </w:pPr>
      <w:r w:rsidRPr="00AC69E1">
        <w:rPr>
          <w:rFonts w:asciiTheme="minorHAnsi" w:hAnsiTheme="minorHAnsi" w:cstheme="minorHAnsi"/>
          <w:lang w:eastAsia="zh-CN"/>
        </w:rPr>
        <w:t>2</w:t>
      </w:r>
      <w:r w:rsidRPr="00AC69E1">
        <w:rPr>
          <w:rFonts w:asciiTheme="minorHAnsi" w:hAnsiTheme="minorHAnsi" w:cstheme="minorHAnsi"/>
        </w:rPr>
        <w:tab/>
        <w:t>Evaluation of candidate R</w:t>
      </w:r>
      <w:r w:rsidRPr="00AC69E1">
        <w:rPr>
          <w:rFonts w:asciiTheme="minorHAnsi" w:hAnsiTheme="minorHAnsi" w:cstheme="minorHAnsi"/>
          <w:lang w:eastAsia="ja-JP"/>
        </w:rPr>
        <w:t>I</w:t>
      </w:r>
      <w:r w:rsidRPr="00AC69E1">
        <w:rPr>
          <w:rFonts w:asciiTheme="minorHAnsi" w:hAnsiTheme="minorHAnsi" w:cstheme="minorHAnsi"/>
        </w:rPr>
        <w:t>Ts or SRITs</w:t>
      </w:r>
    </w:p>
    <w:p w14:paraId="6E609AE8" w14:textId="77777777" w:rsidR="005D5FAC" w:rsidRPr="00AC69E1" w:rsidRDefault="005D5FAC" w:rsidP="005D5FAC">
      <w:pPr>
        <w:rPr>
          <w:rFonts w:asciiTheme="minorHAnsi" w:eastAsia="Malgun Gothic" w:hAnsiTheme="minorHAnsi" w:cstheme="minorHAnsi"/>
          <w:lang w:eastAsia="ja-JP"/>
        </w:rPr>
      </w:pPr>
      <w:r w:rsidRPr="00AC69E1">
        <w:rPr>
          <w:rFonts w:asciiTheme="minorHAnsi" w:eastAsia="Malgun Gothic" w:hAnsiTheme="minorHAnsi" w:cstheme="minorHAnsi"/>
        </w:rPr>
        <w:t>Proposed updates that are new candidate R</w:t>
      </w:r>
      <w:r w:rsidRPr="00AC69E1">
        <w:rPr>
          <w:rFonts w:asciiTheme="minorHAnsi" w:eastAsia="Malgun Gothic" w:hAnsiTheme="minorHAnsi" w:cstheme="minorHAnsi"/>
          <w:lang w:eastAsia="ja-JP"/>
        </w:rPr>
        <w:t>I</w:t>
      </w:r>
      <w:r w:rsidRPr="00AC69E1">
        <w:rPr>
          <w:rFonts w:asciiTheme="minorHAnsi" w:eastAsia="Malgun Gothic" w:hAnsiTheme="minorHAnsi" w:cstheme="minorHAnsi"/>
        </w:rPr>
        <w:t xml:space="preserve">Ts </w:t>
      </w:r>
      <w:r w:rsidRPr="00AC69E1">
        <w:rPr>
          <w:rFonts w:asciiTheme="minorHAnsi" w:eastAsia="Malgun Gothic" w:hAnsiTheme="minorHAnsi" w:cstheme="minorHAnsi"/>
          <w:lang w:eastAsia="ja-JP"/>
        </w:rPr>
        <w:t xml:space="preserve">or SRITs proposals </w:t>
      </w:r>
      <w:r w:rsidRPr="00AC69E1">
        <w:rPr>
          <w:rFonts w:asciiTheme="minorHAnsi" w:eastAsia="Malgun Gothic" w:hAnsiTheme="minorHAnsi" w:cstheme="minorHAnsi"/>
        </w:rPr>
        <w:t>will be evaluated</w:t>
      </w:r>
      <w:r w:rsidRPr="00AC69E1">
        <w:rPr>
          <w:rFonts w:asciiTheme="minorHAnsi" w:eastAsia="Malgun Gothic" w:hAnsiTheme="minorHAnsi" w:cstheme="minorHAnsi"/>
          <w:lang w:eastAsia="ja-JP"/>
        </w:rPr>
        <w:t xml:space="preserve"> </w:t>
      </w:r>
      <w:r w:rsidRPr="00AC69E1">
        <w:rPr>
          <w:rFonts w:asciiTheme="minorHAnsi" w:eastAsia="Malgun Gothic" w:hAnsiTheme="minorHAnsi" w:cstheme="minorHAnsi"/>
        </w:rPr>
        <w:t xml:space="preserve">by the ITU membership, standards </w:t>
      </w:r>
      <w:proofErr w:type="gramStart"/>
      <w:r w:rsidRPr="00AC69E1">
        <w:rPr>
          <w:rFonts w:asciiTheme="minorHAnsi" w:eastAsia="Malgun Gothic" w:hAnsiTheme="minorHAnsi" w:cstheme="minorHAnsi"/>
        </w:rPr>
        <w:t>organizations</w:t>
      </w:r>
      <w:proofErr w:type="gramEnd"/>
      <w:r w:rsidRPr="00AC69E1">
        <w:rPr>
          <w:rFonts w:asciiTheme="minorHAnsi" w:eastAsia="Malgun Gothic" w:hAnsiTheme="minorHAnsi" w:cstheme="minorHAnsi"/>
        </w:rPr>
        <w:t xml:space="preserve"> and other organizations as appropriate to the relevant process.</w:t>
      </w:r>
    </w:p>
    <w:p w14:paraId="0B23B151" w14:textId="77777777" w:rsidR="005D5FAC" w:rsidRPr="00AC69E1" w:rsidRDefault="005D5FAC" w:rsidP="005D5FAC">
      <w:pPr>
        <w:rPr>
          <w:rFonts w:asciiTheme="minorHAnsi" w:eastAsia="SimSun" w:hAnsiTheme="minorHAnsi" w:cstheme="minorHAnsi"/>
        </w:rPr>
      </w:pPr>
      <w:r w:rsidRPr="00AC69E1">
        <w:rPr>
          <w:rFonts w:asciiTheme="minorHAnsi" w:eastAsia="Malgun Gothic" w:hAnsiTheme="minorHAnsi" w:cstheme="minorHAnsi"/>
          <w:lang w:eastAsia="ja-JP"/>
        </w:rPr>
        <w:t xml:space="preserve">In the event of the reception of new candidate technology proposals by ITU-R, potential Independent Evaluation Groups </w:t>
      </w:r>
      <w:r w:rsidRPr="00AC69E1">
        <w:rPr>
          <w:rFonts w:asciiTheme="minorHAnsi" w:eastAsia="Malgun Gothic" w:hAnsiTheme="minorHAnsi" w:cstheme="minorHAnsi"/>
          <w:lang w:eastAsia="ko-KR"/>
        </w:rPr>
        <w:t xml:space="preserve">are </w:t>
      </w:r>
      <w:r w:rsidRPr="00AC69E1">
        <w:rPr>
          <w:rFonts w:asciiTheme="minorHAnsi" w:eastAsia="Malgun Gothic" w:hAnsiTheme="minorHAnsi" w:cstheme="minorHAnsi"/>
          <w:lang w:eastAsia="ja-JP"/>
        </w:rPr>
        <w:t>requested</w:t>
      </w:r>
      <w:r w:rsidRPr="00AC69E1">
        <w:rPr>
          <w:rFonts w:asciiTheme="minorHAnsi" w:eastAsia="Malgun Gothic" w:hAnsiTheme="minorHAnsi" w:cstheme="minorHAnsi"/>
          <w:lang w:eastAsia="ko-KR"/>
        </w:rPr>
        <w:t xml:space="preserve"> to register</w:t>
      </w:r>
      <w:r w:rsidRPr="00AC69E1" w:rsidDel="006769A1">
        <w:rPr>
          <w:rFonts w:asciiTheme="minorHAnsi" w:eastAsia="Malgun Gothic" w:hAnsiTheme="minorHAnsi" w:cstheme="minorHAnsi"/>
          <w:lang w:eastAsia="ko-KR"/>
        </w:rPr>
        <w:t xml:space="preserve"> </w:t>
      </w:r>
      <w:r w:rsidRPr="00AC69E1">
        <w:rPr>
          <w:rFonts w:asciiTheme="minorHAnsi" w:eastAsia="Malgun Gothic" w:hAnsiTheme="minorHAnsi" w:cstheme="minorHAnsi"/>
          <w:lang w:eastAsia="ja-JP"/>
        </w:rPr>
        <w:t>with</w:t>
      </w:r>
      <w:r w:rsidRPr="00AC69E1">
        <w:rPr>
          <w:rFonts w:asciiTheme="minorHAnsi" w:eastAsia="Malgun Gothic" w:hAnsiTheme="minorHAnsi" w:cstheme="minorHAnsi"/>
          <w:lang w:eastAsia="ko-KR"/>
        </w:rPr>
        <w:t xml:space="preserve"> ITU-R</w:t>
      </w:r>
      <w:r w:rsidRPr="00AC69E1">
        <w:rPr>
          <w:rFonts w:asciiTheme="minorHAnsi" w:eastAsia="Malgun Gothic" w:hAnsiTheme="minorHAnsi" w:cstheme="minorHAnsi"/>
          <w:position w:val="6"/>
          <w:sz w:val="16"/>
          <w:lang w:eastAsia="ko-KR"/>
        </w:rPr>
        <w:footnoteReference w:id="2"/>
      </w:r>
      <w:r w:rsidRPr="00AC69E1">
        <w:rPr>
          <w:rFonts w:asciiTheme="minorHAnsi" w:eastAsia="Malgun Gothic" w:hAnsiTheme="minorHAnsi" w:cstheme="minorHAnsi"/>
          <w:lang w:eastAsia="ko-KR"/>
        </w:rPr>
        <w:t xml:space="preserve"> as identified in the schedule documents.</w:t>
      </w:r>
      <w:r w:rsidRPr="00AC69E1">
        <w:rPr>
          <w:rFonts w:asciiTheme="minorHAnsi" w:eastAsia="Malgun Gothic" w:hAnsiTheme="minorHAnsi" w:cstheme="minorHAnsi"/>
        </w:rPr>
        <w:t xml:space="preserve"> </w:t>
      </w:r>
      <w:r w:rsidRPr="00AC69E1">
        <w:rPr>
          <w:rFonts w:asciiTheme="minorHAnsi" w:eastAsia="Malgun Gothic" w:hAnsiTheme="minorHAnsi" w:cstheme="minorHAnsi"/>
          <w:lang w:eastAsia="ja-JP"/>
        </w:rPr>
        <w:t>The</w:t>
      </w:r>
      <w:r w:rsidRPr="00AC69E1">
        <w:rPr>
          <w:rFonts w:asciiTheme="minorHAnsi" w:eastAsia="Malgun Gothic" w:hAnsiTheme="minorHAnsi" w:cstheme="minorHAnsi"/>
        </w:rPr>
        <w:t xml:space="preserve"> evaluation groups </w:t>
      </w:r>
      <w:r w:rsidRPr="00AC69E1">
        <w:rPr>
          <w:rFonts w:asciiTheme="minorHAnsi" w:eastAsia="Malgun Gothic" w:hAnsiTheme="minorHAnsi" w:cstheme="minorHAnsi"/>
          <w:lang w:eastAsia="ja-JP"/>
        </w:rPr>
        <w:t>are</w:t>
      </w:r>
      <w:r w:rsidRPr="00AC69E1">
        <w:rPr>
          <w:rFonts w:asciiTheme="minorHAnsi" w:eastAsia="Malgun Gothic" w:hAnsiTheme="minorHAnsi" w:cstheme="minorHAnsi"/>
        </w:rPr>
        <w:t xml:space="preserve"> </w:t>
      </w:r>
      <w:r w:rsidRPr="00AC69E1">
        <w:rPr>
          <w:rFonts w:asciiTheme="minorHAnsi" w:eastAsia="Malgun Gothic" w:hAnsiTheme="minorHAnsi" w:cstheme="minorHAnsi"/>
          <w:lang w:eastAsia="ja-JP"/>
        </w:rPr>
        <w:t xml:space="preserve">kindly requested </w:t>
      </w:r>
      <w:r w:rsidRPr="00AC69E1">
        <w:rPr>
          <w:rFonts w:asciiTheme="minorHAnsi" w:eastAsia="Malgun Gothic" w:hAnsiTheme="minorHAnsi" w:cstheme="minorHAnsi"/>
        </w:rPr>
        <w:t>to submit evaluation reports to the ITU-R in accordance with the evaluation process delineated on the IMT-</w:t>
      </w:r>
      <w:r w:rsidRPr="00AC69E1">
        <w:rPr>
          <w:rFonts w:asciiTheme="minorHAnsi" w:eastAsia="Malgun Gothic" w:hAnsiTheme="minorHAnsi" w:cstheme="minorHAnsi"/>
          <w:lang w:eastAsia="ko-KR"/>
        </w:rPr>
        <w:t>2020</w:t>
      </w:r>
      <w:r w:rsidRPr="00AC69E1">
        <w:rPr>
          <w:rFonts w:asciiTheme="minorHAnsi" w:eastAsia="Malgun Gothic" w:hAnsiTheme="minorHAnsi" w:cstheme="minorHAnsi"/>
        </w:rPr>
        <w:t xml:space="preserve"> web page</w:t>
      </w:r>
      <w:r w:rsidRPr="00AC69E1">
        <w:rPr>
          <w:rFonts w:asciiTheme="minorHAnsi" w:eastAsia="Malgun Gothic" w:hAnsiTheme="minorHAnsi" w:cstheme="minorHAnsi"/>
          <w:lang w:eastAsia="ja-JP"/>
        </w:rPr>
        <w:t xml:space="preserve">. The evaluation reports will be </w:t>
      </w:r>
      <w:r w:rsidRPr="00AC69E1">
        <w:rPr>
          <w:rFonts w:asciiTheme="minorHAnsi" w:eastAsia="Malgun Gothic" w:hAnsiTheme="minorHAnsi" w:cstheme="minorHAnsi"/>
        </w:rPr>
        <w:t>consider</w:t>
      </w:r>
      <w:r w:rsidRPr="00AC69E1">
        <w:rPr>
          <w:rFonts w:asciiTheme="minorHAnsi" w:eastAsia="Malgun Gothic" w:hAnsiTheme="minorHAnsi" w:cstheme="minorHAnsi"/>
          <w:lang w:eastAsia="ja-JP"/>
        </w:rPr>
        <w:t>ed</w:t>
      </w:r>
      <w:r w:rsidRPr="00AC69E1">
        <w:rPr>
          <w:rFonts w:asciiTheme="minorHAnsi" w:eastAsia="Malgun Gothic" w:hAnsiTheme="minorHAnsi" w:cstheme="minorHAnsi"/>
        </w:rPr>
        <w:t xml:space="preserve"> in the development of the revised Recommendation M.2150 describing the relevant radio interface specifications.</w:t>
      </w:r>
    </w:p>
    <w:p w14:paraId="73562DCA" w14:textId="77777777" w:rsidR="005D5FAC" w:rsidRPr="00AC69E1" w:rsidRDefault="005D5FAC" w:rsidP="005D5FAC">
      <w:pPr>
        <w:rPr>
          <w:rFonts w:asciiTheme="minorHAnsi" w:hAnsiTheme="minorHAnsi" w:cstheme="minorHAnsi"/>
          <w:lang w:eastAsia="zh-CN"/>
        </w:rPr>
      </w:pPr>
      <w:r w:rsidRPr="00AC69E1">
        <w:rPr>
          <w:rFonts w:asciiTheme="minorHAnsi" w:eastAsia="Malgun Gothic" w:hAnsiTheme="minorHAnsi" w:cstheme="minorHAnsi"/>
        </w:rPr>
        <w:t>It is noted that the current technology proposal from Proponent Nufront, and the associated detailed specifications now available, are indicated by the Proponent to be improvements built upon the previous technology already</w:t>
      </w:r>
      <w:r w:rsidRPr="00AC69E1">
        <w:rPr>
          <w:rFonts w:asciiTheme="minorHAnsi" w:hAnsiTheme="minorHAnsi" w:cstheme="minorHAnsi"/>
          <w:lang w:eastAsia="zh-CN"/>
        </w:rPr>
        <w:t xml:space="preserve"> </w:t>
      </w:r>
      <w:r w:rsidRPr="00AC69E1">
        <w:rPr>
          <w:rFonts w:asciiTheme="minorHAnsi" w:eastAsia="Malgun Gothic" w:hAnsiTheme="minorHAnsi" w:cstheme="minorHAnsi"/>
        </w:rPr>
        <w:t xml:space="preserve">made available in prior specifications to Working Party 5D and examined in </w:t>
      </w:r>
      <w:r w:rsidRPr="00AC69E1">
        <w:rPr>
          <w:rFonts w:asciiTheme="minorHAnsi" w:hAnsiTheme="minorHAnsi" w:cstheme="minorHAnsi"/>
          <w:lang w:eastAsia="zh-CN"/>
        </w:rPr>
        <w:t xml:space="preserve">the </w:t>
      </w:r>
      <w:r w:rsidRPr="00AC69E1">
        <w:rPr>
          <w:rFonts w:asciiTheme="minorHAnsi" w:eastAsia="Malgun Gothic" w:hAnsiTheme="minorHAnsi" w:cstheme="minorHAnsi"/>
        </w:rPr>
        <w:t>prior evaluations.</w:t>
      </w:r>
    </w:p>
    <w:p w14:paraId="4C279585" w14:textId="57B9180B" w:rsidR="005D5FAC" w:rsidRPr="00AC69E1" w:rsidRDefault="005D5FAC" w:rsidP="005D5FAC">
      <w:pPr>
        <w:rPr>
          <w:rFonts w:asciiTheme="minorHAnsi" w:hAnsiTheme="minorHAnsi" w:cstheme="minorHAnsi"/>
          <w:lang w:eastAsia="zh-CN"/>
        </w:rPr>
      </w:pPr>
      <w:r w:rsidRPr="00AC69E1">
        <w:rPr>
          <w:rFonts w:asciiTheme="minorHAnsi" w:eastAsia="Malgun Gothic" w:hAnsiTheme="minorHAnsi" w:cstheme="minorHAnsi"/>
        </w:rPr>
        <w:t>Furthermore, noting that WP 5D expects to receive the final evaluation reports from the Independent Evaluation Groups on this IMT-2020 candidate technology RIT by its 4</w:t>
      </w:r>
      <w:r w:rsidRPr="00AC69E1">
        <w:rPr>
          <w:rFonts w:asciiTheme="minorHAnsi" w:eastAsia="SimSun" w:hAnsiTheme="minorHAnsi" w:cstheme="minorHAnsi"/>
        </w:rPr>
        <w:t>8</w:t>
      </w:r>
      <w:r w:rsidRPr="00AC69E1">
        <w:rPr>
          <w:rFonts w:asciiTheme="minorHAnsi" w:eastAsia="SimSun" w:hAnsiTheme="minorHAnsi" w:cstheme="minorHAnsi"/>
          <w:vertAlign w:val="superscript"/>
        </w:rPr>
        <w:t>th</w:t>
      </w:r>
      <w:r w:rsidRPr="00AC69E1">
        <w:rPr>
          <w:rFonts w:asciiTheme="minorHAnsi" w:eastAsia="SimSun" w:hAnsiTheme="minorHAnsi" w:cstheme="minorHAnsi"/>
        </w:rPr>
        <w:t xml:space="preserve"> </w:t>
      </w:r>
      <w:r w:rsidRPr="00AC69E1">
        <w:rPr>
          <w:rFonts w:asciiTheme="minorHAnsi" w:eastAsia="Malgun Gothic" w:hAnsiTheme="minorHAnsi" w:cstheme="minorHAnsi"/>
        </w:rPr>
        <w:t xml:space="preserve">meeting (February 2025), and that the IEGs are encouraged to provide interim evaluation reports for the </w:t>
      </w:r>
      <w:r w:rsidRPr="00AC69E1">
        <w:rPr>
          <w:rFonts w:asciiTheme="minorHAnsi" w:eastAsia="SimSun" w:hAnsiTheme="minorHAnsi" w:cstheme="minorHAnsi"/>
          <w:lang w:eastAsia="zh-CN"/>
        </w:rPr>
        <w:t>47</w:t>
      </w:r>
      <w:r w:rsidRPr="00AC69E1">
        <w:rPr>
          <w:rFonts w:asciiTheme="minorHAnsi" w:eastAsia="SimSun" w:hAnsiTheme="minorHAnsi" w:cstheme="minorHAnsi"/>
          <w:vertAlign w:val="superscript"/>
          <w:lang w:eastAsia="zh-CN"/>
        </w:rPr>
        <w:t>th</w:t>
      </w:r>
      <w:r w:rsidR="005F40E6">
        <w:rPr>
          <w:rFonts w:asciiTheme="minorHAnsi" w:eastAsia="SimSun" w:hAnsiTheme="minorHAnsi" w:cstheme="minorHAnsi"/>
          <w:lang w:eastAsia="zh-CN"/>
        </w:rPr>
        <w:t> </w:t>
      </w:r>
      <w:r w:rsidRPr="00AC69E1">
        <w:rPr>
          <w:rFonts w:asciiTheme="minorHAnsi" w:eastAsia="Malgun Gothic" w:hAnsiTheme="minorHAnsi" w:cstheme="minorHAnsi"/>
        </w:rPr>
        <w:t>meeting</w:t>
      </w:r>
      <w:r w:rsidRPr="00AC69E1">
        <w:rPr>
          <w:rFonts w:asciiTheme="minorHAnsi" w:hAnsiTheme="minorHAnsi" w:cstheme="minorHAnsi"/>
          <w:lang w:eastAsia="zh-CN"/>
        </w:rPr>
        <w:t xml:space="preserve"> (October 2024)</w:t>
      </w:r>
      <w:r w:rsidRPr="00AC69E1">
        <w:rPr>
          <w:rFonts w:asciiTheme="minorHAnsi" w:eastAsia="Malgun Gothic" w:hAnsiTheme="minorHAnsi" w:cstheme="minorHAnsi"/>
        </w:rPr>
        <w:t xml:space="preserve">, </w:t>
      </w:r>
      <w:r w:rsidRPr="00AC69E1">
        <w:rPr>
          <w:rFonts w:asciiTheme="minorHAnsi" w:eastAsia="Malgun Gothic" w:hAnsiTheme="minorHAnsi" w:cstheme="minorHAnsi"/>
          <w:i/>
          <w:iCs/>
        </w:rPr>
        <w:t xml:space="preserve">potential Independent Evaluation Groups are requested to register with ITU-R no later than </w:t>
      </w:r>
      <w:r w:rsidRPr="00AC69E1">
        <w:rPr>
          <w:rFonts w:asciiTheme="minorHAnsi" w:eastAsia="SimSun" w:hAnsiTheme="minorHAnsi" w:cstheme="minorHAnsi"/>
          <w:i/>
          <w:iCs/>
          <w:lang w:eastAsia="zh-CN"/>
        </w:rPr>
        <w:t>13</w:t>
      </w:r>
      <w:r w:rsidRPr="00AC69E1">
        <w:rPr>
          <w:rFonts w:asciiTheme="minorHAnsi" w:eastAsia="SimSun" w:hAnsiTheme="minorHAnsi" w:cstheme="minorHAnsi"/>
          <w:i/>
          <w:iCs/>
          <w:vertAlign w:val="superscript"/>
          <w:lang w:eastAsia="zh-CN"/>
        </w:rPr>
        <w:t>th</w:t>
      </w:r>
      <w:r w:rsidRPr="00AC69E1">
        <w:rPr>
          <w:rFonts w:asciiTheme="minorHAnsi" w:eastAsia="Malgun Gothic" w:hAnsiTheme="minorHAnsi" w:cstheme="minorHAnsi"/>
          <w:i/>
          <w:iCs/>
        </w:rPr>
        <w:t xml:space="preserve"> </w:t>
      </w:r>
      <w:r w:rsidRPr="00AC69E1">
        <w:rPr>
          <w:rFonts w:asciiTheme="minorHAnsi" w:eastAsia="SimSun" w:hAnsiTheme="minorHAnsi" w:cstheme="minorHAnsi"/>
          <w:i/>
          <w:iCs/>
          <w:lang w:eastAsia="zh-CN"/>
        </w:rPr>
        <w:t>June</w:t>
      </w:r>
      <w:r w:rsidRPr="00AC69E1">
        <w:rPr>
          <w:rFonts w:asciiTheme="minorHAnsi" w:eastAsia="SimSun" w:hAnsiTheme="minorHAnsi" w:cstheme="minorHAnsi"/>
          <w:i/>
          <w:iCs/>
        </w:rPr>
        <w:t xml:space="preserve"> 2024 </w:t>
      </w:r>
      <w:r w:rsidRPr="00AC69E1">
        <w:rPr>
          <w:rFonts w:asciiTheme="minorHAnsi" w:eastAsia="Malgun Gothic" w:hAnsiTheme="minorHAnsi" w:cstheme="minorHAnsi"/>
        </w:rPr>
        <w:t>to better enable dialog between the IEGs and Proponent Nufront</w:t>
      </w:r>
      <w:r w:rsidRPr="00AC69E1">
        <w:rPr>
          <w:rFonts w:asciiTheme="minorHAnsi" w:hAnsiTheme="minorHAnsi" w:cstheme="minorHAnsi"/>
          <w:lang w:eastAsia="zh-CN"/>
        </w:rPr>
        <w:t xml:space="preserve"> </w:t>
      </w:r>
      <w:r w:rsidRPr="00AC69E1">
        <w:rPr>
          <w:rFonts w:asciiTheme="minorHAnsi" w:hAnsiTheme="minorHAnsi" w:cstheme="minorHAnsi"/>
          <w:iCs/>
          <w:lang w:eastAsia="zh-CN"/>
        </w:rPr>
        <w:t>in order to meet the planned deadlines</w:t>
      </w:r>
      <w:r w:rsidRPr="00AC69E1">
        <w:rPr>
          <w:rFonts w:asciiTheme="minorHAnsi" w:eastAsia="Malgun Gothic" w:hAnsiTheme="minorHAnsi" w:cstheme="minorHAnsi"/>
        </w:rPr>
        <w:t xml:space="preserve">. </w:t>
      </w:r>
      <w:r w:rsidRPr="00AC69E1">
        <w:rPr>
          <w:rFonts w:asciiTheme="minorHAnsi" w:hAnsiTheme="minorHAnsi" w:cstheme="minorHAnsi"/>
          <w:lang w:eastAsia="zh-CN"/>
        </w:rPr>
        <w:t xml:space="preserve">To reduce duplicated work, the evaluation from IEGs can consider </w:t>
      </w:r>
      <w:proofErr w:type="gramStart"/>
      <w:r w:rsidRPr="00AC69E1">
        <w:rPr>
          <w:rFonts w:asciiTheme="minorHAnsi" w:hAnsiTheme="minorHAnsi" w:cstheme="minorHAnsi"/>
          <w:lang w:eastAsia="zh-CN"/>
        </w:rPr>
        <w:t>to focus</w:t>
      </w:r>
      <w:proofErr w:type="gramEnd"/>
      <w:r w:rsidRPr="00AC69E1">
        <w:rPr>
          <w:rFonts w:asciiTheme="minorHAnsi" w:hAnsiTheme="minorHAnsi" w:cstheme="minorHAnsi"/>
          <w:lang w:eastAsia="zh-CN"/>
        </w:rPr>
        <w:t xml:space="preserve"> on a set of technical performance requirements (Annex 2) which were not fulfilled by the proponent’s prior specification, according to some of the IEGs. Note this does not imply that an IEG </w:t>
      </w:r>
      <w:r w:rsidRPr="00AC69E1">
        <w:rPr>
          <w:rFonts w:asciiTheme="minorHAnsi" w:eastAsia="SimSun" w:hAnsiTheme="minorHAnsi" w:cstheme="minorHAnsi"/>
          <w:lang w:eastAsia="zh-CN"/>
        </w:rPr>
        <w:t xml:space="preserve">is restricted to </w:t>
      </w:r>
      <w:r w:rsidRPr="00AC69E1">
        <w:rPr>
          <w:rFonts w:asciiTheme="minorHAnsi" w:hAnsiTheme="minorHAnsi" w:cstheme="minorHAnsi"/>
          <w:lang w:eastAsia="zh-CN"/>
        </w:rPr>
        <w:t>evaluate this technology for other technical performance requirements nor provide a complete evaluation.</w:t>
      </w:r>
    </w:p>
    <w:p w14:paraId="259FE1F7" w14:textId="77777777" w:rsidR="005D5FAC" w:rsidRPr="00AC69E1" w:rsidRDefault="005D5FAC" w:rsidP="005D5FAC">
      <w:pPr>
        <w:rPr>
          <w:rFonts w:asciiTheme="minorHAnsi" w:eastAsia="SimSun" w:hAnsiTheme="minorHAnsi" w:cstheme="minorHAnsi"/>
        </w:rPr>
      </w:pPr>
      <w:r w:rsidRPr="00AC69E1">
        <w:rPr>
          <w:rFonts w:asciiTheme="minorHAnsi" w:eastAsia="SimSun" w:hAnsiTheme="minorHAnsi" w:cstheme="minorHAnsi"/>
        </w:rPr>
        <w:t xml:space="preserve">Based on the above, this </w:t>
      </w:r>
      <w:r w:rsidRPr="00AC69E1">
        <w:rPr>
          <w:rFonts w:asciiTheme="minorHAnsi" w:eastAsia="SimSun" w:hAnsiTheme="minorHAnsi" w:cstheme="minorHAnsi"/>
          <w:lang w:eastAsia="zh-CN"/>
        </w:rPr>
        <w:t>13</w:t>
      </w:r>
      <w:r w:rsidRPr="00AC69E1">
        <w:rPr>
          <w:rFonts w:asciiTheme="minorHAnsi" w:eastAsia="SimSun" w:hAnsiTheme="minorHAnsi" w:cstheme="minorHAnsi"/>
          <w:vertAlign w:val="superscript"/>
          <w:lang w:eastAsia="zh-CN"/>
        </w:rPr>
        <w:t>th</w:t>
      </w:r>
      <w:r w:rsidRPr="00AC69E1">
        <w:rPr>
          <w:rFonts w:asciiTheme="minorHAnsi" w:eastAsia="SimSun" w:hAnsiTheme="minorHAnsi" w:cstheme="minorHAnsi"/>
          <w:lang w:eastAsia="zh-CN"/>
        </w:rPr>
        <w:t xml:space="preserve"> June</w:t>
      </w:r>
      <w:r w:rsidRPr="00AC69E1">
        <w:rPr>
          <w:rFonts w:asciiTheme="minorHAnsi" w:eastAsia="SimSun" w:hAnsiTheme="minorHAnsi" w:cstheme="minorHAnsi"/>
        </w:rPr>
        <w:t xml:space="preserve"> 2024 date is requested of the potential IEGs even though the schedule outlined in Document IMT-2020/</w:t>
      </w:r>
      <w:r w:rsidRPr="00AC69E1">
        <w:rPr>
          <w:rFonts w:asciiTheme="minorHAnsi" w:eastAsia="SimSun" w:hAnsiTheme="minorHAnsi" w:cstheme="minorHAnsi"/>
          <w:lang w:eastAsia="zh-CN"/>
        </w:rPr>
        <w:t>87(Rev.1)</w:t>
      </w:r>
      <w:r w:rsidRPr="00AC69E1">
        <w:rPr>
          <w:rFonts w:asciiTheme="minorHAnsi" w:eastAsia="SimSun" w:hAnsiTheme="minorHAnsi" w:cstheme="minorHAnsi"/>
        </w:rPr>
        <w:t xml:space="preserve"> currently indicates in the table titled ‘High level schedule for New Technology Proposals for the Revision 3’, that the “Opportunity for registration of Evaluation Groups is a window </w:t>
      </w:r>
      <w:r w:rsidRPr="00AC69E1">
        <w:rPr>
          <w:rFonts w:asciiTheme="minorHAnsi" w:eastAsia="SimSun" w:hAnsiTheme="minorHAnsi" w:cstheme="minorHAnsi"/>
          <w:lang w:eastAsia="zh-CN"/>
        </w:rPr>
        <w:t>at WP 5D Meeting #45</w:t>
      </w:r>
      <w:r w:rsidRPr="00AC69E1">
        <w:rPr>
          <w:rFonts w:asciiTheme="minorHAnsi" w:eastAsia="SimSun" w:hAnsiTheme="minorHAnsi" w:cstheme="minorHAnsi"/>
        </w:rPr>
        <w:t>”.</w:t>
      </w:r>
    </w:p>
    <w:p w14:paraId="01AC819F" w14:textId="77777777" w:rsidR="005D5FAC" w:rsidRPr="00AC69E1" w:rsidRDefault="005D5FAC" w:rsidP="005D5FAC">
      <w:pPr>
        <w:rPr>
          <w:rFonts w:asciiTheme="minorHAnsi" w:eastAsia="SimSun" w:hAnsiTheme="minorHAnsi" w:cstheme="minorHAnsi"/>
          <w:highlight w:val="yellow"/>
        </w:rPr>
      </w:pPr>
      <w:r w:rsidRPr="00AC69E1">
        <w:rPr>
          <w:rFonts w:asciiTheme="minorHAnsi" w:eastAsia="SimSun" w:hAnsiTheme="minorHAnsi" w:cstheme="minorHAnsi"/>
          <w:highlight w:val="yellow"/>
        </w:rPr>
        <w:br w:type="page"/>
      </w:r>
    </w:p>
    <w:p w14:paraId="51F56FC7" w14:textId="77777777" w:rsidR="005D5FAC" w:rsidRPr="00AC69E1" w:rsidRDefault="005D5FAC" w:rsidP="005D5FAC">
      <w:pPr>
        <w:pStyle w:val="AnnexNo"/>
        <w:rPr>
          <w:rFonts w:asciiTheme="minorHAnsi" w:hAnsiTheme="minorHAnsi" w:cstheme="minorHAnsi"/>
          <w:lang w:eastAsia="zh-CN"/>
        </w:rPr>
      </w:pPr>
      <w:r w:rsidRPr="00AC69E1">
        <w:rPr>
          <w:rFonts w:asciiTheme="minorHAnsi" w:hAnsiTheme="minorHAnsi" w:cstheme="minorHAnsi"/>
        </w:rPr>
        <w:lastRenderedPageBreak/>
        <w:t xml:space="preserve">Annex </w:t>
      </w:r>
      <w:r w:rsidRPr="00AC69E1">
        <w:rPr>
          <w:rFonts w:asciiTheme="minorHAnsi" w:hAnsiTheme="minorHAnsi" w:cstheme="minorHAnsi"/>
          <w:lang w:eastAsia="zh-CN"/>
        </w:rPr>
        <w:t>2</w:t>
      </w:r>
    </w:p>
    <w:p w14:paraId="4FCDF5EB" w14:textId="77777777" w:rsidR="005D5FAC" w:rsidRPr="00AC69E1" w:rsidRDefault="005D5FAC" w:rsidP="005D5FAC">
      <w:pPr>
        <w:pStyle w:val="Annextitle"/>
        <w:rPr>
          <w:rFonts w:asciiTheme="minorHAnsi" w:hAnsiTheme="minorHAnsi" w:cstheme="minorHAnsi"/>
          <w:lang w:eastAsia="zh-CN"/>
        </w:rPr>
      </w:pPr>
      <w:r w:rsidRPr="00AC69E1">
        <w:rPr>
          <w:rFonts w:asciiTheme="minorHAnsi" w:hAnsiTheme="minorHAnsi" w:cstheme="minorHAnsi"/>
          <w:lang w:eastAsia="zh-CN"/>
        </w:rPr>
        <w:t xml:space="preserve">List of minimum technical </w:t>
      </w:r>
      <w:r w:rsidRPr="00AC69E1">
        <w:rPr>
          <w:rFonts w:asciiTheme="minorHAnsi" w:hAnsiTheme="minorHAnsi" w:cstheme="minorHAnsi"/>
        </w:rPr>
        <w:t>performance</w:t>
      </w:r>
      <w:r w:rsidRPr="00AC69E1">
        <w:rPr>
          <w:rFonts w:asciiTheme="minorHAnsi" w:hAnsiTheme="minorHAnsi" w:cstheme="minorHAnsi"/>
          <w:lang w:eastAsia="zh-CN"/>
        </w:rPr>
        <w:t xml:space="preserve"> requirements</w:t>
      </w:r>
    </w:p>
    <w:p w14:paraId="2B6013EF" w14:textId="5DD063D2" w:rsidR="005D5FAC" w:rsidRPr="00AC69E1" w:rsidRDefault="005D5FAC" w:rsidP="005D5FAC">
      <w:pPr>
        <w:spacing w:before="0" w:after="240"/>
        <w:rPr>
          <w:rFonts w:asciiTheme="minorHAnsi" w:hAnsiTheme="minorHAnsi" w:cstheme="minorHAnsi"/>
          <w:lang w:eastAsia="zh-CN"/>
        </w:rPr>
      </w:pPr>
      <w:r w:rsidRPr="00AC69E1">
        <w:rPr>
          <w:rFonts w:asciiTheme="minorHAnsi" w:hAnsiTheme="minorHAnsi" w:cstheme="minorHAnsi"/>
          <w:lang w:eastAsia="zh-CN"/>
        </w:rPr>
        <w:t>This is a list of the minimum technical requirements with which some of Independent Evaluation Groups concluded that the technology submission IMT-2020/76 does not comply. It refers to IMT</w:t>
      </w:r>
      <w:r w:rsidRPr="00AC69E1">
        <w:rPr>
          <w:rFonts w:asciiTheme="minorHAnsi" w:hAnsiTheme="minorHAnsi" w:cstheme="minorHAnsi"/>
          <w:lang w:eastAsia="zh-CN"/>
        </w:rPr>
        <w:noBreakHyphen/>
        <w:t>2020/85 “Summary of Step 4 of the IMT-2020 process for evaluation of IMT-2020 candidate technology submissions IMT-2020/76”.</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044"/>
        <w:gridCol w:w="989"/>
        <w:gridCol w:w="2038"/>
        <w:gridCol w:w="1274"/>
        <w:gridCol w:w="2294"/>
      </w:tblGrid>
      <w:tr w:rsidR="005D5FAC" w:rsidRPr="00AC69E1" w14:paraId="3B4A4045" w14:textId="77777777" w:rsidTr="005F40E6">
        <w:trPr>
          <w:cantSplit/>
          <w:jc w:val="center"/>
        </w:trPr>
        <w:tc>
          <w:tcPr>
            <w:tcW w:w="157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E99051" w14:textId="090B73BD" w:rsidR="005D5FAC" w:rsidRPr="00AC69E1" w:rsidRDefault="005D5FAC" w:rsidP="00E80DD5">
            <w:pPr>
              <w:pStyle w:val="Tablehead"/>
              <w:rPr>
                <w:rFonts w:asciiTheme="minorHAnsi" w:hAnsiTheme="minorHAnsi" w:cstheme="minorHAnsi"/>
                <w:szCs w:val="20"/>
                <w:lang w:eastAsia="zh-CN"/>
              </w:rPr>
            </w:pPr>
            <w:r w:rsidRPr="00AC69E1">
              <w:rPr>
                <w:rFonts w:asciiTheme="minorHAnsi" w:hAnsiTheme="minorHAnsi" w:cstheme="minorHAnsi"/>
                <w:szCs w:val="20"/>
              </w:rPr>
              <w:t>Minimum technical performance requirements</w:t>
            </w:r>
            <w:r w:rsidRPr="00AC69E1">
              <w:rPr>
                <w:rFonts w:asciiTheme="minorHAnsi" w:hAnsiTheme="minorHAnsi" w:cstheme="minorHAnsi"/>
                <w:szCs w:val="20"/>
                <w:lang w:eastAsia="zh-CN"/>
              </w:rPr>
              <w:t xml:space="preserve"> item</w:t>
            </w:r>
            <w:r w:rsidRPr="00AC69E1">
              <w:rPr>
                <w:rFonts w:asciiTheme="minorHAnsi" w:hAnsiTheme="minorHAnsi" w:cstheme="minorHAnsi"/>
                <w:szCs w:val="20"/>
              </w:rPr>
              <w:t>, units</w:t>
            </w:r>
            <w:r w:rsidRPr="00AC69E1">
              <w:rPr>
                <w:rFonts w:asciiTheme="minorHAnsi" w:hAnsiTheme="minorHAnsi" w:cstheme="minorHAnsi"/>
                <w:szCs w:val="20"/>
                <w:lang w:eastAsia="zh-CN"/>
              </w:rPr>
              <w:t>, and Report ITU-R M.2410-0 section</w:t>
            </w:r>
            <w:r w:rsidR="005F40E6">
              <w:rPr>
                <w:rFonts w:asciiTheme="minorHAnsi" w:hAnsiTheme="minorHAnsi" w:cstheme="minorHAnsi"/>
                <w:szCs w:val="20"/>
                <w:lang w:eastAsia="zh-CN"/>
              </w:rPr>
              <w:t> </w:t>
            </w:r>
            <w:r w:rsidRPr="00AC69E1">
              <w:rPr>
                <w:rFonts w:asciiTheme="minorHAnsi" w:hAnsiTheme="minorHAnsi" w:cstheme="minorHAnsi"/>
                <w:szCs w:val="20"/>
                <w:lang w:eastAsia="zh-CN"/>
              </w:rPr>
              <w:t>reference</w:t>
            </w:r>
          </w:p>
        </w:tc>
        <w:tc>
          <w:tcPr>
            <w:tcW w:w="22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523AC2" w14:textId="77777777" w:rsidR="005D5FAC" w:rsidRPr="00AC69E1" w:rsidRDefault="005D5FAC" w:rsidP="00E80DD5">
            <w:pPr>
              <w:pStyle w:val="Tablehead"/>
              <w:rPr>
                <w:rFonts w:asciiTheme="minorHAnsi" w:hAnsiTheme="minorHAnsi" w:cstheme="minorHAnsi"/>
                <w:szCs w:val="20"/>
              </w:rPr>
            </w:pPr>
            <w:r w:rsidRPr="00AC69E1">
              <w:rPr>
                <w:rFonts w:asciiTheme="minorHAnsi" w:hAnsiTheme="minorHAnsi" w:cstheme="minorHAnsi"/>
                <w:szCs w:val="20"/>
              </w:rPr>
              <w:t>Category</w:t>
            </w:r>
          </w:p>
        </w:tc>
        <w:tc>
          <w:tcPr>
            <w:tcW w:w="1190"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3A4FB52" w14:textId="77777777" w:rsidR="005D5FAC" w:rsidRPr="00AC69E1" w:rsidRDefault="005D5FAC" w:rsidP="00E80DD5">
            <w:pPr>
              <w:pStyle w:val="Tablehead"/>
              <w:rPr>
                <w:rFonts w:asciiTheme="minorHAnsi" w:hAnsiTheme="minorHAnsi" w:cstheme="minorHAnsi"/>
                <w:szCs w:val="20"/>
                <w:lang w:eastAsia="zh-CN"/>
              </w:rPr>
            </w:pPr>
            <w:r w:rsidRPr="00AC69E1">
              <w:rPr>
                <w:rFonts w:asciiTheme="minorHAnsi" w:hAnsiTheme="minorHAnsi" w:cstheme="minorHAnsi"/>
                <w:szCs w:val="20"/>
              </w:rPr>
              <w:t>Required value</w:t>
            </w:r>
          </w:p>
        </w:tc>
      </w:tr>
      <w:tr w:rsidR="005D5FAC" w:rsidRPr="00AC69E1" w14:paraId="48010420" w14:textId="77777777" w:rsidTr="005F40E6">
        <w:trPr>
          <w:cantSplit/>
          <w:jc w:val="center"/>
        </w:trPr>
        <w:tc>
          <w:tcPr>
            <w:tcW w:w="157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A907BD9" w14:textId="77777777" w:rsidR="005D5FAC" w:rsidRPr="00AC69E1" w:rsidRDefault="005D5FAC" w:rsidP="00E80DD5">
            <w:pPr>
              <w:rPr>
                <w:rFonts w:asciiTheme="minorHAnsi" w:hAnsiTheme="minorHAnsi" w:cstheme="minorHAnsi"/>
                <w:b/>
                <w:sz w:val="20"/>
                <w:szCs w:val="20"/>
              </w:rPr>
            </w:pPr>
          </w:p>
        </w:tc>
        <w:tc>
          <w:tcPr>
            <w:tcW w:w="5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EBF313" w14:textId="77777777" w:rsidR="005D5FAC" w:rsidRPr="00AC69E1" w:rsidRDefault="005D5FAC" w:rsidP="00E80DD5">
            <w:pPr>
              <w:pStyle w:val="Tablehead"/>
              <w:rPr>
                <w:rFonts w:asciiTheme="minorHAnsi" w:hAnsiTheme="minorHAnsi" w:cstheme="minorHAnsi"/>
                <w:szCs w:val="20"/>
              </w:rPr>
            </w:pPr>
            <w:r w:rsidRPr="00AC69E1">
              <w:rPr>
                <w:rFonts w:asciiTheme="minorHAnsi" w:hAnsiTheme="minorHAnsi" w:cstheme="minorHAnsi"/>
                <w:szCs w:val="20"/>
              </w:rPr>
              <w:t>Usage scenario</w:t>
            </w: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D8DF12" w14:textId="77777777" w:rsidR="005D5FAC" w:rsidRPr="00AC69E1" w:rsidRDefault="005D5FAC" w:rsidP="00E80DD5">
            <w:pPr>
              <w:pStyle w:val="Tablehead"/>
              <w:rPr>
                <w:rFonts w:asciiTheme="minorHAnsi" w:hAnsiTheme="minorHAnsi" w:cstheme="minorHAnsi"/>
                <w:szCs w:val="20"/>
              </w:rPr>
            </w:pPr>
            <w:r w:rsidRPr="00AC69E1">
              <w:rPr>
                <w:rFonts w:asciiTheme="minorHAnsi" w:hAnsiTheme="minorHAnsi" w:cstheme="minorHAnsi"/>
                <w:szCs w:val="20"/>
              </w:rPr>
              <w:t>Test environment</w:t>
            </w:r>
          </w:p>
        </w:tc>
        <w:tc>
          <w:tcPr>
            <w:tcW w:w="6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F26DBC" w14:textId="77777777" w:rsidR="005D5FAC" w:rsidRPr="00AC69E1" w:rsidRDefault="005D5FAC" w:rsidP="00E80DD5">
            <w:pPr>
              <w:pStyle w:val="Tablehead"/>
              <w:rPr>
                <w:rFonts w:asciiTheme="minorHAnsi" w:hAnsiTheme="minorHAnsi" w:cstheme="minorHAnsi"/>
                <w:szCs w:val="20"/>
              </w:rPr>
            </w:pPr>
            <w:r w:rsidRPr="00AC69E1">
              <w:rPr>
                <w:rFonts w:asciiTheme="minorHAnsi" w:hAnsiTheme="minorHAnsi" w:cstheme="minorHAnsi"/>
                <w:szCs w:val="20"/>
              </w:rPr>
              <w:t>Downlink or uplink</w:t>
            </w:r>
          </w:p>
        </w:tc>
        <w:tc>
          <w:tcPr>
            <w:tcW w:w="1190"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1668A7FB" w14:textId="77777777" w:rsidR="005D5FAC" w:rsidRPr="00AC69E1" w:rsidRDefault="005D5FAC" w:rsidP="00E80DD5">
            <w:pPr>
              <w:pStyle w:val="Tablehead"/>
              <w:jc w:val="both"/>
              <w:rPr>
                <w:rFonts w:asciiTheme="minorHAnsi" w:hAnsiTheme="minorHAnsi" w:cstheme="minorHAnsi"/>
                <w:szCs w:val="20"/>
                <w:lang w:eastAsia="zh-CN"/>
              </w:rPr>
            </w:pPr>
          </w:p>
        </w:tc>
      </w:tr>
      <w:tr w:rsidR="005D5FAC" w:rsidRPr="00AC69E1" w14:paraId="3F5ABD34" w14:textId="77777777" w:rsidTr="005F40E6">
        <w:trPr>
          <w:cantSplit/>
          <w:jc w:val="center"/>
        </w:trPr>
        <w:tc>
          <w:tcPr>
            <w:tcW w:w="1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82573" w14:textId="77777777" w:rsidR="005D5FAC" w:rsidRPr="00AC69E1" w:rsidRDefault="005D5FAC" w:rsidP="00E80DD5">
            <w:pPr>
              <w:pStyle w:val="Tabletext"/>
              <w:rPr>
                <w:rFonts w:asciiTheme="minorHAnsi" w:hAnsiTheme="minorHAnsi" w:cstheme="minorHAnsi"/>
                <w:szCs w:val="20"/>
                <w:lang w:eastAsia="zh-CN"/>
              </w:rPr>
            </w:pPr>
            <w:r w:rsidRPr="00AC69E1">
              <w:rPr>
                <w:rFonts w:asciiTheme="minorHAnsi" w:hAnsiTheme="minorHAnsi" w:cstheme="minorHAnsi"/>
                <w:szCs w:val="20"/>
              </w:rPr>
              <w:t>Peak data rate (Gbit/s)</w:t>
            </w:r>
            <w:r w:rsidRPr="00AC69E1">
              <w:rPr>
                <w:rFonts w:asciiTheme="minorHAnsi" w:hAnsiTheme="minorHAnsi" w:cstheme="minorHAnsi"/>
                <w:i/>
                <w:iCs/>
                <w:szCs w:val="20"/>
              </w:rPr>
              <w:t xml:space="preserve"> (4.1)</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1A736" w14:textId="77777777" w:rsidR="005D5FAC" w:rsidRPr="00AC69E1" w:rsidRDefault="005D5FAC" w:rsidP="00E80DD5">
            <w:pPr>
              <w:pStyle w:val="Tabletext"/>
              <w:jc w:val="center"/>
              <w:rPr>
                <w:rFonts w:asciiTheme="minorHAnsi" w:eastAsia="Malgun Gothic" w:hAnsiTheme="minorHAnsi" w:cstheme="minorHAnsi"/>
                <w:szCs w:val="20"/>
              </w:rPr>
            </w:pPr>
            <w:proofErr w:type="spellStart"/>
            <w:r w:rsidRPr="00AC69E1">
              <w:rPr>
                <w:rFonts w:asciiTheme="minorHAnsi" w:eastAsia="Malgun Gothic" w:hAnsiTheme="minorHAnsi" w:cstheme="minorHAnsi"/>
                <w:szCs w:val="20"/>
              </w:rPr>
              <w:t>eMBB</w:t>
            </w:r>
            <w:proofErr w:type="spellEnd"/>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894D0"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Not applicable</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1D35E"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Downlink</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1694E4"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20</w:t>
            </w:r>
          </w:p>
        </w:tc>
      </w:tr>
      <w:tr w:rsidR="005D5FAC" w:rsidRPr="00AC69E1" w14:paraId="1431790F" w14:textId="77777777" w:rsidTr="005F40E6">
        <w:trPr>
          <w:cantSplit/>
          <w:trHeight w:val="168"/>
          <w:jc w:val="center"/>
        </w:trPr>
        <w:tc>
          <w:tcPr>
            <w:tcW w:w="157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194D95" w14:textId="77777777" w:rsidR="005D5FAC" w:rsidRPr="00AC69E1" w:rsidRDefault="005D5FAC" w:rsidP="00E80DD5">
            <w:pPr>
              <w:rPr>
                <w:rFonts w:asciiTheme="minorHAnsi" w:hAnsiTheme="minorHAnsi" w:cstheme="minorHAnsi"/>
                <w:sz w:val="20"/>
                <w:szCs w:val="20"/>
              </w:rPr>
            </w:pPr>
          </w:p>
        </w:tc>
        <w:tc>
          <w:tcPr>
            <w:tcW w:w="51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C210DD" w14:textId="77777777" w:rsidR="005D5FAC" w:rsidRPr="00AC69E1" w:rsidRDefault="005D5FAC" w:rsidP="00E80DD5">
            <w:pPr>
              <w:jc w:val="center"/>
              <w:rPr>
                <w:rFonts w:asciiTheme="minorHAnsi" w:eastAsia="Malgun Gothic" w:hAnsiTheme="minorHAnsi" w:cstheme="minorHAnsi"/>
                <w:sz w:val="20"/>
                <w:szCs w:val="20"/>
              </w:rPr>
            </w:pPr>
          </w:p>
        </w:tc>
        <w:tc>
          <w:tcPr>
            <w:tcW w:w="105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00DCFEA" w14:textId="77777777" w:rsidR="005D5FAC" w:rsidRPr="00AC69E1" w:rsidRDefault="005D5FAC" w:rsidP="00E80DD5">
            <w:pPr>
              <w:jc w:val="center"/>
              <w:rPr>
                <w:rFonts w:asciiTheme="minorHAnsi" w:hAnsiTheme="minorHAnsi" w:cs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EE37D8"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Uplink</w:t>
            </w:r>
          </w:p>
        </w:tc>
        <w:tc>
          <w:tcPr>
            <w:tcW w:w="11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E152C7"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eastAsia="Malgun Gothic" w:hAnsiTheme="minorHAnsi" w:cstheme="minorHAnsi"/>
                <w:szCs w:val="20"/>
              </w:rPr>
              <w:t>1</w:t>
            </w:r>
            <w:r w:rsidRPr="00AC69E1">
              <w:rPr>
                <w:rFonts w:asciiTheme="minorHAnsi" w:hAnsiTheme="minorHAnsi" w:cstheme="minorHAnsi"/>
                <w:szCs w:val="20"/>
              </w:rPr>
              <w:t>0</w:t>
            </w:r>
          </w:p>
        </w:tc>
      </w:tr>
      <w:tr w:rsidR="005D5FAC" w:rsidRPr="00AC69E1" w14:paraId="0C767798" w14:textId="77777777" w:rsidTr="005F40E6">
        <w:trPr>
          <w:cantSplit/>
          <w:trHeight w:val="786"/>
          <w:jc w:val="center"/>
        </w:trPr>
        <w:tc>
          <w:tcPr>
            <w:tcW w:w="1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DE2FB" w14:textId="77777777" w:rsidR="005D5FAC" w:rsidRPr="00AC69E1" w:rsidRDefault="005D5FAC" w:rsidP="00E80DD5">
            <w:pPr>
              <w:pStyle w:val="Tabletext"/>
              <w:rPr>
                <w:rFonts w:asciiTheme="minorHAnsi" w:hAnsiTheme="minorHAnsi" w:cstheme="minorHAnsi"/>
                <w:szCs w:val="20"/>
                <w:lang w:eastAsia="zh-CN"/>
              </w:rPr>
            </w:pPr>
            <w:r w:rsidRPr="00AC69E1">
              <w:rPr>
                <w:rFonts w:asciiTheme="minorHAnsi" w:hAnsiTheme="minorHAnsi" w:cstheme="minorHAnsi"/>
                <w:szCs w:val="20"/>
              </w:rPr>
              <w:t xml:space="preserve">User experienced data rate (Mbit/s) </w:t>
            </w:r>
            <w:r w:rsidRPr="00AC69E1">
              <w:rPr>
                <w:rFonts w:asciiTheme="minorHAnsi" w:hAnsiTheme="minorHAnsi" w:cstheme="minorHAnsi"/>
                <w:szCs w:val="20"/>
              </w:rPr>
              <w:br/>
            </w:r>
            <w:r w:rsidRPr="00AC69E1">
              <w:rPr>
                <w:rFonts w:asciiTheme="minorHAnsi" w:hAnsiTheme="minorHAnsi" w:cstheme="minorHAnsi"/>
                <w:i/>
                <w:iCs/>
                <w:szCs w:val="20"/>
              </w:rPr>
              <w:t>(4.3)</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9894E" w14:textId="77777777" w:rsidR="005D5FAC" w:rsidRPr="00AC69E1" w:rsidRDefault="005D5FAC" w:rsidP="00E80DD5">
            <w:pPr>
              <w:pStyle w:val="Tabletext"/>
              <w:jc w:val="center"/>
              <w:rPr>
                <w:rFonts w:asciiTheme="minorHAnsi" w:eastAsia="Malgun Gothic" w:hAnsiTheme="minorHAnsi" w:cstheme="minorHAnsi"/>
                <w:szCs w:val="20"/>
              </w:rPr>
            </w:pPr>
            <w:proofErr w:type="spellStart"/>
            <w:r w:rsidRPr="00AC69E1">
              <w:rPr>
                <w:rFonts w:asciiTheme="minorHAnsi" w:eastAsia="Malgun Gothic" w:hAnsiTheme="minorHAnsi" w:cstheme="minorHAnsi"/>
                <w:szCs w:val="20"/>
              </w:rPr>
              <w:t>eMBB</w:t>
            </w:r>
            <w:proofErr w:type="spellEnd"/>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5522C"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 xml:space="preserve">Dense Urban – </w:t>
            </w:r>
            <w:proofErr w:type="spellStart"/>
            <w:r w:rsidRPr="00AC69E1">
              <w:rPr>
                <w:rFonts w:asciiTheme="minorHAnsi" w:hAnsiTheme="minorHAnsi" w:cstheme="minorHAnsi"/>
                <w:szCs w:val="20"/>
              </w:rPr>
              <w:t>eMBB</w:t>
            </w:r>
            <w:proofErr w:type="spellEnd"/>
          </w:p>
        </w:tc>
        <w:tc>
          <w:tcPr>
            <w:tcW w:w="661" w:type="pct"/>
            <w:tcBorders>
              <w:top w:val="single" w:sz="4" w:space="0" w:color="auto"/>
              <w:left w:val="single" w:sz="4" w:space="0" w:color="auto"/>
              <w:right w:val="single" w:sz="4" w:space="0" w:color="auto"/>
            </w:tcBorders>
            <w:shd w:val="clear" w:color="auto" w:fill="auto"/>
            <w:vAlign w:val="center"/>
          </w:tcPr>
          <w:p w14:paraId="0AFE3DDA"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Uplink</w:t>
            </w:r>
          </w:p>
        </w:tc>
        <w:tc>
          <w:tcPr>
            <w:tcW w:w="1190" w:type="pct"/>
            <w:tcBorders>
              <w:top w:val="single" w:sz="4" w:space="0" w:color="auto"/>
              <w:left w:val="single" w:sz="4" w:space="0" w:color="auto"/>
              <w:right w:val="single" w:sz="4" w:space="0" w:color="auto"/>
            </w:tcBorders>
            <w:shd w:val="clear" w:color="auto" w:fill="auto"/>
            <w:vAlign w:val="center"/>
          </w:tcPr>
          <w:p w14:paraId="56977BD5"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50</w:t>
            </w:r>
          </w:p>
        </w:tc>
      </w:tr>
      <w:tr w:rsidR="005D5FAC" w:rsidRPr="00AC69E1" w14:paraId="458FA8AB" w14:textId="77777777" w:rsidTr="005F40E6">
        <w:trPr>
          <w:cantSplit/>
          <w:jc w:val="center"/>
        </w:trPr>
        <w:tc>
          <w:tcPr>
            <w:tcW w:w="1579" w:type="pct"/>
            <w:vMerge w:val="restart"/>
            <w:tcBorders>
              <w:top w:val="single" w:sz="4" w:space="0" w:color="auto"/>
              <w:left w:val="single" w:sz="4" w:space="0" w:color="auto"/>
              <w:right w:val="single" w:sz="4" w:space="0" w:color="auto"/>
            </w:tcBorders>
            <w:shd w:val="clear" w:color="auto" w:fill="auto"/>
            <w:vAlign w:val="center"/>
            <w:hideMark/>
          </w:tcPr>
          <w:p w14:paraId="37D6B432" w14:textId="77777777" w:rsidR="005D5FAC" w:rsidRPr="00AC69E1" w:rsidRDefault="005D5FAC" w:rsidP="00E80DD5">
            <w:pPr>
              <w:pStyle w:val="Tabletext"/>
              <w:rPr>
                <w:rFonts w:asciiTheme="minorHAnsi" w:hAnsiTheme="minorHAnsi" w:cstheme="minorHAnsi"/>
                <w:szCs w:val="20"/>
                <w:lang w:eastAsia="zh-CN"/>
              </w:rPr>
            </w:pPr>
            <w:r w:rsidRPr="00AC69E1">
              <w:rPr>
                <w:rFonts w:asciiTheme="minorHAnsi" w:hAnsiTheme="minorHAnsi" w:cstheme="minorHAnsi"/>
                <w:szCs w:val="20"/>
              </w:rPr>
              <w:t>5</w:t>
            </w:r>
            <w:r w:rsidRPr="00AC69E1">
              <w:rPr>
                <w:rFonts w:asciiTheme="minorHAnsi" w:hAnsiTheme="minorHAnsi" w:cstheme="minorHAnsi"/>
                <w:szCs w:val="20"/>
                <w:vertAlign w:val="superscript"/>
              </w:rPr>
              <w:t>th</w:t>
            </w:r>
            <w:r w:rsidRPr="00AC69E1">
              <w:rPr>
                <w:rFonts w:asciiTheme="minorHAnsi" w:hAnsiTheme="minorHAnsi" w:cstheme="minorHAnsi"/>
                <w:szCs w:val="20"/>
              </w:rPr>
              <w:t xml:space="preserve"> percentile user spectral efficiency (bit/s/Hz) </w:t>
            </w:r>
            <w:r w:rsidRPr="00AC69E1">
              <w:rPr>
                <w:rFonts w:asciiTheme="minorHAnsi" w:hAnsiTheme="minorHAnsi" w:cstheme="minorHAnsi"/>
                <w:szCs w:val="20"/>
              </w:rPr>
              <w:br/>
            </w:r>
            <w:r w:rsidRPr="00AC69E1">
              <w:rPr>
                <w:rFonts w:asciiTheme="minorHAnsi" w:hAnsiTheme="minorHAnsi" w:cstheme="minorHAnsi"/>
                <w:i/>
                <w:iCs/>
                <w:szCs w:val="20"/>
              </w:rPr>
              <w:t>(4.4)</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CBC1EC" w14:textId="77777777" w:rsidR="005D5FAC" w:rsidRPr="00AC69E1" w:rsidRDefault="005D5FAC" w:rsidP="00E80DD5">
            <w:pPr>
              <w:pStyle w:val="Tabletext"/>
              <w:jc w:val="center"/>
              <w:rPr>
                <w:rFonts w:asciiTheme="minorHAnsi" w:hAnsiTheme="minorHAnsi" w:cstheme="minorHAnsi"/>
                <w:szCs w:val="20"/>
              </w:rPr>
            </w:pPr>
            <w:proofErr w:type="spellStart"/>
            <w:r w:rsidRPr="00AC69E1">
              <w:rPr>
                <w:rFonts w:asciiTheme="minorHAnsi" w:hAnsiTheme="minorHAnsi" w:cstheme="minorHAnsi"/>
                <w:szCs w:val="20"/>
              </w:rPr>
              <w:t>eMBB</w:t>
            </w:r>
            <w:proofErr w:type="spellEnd"/>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DB59D2"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 xml:space="preserve">Indoor Hotspot – </w:t>
            </w:r>
            <w:proofErr w:type="spellStart"/>
            <w:r w:rsidRPr="00AC69E1">
              <w:rPr>
                <w:rFonts w:asciiTheme="minorHAnsi" w:hAnsiTheme="minorHAnsi" w:cstheme="minorHAnsi"/>
                <w:szCs w:val="20"/>
              </w:rPr>
              <w:t>eMBB</w:t>
            </w:r>
            <w:proofErr w:type="spellEnd"/>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19407"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Downlink</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86FA3"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0.3</w:t>
            </w:r>
          </w:p>
        </w:tc>
      </w:tr>
      <w:tr w:rsidR="005D5FAC" w:rsidRPr="00AC69E1" w14:paraId="68BB0E02" w14:textId="77777777" w:rsidTr="005F40E6">
        <w:trPr>
          <w:cantSplit/>
          <w:jc w:val="center"/>
        </w:trPr>
        <w:tc>
          <w:tcPr>
            <w:tcW w:w="1579" w:type="pct"/>
            <w:vMerge/>
            <w:tcBorders>
              <w:left w:val="single" w:sz="4" w:space="0" w:color="auto"/>
              <w:right w:val="single" w:sz="4" w:space="0" w:color="auto"/>
            </w:tcBorders>
            <w:shd w:val="clear" w:color="auto" w:fill="FFFFFF"/>
            <w:vAlign w:val="center"/>
            <w:hideMark/>
          </w:tcPr>
          <w:p w14:paraId="33467A8B" w14:textId="77777777" w:rsidR="005D5FAC" w:rsidRPr="00AC69E1" w:rsidRDefault="005D5FAC" w:rsidP="00E80DD5">
            <w:pPr>
              <w:rPr>
                <w:rFonts w:asciiTheme="minorHAnsi" w:hAnsiTheme="minorHAnsi" w:cstheme="minorHAnsi"/>
                <w:sz w:val="20"/>
                <w:szCs w:val="20"/>
              </w:rPr>
            </w:pPr>
          </w:p>
        </w:tc>
        <w:tc>
          <w:tcPr>
            <w:tcW w:w="51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D7F8D8" w14:textId="77777777" w:rsidR="005D5FAC" w:rsidRPr="00AC69E1" w:rsidRDefault="005D5FAC" w:rsidP="00E80DD5">
            <w:pPr>
              <w:jc w:val="center"/>
              <w:rPr>
                <w:rFonts w:asciiTheme="minorHAnsi" w:hAnsiTheme="minorHAnsi" w:cstheme="minorHAnsi"/>
                <w:sz w:val="20"/>
                <w:szCs w:val="20"/>
              </w:rPr>
            </w:pPr>
          </w:p>
        </w:tc>
        <w:tc>
          <w:tcPr>
            <w:tcW w:w="105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57241D9" w14:textId="77777777" w:rsidR="005D5FAC" w:rsidRPr="00AC69E1" w:rsidRDefault="005D5FAC" w:rsidP="00E80DD5">
            <w:pPr>
              <w:jc w:val="center"/>
              <w:rPr>
                <w:rFonts w:asciiTheme="minorHAnsi" w:hAnsiTheme="minorHAnsi" w:cs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4F155"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Uplink</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B1902"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0.21</w:t>
            </w:r>
          </w:p>
        </w:tc>
      </w:tr>
      <w:tr w:rsidR="005D5FAC" w:rsidRPr="00AC69E1" w14:paraId="36DA9BB3" w14:textId="77777777" w:rsidTr="005F40E6">
        <w:trPr>
          <w:cantSplit/>
          <w:jc w:val="center"/>
        </w:trPr>
        <w:tc>
          <w:tcPr>
            <w:tcW w:w="1579" w:type="pct"/>
            <w:vMerge/>
            <w:tcBorders>
              <w:left w:val="single" w:sz="4" w:space="0" w:color="auto"/>
              <w:right w:val="single" w:sz="4" w:space="0" w:color="auto"/>
            </w:tcBorders>
            <w:shd w:val="clear" w:color="auto" w:fill="FFFFFF"/>
            <w:vAlign w:val="center"/>
            <w:hideMark/>
          </w:tcPr>
          <w:p w14:paraId="6B1549FA" w14:textId="77777777" w:rsidR="005D5FAC" w:rsidRPr="00AC69E1" w:rsidRDefault="005D5FAC" w:rsidP="00E80DD5">
            <w:pPr>
              <w:rPr>
                <w:rFonts w:asciiTheme="minorHAnsi" w:hAnsiTheme="minorHAnsi" w:cstheme="minorHAnsi"/>
                <w:sz w:val="20"/>
                <w:szCs w:val="20"/>
              </w:rPr>
            </w:pPr>
          </w:p>
        </w:tc>
        <w:tc>
          <w:tcPr>
            <w:tcW w:w="5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C3E133" w14:textId="77777777" w:rsidR="005D5FAC" w:rsidRPr="00AC69E1" w:rsidRDefault="005D5FAC" w:rsidP="00E80DD5">
            <w:pPr>
              <w:pStyle w:val="Tabletext"/>
              <w:jc w:val="center"/>
              <w:rPr>
                <w:rFonts w:asciiTheme="minorHAnsi" w:hAnsiTheme="minorHAnsi" w:cstheme="minorHAnsi"/>
                <w:szCs w:val="20"/>
              </w:rPr>
            </w:pPr>
            <w:proofErr w:type="spellStart"/>
            <w:r w:rsidRPr="00AC69E1">
              <w:rPr>
                <w:rFonts w:asciiTheme="minorHAnsi" w:hAnsiTheme="minorHAnsi" w:cstheme="minorHAnsi"/>
                <w:szCs w:val="20"/>
              </w:rPr>
              <w:t>eMBB</w:t>
            </w:r>
            <w:proofErr w:type="spellEnd"/>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A3323A"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 xml:space="preserve">Dense Urban – </w:t>
            </w:r>
            <w:proofErr w:type="spellStart"/>
            <w:r w:rsidRPr="00AC69E1">
              <w:rPr>
                <w:rFonts w:asciiTheme="minorHAnsi" w:hAnsiTheme="minorHAnsi" w:cstheme="minorHAnsi"/>
                <w:szCs w:val="20"/>
              </w:rPr>
              <w:t>eMBB</w:t>
            </w:r>
            <w:proofErr w:type="spellEnd"/>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AA69A"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Downlink</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61905"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0.225</w:t>
            </w:r>
          </w:p>
        </w:tc>
      </w:tr>
      <w:tr w:rsidR="005D5FAC" w:rsidRPr="00AC69E1" w14:paraId="1D231978" w14:textId="77777777" w:rsidTr="005F40E6">
        <w:trPr>
          <w:cantSplit/>
          <w:jc w:val="center"/>
        </w:trPr>
        <w:tc>
          <w:tcPr>
            <w:tcW w:w="1579" w:type="pct"/>
            <w:vMerge/>
            <w:tcBorders>
              <w:left w:val="single" w:sz="4" w:space="0" w:color="auto"/>
              <w:right w:val="single" w:sz="4" w:space="0" w:color="auto"/>
            </w:tcBorders>
            <w:shd w:val="clear" w:color="auto" w:fill="FFFFFF"/>
            <w:vAlign w:val="center"/>
            <w:hideMark/>
          </w:tcPr>
          <w:p w14:paraId="7B93F56B" w14:textId="77777777" w:rsidR="005D5FAC" w:rsidRPr="00AC69E1" w:rsidRDefault="005D5FAC" w:rsidP="00E80DD5">
            <w:pPr>
              <w:rPr>
                <w:rFonts w:asciiTheme="minorHAnsi" w:hAnsiTheme="minorHAnsi" w:cstheme="minorHAnsi"/>
                <w:sz w:val="20"/>
                <w:szCs w:val="20"/>
              </w:rPr>
            </w:pPr>
          </w:p>
        </w:tc>
        <w:tc>
          <w:tcPr>
            <w:tcW w:w="51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3B1070" w14:textId="77777777" w:rsidR="005D5FAC" w:rsidRPr="00AC69E1" w:rsidRDefault="005D5FAC" w:rsidP="00E80DD5">
            <w:pPr>
              <w:jc w:val="center"/>
              <w:rPr>
                <w:rFonts w:asciiTheme="minorHAnsi" w:hAnsiTheme="minorHAnsi" w:cstheme="minorHAnsi"/>
                <w:sz w:val="20"/>
                <w:szCs w:val="20"/>
              </w:rPr>
            </w:pPr>
          </w:p>
        </w:tc>
        <w:tc>
          <w:tcPr>
            <w:tcW w:w="105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F2A195" w14:textId="77777777" w:rsidR="005D5FAC" w:rsidRPr="00AC69E1" w:rsidRDefault="005D5FAC" w:rsidP="00E80DD5">
            <w:pPr>
              <w:jc w:val="center"/>
              <w:rPr>
                <w:rFonts w:asciiTheme="minorHAnsi" w:hAnsiTheme="minorHAnsi" w:cs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DA593"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Uplink</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5C715"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0.15</w:t>
            </w:r>
          </w:p>
        </w:tc>
      </w:tr>
      <w:tr w:rsidR="005D5FAC" w:rsidRPr="00AC69E1" w14:paraId="6EA8BCE1" w14:textId="77777777" w:rsidTr="005F40E6">
        <w:trPr>
          <w:cantSplit/>
          <w:trHeight w:val="575"/>
          <w:jc w:val="center"/>
        </w:trPr>
        <w:tc>
          <w:tcPr>
            <w:tcW w:w="1579" w:type="pct"/>
            <w:vMerge/>
            <w:tcBorders>
              <w:left w:val="single" w:sz="4" w:space="0" w:color="auto"/>
              <w:right w:val="single" w:sz="4" w:space="0" w:color="auto"/>
            </w:tcBorders>
            <w:shd w:val="clear" w:color="auto" w:fill="FFFFFF"/>
            <w:vAlign w:val="center"/>
            <w:hideMark/>
          </w:tcPr>
          <w:p w14:paraId="6694C3D8" w14:textId="77777777" w:rsidR="005D5FAC" w:rsidRPr="00AC69E1" w:rsidRDefault="005D5FAC" w:rsidP="00E80DD5">
            <w:pPr>
              <w:rPr>
                <w:rFonts w:asciiTheme="minorHAnsi" w:hAnsiTheme="minorHAnsi" w:cstheme="minorHAnsi"/>
                <w:sz w:val="20"/>
                <w:szCs w:val="20"/>
              </w:rPr>
            </w:pPr>
          </w:p>
        </w:tc>
        <w:tc>
          <w:tcPr>
            <w:tcW w:w="513" w:type="pct"/>
            <w:vMerge w:val="restart"/>
            <w:tcBorders>
              <w:top w:val="single" w:sz="4" w:space="0" w:color="auto"/>
              <w:left w:val="single" w:sz="4" w:space="0" w:color="auto"/>
              <w:right w:val="single" w:sz="4" w:space="0" w:color="auto"/>
            </w:tcBorders>
            <w:shd w:val="clear" w:color="auto" w:fill="FFFFFF"/>
            <w:vAlign w:val="center"/>
            <w:hideMark/>
          </w:tcPr>
          <w:p w14:paraId="742A1899" w14:textId="77777777" w:rsidR="005D5FAC" w:rsidRPr="00AC69E1" w:rsidRDefault="005D5FAC" w:rsidP="00E80DD5">
            <w:pPr>
              <w:pStyle w:val="Tabletext"/>
              <w:jc w:val="center"/>
              <w:rPr>
                <w:rFonts w:asciiTheme="minorHAnsi" w:hAnsiTheme="minorHAnsi" w:cstheme="minorHAnsi"/>
                <w:szCs w:val="20"/>
              </w:rPr>
            </w:pPr>
            <w:proofErr w:type="spellStart"/>
            <w:r w:rsidRPr="00AC69E1">
              <w:rPr>
                <w:rFonts w:asciiTheme="minorHAnsi" w:hAnsiTheme="minorHAnsi" w:cstheme="minorHAnsi"/>
                <w:szCs w:val="20"/>
              </w:rPr>
              <w:t>eMBB</w:t>
            </w:r>
            <w:proofErr w:type="spellEnd"/>
          </w:p>
        </w:tc>
        <w:tc>
          <w:tcPr>
            <w:tcW w:w="1057" w:type="pct"/>
            <w:vMerge w:val="restart"/>
            <w:tcBorders>
              <w:top w:val="single" w:sz="4" w:space="0" w:color="auto"/>
              <w:left w:val="single" w:sz="4" w:space="0" w:color="auto"/>
              <w:right w:val="single" w:sz="4" w:space="0" w:color="auto"/>
            </w:tcBorders>
            <w:shd w:val="clear" w:color="auto" w:fill="auto"/>
            <w:vAlign w:val="center"/>
            <w:hideMark/>
          </w:tcPr>
          <w:p w14:paraId="0DFE8B57"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 xml:space="preserve">Rural – </w:t>
            </w:r>
            <w:proofErr w:type="spellStart"/>
            <w:r w:rsidRPr="00AC69E1">
              <w:rPr>
                <w:rFonts w:asciiTheme="minorHAnsi" w:hAnsiTheme="minorHAnsi" w:cstheme="minorHAnsi"/>
                <w:szCs w:val="20"/>
              </w:rPr>
              <w:t>eMBB</w:t>
            </w:r>
            <w:proofErr w:type="spellEnd"/>
          </w:p>
        </w:tc>
        <w:tc>
          <w:tcPr>
            <w:tcW w:w="661" w:type="pct"/>
            <w:tcBorders>
              <w:top w:val="single" w:sz="4" w:space="0" w:color="auto"/>
              <w:left w:val="single" w:sz="4" w:space="0" w:color="auto"/>
              <w:right w:val="single" w:sz="4" w:space="0" w:color="auto"/>
            </w:tcBorders>
            <w:shd w:val="clear" w:color="auto" w:fill="auto"/>
            <w:vAlign w:val="center"/>
          </w:tcPr>
          <w:p w14:paraId="79342F7D" w14:textId="77777777" w:rsidR="005D5FAC" w:rsidRPr="00AC69E1" w:rsidRDefault="005D5FAC" w:rsidP="00E80DD5">
            <w:pPr>
              <w:pStyle w:val="Tabletext"/>
              <w:jc w:val="center"/>
              <w:rPr>
                <w:rFonts w:asciiTheme="minorHAnsi" w:hAnsiTheme="minorHAnsi" w:cstheme="minorHAnsi"/>
                <w:szCs w:val="20"/>
                <w:lang w:eastAsia="zh-CN"/>
              </w:rPr>
            </w:pPr>
            <w:r w:rsidRPr="00AC69E1">
              <w:rPr>
                <w:rFonts w:asciiTheme="minorHAnsi" w:hAnsiTheme="minorHAnsi" w:cstheme="minorHAnsi"/>
                <w:szCs w:val="20"/>
                <w:lang w:eastAsia="zh-CN"/>
              </w:rPr>
              <w:t>Downlink</w:t>
            </w:r>
          </w:p>
        </w:tc>
        <w:tc>
          <w:tcPr>
            <w:tcW w:w="1190" w:type="pct"/>
            <w:tcBorders>
              <w:top w:val="single" w:sz="4" w:space="0" w:color="auto"/>
              <w:left w:val="single" w:sz="4" w:space="0" w:color="auto"/>
              <w:right w:val="single" w:sz="4" w:space="0" w:color="auto"/>
            </w:tcBorders>
            <w:shd w:val="clear" w:color="auto" w:fill="auto"/>
            <w:vAlign w:val="center"/>
          </w:tcPr>
          <w:p w14:paraId="620ED907" w14:textId="77777777" w:rsidR="005D5FAC" w:rsidRPr="00AC69E1" w:rsidRDefault="005D5FAC" w:rsidP="00E80DD5">
            <w:pPr>
              <w:pStyle w:val="Tabletext"/>
              <w:jc w:val="center"/>
              <w:rPr>
                <w:rFonts w:asciiTheme="minorHAnsi" w:hAnsiTheme="minorHAnsi" w:cstheme="minorHAnsi"/>
                <w:szCs w:val="20"/>
                <w:lang w:eastAsia="zh-CN"/>
              </w:rPr>
            </w:pPr>
            <w:r w:rsidRPr="00AC69E1">
              <w:rPr>
                <w:rFonts w:asciiTheme="minorHAnsi" w:hAnsiTheme="minorHAnsi" w:cstheme="minorHAnsi"/>
                <w:szCs w:val="20"/>
                <w:lang w:eastAsia="zh-CN"/>
              </w:rPr>
              <w:t>0.12</w:t>
            </w:r>
          </w:p>
        </w:tc>
      </w:tr>
      <w:tr w:rsidR="005D5FAC" w:rsidRPr="00AC69E1" w14:paraId="2F57A6A5" w14:textId="77777777" w:rsidTr="005F40E6">
        <w:trPr>
          <w:cantSplit/>
          <w:trHeight w:val="575"/>
          <w:jc w:val="center"/>
        </w:trPr>
        <w:tc>
          <w:tcPr>
            <w:tcW w:w="1579" w:type="pct"/>
            <w:vMerge/>
            <w:tcBorders>
              <w:left w:val="single" w:sz="4" w:space="0" w:color="auto"/>
              <w:bottom w:val="single" w:sz="4" w:space="0" w:color="auto"/>
              <w:right w:val="single" w:sz="4" w:space="0" w:color="auto"/>
            </w:tcBorders>
            <w:shd w:val="clear" w:color="auto" w:fill="FFFFFF"/>
            <w:vAlign w:val="center"/>
          </w:tcPr>
          <w:p w14:paraId="5A62EDB0" w14:textId="77777777" w:rsidR="005D5FAC" w:rsidRPr="00AC69E1" w:rsidRDefault="005D5FAC" w:rsidP="00E80DD5">
            <w:pPr>
              <w:rPr>
                <w:rFonts w:asciiTheme="minorHAnsi" w:hAnsiTheme="minorHAnsi" w:cstheme="minorHAnsi"/>
                <w:sz w:val="20"/>
                <w:szCs w:val="20"/>
              </w:rPr>
            </w:pPr>
          </w:p>
        </w:tc>
        <w:tc>
          <w:tcPr>
            <w:tcW w:w="513" w:type="pct"/>
            <w:vMerge/>
            <w:tcBorders>
              <w:left w:val="single" w:sz="4" w:space="0" w:color="auto"/>
              <w:bottom w:val="single" w:sz="4" w:space="0" w:color="auto"/>
              <w:right w:val="single" w:sz="4" w:space="0" w:color="auto"/>
            </w:tcBorders>
            <w:shd w:val="clear" w:color="auto" w:fill="FFFFFF"/>
            <w:vAlign w:val="center"/>
          </w:tcPr>
          <w:p w14:paraId="20454CC9" w14:textId="77777777" w:rsidR="005D5FAC" w:rsidRPr="00AC69E1" w:rsidRDefault="005D5FAC" w:rsidP="00E80DD5">
            <w:pPr>
              <w:pStyle w:val="Tabletext"/>
              <w:jc w:val="center"/>
              <w:rPr>
                <w:rFonts w:asciiTheme="minorHAnsi" w:hAnsiTheme="minorHAnsi" w:cstheme="minorHAnsi"/>
                <w:szCs w:val="20"/>
              </w:rPr>
            </w:pPr>
          </w:p>
        </w:tc>
        <w:tc>
          <w:tcPr>
            <w:tcW w:w="1057" w:type="pct"/>
            <w:vMerge/>
            <w:tcBorders>
              <w:left w:val="single" w:sz="4" w:space="0" w:color="auto"/>
              <w:bottom w:val="single" w:sz="4" w:space="0" w:color="auto"/>
              <w:right w:val="single" w:sz="4" w:space="0" w:color="auto"/>
            </w:tcBorders>
            <w:shd w:val="clear" w:color="auto" w:fill="auto"/>
            <w:vAlign w:val="center"/>
          </w:tcPr>
          <w:p w14:paraId="1D9F7850" w14:textId="77777777" w:rsidR="005D5FAC" w:rsidRPr="00AC69E1" w:rsidRDefault="005D5FAC" w:rsidP="00E80DD5">
            <w:pPr>
              <w:pStyle w:val="Tabletext"/>
              <w:jc w:val="center"/>
              <w:rPr>
                <w:rFonts w:asciiTheme="minorHAnsi" w:hAnsiTheme="minorHAnsi" w:cstheme="minorHAnsi"/>
                <w:szCs w:val="20"/>
              </w:rPr>
            </w:pPr>
          </w:p>
        </w:tc>
        <w:tc>
          <w:tcPr>
            <w:tcW w:w="661" w:type="pct"/>
            <w:tcBorders>
              <w:top w:val="single" w:sz="4" w:space="0" w:color="auto"/>
              <w:left w:val="single" w:sz="4" w:space="0" w:color="auto"/>
              <w:right w:val="single" w:sz="4" w:space="0" w:color="auto"/>
            </w:tcBorders>
            <w:shd w:val="clear" w:color="auto" w:fill="auto"/>
            <w:vAlign w:val="center"/>
          </w:tcPr>
          <w:p w14:paraId="09D75EDF" w14:textId="77777777" w:rsidR="005D5FAC" w:rsidRPr="00AC69E1" w:rsidRDefault="005D5FAC" w:rsidP="00E80DD5">
            <w:pPr>
              <w:pStyle w:val="Tabletext"/>
              <w:jc w:val="center"/>
              <w:rPr>
                <w:rFonts w:asciiTheme="minorHAnsi" w:hAnsiTheme="minorHAnsi" w:cstheme="minorHAnsi"/>
                <w:szCs w:val="20"/>
                <w:lang w:eastAsia="zh-CN"/>
              </w:rPr>
            </w:pPr>
            <w:r w:rsidRPr="00AC69E1">
              <w:rPr>
                <w:rFonts w:asciiTheme="minorHAnsi" w:hAnsiTheme="minorHAnsi" w:cstheme="minorHAnsi"/>
                <w:szCs w:val="20"/>
              </w:rPr>
              <w:t>Uplink</w:t>
            </w:r>
          </w:p>
        </w:tc>
        <w:tc>
          <w:tcPr>
            <w:tcW w:w="1190" w:type="pct"/>
            <w:tcBorders>
              <w:top w:val="single" w:sz="4" w:space="0" w:color="auto"/>
              <w:left w:val="single" w:sz="4" w:space="0" w:color="auto"/>
              <w:right w:val="single" w:sz="4" w:space="0" w:color="auto"/>
            </w:tcBorders>
            <w:shd w:val="clear" w:color="auto" w:fill="auto"/>
            <w:vAlign w:val="center"/>
          </w:tcPr>
          <w:p w14:paraId="265F4144"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0.045</w:t>
            </w:r>
          </w:p>
        </w:tc>
      </w:tr>
      <w:tr w:rsidR="005D5FAC" w:rsidRPr="00AC69E1" w14:paraId="0DC1531F" w14:textId="77777777" w:rsidTr="005F40E6">
        <w:trPr>
          <w:cantSplit/>
          <w:jc w:val="center"/>
        </w:trPr>
        <w:tc>
          <w:tcPr>
            <w:tcW w:w="1579" w:type="pct"/>
            <w:vMerge w:val="restart"/>
            <w:tcBorders>
              <w:top w:val="single" w:sz="4" w:space="0" w:color="auto"/>
              <w:left w:val="single" w:sz="4" w:space="0" w:color="auto"/>
              <w:right w:val="single" w:sz="4" w:space="0" w:color="auto"/>
            </w:tcBorders>
            <w:shd w:val="clear" w:color="auto" w:fill="auto"/>
            <w:vAlign w:val="center"/>
            <w:hideMark/>
          </w:tcPr>
          <w:p w14:paraId="50A0D2B8" w14:textId="77777777" w:rsidR="005D5FAC" w:rsidRPr="00AC69E1" w:rsidRDefault="005D5FAC" w:rsidP="00E80DD5">
            <w:pPr>
              <w:pStyle w:val="Tabletext"/>
              <w:rPr>
                <w:rFonts w:asciiTheme="minorHAnsi" w:hAnsiTheme="minorHAnsi" w:cstheme="minorHAnsi"/>
                <w:szCs w:val="20"/>
                <w:lang w:eastAsia="zh-CN"/>
              </w:rPr>
            </w:pPr>
            <w:r w:rsidRPr="00AC69E1">
              <w:rPr>
                <w:rFonts w:asciiTheme="minorHAnsi" w:hAnsiTheme="minorHAnsi" w:cstheme="minorHAnsi"/>
                <w:szCs w:val="20"/>
              </w:rPr>
              <w:t xml:space="preserve">Average spectral efficiency (bit/s/Hz/ </w:t>
            </w:r>
            <w:proofErr w:type="spellStart"/>
            <w:r w:rsidRPr="00AC69E1">
              <w:rPr>
                <w:rFonts w:asciiTheme="minorHAnsi" w:hAnsiTheme="minorHAnsi" w:cstheme="minorHAnsi"/>
                <w:szCs w:val="20"/>
              </w:rPr>
              <w:t>TRxP</w:t>
            </w:r>
            <w:proofErr w:type="spellEnd"/>
            <w:r w:rsidRPr="00AC69E1">
              <w:rPr>
                <w:rFonts w:asciiTheme="minorHAnsi" w:hAnsiTheme="minorHAnsi" w:cstheme="minorHAnsi"/>
                <w:szCs w:val="20"/>
              </w:rPr>
              <w:t xml:space="preserve">) </w:t>
            </w:r>
            <w:r w:rsidRPr="00AC69E1">
              <w:rPr>
                <w:rFonts w:asciiTheme="minorHAnsi" w:hAnsiTheme="minorHAnsi" w:cstheme="minorHAnsi"/>
                <w:szCs w:val="20"/>
              </w:rPr>
              <w:br/>
            </w:r>
            <w:r w:rsidRPr="00AC69E1">
              <w:rPr>
                <w:rFonts w:asciiTheme="minorHAnsi" w:hAnsiTheme="minorHAnsi" w:cstheme="minorHAnsi"/>
                <w:i/>
                <w:iCs/>
                <w:szCs w:val="20"/>
              </w:rPr>
              <w:t>(4.5)</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0C153"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eMBB</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C556E2"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Indoor Hotspot – eMBB</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2EBBF"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Downlink</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3B01CF"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9</w:t>
            </w:r>
          </w:p>
        </w:tc>
      </w:tr>
      <w:tr w:rsidR="005D5FAC" w:rsidRPr="00AC69E1" w14:paraId="42A614AA" w14:textId="77777777" w:rsidTr="005F40E6">
        <w:trPr>
          <w:cantSplit/>
          <w:jc w:val="center"/>
        </w:trPr>
        <w:tc>
          <w:tcPr>
            <w:tcW w:w="1579" w:type="pct"/>
            <w:vMerge/>
            <w:tcBorders>
              <w:left w:val="single" w:sz="4" w:space="0" w:color="auto"/>
              <w:right w:val="single" w:sz="4" w:space="0" w:color="auto"/>
            </w:tcBorders>
            <w:shd w:val="clear" w:color="auto" w:fill="auto"/>
            <w:vAlign w:val="center"/>
            <w:hideMark/>
          </w:tcPr>
          <w:p w14:paraId="4C9E7579" w14:textId="77777777" w:rsidR="005D5FAC" w:rsidRPr="00AC69E1" w:rsidRDefault="005D5FAC" w:rsidP="00E80DD5">
            <w:pPr>
              <w:rPr>
                <w:rFonts w:asciiTheme="minorHAnsi" w:hAnsiTheme="minorHAnsi" w:cstheme="minorHAnsi"/>
                <w:sz w:val="20"/>
                <w:szCs w:val="20"/>
              </w:rPr>
            </w:pPr>
          </w:p>
        </w:tc>
        <w:tc>
          <w:tcPr>
            <w:tcW w:w="5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0D790C" w14:textId="77777777" w:rsidR="005D5FAC" w:rsidRPr="00AC69E1" w:rsidRDefault="005D5FAC" w:rsidP="00E80DD5">
            <w:pPr>
              <w:jc w:val="center"/>
              <w:rPr>
                <w:rFonts w:asciiTheme="minorHAnsi" w:hAnsiTheme="minorHAnsi" w:cstheme="minorHAnsi"/>
                <w:sz w:val="20"/>
                <w:szCs w:val="20"/>
              </w:rPr>
            </w:pPr>
          </w:p>
        </w:tc>
        <w:tc>
          <w:tcPr>
            <w:tcW w:w="10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E9B63E" w14:textId="77777777" w:rsidR="005D5FAC" w:rsidRPr="00AC69E1" w:rsidRDefault="005D5FAC" w:rsidP="00E80DD5">
            <w:pPr>
              <w:jc w:val="center"/>
              <w:rPr>
                <w:rFonts w:asciiTheme="minorHAnsi" w:hAnsiTheme="minorHAnsi" w:cs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17684"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Uplink</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C6185"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6.75</w:t>
            </w:r>
          </w:p>
        </w:tc>
      </w:tr>
      <w:tr w:rsidR="005D5FAC" w:rsidRPr="00AC69E1" w14:paraId="3D344F16" w14:textId="77777777" w:rsidTr="005F40E6">
        <w:trPr>
          <w:cantSplit/>
          <w:jc w:val="center"/>
        </w:trPr>
        <w:tc>
          <w:tcPr>
            <w:tcW w:w="1579" w:type="pct"/>
            <w:vMerge/>
            <w:tcBorders>
              <w:left w:val="single" w:sz="4" w:space="0" w:color="auto"/>
              <w:right w:val="single" w:sz="4" w:space="0" w:color="auto"/>
            </w:tcBorders>
            <w:shd w:val="clear" w:color="auto" w:fill="auto"/>
            <w:vAlign w:val="center"/>
            <w:hideMark/>
          </w:tcPr>
          <w:p w14:paraId="7873A694" w14:textId="77777777" w:rsidR="005D5FAC" w:rsidRPr="00AC69E1" w:rsidRDefault="005D5FAC" w:rsidP="00E80DD5">
            <w:pPr>
              <w:rPr>
                <w:rFonts w:asciiTheme="minorHAnsi" w:hAnsiTheme="minorHAnsi" w:cstheme="minorHAnsi"/>
                <w:sz w:val="20"/>
                <w:szCs w:val="20"/>
              </w:rPr>
            </w:pPr>
          </w:p>
        </w:tc>
        <w:tc>
          <w:tcPr>
            <w:tcW w:w="513" w:type="pct"/>
            <w:vMerge w:val="restart"/>
            <w:tcBorders>
              <w:top w:val="single" w:sz="4" w:space="0" w:color="auto"/>
              <w:left w:val="single" w:sz="4" w:space="0" w:color="auto"/>
              <w:right w:val="single" w:sz="4" w:space="0" w:color="auto"/>
            </w:tcBorders>
            <w:shd w:val="clear" w:color="auto" w:fill="auto"/>
            <w:vAlign w:val="center"/>
            <w:hideMark/>
          </w:tcPr>
          <w:p w14:paraId="07CA8064"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eMBB</w:t>
            </w:r>
          </w:p>
        </w:tc>
        <w:tc>
          <w:tcPr>
            <w:tcW w:w="1057" w:type="pct"/>
            <w:vMerge w:val="restart"/>
            <w:tcBorders>
              <w:top w:val="single" w:sz="4" w:space="0" w:color="auto"/>
              <w:left w:val="single" w:sz="4" w:space="0" w:color="auto"/>
              <w:right w:val="single" w:sz="4" w:space="0" w:color="auto"/>
            </w:tcBorders>
            <w:shd w:val="clear" w:color="auto" w:fill="auto"/>
            <w:vAlign w:val="center"/>
            <w:hideMark/>
          </w:tcPr>
          <w:p w14:paraId="7EAC4348"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Dense Urban – eMBB</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E21E2"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Downlink</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6B757"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7.8</w:t>
            </w:r>
          </w:p>
        </w:tc>
      </w:tr>
      <w:tr w:rsidR="005D5FAC" w:rsidRPr="00AC69E1" w14:paraId="7A924B79" w14:textId="77777777" w:rsidTr="005F40E6">
        <w:trPr>
          <w:cantSplit/>
          <w:jc w:val="center"/>
        </w:trPr>
        <w:tc>
          <w:tcPr>
            <w:tcW w:w="1579" w:type="pct"/>
            <w:vMerge/>
            <w:tcBorders>
              <w:left w:val="single" w:sz="4" w:space="0" w:color="auto"/>
              <w:right w:val="single" w:sz="4" w:space="0" w:color="auto"/>
            </w:tcBorders>
            <w:shd w:val="clear" w:color="auto" w:fill="auto"/>
            <w:vAlign w:val="center"/>
          </w:tcPr>
          <w:p w14:paraId="1ACAC79A" w14:textId="77777777" w:rsidR="005D5FAC" w:rsidRPr="00AC69E1" w:rsidRDefault="005D5FAC" w:rsidP="00E80DD5">
            <w:pPr>
              <w:rPr>
                <w:rFonts w:asciiTheme="minorHAnsi" w:hAnsiTheme="minorHAnsi" w:cstheme="minorHAnsi"/>
                <w:sz w:val="20"/>
                <w:szCs w:val="20"/>
              </w:rPr>
            </w:pPr>
          </w:p>
        </w:tc>
        <w:tc>
          <w:tcPr>
            <w:tcW w:w="513" w:type="pct"/>
            <w:vMerge/>
            <w:tcBorders>
              <w:left w:val="single" w:sz="4" w:space="0" w:color="auto"/>
              <w:bottom w:val="single" w:sz="4" w:space="0" w:color="auto"/>
              <w:right w:val="single" w:sz="4" w:space="0" w:color="auto"/>
            </w:tcBorders>
            <w:shd w:val="clear" w:color="auto" w:fill="auto"/>
            <w:vAlign w:val="center"/>
          </w:tcPr>
          <w:p w14:paraId="705812CB" w14:textId="77777777" w:rsidR="005D5FAC" w:rsidRPr="00AC69E1" w:rsidRDefault="005D5FAC" w:rsidP="00E80DD5">
            <w:pPr>
              <w:jc w:val="center"/>
              <w:rPr>
                <w:rFonts w:asciiTheme="minorHAnsi" w:hAnsiTheme="minorHAnsi" w:cstheme="minorHAnsi"/>
                <w:sz w:val="20"/>
                <w:szCs w:val="20"/>
              </w:rPr>
            </w:pPr>
          </w:p>
        </w:tc>
        <w:tc>
          <w:tcPr>
            <w:tcW w:w="1057" w:type="pct"/>
            <w:vMerge/>
            <w:tcBorders>
              <w:left w:val="single" w:sz="4" w:space="0" w:color="auto"/>
              <w:bottom w:val="single" w:sz="4" w:space="0" w:color="auto"/>
              <w:right w:val="single" w:sz="4" w:space="0" w:color="auto"/>
            </w:tcBorders>
            <w:shd w:val="clear" w:color="auto" w:fill="auto"/>
            <w:vAlign w:val="center"/>
          </w:tcPr>
          <w:p w14:paraId="7DD5EA42" w14:textId="77777777" w:rsidR="005D5FAC" w:rsidRPr="00AC69E1" w:rsidRDefault="005D5FAC" w:rsidP="00E80DD5">
            <w:pPr>
              <w:jc w:val="center"/>
              <w:rPr>
                <w:rFonts w:asciiTheme="minorHAnsi" w:hAnsiTheme="minorHAnsi" w:cs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8D134"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Uplink</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CE68AC"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5.4</w:t>
            </w:r>
          </w:p>
        </w:tc>
      </w:tr>
      <w:tr w:rsidR="005D5FAC" w:rsidRPr="00AC69E1" w14:paraId="5C6D8441" w14:textId="77777777" w:rsidTr="005F40E6">
        <w:trPr>
          <w:cantSplit/>
          <w:jc w:val="center"/>
        </w:trPr>
        <w:tc>
          <w:tcPr>
            <w:tcW w:w="157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665B9D" w14:textId="77777777" w:rsidR="005D5FAC" w:rsidRPr="00AC69E1" w:rsidRDefault="005D5FAC" w:rsidP="00E80DD5">
            <w:pPr>
              <w:pStyle w:val="Tabletext"/>
              <w:rPr>
                <w:rFonts w:asciiTheme="minorHAnsi" w:hAnsiTheme="minorHAnsi" w:cstheme="minorHAnsi"/>
                <w:szCs w:val="20"/>
                <w:lang w:eastAsia="zh-CN"/>
              </w:rPr>
            </w:pPr>
            <w:r w:rsidRPr="00AC69E1">
              <w:rPr>
                <w:rFonts w:asciiTheme="minorHAnsi" w:hAnsiTheme="minorHAnsi" w:cstheme="minorHAnsi"/>
                <w:szCs w:val="20"/>
              </w:rPr>
              <w:t>Connection density (devices/km</w:t>
            </w:r>
            <w:r w:rsidRPr="00AC69E1">
              <w:rPr>
                <w:rFonts w:asciiTheme="minorHAnsi" w:hAnsiTheme="minorHAnsi" w:cstheme="minorHAnsi"/>
                <w:szCs w:val="20"/>
                <w:vertAlign w:val="superscript"/>
              </w:rPr>
              <w:t>2</w:t>
            </w:r>
            <w:r w:rsidRPr="00AC69E1">
              <w:rPr>
                <w:rFonts w:asciiTheme="minorHAnsi" w:hAnsiTheme="minorHAnsi" w:cstheme="minorHAnsi"/>
                <w:szCs w:val="20"/>
              </w:rPr>
              <w:t xml:space="preserve">) </w:t>
            </w:r>
            <w:r w:rsidRPr="00AC69E1">
              <w:rPr>
                <w:rFonts w:asciiTheme="minorHAnsi" w:hAnsiTheme="minorHAnsi" w:cstheme="minorHAnsi"/>
                <w:i/>
                <w:iCs/>
                <w:szCs w:val="20"/>
              </w:rPr>
              <w:t>(4.8)</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D57D36"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mMTC</w:t>
            </w:r>
          </w:p>
        </w:tc>
        <w:tc>
          <w:tcPr>
            <w:tcW w:w="10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315F08"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Urban Macro – mMTC</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17644A"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Uplink</w:t>
            </w:r>
          </w:p>
        </w:tc>
        <w:tc>
          <w:tcPr>
            <w:tcW w:w="11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6F2F10"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1 000 000</w:t>
            </w:r>
          </w:p>
        </w:tc>
      </w:tr>
      <w:tr w:rsidR="005D5FAC" w:rsidRPr="00AC69E1" w14:paraId="1A7FB375" w14:textId="77777777" w:rsidTr="005F40E6">
        <w:trPr>
          <w:cantSplit/>
          <w:jc w:val="center"/>
        </w:trPr>
        <w:tc>
          <w:tcPr>
            <w:tcW w:w="1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778CCC" w14:textId="77777777" w:rsidR="005D5FAC" w:rsidRPr="00AC69E1" w:rsidRDefault="005D5FAC" w:rsidP="00E80DD5">
            <w:pPr>
              <w:pStyle w:val="Tabletext"/>
              <w:rPr>
                <w:rFonts w:asciiTheme="minorHAnsi" w:hAnsiTheme="minorHAnsi" w:cstheme="minorHAnsi"/>
                <w:szCs w:val="20"/>
              </w:rPr>
            </w:pPr>
            <w:r w:rsidRPr="00AC69E1">
              <w:rPr>
                <w:rFonts w:asciiTheme="minorHAnsi" w:hAnsiTheme="minorHAnsi" w:cstheme="minorHAnsi"/>
                <w:szCs w:val="20"/>
              </w:rPr>
              <w:t>Reliability</w:t>
            </w:r>
            <w:r w:rsidRPr="00AC69E1">
              <w:rPr>
                <w:rFonts w:asciiTheme="minorHAnsi" w:hAnsiTheme="minorHAnsi" w:cstheme="minorHAnsi"/>
                <w:szCs w:val="20"/>
              </w:rPr>
              <w:br/>
            </w:r>
            <w:r w:rsidRPr="00AC69E1">
              <w:rPr>
                <w:rFonts w:asciiTheme="minorHAnsi" w:hAnsiTheme="minorHAnsi" w:cstheme="minorHAnsi"/>
                <w:i/>
                <w:iCs/>
                <w:szCs w:val="20"/>
              </w:rPr>
              <w:t>(4.10)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1707C"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URLLC</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520FB"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Urban Macro – URLLC</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6F3885"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Uplink or Downlink</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7F932" w14:textId="77777777" w:rsidR="005D5FAC" w:rsidRPr="00AC69E1" w:rsidRDefault="005D5FAC" w:rsidP="005F40E6">
            <w:pPr>
              <w:pStyle w:val="Tabletext"/>
              <w:rPr>
                <w:rFonts w:asciiTheme="minorHAnsi" w:hAnsiTheme="minorHAnsi" w:cstheme="minorHAnsi"/>
                <w:szCs w:val="20"/>
              </w:rPr>
            </w:pPr>
            <w:r w:rsidRPr="00AC69E1">
              <w:rPr>
                <w:rFonts w:asciiTheme="minorHAnsi" w:hAnsiTheme="minorHAnsi" w:cstheme="minorHAnsi"/>
                <w:szCs w:val="20"/>
              </w:rPr>
              <w:t>1-10</w:t>
            </w:r>
            <w:r w:rsidRPr="00AC69E1">
              <w:rPr>
                <w:rFonts w:asciiTheme="minorHAnsi" w:hAnsiTheme="minorHAnsi" w:cstheme="minorHAnsi"/>
                <w:szCs w:val="20"/>
                <w:vertAlign w:val="superscript"/>
              </w:rPr>
              <w:t>−5</w:t>
            </w:r>
            <w:r w:rsidRPr="00AC69E1">
              <w:rPr>
                <w:rFonts w:asciiTheme="minorHAnsi" w:hAnsiTheme="minorHAnsi" w:cstheme="minorHAnsi"/>
                <w:szCs w:val="20"/>
              </w:rPr>
              <w:t xml:space="preserve"> success probability of transmitting a layer</w:t>
            </w:r>
            <w:r w:rsidRPr="00AC69E1">
              <w:rPr>
                <w:rFonts w:asciiTheme="minorHAnsi" w:hAnsiTheme="minorHAnsi" w:cstheme="minorHAnsi"/>
                <w:szCs w:val="20"/>
                <w:lang w:eastAsia="ko-KR"/>
              </w:rPr>
              <w:t xml:space="preserve"> 2 PDU </w:t>
            </w:r>
            <w:r w:rsidRPr="00AC69E1">
              <w:rPr>
                <w:rFonts w:asciiTheme="minorHAnsi" w:eastAsia="Malgun Gothic" w:hAnsiTheme="minorHAnsi" w:cstheme="minorHAnsi"/>
                <w:szCs w:val="20"/>
                <w:lang w:eastAsia="ko-KR"/>
              </w:rPr>
              <w:t xml:space="preserve">(protocol </w:t>
            </w:r>
            <w:r w:rsidRPr="00AC69E1">
              <w:rPr>
                <w:rFonts w:asciiTheme="minorHAnsi" w:eastAsia="Malgun Gothic" w:hAnsiTheme="minorHAnsi" w:cstheme="minorHAnsi"/>
                <w:spacing w:val="-2"/>
                <w:szCs w:val="20"/>
                <w:lang w:eastAsia="ko-KR"/>
              </w:rPr>
              <w:t>data unit)</w:t>
            </w:r>
            <w:r w:rsidRPr="00AC69E1">
              <w:rPr>
                <w:rFonts w:asciiTheme="minorHAnsi" w:hAnsiTheme="minorHAnsi" w:cstheme="minorHAnsi"/>
                <w:spacing w:val="-2"/>
                <w:szCs w:val="20"/>
              </w:rPr>
              <w:t xml:space="preserve"> of size 32 bytes within 1 </w:t>
            </w:r>
            <w:proofErr w:type="spellStart"/>
            <w:r w:rsidRPr="00AC69E1">
              <w:rPr>
                <w:rFonts w:asciiTheme="minorHAnsi" w:hAnsiTheme="minorHAnsi" w:cstheme="minorHAnsi"/>
                <w:spacing w:val="-2"/>
                <w:szCs w:val="20"/>
              </w:rPr>
              <w:t>ms</w:t>
            </w:r>
            <w:proofErr w:type="spellEnd"/>
            <w:r w:rsidRPr="00AC69E1">
              <w:rPr>
                <w:rFonts w:asciiTheme="minorHAnsi" w:hAnsiTheme="minorHAnsi" w:cstheme="minorHAnsi"/>
                <w:spacing w:val="-2"/>
                <w:szCs w:val="20"/>
              </w:rPr>
              <w:t xml:space="preserve"> in channel quality of coverage edge</w:t>
            </w:r>
          </w:p>
        </w:tc>
      </w:tr>
      <w:tr w:rsidR="005D5FAC" w:rsidRPr="00AC69E1" w14:paraId="73BFE8AC" w14:textId="77777777" w:rsidTr="005F40E6">
        <w:trPr>
          <w:cantSplit/>
          <w:jc w:val="center"/>
        </w:trPr>
        <w:tc>
          <w:tcPr>
            <w:tcW w:w="157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143D23" w14:textId="77777777" w:rsidR="005D5FAC" w:rsidRPr="00AC69E1" w:rsidRDefault="005D5FAC" w:rsidP="00E80DD5">
            <w:pPr>
              <w:pStyle w:val="Tabletext"/>
              <w:rPr>
                <w:rFonts w:asciiTheme="minorHAnsi" w:hAnsiTheme="minorHAnsi" w:cstheme="minorHAnsi"/>
                <w:szCs w:val="20"/>
              </w:rPr>
            </w:pPr>
            <w:r w:rsidRPr="00AC69E1">
              <w:rPr>
                <w:rFonts w:asciiTheme="minorHAnsi" w:hAnsiTheme="minorHAnsi" w:cstheme="minorHAnsi"/>
                <w:szCs w:val="20"/>
              </w:rPr>
              <w:t>Mobility</w:t>
            </w:r>
            <w:r w:rsidRPr="00AC69E1">
              <w:rPr>
                <w:rFonts w:asciiTheme="minorHAnsi" w:hAnsiTheme="minorHAnsi" w:cstheme="minorHAnsi"/>
                <w:szCs w:val="20"/>
              </w:rPr>
              <w:br/>
              <w:t>Traffic channel link data rates (bit/s/Hz)</w:t>
            </w:r>
            <w:r w:rsidRPr="00AC69E1">
              <w:rPr>
                <w:rFonts w:asciiTheme="minorHAnsi" w:hAnsiTheme="minorHAnsi" w:cstheme="minorHAnsi"/>
                <w:szCs w:val="20"/>
                <w:lang w:eastAsia="zh-CN"/>
              </w:rPr>
              <w:t xml:space="preserve"> </w:t>
            </w:r>
            <w:r w:rsidRPr="00AC69E1">
              <w:rPr>
                <w:rFonts w:asciiTheme="minorHAnsi" w:hAnsiTheme="minorHAnsi" w:cstheme="minorHAnsi"/>
                <w:szCs w:val="20"/>
                <w:lang w:eastAsia="zh-CN"/>
              </w:rPr>
              <w:br/>
            </w:r>
            <w:r w:rsidRPr="00AC69E1">
              <w:rPr>
                <w:rFonts w:asciiTheme="minorHAnsi" w:hAnsiTheme="minorHAnsi" w:cstheme="minorHAnsi"/>
                <w:i/>
                <w:iCs/>
                <w:szCs w:val="20"/>
                <w:lang w:eastAsia="zh-CN"/>
              </w:rPr>
              <w:t>(4.11)</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A32F2" w14:textId="77777777" w:rsidR="005D5FAC" w:rsidRPr="00AC69E1" w:rsidRDefault="005D5FAC" w:rsidP="00E80DD5">
            <w:pPr>
              <w:pStyle w:val="Tabletext"/>
              <w:keepNext/>
              <w:keepLines/>
              <w:jc w:val="center"/>
              <w:rPr>
                <w:rFonts w:asciiTheme="minorHAnsi" w:hAnsiTheme="minorHAnsi" w:cstheme="minorHAnsi"/>
                <w:szCs w:val="20"/>
              </w:rPr>
            </w:pPr>
            <w:r w:rsidRPr="00AC69E1">
              <w:rPr>
                <w:rFonts w:asciiTheme="minorHAnsi" w:hAnsiTheme="minorHAnsi" w:cstheme="minorHAnsi"/>
                <w:szCs w:val="20"/>
              </w:rPr>
              <w:t>eMBB</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12F7A" w14:textId="77777777" w:rsidR="005D5FAC" w:rsidRPr="00AC69E1" w:rsidRDefault="005D5FAC" w:rsidP="00E80DD5">
            <w:pPr>
              <w:pStyle w:val="Tabletext"/>
              <w:keepNext/>
              <w:keepLines/>
              <w:jc w:val="center"/>
              <w:rPr>
                <w:rFonts w:asciiTheme="minorHAnsi" w:hAnsiTheme="minorHAnsi" w:cstheme="minorHAnsi"/>
                <w:szCs w:val="20"/>
              </w:rPr>
            </w:pPr>
            <w:r w:rsidRPr="00AC69E1">
              <w:rPr>
                <w:rFonts w:asciiTheme="minorHAnsi" w:hAnsiTheme="minorHAnsi" w:cstheme="minorHAnsi"/>
                <w:szCs w:val="20"/>
              </w:rPr>
              <w:t>Dense Urban – eMBB</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732B1" w14:textId="77777777" w:rsidR="005D5FAC" w:rsidRPr="00AC69E1" w:rsidRDefault="005D5FAC" w:rsidP="00E80DD5">
            <w:pPr>
              <w:pStyle w:val="Tabletext"/>
              <w:keepNext/>
              <w:keepLines/>
              <w:jc w:val="center"/>
              <w:rPr>
                <w:rFonts w:asciiTheme="minorHAnsi" w:hAnsiTheme="minorHAnsi" w:cstheme="minorHAnsi"/>
                <w:szCs w:val="20"/>
              </w:rPr>
            </w:pPr>
            <w:r w:rsidRPr="00AC69E1">
              <w:rPr>
                <w:rFonts w:asciiTheme="minorHAnsi" w:hAnsiTheme="minorHAnsi" w:cstheme="minorHAnsi"/>
                <w:szCs w:val="20"/>
              </w:rPr>
              <w:t>Uplink</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05BD5" w14:textId="77777777" w:rsidR="005D5FAC" w:rsidRPr="00AC69E1" w:rsidRDefault="005D5FAC" w:rsidP="00E80DD5">
            <w:pPr>
              <w:pStyle w:val="Tabletext"/>
              <w:keepNext/>
              <w:keepLines/>
              <w:jc w:val="center"/>
              <w:rPr>
                <w:rFonts w:asciiTheme="minorHAnsi" w:hAnsiTheme="minorHAnsi" w:cstheme="minorHAnsi"/>
                <w:szCs w:val="20"/>
              </w:rPr>
            </w:pPr>
            <w:r w:rsidRPr="00AC69E1">
              <w:rPr>
                <w:rFonts w:asciiTheme="minorHAnsi" w:hAnsiTheme="minorHAnsi" w:cstheme="minorHAnsi"/>
                <w:szCs w:val="20"/>
              </w:rPr>
              <w:t>1.12 (30 km/h)</w:t>
            </w:r>
          </w:p>
        </w:tc>
      </w:tr>
      <w:tr w:rsidR="005D5FAC" w:rsidRPr="00AC69E1" w14:paraId="7ED6033F" w14:textId="77777777" w:rsidTr="005F40E6">
        <w:trPr>
          <w:cantSplit/>
          <w:jc w:val="center"/>
        </w:trPr>
        <w:tc>
          <w:tcPr>
            <w:tcW w:w="1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DF6B6" w14:textId="77777777" w:rsidR="005D5FAC" w:rsidRPr="00AC69E1" w:rsidRDefault="005D5FAC" w:rsidP="00E80DD5">
            <w:pPr>
              <w:pStyle w:val="Tabletext"/>
              <w:rPr>
                <w:rFonts w:asciiTheme="minorHAnsi" w:hAnsiTheme="minorHAnsi" w:cstheme="minorHAnsi"/>
                <w:i/>
                <w:iCs/>
                <w:szCs w:val="20"/>
                <w:lang w:eastAsia="zh-CN"/>
              </w:rPr>
            </w:pPr>
            <w:r w:rsidRPr="00AC69E1">
              <w:rPr>
                <w:rFonts w:asciiTheme="minorHAnsi" w:hAnsiTheme="minorHAnsi" w:cstheme="minorHAnsi"/>
                <w:szCs w:val="20"/>
              </w:rPr>
              <w:t>Bandwidth and Scalability</w:t>
            </w:r>
            <w:r w:rsidRPr="00AC69E1">
              <w:rPr>
                <w:rFonts w:asciiTheme="minorHAnsi" w:hAnsiTheme="minorHAnsi" w:cstheme="minorHAnsi"/>
                <w:szCs w:val="20"/>
              </w:rPr>
              <w:br/>
            </w:r>
            <w:r w:rsidRPr="00AC69E1">
              <w:rPr>
                <w:rFonts w:asciiTheme="minorHAnsi" w:hAnsiTheme="minorHAnsi" w:cstheme="minorHAnsi"/>
                <w:i/>
                <w:szCs w:val="20"/>
              </w:rPr>
              <w:t>(4.13)</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FE7111" w14:textId="77777777" w:rsidR="005D5FAC" w:rsidRPr="00AC69E1" w:rsidRDefault="005D5FAC" w:rsidP="00E80DD5">
            <w:pPr>
              <w:pStyle w:val="Tabletext"/>
              <w:ind w:left="-57" w:right="-57"/>
              <w:jc w:val="center"/>
              <w:rPr>
                <w:rFonts w:asciiTheme="minorHAnsi" w:hAnsiTheme="minorHAnsi" w:cstheme="minorHAnsi"/>
                <w:szCs w:val="20"/>
              </w:rPr>
            </w:pPr>
            <w:r w:rsidRPr="00AC69E1">
              <w:rPr>
                <w:rFonts w:asciiTheme="minorHAnsi" w:hAnsiTheme="minorHAnsi" w:cstheme="minorHAnsi"/>
                <w:szCs w:val="20"/>
              </w:rPr>
              <w:t>Not applicable</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487EC"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Not applicable</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F2E0B"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Not applicable</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63683" w14:textId="77777777" w:rsidR="005D5FAC" w:rsidRPr="00AC69E1" w:rsidRDefault="005D5FAC" w:rsidP="00E80DD5">
            <w:pPr>
              <w:pStyle w:val="Tabletext"/>
              <w:jc w:val="center"/>
              <w:rPr>
                <w:rFonts w:asciiTheme="minorHAnsi" w:hAnsiTheme="minorHAnsi" w:cstheme="minorHAnsi"/>
                <w:szCs w:val="20"/>
              </w:rPr>
            </w:pPr>
            <w:r w:rsidRPr="00AC69E1">
              <w:rPr>
                <w:rFonts w:asciiTheme="minorHAnsi" w:hAnsiTheme="minorHAnsi" w:cstheme="minorHAnsi"/>
                <w:szCs w:val="20"/>
              </w:rPr>
              <w:t>At least 100 MHz</w:t>
            </w:r>
          </w:p>
        </w:tc>
      </w:tr>
      <w:tr w:rsidR="005D5FAC" w:rsidRPr="00AC69E1" w14:paraId="221AB536" w14:textId="77777777" w:rsidTr="005F40E6">
        <w:trPr>
          <w:cantSplit/>
          <w:jc w:val="center"/>
        </w:trPr>
        <w:tc>
          <w:tcPr>
            <w:tcW w:w="157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4788E9" w14:textId="77777777" w:rsidR="005D5FAC" w:rsidRPr="00AC69E1" w:rsidRDefault="005D5FAC" w:rsidP="00E80DD5">
            <w:pPr>
              <w:rPr>
                <w:rFonts w:asciiTheme="minorHAnsi" w:hAnsiTheme="minorHAnsi" w:cstheme="minorHAnsi"/>
                <w:i/>
                <w:iCs/>
                <w:sz w:val="20"/>
                <w:szCs w:val="20"/>
              </w:rPr>
            </w:pPr>
          </w:p>
        </w:tc>
        <w:tc>
          <w:tcPr>
            <w:tcW w:w="51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A5C4AC2" w14:textId="77777777" w:rsidR="005D5FAC" w:rsidRPr="00AC69E1" w:rsidRDefault="005D5FAC" w:rsidP="00E80DD5">
            <w:pPr>
              <w:rPr>
                <w:rFonts w:asciiTheme="minorHAnsi" w:hAnsiTheme="minorHAnsi" w:cstheme="minorHAnsi"/>
                <w:sz w:val="20"/>
                <w:szCs w:val="20"/>
              </w:rPr>
            </w:pPr>
          </w:p>
        </w:tc>
        <w:tc>
          <w:tcPr>
            <w:tcW w:w="105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ACAE8B" w14:textId="77777777" w:rsidR="005D5FAC" w:rsidRPr="00AC69E1" w:rsidRDefault="005D5FAC" w:rsidP="00E80DD5">
            <w:pPr>
              <w:rPr>
                <w:rFonts w:asciiTheme="minorHAnsi" w:hAnsiTheme="minorHAnsi" w:cstheme="minorHAnsi"/>
                <w:sz w:val="20"/>
                <w:szCs w:val="20"/>
              </w:rPr>
            </w:pPr>
          </w:p>
        </w:tc>
        <w:tc>
          <w:tcPr>
            <w:tcW w:w="66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B101EF" w14:textId="77777777" w:rsidR="005D5FAC" w:rsidRPr="00AC69E1" w:rsidRDefault="005D5FAC" w:rsidP="00E80DD5">
            <w:pPr>
              <w:rPr>
                <w:rFonts w:asciiTheme="minorHAnsi" w:hAnsiTheme="minorHAnsi" w:cstheme="minorHAnsi"/>
                <w:sz w:val="20"/>
                <w:szCs w:val="20"/>
              </w:rPr>
            </w:pP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A3F5D4" w14:textId="77777777" w:rsidR="005D5FAC" w:rsidRPr="00AC69E1" w:rsidRDefault="005D5FAC" w:rsidP="00E80DD5">
            <w:pPr>
              <w:pStyle w:val="Tabletext"/>
              <w:jc w:val="center"/>
              <w:rPr>
                <w:rFonts w:asciiTheme="minorHAnsi" w:hAnsiTheme="minorHAnsi" w:cstheme="minorHAnsi"/>
                <w:szCs w:val="20"/>
                <w:lang w:eastAsia="ja-JP"/>
              </w:rPr>
            </w:pPr>
            <w:r w:rsidRPr="00AC69E1">
              <w:rPr>
                <w:rFonts w:asciiTheme="minorHAnsi" w:hAnsiTheme="minorHAnsi" w:cstheme="minorHAnsi"/>
                <w:szCs w:val="20"/>
                <w:lang w:eastAsia="ja-JP"/>
              </w:rPr>
              <w:t>Up to 1 GHz</w:t>
            </w:r>
          </w:p>
        </w:tc>
      </w:tr>
    </w:tbl>
    <w:p w14:paraId="75A6A15F" w14:textId="77777777" w:rsidR="005D5FAC" w:rsidRPr="00AC69E1" w:rsidRDefault="005D5FAC" w:rsidP="005D5FAC">
      <w:pPr>
        <w:pStyle w:val="Tablefin"/>
        <w:rPr>
          <w:rFonts w:asciiTheme="minorHAnsi" w:hAnsiTheme="minorHAnsi" w:cstheme="minorHAnsi"/>
        </w:rPr>
      </w:pPr>
    </w:p>
    <w:p w14:paraId="1489A1AA" w14:textId="77777777" w:rsidR="005D5FAC" w:rsidRPr="00AC69E1" w:rsidRDefault="005D5FAC" w:rsidP="005D5FAC">
      <w:pPr>
        <w:pStyle w:val="Normalaftertitle"/>
        <w:spacing w:before="120"/>
        <w:jc w:val="center"/>
        <w:rPr>
          <w:rFonts w:asciiTheme="minorHAnsi" w:hAnsiTheme="minorHAnsi" w:cstheme="minorHAnsi"/>
          <w:lang w:eastAsia="zh-CN"/>
        </w:rPr>
      </w:pPr>
      <w:r w:rsidRPr="00AC69E1">
        <w:rPr>
          <w:rFonts w:asciiTheme="minorHAnsi" w:hAnsiTheme="minorHAnsi" w:cstheme="minorHAnsi"/>
          <w:lang w:eastAsia="zh-CN"/>
        </w:rPr>
        <w:t>_______________</w:t>
      </w:r>
    </w:p>
    <w:sectPr w:rsidR="005D5FAC" w:rsidRPr="00AC69E1" w:rsidSect="003C5EC8">
      <w:headerReference w:type="even" r:id="rId16"/>
      <w:headerReference w:type="default" r:id="rId17"/>
      <w:headerReference w:type="first" r:id="rId18"/>
      <w:footerReference w:type="first" r:id="rId19"/>
      <w:pgSz w:w="11907" w:h="16834" w:code="9"/>
      <w:pgMar w:top="1134" w:right="1134" w:bottom="993" w:left="1134" w:header="567" w:footer="397"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31A2" w14:textId="77777777" w:rsidR="009862C7" w:rsidRDefault="009862C7">
      <w:r>
        <w:separator/>
      </w:r>
    </w:p>
  </w:endnote>
  <w:endnote w:type="continuationSeparator" w:id="0">
    <w:p w14:paraId="46CC0754" w14:textId="77777777" w:rsidR="009862C7" w:rsidRDefault="0098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F24D" w14:textId="03734F87" w:rsidR="00AD4554" w:rsidRPr="007E31B8" w:rsidRDefault="00941E6E" w:rsidP="00F86CD9">
    <w:pPr>
      <w:pStyle w:val="FirstFooter"/>
      <w:spacing w:line="240" w:lineRule="auto"/>
      <w:ind w:left="-397" w:right="-397"/>
      <w:jc w:val="center"/>
      <w:rPr>
        <w:color w:val="4F81BD" w:themeColor="accent1"/>
        <w:sz w:val="19"/>
        <w:szCs w:val="19"/>
        <w:lang w:val="en-GB"/>
      </w:rPr>
    </w:pPr>
    <w:r w:rsidRPr="007E31B8">
      <w:rPr>
        <w:color w:val="4F81BD" w:themeColor="accent1"/>
        <w:sz w:val="19"/>
        <w:szCs w:val="19"/>
        <w:lang w:val="en-GB"/>
      </w:rPr>
      <w:t>International Telecommunication Union • Place des Nations, CH</w:t>
    </w:r>
    <w:r w:rsidRPr="007E31B8">
      <w:rPr>
        <w:color w:val="4F81BD" w:themeColor="accent1"/>
        <w:sz w:val="19"/>
        <w:szCs w:val="19"/>
        <w:lang w:val="en-GB"/>
      </w:rPr>
      <w:noBreakHyphen/>
      <w:t>1211 Geneva 20, Switzerland</w:t>
    </w:r>
    <w:r w:rsidRPr="007E31B8">
      <w:rPr>
        <w:color w:val="4F81BD" w:themeColor="accent1"/>
        <w:sz w:val="19"/>
        <w:szCs w:val="19"/>
        <w:lang w:val="en-GB"/>
      </w:rPr>
      <w:br/>
      <w:t>Tel</w:t>
    </w:r>
    <w:r w:rsidR="007E31B8" w:rsidRPr="007E31B8">
      <w:rPr>
        <w:color w:val="4F81BD" w:themeColor="accent1"/>
        <w:sz w:val="19"/>
        <w:szCs w:val="19"/>
        <w:lang w:val="en-GB"/>
      </w:rPr>
      <w:t>.</w:t>
    </w:r>
    <w:r w:rsidRPr="007E31B8">
      <w:rPr>
        <w:color w:val="4F81BD" w:themeColor="accent1"/>
        <w:sz w:val="19"/>
        <w:szCs w:val="19"/>
        <w:lang w:val="en-GB"/>
      </w:rPr>
      <w:t xml:space="preserve">: +41 22 730 5111 • E-mail: </w:t>
    </w:r>
    <w:hyperlink r:id="rId1" w:history="1">
      <w:r w:rsidRPr="007E31B8">
        <w:rPr>
          <w:rStyle w:val="Hyperlink"/>
          <w:sz w:val="19"/>
          <w:szCs w:val="19"/>
          <w:lang w:val="en-GB"/>
        </w:rPr>
        <w:t>itumail@itu.int</w:t>
      </w:r>
    </w:hyperlink>
    <w:r w:rsidRPr="007E31B8">
      <w:rPr>
        <w:color w:val="4F81BD" w:themeColor="accent1"/>
        <w:sz w:val="19"/>
        <w:szCs w:val="19"/>
        <w:lang w:val="en-GB"/>
      </w:rPr>
      <w:t xml:space="preserve"> • Fax: +41 22 733 7256 • </w:t>
    </w:r>
    <w:hyperlink r:id="rId2" w:history="1">
      <w:r w:rsidR="008356C0" w:rsidRPr="007E31B8">
        <w:rPr>
          <w:rStyle w:val="Hyperlink"/>
          <w:sz w:val="19"/>
          <w:szCs w:val="19"/>
          <w:lang w:val="en-GB"/>
        </w:rPr>
        <w:t>www.itu.int</w:t>
      </w:r>
    </w:hyperlink>
    <w:r w:rsidR="008356C0" w:rsidRPr="007E31B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D7A5" w14:textId="77777777" w:rsidR="009862C7" w:rsidRDefault="009862C7">
      <w:r>
        <w:t>____________________</w:t>
      </w:r>
    </w:p>
  </w:footnote>
  <w:footnote w:type="continuationSeparator" w:id="0">
    <w:p w14:paraId="687D4D00" w14:textId="77777777" w:rsidR="009862C7" w:rsidRDefault="009862C7">
      <w:r>
        <w:continuationSeparator/>
      </w:r>
    </w:p>
  </w:footnote>
  <w:footnote w:id="1">
    <w:p w14:paraId="7F0BBCD0" w14:textId="77777777" w:rsidR="005D5FAC" w:rsidRPr="00AC69E1" w:rsidRDefault="005D5FAC" w:rsidP="005D5FAC">
      <w:pPr>
        <w:pStyle w:val="FootnoteTextBodyCalibri"/>
        <w:tabs>
          <w:tab w:val="clear" w:pos="284"/>
          <w:tab w:val="clear" w:pos="794"/>
          <w:tab w:val="clear" w:pos="1191"/>
          <w:tab w:val="left" w:pos="0"/>
          <w:tab w:val="left" w:pos="142"/>
          <w:tab w:val="left" w:pos="426"/>
        </w:tabs>
        <w:spacing w:after="120"/>
        <w:ind w:left="142" w:hanging="142"/>
        <w:jc w:val="left"/>
        <w:rPr>
          <w:rFonts w:asciiTheme="minorHAnsi" w:hAnsiTheme="minorHAnsi" w:cstheme="minorHAnsi"/>
          <w:sz w:val="24"/>
          <w:szCs w:val="24"/>
          <w:lang w:val="en-CA"/>
        </w:rPr>
      </w:pPr>
      <w:r w:rsidRPr="00E07624">
        <w:rPr>
          <w:rStyle w:val="FootnoteReference"/>
          <w:szCs w:val="18"/>
        </w:rPr>
        <w:footnoteRef/>
      </w:r>
      <w:r>
        <w:rPr>
          <w:sz w:val="24"/>
          <w:szCs w:val="24"/>
        </w:rPr>
        <w:tab/>
      </w:r>
      <w:r w:rsidRPr="00AC69E1">
        <w:rPr>
          <w:rFonts w:asciiTheme="minorHAnsi" w:hAnsiTheme="minorHAnsi" w:cstheme="minorHAnsi"/>
          <w:sz w:val="24"/>
          <w:szCs w:val="24"/>
        </w:rPr>
        <w:t xml:space="preserve">Also, </w:t>
      </w:r>
      <w:r w:rsidRPr="00AC69E1">
        <w:rPr>
          <w:rFonts w:asciiTheme="minorHAnsi" w:hAnsiTheme="minorHAnsi" w:cstheme="minorHAnsi"/>
          <w:sz w:val="24"/>
          <w:szCs w:val="24"/>
          <w:lang w:eastAsia="ja-JP"/>
        </w:rPr>
        <w:t xml:space="preserve">see general information about IMT-2020, WP 5D planned meeting dates, and further information about this planned revision, on the </w:t>
      </w:r>
      <w:hyperlink r:id="rId1" w:history="1">
        <w:r w:rsidRPr="00AC69E1">
          <w:rPr>
            <w:rStyle w:val="ECCHyperlink1"/>
            <w:rFonts w:asciiTheme="minorHAnsi" w:eastAsia="Malgun Gothic" w:hAnsiTheme="minorHAnsi" w:cstheme="minorHAnsi"/>
            <w:sz w:val="24"/>
            <w:szCs w:val="24"/>
            <w:lang w:eastAsia="ko-KR"/>
          </w:rPr>
          <w:t>web page of WP 5D</w:t>
        </w:r>
      </w:hyperlink>
      <w:r w:rsidRPr="00AC69E1">
        <w:rPr>
          <w:rFonts w:asciiTheme="minorHAnsi" w:hAnsiTheme="minorHAnsi" w:cstheme="minorHAnsi"/>
          <w:sz w:val="24"/>
          <w:szCs w:val="24"/>
          <w:lang w:eastAsia="ja-JP"/>
        </w:rPr>
        <w:t>.</w:t>
      </w:r>
    </w:p>
  </w:footnote>
  <w:footnote w:id="2">
    <w:p w14:paraId="00577166" w14:textId="77777777" w:rsidR="005D5FAC" w:rsidRPr="00AC69E1" w:rsidRDefault="005D5FAC" w:rsidP="005D5FAC">
      <w:pPr>
        <w:pStyle w:val="FootnoteText"/>
        <w:tabs>
          <w:tab w:val="left" w:pos="284"/>
        </w:tabs>
        <w:ind w:left="284" w:hanging="284"/>
        <w:rPr>
          <w:rFonts w:cstheme="minorHAnsi"/>
          <w:color w:val="1F4E79"/>
          <w:sz w:val="24"/>
          <w:szCs w:val="24"/>
        </w:rPr>
      </w:pPr>
      <w:r w:rsidRPr="00987CFB">
        <w:rPr>
          <w:rStyle w:val="FootnoteReference"/>
          <w:rFonts w:cstheme="minorHAnsi"/>
        </w:rPr>
        <w:footnoteRef/>
      </w:r>
      <w:r w:rsidRPr="00987CFB">
        <w:rPr>
          <w:rFonts w:cstheme="minorHAnsi"/>
        </w:rPr>
        <w:t xml:space="preserve"> </w:t>
      </w:r>
      <w:r w:rsidRPr="005D5FAC">
        <w:rPr>
          <w:rFonts w:cstheme="minorHAnsi"/>
          <w:sz w:val="24"/>
          <w:szCs w:val="28"/>
        </w:rPr>
        <w:tab/>
      </w:r>
      <w:r w:rsidRPr="00AC69E1">
        <w:rPr>
          <w:rFonts w:cstheme="minorHAnsi"/>
          <w:sz w:val="24"/>
          <w:szCs w:val="24"/>
        </w:rPr>
        <w:t xml:space="preserve">The evaluation group registration form, if necessary, </w:t>
      </w:r>
      <w:r w:rsidRPr="00AC69E1">
        <w:rPr>
          <w:rFonts w:cstheme="minorHAnsi"/>
          <w:sz w:val="24"/>
          <w:szCs w:val="24"/>
          <w:lang w:eastAsia="ko-KR"/>
        </w:rPr>
        <w:t>is</w:t>
      </w:r>
      <w:r w:rsidRPr="00AC69E1">
        <w:rPr>
          <w:rFonts w:cstheme="minorHAnsi"/>
          <w:sz w:val="24"/>
          <w:szCs w:val="24"/>
        </w:rPr>
        <w:t xml:space="preserve"> available at </w:t>
      </w:r>
      <w:r w:rsidRPr="00AC69E1">
        <w:rPr>
          <w:rFonts w:eastAsia="Malgun Gothic" w:cstheme="minorHAnsi"/>
          <w:sz w:val="24"/>
          <w:szCs w:val="24"/>
        </w:rPr>
        <w:t>“</w:t>
      </w:r>
      <w:hyperlink r:id="rId2" w:history="1">
        <w:r w:rsidRPr="00AC69E1">
          <w:rPr>
            <w:rStyle w:val="ECCHyperlink1"/>
            <w:rFonts w:eastAsia="Malgun Gothic" w:cstheme="minorHAnsi"/>
            <w:i/>
            <w:iCs/>
            <w:sz w:val="24"/>
            <w:szCs w:val="24"/>
          </w:rPr>
          <w:t xml:space="preserve">Web page for Revision 3 of </w:t>
        </w:r>
        <w:r w:rsidRPr="00AC69E1">
          <w:rPr>
            <w:rStyle w:val="ECCHyperlink1"/>
            <w:rFonts w:cstheme="minorHAnsi"/>
            <w:i/>
            <w:iCs/>
            <w:sz w:val="24"/>
            <w:szCs w:val="24"/>
          </w:rPr>
          <w:t>IMT-2020 Recommendation ITU-R M.2150 (2024-2025 work)</w:t>
        </w:r>
      </w:hyperlink>
      <w:r w:rsidRPr="00AC69E1">
        <w:rPr>
          <w:rFonts w:eastAsia="Malgun Gothic" w:cstheme="minorHAnsi"/>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E686" w14:textId="41EDAC8F" w:rsidR="00FC6F6B" w:rsidRPr="00FC6F6B" w:rsidRDefault="006231F4" w:rsidP="008356C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440D8B">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84290219"/>
      <w:docPartObj>
        <w:docPartGallery w:val="Page Numbers (Top of Page)"/>
        <w:docPartUnique/>
      </w:docPartObj>
    </w:sdtPr>
    <w:sdtEndPr>
      <w:rPr>
        <w:noProof/>
      </w:rPr>
    </w:sdtEndPr>
    <w:sdtContent>
      <w:p w14:paraId="4D85BFC3" w14:textId="74527173" w:rsidR="00E915AF" w:rsidRPr="003C5EC8" w:rsidRDefault="006C460D" w:rsidP="006C460D">
        <w:pPr>
          <w:pStyle w:val="Header"/>
          <w:jc w:val="center"/>
          <w:rPr>
            <w:sz w:val="18"/>
            <w:szCs w:val="18"/>
          </w:rPr>
        </w:pPr>
        <w:r w:rsidRPr="003C5EC8">
          <w:rPr>
            <w:sz w:val="18"/>
            <w:szCs w:val="18"/>
          </w:rPr>
          <w:fldChar w:fldCharType="begin"/>
        </w:r>
        <w:r w:rsidRPr="003C5EC8">
          <w:rPr>
            <w:sz w:val="18"/>
            <w:szCs w:val="18"/>
          </w:rPr>
          <w:instrText xml:space="preserve"> PAGE   \* MERGEFORMAT </w:instrText>
        </w:r>
        <w:r w:rsidRPr="003C5EC8">
          <w:rPr>
            <w:sz w:val="18"/>
            <w:szCs w:val="18"/>
          </w:rPr>
          <w:fldChar w:fldCharType="separate"/>
        </w:r>
        <w:r w:rsidRPr="003C5EC8">
          <w:rPr>
            <w:noProof/>
            <w:sz w:val="18"/>
            <w:szCs w:val="18"/>
          </w:rPr>
          <w:t>2</w:t>
        </w:r>
        <w:r w:rsidRPr="003C5EC8">
          <w:rPr>
            <w:noProof/>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D3B8"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0EBF95B7" wp14:editId="66DF400E">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0867266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6061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2D5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2767"/>
    <w:rsid w:val="001F3948"/>
    <w:rsid w:val="001F5A49"/>
    <w:rsid w:val="00201097"/>
    <w:rsid w:val="00201B6E"/>
    <w:rsid w:val="00217875"/>
    <w:rsid w:val="00220F10"/>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43EB"/>
    <w:rsid w:val="00345D38"/>
    <w:rsid w:val="00352097"/>
    <w:rsid w:val="003666FF"/>
    <w:rsid w:val="0037309C"/>
    <w:rsid w:val="00380A6E"/>
    <w:rsid w:val="003836D4"/>
    <w:rsid w:val="003A1F49"/>
    <w:rsid w:val="003A5D52"/>
    <w:rsid w:val="003B2BDA"/>
    <w:rsid w:val="003B55EC"/>
    <w:rsid w:val="003C2EA7"/>
    <w:rsid w:val="003C4471"/>
    <w:rsid w:val="003C5EC8"/>
    <w:rsid w:val="003C7D41"/>
    <w:rsid w:val="003D4A69"/>
    <w:rsid w:val="003E504F"/>
    <w:rsid w:val="003E78D6"/>
    <w:rsid w:val="003F22A9"/>
    <w:rsid w:val="00400573"/>
    <w:rsid w:val="004007A3"/>
    <w:rsid w:val="00406D71"/>
    <w:rsid w:val="004269E0"/>
    <w:rsid w:val="004326DB"/>
    <w:rsid w:val="0043682E"/>
    <w:rsid w:val="00436CD1"/>
    <w:rsid w:val="00440D8B"/>
    <w:rsid w:val="00447ECB"/>
    <w:rsid w:val="004623F7"/>
    <w:rsid w:val="00480F51"/>
    <w:rsid w:val="00481124"/>
    <w:rsid w:val="004815EB"/>
    <w:rsid w:val="00487569"/>
    <w:rsid w:val="00496864"/>
    <w:rsid w:val="00496920"/>
    <w:rsid w:val="004A2044"/>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D5FAC"/>
    <w:rsid w:val="005E5EB3"/>
    <w:rsid w:val="005F3CB6"/>
    <w:rsid w:val="005F40E6"/>
    <w:rsid w:val="005F657C"/>
    <w:rsid w:val="00602D53"/>
    <w:rsid w:val="006047E5"/>
    <w:rsid w:val="006231F4"/>
    <w:rsid w:val="00641DBF"/>
    <w:rsid w:val="0064371D"/>
    <w:rsid w:val="00650B2A"/>
    <w:rsid w:val="00651777"/>
    <w:rsid w:val="00654DA4"/>
    <w:rsid w:val="006550F8"/>
    <w:rsid w:val="00656226"/>
    <w:rsid w:val="00656EF8"/>
    <w:rsid w:val="006829F3"/>
    <w:rsid w:val="006A1921"/>
    <w:rsid w:val="006A518B"/>
    <w:rsid w:val="006B0590"/>
    <w:rsid w:val="006B49DA"/>
    <w:rsid w:val="006B4C75"/>
    <w:rsid w:val="006C460D"/>
    <w:rsid w:val="006C53F8"/>
    <w:rsid w:val="006C7CDE"/>
    <w:rsid w:val="00714B22"/>
    <w:rsid w:val="007234B1"/>
    <w:rsid w:val="00723D08"/>
    <w:rsid w:val="00725FDA"/>
    <w:rsid w:val="00727816"/>
    <w:rsid w:val="00730B9A"/>
    <w:rsid w:val="00750CFA"/>
    <w:rsid w:val="007553DA"/>
    <w:rsid w:val="00763462"/>
    <w:rsid w:val="00782354"/>
    <w:rsid w:val="007921A7"/>
    <w:rsid w:val="007B3DB1"/>
    <w:rsid w:val="007C4AB2"/>
    <w:rsid w:val="007D183E"/>
    <w:rsid w:val="007D43D0"/>
    <w:rsid w:val="007E1833"/>
    <w:rsid w:val="007E31B8"/>
    <w:rsid w:val="007E3F13"/>
    <w:rsid w:val="007F751A"/>
    <w:rsid w:val="00800012"/>
    <w:rsid w:val="0080261F"/>
    <w:rsid w:val="0080525B"/>
    <w:rsid w:val="00806160"/>
    <w:rsid w:val="008143A4"/>
    <w:rsid w:val="0081513E"/>
    <w:rsid w:val="008356C0"/>
    <w:rsid w:val="008432FD"/>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D9D"/>
    <w:rsid w:val="0098013E"/>
    <w:rsid w:val="00981B54"/>
    <w:rsid w:val="009842C3"/>
    <w:rsid w:val="009862C7"/>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43A6"/>
    <w:rsid w:val="00A963DF"/>
    <w:rsid w:val="00AC0C22"/>
    <w:rsid w:val="00AC3896"/>
    <w:rsid w:val="00AC69E1"/>
    <w:rsid w:val="00AD2CF2"/>
    <w:rsid w:val="00AD4554"/>
    <w:rsid w:val="00AE2D88"/>
    <w:rsid w:val="00AE6F6F"/>
    <w:rsid w:val="00AF3325"/>
    <w:rsid w:val="00AF34D9"/>
    <w:rsid w:val="00AF70DA"/>
    <w:rsid w:val="00B019D3"/>
    <w:rsid w:val="00B34CF9"/>
    <w:rsid w:val="00B37559"/>
    <w:rsid w:val="00B4054B"/>
    <w:rsid w:val="00B56307"/>
    <w:rsid w:val="00B579B0"/>
    <w:rsid w:val="00B57D11"/>
    <w:rsid w:val="00B649D7"/>
    <w:rsid w:val="00B81C2F"/>
    <w:rsid w:val="00B82C0D"/>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047"/>
    <w:rsid w:val="00EA15B3"/>
    <w:rsid w:val="00EB2358"/>
    <w:rsid w:val="00EB3EB8"/>
    <w:rsid w:val="00EC02FE"/>
    <w:rsid w:val="00EC4A96"/>
    <w:rsid w:val="00F424BF"/>
    <w:rsid w:val="00F4401E"/>
    <w:rsid w:val="00F44FC3"/>
    <w:rsid w:val="00F46107"/>
    <w:rsid w:val="00F468C5"/>
    <w:rsid w:val="00F52F39"/>
    <w:rsid w:val="00F6184F"/>
    <w:rsid w:val="00F8310E"/>
    <w:rsid w:val="00F86CD9"/>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9F7F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h1,h11,NMP Heading 1,título 1,h12,h13,h14,h15,h16,h17,h111,h121,h131,h141,h151,h161,h18,h112,h122,h132,h142,h152,h162,h19,h113,h123,h133,h143,h153,h163,1,Heading 1 3GPP,app heading 1,l1,Memo Heading 1,Section of paper,Heading 1_a,list 1"/>
    <w:basedOn w:val="Normal"/>
    <w:next w:val="Normal"/>
    <w:link w:val="Heading1Char"/>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qFormat/>
    <w:rsid w:val="00D74BD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qFormat/>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A943A6"/>
    <w:pPr>
      <w:keepNext/>
      <w:keepLines/>
      <w:spacing w:before="720" w:after="120"/>
      <w:jc w:val="center"/>
    </w:pPr>
    <w:rPr>
      <w:b/>
      <w:sz w:val="28"/>
      <w:szCs w:val="28"/>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qFormat/>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uiPriority w:val="99"/>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qFormat/>
    <w:locked/>
    <w:rsid w:val="00D74BDE"/>
    <w:rPr>
      <w:szCs w:val="22"/>
      <w:lang w:val="en-US" w:eastAsia="en-US"/>
    </w:rPr>
  </w:style>
  <w:style w:type="character" w:customStyle="1" w:styleId="TableheadChar">
    <w:name w:val="Table_head Char"/>
    <w:basedOn w:val="DefaultParagraphFont"/>
    <w:link w:val="Tablehead"/>
    <w:qFormat/>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A943A6"/>
    <w:rPr>
      <w:b/>
      <w:sz w:val="28"/>
      <w:szCs w:val="28"/>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AnnexNo">
    <w:name w:val="Annex_No"/>
    <w:basedOn w:val="Normal"/>
    <w:next w:val="Normal"/>
    <w:rsid w:val="00440D8B"/>
    <w:pPr>
      <w:keepNext/>
      <w:keepLines/>
      <w:spacing w:before="480" w:after="80" w:line="240" w:lineRule="auto"/>
      <w:jc w:val="center"/>
    </w:pPr>
    <w:rPr>
      <w:rFonts w:ascii="Times New Roman" w:eastAsia="MS Mincho" w:hAnsi="Times New Roman" w:cs="Times New Roman"/>
      <w:caps/>
      <w:sz w:val="28"/>
      <w:szCs w:val="20"/>
      <w:lang w:val="en-GB"/>
    </w:rPr>
  </w:style>
  <w:style w:type="paragraph" w:customStyle="1" w:styleId="headingb0">
    <w:name w:val="heading_b"/>
    <w:basedOn w:val="Heading3"/>
    <w:next w:val="Normal"/>
    <w:rsid w:val="00440D8B"/>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440D8B"/>
    <w:pPr>
      <w:tabs>
        <w:tab w:val="clear" w:pos="794"/>
        <w:tab w:val="clear" w:pos="1191"/>
        <w:tab w:val="left" w:pos="1134"/>
      </w:tabs>
      <w:spacing w:before="120" w:line="240" w:lineRule="auto"/>
      <w:jc w:val="left"/>
    </w:pPr>
    <w:rPr>
      <w:rFonts w:ascii="Times New Roman" w:eastAsia="MS Mincho" w:hAnsi="Times New Roman" w:cs="Times New Roman"/>
      <w:szCs w:val="20"/>
      <w:lang w:val="en-GB"/>
    </w:rPr>
  </w:style>
  <w:style w:type="character" w:styleId="UnresolvedMention">
    <w:name w:val="Unresolved Mention"/>
    <w:basedOn w:val="DefaultParagraphFont"/>
    <w:uiPriority w:val="99"/>
    <w:semiHidden/>
    <w:unhideWhenUsed/>
    <w:rsid w:val="008356C0"/>
    <w:rPr>
      <w:color w:val="605E5C"/>
      <w:shd w:val="clear" w:color="auto" w:fill="E1DFDD"/>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6C460D"/>
    <w:rPr>
      <w:szCs w:val="22"/>
      <w:lang w:val="en-US" w:eastAsia="en-US"/>
    </w:rPr>
  </w:style>
  <w:style w:type="paragraph" w:customStyle="1" w:styleId="Annextitle">
    <w:name w:val="Annex_title"/>
    <w:basedOn w:val="Normal"/>
    <w:next w:val="Normal"/>
    <w:rsid w:val="005D5FAC"/>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Tablefin">
    <w:name w:val="Table_fin"/>
    <w:basedOn w:val="Normalaftertitle"/>
    <w:rsid w:val="005D5FAC"/>
    <w:pPr>
      <w:tabs>
        <w:tab w:val="clear" w:pos="794"/>
        <w:tab w:val="clear" w:pos="1191"/>
        <w:tab w:val="clear" w:pos="1588"/>
        <w:tab w:val="clear" w:pos="1985"/>
      </w:tabs>
      <w:spacing w:before="0" w:line="240" w:lineRule="auto"/>
      <w:jc w:val="left"/>
    </w:pPr>
    <w:rPr>
      <w:rFonts w:ascii="Times New Roman" w:hAnsi="Times New Roman" w:cs="Times New Roman"/>
      <w:sz w:val="20"/>
      <w:szCs w:val="20"/>
      <w:lang w:val="en-GB" w:eastAsia="zh-CN"/>
    </w:rPr>
  </w:style>
  <w:style w:type="character" w:customStyle="1" w:styleId="Heading1Char">
    <w:name w:val="Heading 1 Char"/>
    <w:aliases w:val="H1 Char,h1 Char,h11 Char,NMP Heading 1 Char,título 1 Char,h12 Char,h13 Char,h14 Char,h15 Char,h16 Char,h17 Char,h111 Char,h121 Char,h131 Char,h141 Char,h151 Char,h161 Char,h18 Char,h112 Char,h122 Char,h132 Char,h142 Char,h152 Char,1 Char"/>
    <w:basedOn w:val="DefaultParagraphFont"/>
    <w:link w:val="Heading1"/>
    <w:qFormat/>
    <w:rsid w:val="005D5FAC"/>
    <w:rPr>
      <w:b/>
      <w:sz w:val="24"/>
      <w:szCs w:val="22"/>
      <w:lang w:val="en-US" w:eastAsia="en-US"/>
    </w:rPr>
  </w:style>
  <w:style w:type="character" w:customStyle="1" w:styleId="ECCHyperlink1">
    <w:name w:val="ECC Hyperlink1"/>
    <w:basedOn w:val="DefaultParagraphFont"/>
    <w:unhideWhenUsed/>
    <w:qFormat/>
    <w:rsid w:val="005D5FAC"/>
    <w:rPr>
      <w:color w:val="0000FF"/>
      <w:u w:val="single"/>
    </w:rPr>
  </w:style>
  <w:style w:type="paragraph" w:customStyle="1" w:styleId="FootnoteTextBodyCalibri">
    <w:name w:val="Footnote Text + +Body (Calibri)"/>
    <w:basedOn w:val="FootnoteText"/>
    <w:rsid w:val="005D5FAC"/>
    <w:pPr>
      <w:tabs>
        <w:tab w:val="clear" w:pos="255"/>
        <w:tab w:val="left" w:pos="284"/>
      </w:tabs>
    </w:pPr>
    <w:rPr>
      <w:rFonts w:eastAsiaTheme="minorEastAsia"/>
    </w:rPr>
  </w:style>
  <w:style w:type="paragraph" w:styleId="Revision">
    <w:name w:val="Revision"/>
    <w:hidden/>
    <w:uiPriority w:val="99"/>
    <w:semiHidden/>
    <w:rsid w:val="005D5FA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2150/en" TargetMode="External"/><Relationship Id="rId13" Type="http://schemas.openxmlformats.org/officeDocument/2006/relationships/hyperlink" Target="https://www.itu.int/en/ITU-R/study-groups/rsg5/rwp5d/imt-2020/Pages/submission-eval-3rd-release.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5-IMT.2020-C-0088/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IMT.2020-C-0089/en" TargetMode="External"/><Relationship Id="rId5" Type="http://schemas.openxmlformats.org/officeDocument/2006/relationships/webSettings" Target="webSettings.xml"/><Relationship Id="rId15" Type="http://schemas.openxmlformats.org/officeDocument/2006/relationships/hyperlink" Target="https://www.itu.int/en/ITU-R/study-groups/rsg5/rwp5d/imt-2020/Pages/submission-eval-3rd-release.aspx" TargetMode="External"/><Relationship Id="rId10" Type="http://schemas.openxmlformats.org/officeDocument/2006/relationships/hyperlink" Target="https://www.itu.int/md/R15-IMT.2020-C-0002/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pub/R-RES-R.65" TargetMode="External"/><Relationship Id="rId14" Type="http://schemas.openxmlformats.org/officeDocument/2006/relationships/hyperlink" Target="https://www.itu.int/md/R15-IMT.2020-C-0002/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R/study-groups/rsg5/rwp5d/imt-2020/Pages/submission-eval-3rd-release.aspx" TargetMode="External"/><Relationship Id="rId1" Type="http://schemas.openxmlformats.org/officeDocument/2006/relationships/hyperlink" Target="https://www.itu.int/en/ITU-R/study-groups/rsg5/rwp5d/Pages/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51258-448B-4C74-A028-31B8660F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50</TotalTime>
  <Pages>4</Pages>
  <Words>1292</Words>
  <Characters>7955</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9229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16</cp:revision>
  <cp:lastPrinted>2013-01-14T15:21:00Z</cp:lastPrinted>
  <dcterms:created xsi:type="dcterms:W3CDTF">2022-03-07T09:41:00Z</dcterms:created>
  <dcterms:modified xsi:type="dcterms:W3CDTF">2024-02-14T09:52:00Z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