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494"/>
        <w:gridCol w:w="2835"/>
      </w:tblGrid>
      <w:tr w:rsidR="000C4846" w:rsidRPr="00450DD8">
        <w:trPr>
          <w:jc w:val="center"/>
        </w:trPr>
        <w:tc>
          <w:tcPr>
            <w:tcW w:w="98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9A3912">
            <w:pPr>
              <w:spacing w:before="0"/>
              <w:jc w:val="left"/>
              <w:rPr>
                <w:b/>
                <w:bCs/>
                <w:color w:val="808080"/>
                <w:sz w:val="28"/>
                <w:szCs w:val="28"/>
              </w:rPr>
            </w:pPr>
            <w:proofErr w:type="spellStart"/>
            <w:r w:rsidRPr="00450DD8">
              <w:rPr>
                <w:b/>
                <w:bCs/>
                <w:color w:val="808080"/>
                <w:sz w:val="28"/>
                <w:szCs w:val="28"/>
              </w:rPr>
              <w:t>Radiocommunication</w:t>
            </w:r>
            <w:proofErr w:type="spellEnd"/>
            <w:r w:rsidRPr="00450DD8">
              <w:rPr>
                <w:b/>
                <w:bCs/>
                <w:color w:val="808080"/>
                <w:sz w:val="28"/>
                <w:szCs w:val="28"/>
              </w:rPr>
              <w:t xml:space="preserve"> Bureau (BR)</w:t>
            </w:r>
          </w:p>
          <w:p w:rsidR="000C4846" w:rsidRPr="00450DD8" w:rsidRDefault="000C4846" w:rsidP="00236FC1">
            <w:pPr>
              <w:spacing w:before="0" w:after="12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0C4846" w:rsidRPr="00450DD8">
        <w:trPr>
          <w:jc w:val="center"/>
        </w:trPr>
        <w:tc>
          <w:tcPr>
            <w:tcW w:w="70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9A3912">
            <w:pPr>
              <w:spacing w:before="0"/>
              <w:jc w:val="left"/>
              <w:rPr>
                <w:szCs w:val="24"/>
              </w:rPr>
            </w:pPr>
            <w:r w:rsidRPr="00450DD8">
              <w:rPr>
                <w:szCs w:val="24"/>
              </w:rPr>
              <w:t>Circular</w:t>
            </w:r>
            <w:r w:rsidR="0029683B">
              <w:rPr>
                <w:szCs w:val="24"/>
              </w:rPr>
              <w:t xml:space="preserve"> Letter</w:t>
            </w:r>
          </w:p>
          <w:p w:rsidR="000C4846" w:rsidRPr="00450DD8" w:rsidRDefault="00766B44" w:rsidP="00764BDF">
            <w:pPr>
              <w:spacing w:before="0"/>
              <w:jc w:val="left"/>
              <w:rPr>
                <w:b/>
                <w:bCs/>
                <w:szCs w:val="24"/>
              </w:rPr>
            </w:pPr>
            <w:r w:rsidRPr="00450DD8">
              <w:rPr>
                <w:b/>
                <w:bCs/>
                <w:szCs w:val="24"/>
              </w:rPr>
              <w:t>5</w:t>
            </w:r>
            <w:r w:rsidR="009A3912" w:rsidRPr="00450DD8">
              <w:rPr>
                <w:b/>
                <w:bCs/>
                <w:szCs w:val="24"/>
              </w:rPr>
              <w:t>/</w:t>
            </w:r>
            <w:proofErr w:type="spellStart"/>
            <w:r w:rsidR="009A3912" w:rsidRPr="00450DD8">
              <w:rPr>
                <w:b/>
                <w:bCs/>
                <w:szCs w:val="24"/>
              </w:rPr>
              <w:t>LCCE</w:t>
            </w:r>
            <w:proofErr w:type="spellEnd"/>
            <w:r w:rsidR="009A3912" w:rsidRPr="00450DD8">
              <w:rPr>
                <w:b/>
                <w:bCs/>
                <w:szCs w:val="24"/>
              </w:rPr>
              <w:t>/</w:t>
            </w:r>
            <w:r w:rsidR="00764BDF">
              <w:rPr>
                <w:b/>
                <w:bCs/>
                <w:szCs w:val="24"/>
              </w:rPr>
              <w:t>80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CD5796" w:rsidP="004E2D96">
            <w:pPr>
              <w:spacing w:before="0"/>
              <w:jc w:val="right"/>
              <w:rPr>
                <w:szCs w:val="24"/>
              </w:rPr>
            </w:pPr>
            <w:r>
              <w:rPr>
                <w:szCs w:val="24"/>
              </w:rPr>
              <w:t>26 November</w:t>
            </w:r>
            <w:r w:rsidR="00CB4FE0">
              <w:rPr>
                <w:szCs w:val="24"/>
              </w:rPr>
              <w:t xml:space="preserve"> 2018</w:t>
            </w:r>
          </w:p>
        </w:tc>
      </w:tr>
      <w:tr w:rsidR="00764BDF" w:rsidRPr="00450DD8">
        <w:trPr>
          <w:jc w:val="center"/>
        </w:trPr>
        <w:tc>
          <w:tcPr>
            <w:tcW w:w="70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DF" w:rsidRPr="00450DD8" w:rsidRDefault="00764BDF">
            <w:pPr>
              <w:spacing w:before="0"/>
              <w:jc w:val="left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DF" w:rsidRDefault="00764BDF" w:rsidP="004E2D96">
            <w:pPr>
              <w:spacing w:before="0"/>
              <w:jc w:val="right"/>
              <w:rPr>
                <w:szCs w:val="24"/>
              </w:rPr>
            </w:pPr>
          </w:p>
        </w:tc>
      </w:tr>
      <w:tr w:rsidR="000C4846" w:rsidRPr="00450DD8">
        <w:trPr>
          <w:jc w:val="center"/>
        </w:trPr>
        <w:tc>
          <w:tcPr>
            <w:tcW w:w="98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0C4846">
            <w:pPr>
              <w:spacing w:before="0"/>
              <w:jc w:val="left"/>
              <w:rPr>
                <w:szCs w:val="24"/>
              </w:rPr>
            </w:pPr>
          </w:p>
        </w:tc>
      </w:tr>
      <w:tr w:rsidR="000C4846" w:rsidRPr="00450DD8">
        <w:trPr>
          <w:jc w:val="center"/>
        </w:trPr>
        <w:tc>
          <w:tcPr>
            <w:tcW w:w="98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Default="009A3912" w:rsidP="00766B44">
            <w:pPr>
              <w:spacing w:before="0"/>
              <w:jc w:val="left"/>
              <w:rPr>
                <w:b/>
              </w:rPr>
            </w:pPr>
            <w:r w:rsidRPr="00450DD8">
              <w:rPr>
                <w:b/>
                <w:bCs/>
                <w:szCs w:val="24"/>
              </w:rPr>
              <w:t xml:space="preserve">To Administrations of Member States of the </w:t>
            </w:r>
            <w:proofErr w:type="spellStart"/>
            <w:r w:rsidRPr="00450DD8">
              <w:rPr>
                <w:b/>
                <w:bCs/>
                <w:szCs w:val="24"/>
              </w:rPr>
              <w:t>ITU</w:t>
            </w:r>
            <w:proofErr w:type="spellEnd"/>
            <w:r w:rsidRPr="00450DD8">
              <w:rPr>
                <w:b/>
                <w:bCs/>
                <w:szCs w:val="24"/>
              </w:rPr>
              <w:t xml:space="preserve">, </w:t>
            </w:r>
            <w:proofErr w:type="spellStart"/>
            <w:r w:rsidRPr="00450DD8">
              <w:rPr>
                <w:b/>
              </w:rPr>
              <w:t>Radiocommunication</w:t>
            </w:r>
            <w:proofErr w:type="spellEnd"/>
            <w:r w:rsidRPr="00450DD8">
              <w:rPr>
                <w:b/>
              </w:rPr>
              <w:t xml:space="preserve"> Sector Members,</w:t>
            </w:r>
            <w:r w:rsidRPr="00450DD8">
              <w:rPr>
                <w:b/>
              </w:rPr>
              <w:br/>
            </w:r>
            <w:proofErr w:type="spellStart"/>
            <w:r w:rsidRPr="00450DD8">
              <w:rPr>
                <w:b/>
              </w:rPr>
              <w:t>ITU</w:t>
            </w:r>
            <w:proofErr w:type="spellEnd"/>
            <w:r w:rsidRPr="00450DD8">
              <w:rPr>
                <w:b/>
              </w:rPr>
              <w:t xml:space="preserve">-R Associates participating in the work of </w:t>
            </w:r>
            <w:proofErr w:type="spellStart"/>
            <w:r w:rsidRPr="00450DD8">
              <w:rPr>
                <w:b/>
              </w:rPr>
              <w:t>Radiocommunication</w:t>
            </w:r>
            <w:proofErr w:type="spellEnd"/>
            <w:r w:rsidRPr="00450DD8">
              <w:rPr>
                <w:b/>
              </w:rPr>
              <w:t xml:space="preserve"> Study Group </w:t>
            </w:r>
            <w:r w:rsidR="00766B44" w:rsidRPr="00450DD8">
              <w:rPr>
                <w:b/>
              </w:rPr>
              <w:t>5</w:t>
            </w:r>
            <w:r w:rsidRPr="00450DD8">
              <w:rPr>
                <w:b/>
              </w:rPr>
              <w:br/>
              <w:t xml:space="preserve">and </w:t>
            </w:r>
            <w:proofErr w:type="spellStart"/>
            <w:r w:rsidRPr="00450DD8">
              <w:rPr>
                <w:b/>
              </w:rPr>
              <w:t>ITU</w:t>
            </w:r>
            <w:proofErr w:type="spellEnd"/>
            <w:r w:rsidRPr="00450DD8">
              <w:rPr>
                <w:b/>
              </w:rPr>
              <w:t xml:space="preserve"> Academia</w:t>
            </w:r>
          </w:p>
          <w:p w:rsidR="00764BDF" w:rsidRPr="00450DD8" w:rsidRDefault="00764BDF" w:rsidP="00766B44">
            <w:pPr>
              <w:spacing w:before="0"/>
              <w:jc w:val="left"/>
            </w:pPr>
          </w:p>
        </w:tc>
      </w:tr>
      <w:tr w:rsidR="00764BDF" w:rsidRPr="00450DD8">
        <w:trPr>
          <w:jc w:val="center"/>
        </w:trPr>
        <w:tc>
          <w:tcPr>
            <w:tcW w:w="98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DF" w:rsidRPr="00450DD8" w:rsidRDefault="00764BDF" w:rsidP="00766B44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0C4846" w:rsidRPr="00450DD8">
        <w:trPr>
          <w:jc w:val="center"/>
        </w:trPr>
        <w:tc>
          <w:tcPr>
            <w:tcW w:w="98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0C4846" w:rsidP="00C3125A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0C4846" w:rsidRPr="00450DD8" w:rsidTr="00626946">
        <w:trPr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9A3912">
            <w:pPr>
              <w:spacing w:before="0"/>
              <w:jc w:val="left"/>
            </w:pPr>
            <w:r w:rsidRPr="00450DD8">
              <w:rPr>
                <w:szCs w:val="24"/>
              </w:rPr>
              <w:t>Subject:</w:t>
            </w:r>
          </w:p>
        </w:tc>
        <w:tc>
          <w:tcPr>
            <w:tcW w:w="8329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CD5796" w:rsidRDefault="00CD5796" w:rsidP="00BD4165">
            <w:pPr>
              <w:spacing w:before="0"/>
              <w:rPr>
                <w:b/>
                <w:bCs/>
              </w:rPr>
            </w:pPr>
            <w:r w:rsidRPr="00CD5796">
              <w:rPr>
                <w:b/>
                <w:bCs/>
              </w:rPr>
              <w:t xml:space="preserve">Questionnaire </w:t>
            </w:r>
            <w:r w:rsidRPr="00CD5796">
              <w:rPr>
                <w:b/>
                <w:bCs/>
                <w:lang w:eastAsia="zh-CN"/>
              </w:rPr>
              <w:t>on the us</w:t>
            </w:r>
            <w:r w:rsidR="00B67A3C">
              <w:rPr>
                <w:b/>
                <w:bCs/>
                <w:lang w:eastAsia="zh-CN"/>
              </w:rPr>
              <w:t>e</w:t>
            </w:r>
            <w:r w:rsidRPr="00CD5796">
              <w:rPr>
                <w:b/>
                <w:bCs/>
                <w:lang w:eastAsia="zh-CN"/>
              </w:rPr>
              <w:t xml:space="preserve"> of</w:t>
            </w:r>
            <w:r w:rsidRPr="00CD5796">
              <w:rPr>
                <w:rFonts w:eastAsia="SimSun"/>
                <w:b/>
                <w:bCs/>
                <w:lang w:eastAsia="zh-CN"/>
              </w:rPr>
              <w:t xml:space="preserve"> frequency bands 457.5125</w:t>
            </w:r>
            <w:r w:rsidRPr="00CD5796">
              <w:rPr>
                <w:rFonts w:eastAsia="SimSun"/>
                <w:b/>
                <w:bCs/>
                <w:lang w:eastAsia="zh-CN"/>
              </w:rPr>
              <w:noBreakHyphen/>
              <w:t>457.5875 MHz and 467.5125-467.5875 MHz by on-board communication stations in the maritime mobile service</w:t>
            </w:r>
          </w:p>
        </w:tc>
      </w:tr>
      <w:tr w:rsidR="000C4846" w:rsidRPr="00450DD8" w:rsidTr="00626946">
        <w:trPr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0C4846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329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46" w:rsidRPr="00450DD8" w:rsidRDefault="000C4846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CD5796" w:rsidRPr="00450DD8" w:rsidTr="00CD5796">
        <w:trPr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96" w:rsidRPr="00450DD8" w:rsidRDefault="00CD5796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329" w:type="dxa"/>
            <w:gridSpan w:val="2"/>
            <w:shd w:val="clear" w:color="auto" w:fill="auto"/>
          </w:tcPr>
          <w:p w:rsidR="00CD5796" w:rsidRPr="00450DD8" w:rsidRDefault="00CD5796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626946" w:rsidRPr="00450DD8" w:rsidTr="00CD5796">
        <w:trPr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946" w:rsidRPr="00C3125A" w:rsidRDefault="00C3125A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References: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626946" w:rsidRPr="00C3125A" w:rsidRDefault="00C3125A" w:rsidP="004F4C86">
            <w:pPr>
              <w:spacing w:before="0"/>
              <w:ind w:left="131"/>
              <w:jc w:val="left"/>
              <w:rPr>
                <w:b/>
                <w:bCs/>
                <w:szCs w:val="24"/>
              </w:rPr>
            </w:pPr>
            <w:r w:rsidRPr="00C3125A">
              <w:rPr>
                <w:b/>
                <w:bCs/>
              </w:rPr>
              <w:t xml:space="preserve">Radio Regulations </w:t>
            </w:r>
            <w:r w:rsidR="004F4C86">
              <w:rPr>
                <w:rFonts w:eastAsia="SimSun"/>
                <w:b/>
                <w:bCs/>
                <w:lang w:eastAsia="zh-CN"/>
              </w:rPr>
              <w:t>No. 5.287</w:t>
            </w:r>
            <w:r w:rsidRPr="00C3125A">
              <w:rPr>
                <w:rFonts w:eastAsia="SimSun"/>
                <w:b/>
                <w:bCs/>
                <w:lang w:eastAsia="zh-CN"/>
              </w:rPr>
              <w:t xml:space="preserve">, Recommendation </w:t>
            </w:r>
            <w:proofErr w:type="spellStart"/>
            <w:r w:rsidRPr="00C3125A">
              <w:rPr>
                <w:rStyle w:val="Hyperlink"/>
                <w:rFonts w:eastAsia="SimSun"/>
                <w:b/>
                <w:bCs/>
              </w:rPr>
              <w:t>ITU</w:t>
            </w:r>
            <w:proofErr w:type="spellEnd"/>
            <w:r w:rsidRPr="00C3125A">
              <w:rPr>
                <w:rStyle w:val="Hyperlink"/>
                <w:rFonts w:eastAsia="SimSun"/>
                <w:b/>
                <w:bCs/>
              </w:rPr>
              <w:t xml:space="preserve">-R </w:t>
            </w:r>
            <w:hyperlink r:id="rId7" w:history="1">
              <w:proofErr w:type="spellStart"/>
              <w:r w:rsidRPr="00C3125A">
                <w:rPr>
                  <w:rStyle w:val="Hyperlink"/>
                  <w:rFonts w:eastAsia="SimSun"/>
                  <w:b/>
                  <w:bCs/>
                </w:rPr>
                <w:t>M.1174</w:t>
              </w:r>
              <w:proofErr w:type="spellEnd"/>
              <w:r w:rsidRPr="00C3125A">
                <w:rPr>
                  <w:rStyle w:val="Hyperlink"/>
                  <w:rFonts w:eastAsia="SimSun"/>
                  <w:b/>
                  <w:bCs/>
                </w:rPr>
                <w:t>-3</w:t>
              </w:r>
            </w:hyperlink>
          </w:p>
        </w:tc>
      </w:tr>
      <w:tr w:rsidR="00DE2CCA" w:rsidRPr="00450DD8">
        <w:trPr>
          <w:jc w:val="center"/>
        </w:trPr>
        <w:tc>
          <w:tcPr>
            <w:tcW w:w="98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CCA" w:rsidRPr="00450DD8" w:rsidRDefault="00DE2CCA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C3125A" w:rsidRDefault="00B67A3C" w:rsidP="00653582">
      <w:pPr>
        <w:pStyle w:val="Normalaftertitle"/>
        <w:spacing w:before="360"/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C3125A" w:rsidRPr="004D1BFA">
        <w:rPr>
          <w:rFonts w:eastAsia="SimSun"/>
          <w:lang w:eastAsia="zh-CN"/>
        </w:rPr>
        <w:t>rovision</w:t>
      </w:r>
      <w:r w:rsidR="0021773B">
        <w:rPr>
          <w:rFonts w:eastAsia="SimSun"/>
          <w:lang w:eastAsia="zh-CN"/>
        </w:rPr>
        <w:t>s of</w:t>
      </w:r>
      <w:r w:rsidR="00C3125A" w:rsidRPr="004D1BFA">
        <w:rPr>
          <w:rFonts w:eastAsia="SimSun"/>
          <w:lang w:eastAsia="zh-CN"/>
        </w:rPr>
        <w:t xml:space="preserve"> No. </w:t>
      </w:r>
      <w:r w:rsidR="00C3125A" w:rsidRPr="00B01719">
        <w:rPr>
          <w:rFonts w:eastAsia="SimSun"/>
          <w:b/>
          <w:bCs/>
          <w:lang w:eastAsia="zh-CN"/>
        </w:rPr>
        <w:t>5.287</w:t>
      </w:r>
      <w:r w:rsidR="00C3125A">
        <w:rPr>
          <w:rFonts w:eastAsia="SimSun"/>
          <w:lang w:eastAsia="zh-CN"/>
        </w:rPr>
        <w:t xml:space="preserve"> of the Radio Regulations</w:t>
      </w:r>
      <w:r w:rsidR="00C3125A" w:rsidRPr="004D1BFA">
        <w:rPr>
          <w:rFonts w:eastAsia="SimSun"/>
          <w:lang w:eastAsia="zh-CN"/>
        </w:rPr>
        <w:t xml:space="preserve"> </w:t>
      </w:r>
      <w:r w:rsidR="0021773B">
        <w:rPr>
          <w:rFonts w:eastAsia="SimSun"/>
          <w:lang w:eastAsia="zh-CN"/>
        </w:rPr>
        <w:t>stipulate that</w:t>
      </w:r>
      <w:r w:rsidR="00C3125A" w:rsidRPr="004D1BFA">
        <w:rPr>
          <w:rFonts w:eastAsia="SimSun"/>
          <w:lang w:eastAsia="zh-CN"/>
        </w:rPr>
        <w:t xml:space="preserve"> the use of</w:t>
      </w:r>
      <w:r w:rsidR="00C3125A">
        <w:rPr>
          <w:rFonts w:eastAsia="SimSun"/>
          <w:lang w:eastAsia="zh-CN"/>
        </w:rPr>
        <w:t xml:space="preserve"> frequency bands 457.5125</w:t>
      </w:r>
      <w:r w:rsidR="00C3125A">
        <w:rPr>
          <w:rFonts w:eastAsia="SimSun"/>
          <w:lang w:eastAsia="zh-CN"/>
        </w:rPr>
        <w:noBreakHyphen/>
      </w:r>
      <w:r w:rsidR="00C3125A" w:rsidRPr="004D1BFA">
        <w:rPr>
          <w:rFonts w:eastAsia="SimSun"/>
          <w:lang w:eastAsia="zh-CN"/>
        </w:rPr>
        <w:t>457.5875 MHz and 467.5125-467.5875 MHz by the maritime mobile service</w:t>
      </w:r>
      <w:r w:rsidR="00595746">
        <w:rPr>
          <w:rFonts w:eastAsia="SimSun"/>
          <w:lang w:eastAsia="zh-CN"/>
        </w:rPr>
        <w:t xml:space="preserve"> is limited</w:t>
      </w:r>
      <w:r>
        <w:rPr>
          <w:rFonts w:eastAsia="SimSun"/>
          <w:lang w:eastAsia="zh-CN"/>
        </w:rPr>
        <w:t xml:space="preserve"> </w:t>
      </w:r>
      <w:r w:rsidR="00C3125A" w:rsidRPr="004D1BFA">
        <w:rPr>
          <w:rFonts w:eastAsia="SimSun"/>
          <w:lang w:eastAsia="zh-CN"/>
        </w:rPr>
        <w:t xml:space="preserve">to on-board communication stations. The characteristics of </w:t>
      </w:r>
      <w:r w:rsidR="0021773B">
        <w:rPr>
          <w:rFonts w:eastAsia="SimSun"/>
          <w:lang w:eastAsia="zh-CN"/>
        </w:rPr>
        <w:t xml:space="preserve">the </w:t>
      </w:r>
      <w:r w:rsidR="00C3125A" w:rsidRPr="004D1BFA">
        <w:rPr>
          <w:rFonts w:eastAsia="SimSun"/>
          <w:lang w:eastAsia="zh-CN"/>
        </w:rPr>
        <w:t>equipme</w:t>
      </w:r>
      <w:r w:rsidR="00D36358">
        <w:rPr>
          <w:rFonts w:eastAsia="SimSun"/>
          <w:lang w:eastAsia="zh-CN"/>
        </w:rPr>
        <w:t xml:space="preserve">nt and </w:t>
      </w:r>
      <w:r w:rsidR="000C40CD">
        <w:rPr>
          <w:rFonts w:eastAsia="SimSun"/>
          <w:lang w:eastAsia="zh-CN"/>
        </w:rPr>
        <w:t xml:space="preserve">the </w:t>
      </w:r>
      <w:bookmarkStart w:id="0" w:name="_GoBack"/>
      <w:bookmarkEnd w:id="0"/>
      <w:proofErr w:type="spellStart"/>
      <w:r w:rsidR="00D36358">
        <w:rPr>
          <w:rFonts w:eastAsia="SimSun"/>
          <w:lang w:eastAsia="zh-CN"/>
        </w:rPr>
        <w:t>channel</w:t>
      </w:r>
      <w:r w:rsidR="00E25C94">
        <w:rPr>
          <w:rFonts w:eastAsia="SimSun"/>
          <w:lang w:eastAsia="zh-CN"/>
        </w:rPr>
        <w:t>l</w:t>
      </w:r>
      <w:r w:rsidR="00C3125A" w:rsidRPr="004D1BFA">
        <w:rPr>
          <w:rFonts w:eastAsia="SimSun"/>
          <w:lang w:eastAsia="zh-CN"/>
        </w:rPr>
        <w:t>ing</w:t>
      </w:r>
      <w:proofErr w:type="spellEnd"/>
      <w:r w:rsidR="00C3125A" w:rsidRPr="004D1BFA">
        <w:rPr>
          <w:rFonts w:eastAsia="SimSun"/>
          <w:lang w:eastAsia="zh-CN"/>
        </w:rPr>
        <w:t xml:space="preserve"> arrangement</w:t>
      </w:r>
      <w:r>
        <w:rPr>
          <w:rFonts w:eastAsia="SimSun"/>
          <w:lang w:eastAsia="zh-CN"/>
        </w:rPr>
        <w:t xml:space="preserve"> </w:t>
      </w:r>
      <w:r w:rsidR="0021773B">
        <w:rPr>
          <w:rFonts w:eastAsia="SimSun"/>
          <w:lang w:eastAsia="zh-CN"/>
        </w:rPr>
        <w:t>shall</w:t>
      </w:r>
      <w:r w:rsidR="00C3125A" w:rsidRPr="004D1BFA">
        <w:rPr>
          <w:rFonts w:eastAsia="SimSun"/>
          <w:lang w:eastAsia="zh-CN"/>
        </w:rPr>
        <w:t xml:space="preserve"> be in accordance with Recommendation </w:t>
      </w:r>
      <w:proofErr w:type="spellStart"/>
      <w:r w:rsidR="00C3125A" w:rsidRPr="004D1BFA">
        <w:rPr>
          <w:rFonts w:eastAsia="SimSun"/>
          <w:lang w:eastAsia="zh-CN"/>
        </w:rPr>
        <w:t>ITU</w:t>
      </w:r>
      <w:proofErr w:type="spellEnd"/>
      <w:r w:rsidR="00C3125A" w:rsidRPr="004D1BFA">
        <w:rPr>
          <w:rFonts w:eastAsia="SimSun"/>
          <w:lang w:eastAsia="zh-CN"/>
        </w:rPr>
        <w:t xml:space="preserve">-R </w:t>
      </w:r>
      <w:proofErr w:type="spellStart"/>
      <w:r w:rsidR="00C3125A" w:rsidRPr="00621C16">
        <w:rPr>
          <w:rFonts w:eastAsia="SimSun"/>
        </w:rPr>
        <w:t>M.1174</w:t>
      </w:r>
      <w:proofErr w:type="spellEnd"/>
      <w:r w:rsidR="00C3125A" w:rsidRPr="00621C16">
        <w:rPr>
          <w:rFonts w:eastAsia="SimSun"/>
        </w:rPr>
        <w:t>-3</w:t>
      </w:r>
      <w:r w:rsidR="00C3125A" w:rsidRPr="004D1BFA">
        <w:rPr>
          <w:rFonts w:eastAsia="SimSun"/>
          <w:lang w:eastAsia="zh-CN"/>
        </w:rPr>
        <w:t>. The use of these frequency bands in territorial waters is subject to the national regulations of the administration concerned.</w:t>
      </w:r>
    </w:p>
    <w:p w:rsidR="00C3125A" w:rsidRPr="004D1BFA" w:rsidRDefault="00C3125A" w:rsidP="00F873CB">
      <w:pPr>
        <w:rPr>
          <w:rFonts w:eastAsia="SimSun"/>
          <w:lang w:eastAsia="zh-CN"/>
        </w:rPr>
      </w:pPr>
      <w:r w:rsidRPr="004D1BFA">
        <w:rPr>
          <w:rFonts w:eastAsia="SimSun"/>
          <w:lang w:eastAsia="zh-CN"/>
        </w:rPr>
        <w:t>It</w:t>
      </w:r>
      <w:r>
        <w:rPr>
          <w:rFonts w:eastAsia="SimSun"/>
          <w:lang w:eastAsia="zh-CN"/>
        </w:rPr>
        <w:t xml:space="preserve"> is recognized that </w:t>
      </w:r>
      <w:r w:rsidRPr="004D1BFA">
        <w:rPr>
          <w:rFonts w:eastAsia="SimSun"/>
          <w:lang w:eastAsia="zh-CN"/>
        </w:rPr>
        <w:t xml:space="preserve">in </w:t>
      </w:r>
      <w:r w:rsidR="00877497">
        <w:rPr>
          <w:rFonts w:eastAsia="SimSun"/>
          <w:lang w:eastAsia="zh-CN"/>
        </w:rPr>
        <w:t>certain</w:t>
      </w:r>
      <w:r w:rsidRPr="004D1BFA">
        <w:rPr>
          <w:rFonts w:eastAsia="SimSun"/>
          <w:lang w:eastAsia="zh-CN"/>
        </w:rPr>
        <w:t xml:space="preserve"> countries </w:t>
      </w:r>
      <w:r w:rsidR="00B67A3C">
        <w:rPr>
          <w:rFonts w:eastAsia="SimSun"/>
          <w:lang w:eastAsia="zh-CN"/>
        </w:rPr>
        <w:t>some</w:t>
      </w:r>
      <w:r w:rsidRPr="004D1BFA">
        <w:rPr>
          <w:rFonts w:eastAsia="SimSun"/>
          <w:lang w:eastAsia="zh-CN"/>
        </w:rPr>
        <w:t xml:space="preserve"> of these frequencies are </w:t>
      </w:r>
      <w:r>
        <w:rPr>
          <w:rFonts w:eastAsia="SimSun"/>
          <w:lang w:eastAsia="zh-CN"/>
        </w:rPr>
        <w:t>also used by systems/</w:t>
      </w:r>
      <w:r w:rsidRPr="004D1BFA">
        <w:rPr>
          <w:rFonts w:eastAsia="SimSun"/>
          <w:lang w:eastAsia="zh-CN"/>
        </w:rPr>
        <w:t xml:space="preserve">applications </w:t>
      </w:r>
      <w:r>
        <w:rPr>
          <w:rFonts w:eastAsia="SimSun"/>
          <w:lang w:eastAsia="zh-CN"/>
        </w:rPr>
        <w:t xml:space="preserve">other than </w:t>
      </w:r>
      <w:r w:rsidRPr="00BF10DD">
        <w:rPr>
          <w:rFonts w:eastAsia="SimSun"/>
          <w:lang w:eastAsia="zh-CN"/>
        </w:rPr>
        <w:t>UHF on-board communication</w:t>
      </w:r>
      <w:r w:rsidR="00B67A3C">
        <w:rPr>
          <w:rFonts w:eastAsia="SimSun"/>
          <w:lang w:eastAsia="zh-CN"/>
        </w:rPr>
        <w:t>s</w:t>
      </w:r>
      <w:r w:rsidRPr="004D1BFA">
        <w:rPr>
          <w:rFonts w:eastAsia="SimSun"/>
          <w:lang w:eastAsia="zh-CN"/>
        </w:rPr>
        <w:t xml:space="preserve">. Such a situation </w:t>
      </w:r>
      <w:r w:rsidR="00B67A3C">
        <w:rPr>
          <w:rFonts w:eastAsia="SimSun"/>
          <w:lang w:eastAsia="zh-CN"/>
        </w:rPr>
        <w:t>may</w:t>
      </w:r>
      <w:r>
        <w:rPr>
          <w:rFonts w:eastAsia="SimSun"/>
          <w:lang w:eastAsia="zh-CN"/>
        </w:rPr>
        <w:t xml:space="preserve"> create</w:t>
      </w:r>
      <w:r w:rsidRPr="004D1BFA">
        <w:rPr>
          <w:rFonts w:eastAsia="SimSun"/>
          <w:lang w:eastAsia="zh-CN"/>
        </w:rPr>
        <w:t xml:space="preserve"> the risk of harmful interference to </w:t>
      </w:r>
      <w:r>
        <w:rPr>
          <w:rFonts w:eastAsia="SimSun"/>
          <w:lang w:eastAsia="zh-CN"/>
        </w:rPr>
        <w:t>existing</w:t>
      </w:r>
      <w:r w:rsidRPr="004D1BFA">
        <w:rPr>
          <w:rFonts w:eastAsia="SimSun"/>
          <w:lang w:eastAsia="zh-CN"/>
        </w:rPr>
        <w:t xml:space="preserve"> applications from on-board communications </w:t>
      </w:r>
      <w:r w:rsidR="00BA4921">
        <w:rPr>
          <w:rFonts w:eastAsia="SimSun"/>
          <w:lang w:eastAsia="zh-CN"/>
        </w:rPr>
        <w:t>on</w:t>
      </w:r>
      <w:r w:rsidRPr="004D1BFA">
        <w:rPr>
          <w:rFonts w:eastAsia="SimSun"/>
          <w:lang w:eastAsia="zh-CN"/>
        </w:rPr>
        <w:t xml:space="preserve"> foreign ships within </w:t>
      </w:r>
      <w:r w:rsidR="00877497">
        <w:rPr>
          <w:rFonts w:eastAsia="SimSun"/>
          <w:lang w:eastAsia="zh-CN"/>
        </w:rPr>
        <w:t>the</w:t>
      </w:r>
      <w:r w:rsidRPr="004D1BFA">
        <w:rPr>
          <w:rFonts w:eastAsia="SimSun"/>
          <w:lang w:eastAsia="zh-CN"/>
        </w:rPr>
        <w:t xml:space="preserve"> territorial waters</w:t>
      </w:r>
      <w:r w:rsidR="00877497">
        <w:rPr>
          <w:rFonts w:eastAsia="SimSun"/>
          <w:lang w:eastAsia="zh-CN"/>
        </w:rPr>
        <w:t xml:space="preserve"> of the country concerned</w:t>
      </w:r>
      <w:r w:rsidRPr="004D1BFA">
        <w:rPr>
          <w:rFonts w:eastAsia="SimSun"/>
          <w:lang w:eastAsia="zh-CN"/>
        </w:rPr>
        <w:t>.</w:t>
      </w:r>
    </w:p>
    <w:p w:rsidR="00C3125A" w:rsidRDefault="00972990" w:rsidP="007C1426">
      <w:pPr>
        <w:rPr>
          <w:spacing w:val="-2"/>
          <w:lang w:eastAsia="zh-CN"/>
        </w:rPr>
      </w:pPr>
      <w:r>
        <w:rPr>
          <w:spacing w:val="-2"/>
          <w:lang w:eastAsia="zh-CN"/>
        </w:rPr>
        <w:t xml:space="preserve">As a consequence, the </w:t>
      </w:r>
      <w:proofErr w:type="spellStart"/>
      <w:r>
        <w:rPr>
          <w:spacing w:val="-2"/>
          <w:lang w:eastAsia="zh-CN"/>
        </w:rPr>
        <w:t>Radiocommunication</w:t>
      </w:r>
      <w:proofErr w:type="spellEnd"/>
      <w:r>
        <w:rPr>
          <w:spacing w:val="-2"/>
          <w:lang w:eastAsia="zh-CN"/>
        </w:rPr>
        <w:t xml:space="preserve"> Bureau wishes</w:t>
      </w:r>
      <w:r w:rsidR="00C3125A" w:rsidRPr="00B87578">
        <w:rPr>
          <w:spacing w:val="-2"/>
          <w:lang w:eastAsia="zh-CN"/>
        </w:rPr>
        <w:t xml:space="preserve"> to </w:t>
      </w:r>
      <w:r w:rsidR="00877497">
        <w:rPr>
          <w:spacing w:val="-2"/>
          <w:lang w:eastAsia="zh-CN"/>
        </w:rPr>
        <w:t>establish an overview</w:t>
      </w:r>
      <w:r w:rsidR="00C3125A" w:rsidRPr="00B87578">
        <w:rPr>
          <w:spacing w:val="-2"/>
          <w:lang w:eastAsia="zh-CN"/>
        </w:rPr>
        <w:t xml:space="preserve"> </w:t>
      </w:r>
      <w:r w:rsidR="00877497">
        <w:rPr>
          <w:spacing w:val="-2"/>
          <w:lang w:eastAsia="zh-CN"/>
        </w:rPr>
        <w:t>of</w:t>
      </w:r>
      <w:r w:rsidR="00F35766">
        <w:rPr>
          <w:spacing w:val="-2"/>
          <w:lang w:eastAsia="zh-CN"/>
        </w:rPr>
        <w:br/>
      </w:r>
      <w:r w:rsidR="00C3125A" w:rsidRPr="00B87578">
        <w:rPr>
          <w:spacing w:val="-2"/>
          <w:lang w:eastAsia="zh-CN"/>
        </w:rPr>
        <w:t xml:space="preserve"> national regulations </w:t>
      </w:r>
      <w:r w:rsidR="00877497">
        <w:rPr>
          <w:spacing w:val="-2"/>
          <w:lang w:eastAsia="zh-CN"/>
        </w:rPr>
        <w:t xml:space="preserve">governing the </w:t>
      </w:r>
      <w:r w:rsidR="00C3125A" w:rsidRPr="00B87578">
        <w:rPr>
          <w:spacing w:val="-2"/>
          <w:lang w:eastAsia="zh-CN"/>
        </w:rPr>
        <w:t>us</w:t>
      </w:r>
      <w:r w:rsidR="00877497">
        <w:rPr>
          <w:spacing w:val="-2"/>
          <w:lang w:eastAsia="zh-CN"/>
        </w:rPr>
        <w:t>e</w:t>
      </w:r>
      <w:r w:rsidR="00C3125A" w:rsidRPr="00B87578">
        <w:rPr>
          <w:spacing w:val="-2"/>
          <w:lang w:eastAsia="zh-CN"/>
        </w:rPr>
        <w:t xml:space="preserve"> of frequency bands 457.5125</w:t>
      </w:r>
      <w:r w:rsidR="00C3125A">
        <w:rPr>
          <w:spacing w:val="-2"/>
          <w:lang w:eastAsia="zh-CN"/>
        </w:rPr>
        <w:t>-</w:t>
      </w:r>
      <w:r w:rsidR="00C3125A" w:rsidRPr="00B87578">
        <w:rPr>
          <w:spacing w:val="-2"/>
          <w:lang w:eastAsia="zh-CN"/>
        </w:rPr>
        <w:t>457.5875</w:t>
      </w:r>
      <w:r w:rsidR="00BB1986">
        <w:rPr>
          <w:spacing w:val="-2"/>
          <w:lang w:eastAsia="zh-CN"/>
        </w:rPr>
        <w:t> </w:t>
      </w:r>
      <w:r w:rsidR="00C3125A" w:rsidRPr="00B87578">
        <w:rPr>
          <w:spacing w:val="-2"/>
          <w:lang w:eastAsia="zh-CN"/>
        </w:rPr>
        <w:t xml:space="preserve">MHz and </w:t>
      </w:r>
      <w:r w:rsidR="007C1426">
        <w:rPr>
          <w:spacing w:val="-2"/>
          <w:lang w:eastAsia="zh-CN"/>
        </w:rPr>
        <w:br/>
      </w:r>
      <w:r w:rsidR="00C3125A" w:rsidRPr="00B87578">
        <w:rPr>
          <w:spacing w:val="-2"/>
          <w:lang w:eastAsia="zh-CN"/>
        </w:rPr>
        <w:t xml:space="preserve">467.5125-467.5875 MHz by on-board communication stations in the maritime mobile service and </w:t>
      </w:r>
      <w:r w:rsidR="005A431D">
        <w:rPr>
          <w:spacing w:val="-2"/>
          <w:lang w:eastAsia="zh-CN"/>
        </w:rPr>
        <w:t>provide</w:t>
      </w:r>
      <w:r w:rsidR="00C3125A">
        <w:rPr>
          <w:spacing w:val="-2"/>
          <w:lang w:eastAsia="zh-CN"/>
        </w:rPr>
        <w:t xml:space="preserve"> all</w:t>
      </w:r>
      <w:r w:rsidR="00C3125A" w:rsidRPr="00B87578">
        <w:rPr>
          <w:spacing w:val="-2"/>
          <w:lang w:eastAsia="zh-CN"/>
        </w:rPr>
        <w:t xml:space="preserve"> </w:t>
      </w:r>
      <w:r w:rsidR="00C3125A">
        <w:rPr>
          <w:spacing w:val="-2"/>
          <w:lang w:eastAsia="zh-CN"/>
        </w:rPr>
        <w:t>a</w:t>
      </w:r>
      <w:r w:rsidR="00C3125A" w:rsidRPr="00B87578">
        <w:rPr>
          <w:spacing w:val="-2"/>
          <w:lang w:eastAsia="zh-CN"/>
        </w:rPr>
        <w:t xml:space="preserve">dministrations and their national maritime stakeholders </w:t>
      </w:r>
      <w:r w:rsidR="005A431D">
        <w:rPr>
          <w:spacing w:val="-2"/>
          <w:lang w:eastAsia="zh-CN"/>
        </w:rPr>
        <w:t xml:space="preserve">with </w:t>
      </w:r>
      <w:r w:rsidR="00C3125A" w:rsidRPr="00B87578">
        <w:rPr>
          <w:spacing w:val="-2"/>
          <w:lang w:eastAsia="zh-CN"/>
        </w:rPr>
        <w:t>the most recent information available on the permitted use of these frequencies in other countries</w:t>
      </w:r>
      <w:r w:rsidR="009D7B14">
        <w:rPr>
          <w:lang w:eastAsia="zh-CN"/>
        </w:rPr>
        <w:t>, in order</w:t>
      </w:r>
      <w:r w:rsidR="00C3125A">
        <w:rPr>
          <w:lang w:eastAsia="zh-CN"/>
        </w:rPr>
        <w:t xml:space="preserve"> to avoid </w:t>
      </w:r>
      <w:r w:rsidR="005A431D">
        <w:rPr>
          <w:lang w:eastAsia="zh-CN"/>
        </w:rPr>
        <w:t xml:space="preserve">the </w:t>
      </w:r>
      <w:r w:rsidR="00C3125A">
        <w:rPr>
          <w:lang w:eastAsia="zh-CN"/>
        </w:rPr>
        <w:t xml:space="preserve">violation </w:t>
      </w:r>
      <w:r w:rsidR="005A431D">
        <w:rPr>
          <w:lang w:eastAsia="zh-CN"/>
        </w:rPr>
        <w:t>of</w:t>
      </w:r>
      <w:r w:rsidR="00C3125A">
        <w:rPr>
          <w:lang w:eastAsia="zh-CN"/>
        </w:rPr>
        <w:t xml:space="preserve"> national regulations</w:t>
      </w:r>
      <w:r>
        <w:rPr>
          <w:spacing w:val="-2"/>
          <w:lang w:eastAsia="zh-CN"/>
        </w:rPr>
        <w:t>. For this purpose, t</w:t>
      </w:r>
      <w:r w:rsidR="00C3125A" w:rsidRPr="00F223E8">
        <w:rPr>
          <w:spacing w:val="-2"/>
          <w:lang w:eastAsia="zh-CN"/>
        </w:rPr>
        <w:t xml:space="preserve">he Bureau hereby invites </w:t>
      </w:r>
      <w:r w:rsidR="00C3125A">
        <w:rPr>
          <w:spacing w:val="-2"/>
          <w:lang w:eastAsia="zh-CN"/>
        </w:rPr>
        <w:t>a</w:t>
      </w:r>
      <w:r w:rsidR="00C3125A" w:rsidRPr="00F223E8">
        <w:rPr>
          <w:spacing w:val="-2"/>
          <w:lang w:eastAsia="zh-CN"/>
        </w:rPr>
        <w:t>dministrations of</w:t>
      </w:r>
      <w:r w:rsidR="00C3125A" w:rsidRPr="00F223E8" w:rsidDel="00D50B77">
        <w:rPr>
          <w:spacing w:val="-2"/>
          <w:lang w:eastAsia="zh-CN"/>
        </w:rPr>
        <w:t xml:space="preserve"> </w:t>
      </w:r>
      <w:proofErr w:type="spellStart"/>
      <w:r w:rsidR="005A431D">
        <w:rPr>
          <w:spacing w:val="-2"/>
          <w:lang w:eastAsia="zh-CN"/>
        </w:rPr>
        <w:t>ITU</w:t>
      </w:r>
      <w:proofErr w:type="spellEnd"/>
      <w:r w:rsidR="005A431D">
        <w:rPr>
          <w:spacing w:val="-2"/>
          <w:lang w:eastAsia="zh-CN"/>
        </w:rPr>
        <w:t xml:space="preserve"> </w:t>
      </w:r>
      <w:r w:rsidR="00C3125A" w:rsidRPr="00F223E8">
        <w:rPr>
          <w:spacing w:val="-2"/>
          <w:lang w:eastAsia="zh-CN"/>
        </w:rPr>
        <w:t>Member States</w:t>
      </w:r>
      <w:r w:rsidR="00C3125A" w:rsidRPr="00E72CFF">
        <w:rPr>
          <w:spacing w:val="-2"/>
          <w:lang w:eastAsia="zh-CN"/>
        </w:rPr>
        <w:t>, on a voluntary basis</w:t>
      </w:r>
      <w:r w:rsidR="00AF3551">
        <w:rPr>
          <w:spacing w:val="-2"/>
          <w:lang w:eastAsia="zh-CN"/>
        </w:rPr>
        <w:t>,</w:t>
      </w:r>
      <w:r w:rsidR="00C3125A" w:rsidRPr="00E72CFF">
        <w:rPr>
          <w:spacing w:val="-2"/>
          <w:lang w:eastAsia="zh-CN"/>
        </w:rPr>
        <w:t xml:space="preserve"> </w:t>
      </w:r>
      <w:r w:rsidR="00AF3551">
        <w:rPr>
          <w:spacing w:val="-2"/>
          <w:lang w:eastAsia="zh-CN"/>
        </w:rPr>
        <w:t>to</w:t>
      </w:r>
      <w:r w:rsidR="00C3125A" w:rsidRPr="00E72CFF">
        <w:rPr>
          <w:spacing w:val="-2"/>
          <w:lang w:eastAsia="zh-CN"/>
        </w:rPr>
        <w:t xml:space="preserve"> answer the question</w:t>
      </w:r>
      <w:r w:rsidR="0031567D">
        <w:rPr>
          <w:spacing w:val="-2"/>
          <w:lang w:eastAsia="zh-CN"/>
        </w:rPr>
        <w:t>naire annex</w:t>
      </w:r>
      <w:r w:rsidR="005A7BB3">
        <w:rPr>
          <w:spacing w:val="-2"/>
          <w:lang w:eastAsia="zh-CN"/>
        </w:rPr>
        <w:t>ed</w:t>
      </w:r>
      <w:r w:rsidR="0031567D">
        <w:rPr>
          <w:spacing w:val="-2"/>
          <w:lang w:eastAsia="zh-CN"/>
        </w:rPr>
        <w:t xml:space="preserve"> hereto</w:t>
      </w:r>
      <w:r w:rsidR="00AF3551">
        <w:rPr>
          <w:spacing w:val="-2"/>
          <w:lang w:eastAsia="zh-CN"/>
        </w:rPr>
        <w:t xml:space="preserve"> if the information requested is available to them</w:t>
      </w:r>
      <w:r w:rsidR="00C3125A">
        <w:rPr>
          <w:spacing w:val="-2"/>
          <w:lang w:eastAsia="zh-CN"/>
        </w:rPr>
        <w:t>.</w:t>
      </w:r>
    </w:p>
    <w:p w:rsidR="00764BDF" w:rsidRDefault="00764BDF" w:rsidP="00C3125A">
      <w:pPr>
        <w:rPr>
          <w:rFonts w:eastAsia="SimSun"/>
        </w:rPr>
      </w:pPr>
      <w:r>
        <w:rPr>
          <w:rFonts w:eastAsia="SimSun"/>
        </w:rPr>
        <w:br w:type="page"/>
      </w:r>
    </w:p>
    <w:p w:rsidR="00C3125A" w:rsidRDefault="00C3125A" w:rsidP="00BA4921">
      <w:pPr>
        <w:rPr>
          <w:rFonts w:eastAsia="SimSun"/>
        </w:rPr>
      </w:pPr>
      <w:r w:rsidRPr="00DE40C6">
        <w:rPr>
          <w:rFonts w:eastAsia="SimSun"/>
        </w:rPr>
        <w:lastRenderedPageBreak/>
        <w:t xml:space="preserve">The </w:t>
      </w:r>
      <w:proofErr w:type="spellStart"/>
      <w:r w:rsidRPr="00DE40C6">
        <w:rPr>
          <w:rFonts w:eastAsia="SimSun"/>
        </w:rPr>
        <w:t>Radiocommunication</w:t>
      </w:r>
      <w:proofErr w:type="spellEnd"/>
      <w:r w:rsidRPr="00DE40C6">
        <w:rPr>
          <w:rFonts w:eastAsia="SimSun"/>
        </w:rPr>
        <w:t xml:space="preserve"> Bureau </w:t>
      </w:r>
      <w:r w:rsidRPr="00DE40C6">
        <w:rPr>
          <w:rFonts w:eastAsia="SimSun"/>
          <w:lang w:eastAsia="zh-CN"/>
        </w:rPr>
        <w:t>kindly requests that</w:t>
      </w:r>
      <w:r w:rsidRPr="00DE40C6">
        <w:rPr>
          <w:rFonts w:eastAsia="SimSun"/>
        </w:rPr>
        <w:t xml:space="preserve"> responses to this questionnaire be sent to </w:t>
      </w:r>
      <w:hyperlink r:id="rId8" w:history="1">
        <w:proofErr w:type="spellStart"/>
        <w:r w:rsidRPr="00DE40C6">
          <w:rPr>
            <w:rStyle w:val="Hyperlink"/>
            <w:rFonts w:eastAsia="SimSun"/>
          </w:rPr>
          <w:t>brsgd@itu.int</w:t>
        </w:r>
        <w:proofErr w:type="spellEnd"/>
      </w:hyperlink>
      <w:r w:rsidRPr="00DE40C6">
        <w:rPr>
          <w:rFonts w:eastAsia="SimSun"/>
        </w:rPr>
        <w:t xml:space="preserve"> by </w:t>
      </w:r>
      <w:r w:rsidRPr="00DE40C6">
        <w:rPr>
          <w:rFonts w:eastAsia="SimSun"/>
          <w:b/>
        </w:rPr>
        <w:t>20 March</w:t>
      </w:r>
      <w:r w:rsidRPr="00DE40C6">
        <w:rPr>
          <w:rFonts w:eastAsia="SimSun"/>
        </w:rPr>
        <w:t xml:space="preserve"> </w:t>
      </w:r>
      <w:r w:rsidRPr="00DE40C6">
        <w:rPr>
          <w:rFonts w:eastAsia="SimSun"/>
          <w:b/>
        </w:rPr>
        <w:t>20</w:t>
      </w:r>
      <w:r w:rsidR="00BA4921">
        <w:rPr>
          <w:rFonts w:eastAsia="SimSun"/>
          <w:b/>
        </w:rPr>
        <w:t>19</w:t>
      </w:r>
      <w:r w:rsidRPr="00FC40A5">
        <w:rPr>
          <w:rFonts w:eastAsia="SimSun"/>
        </w:rPr>
        <w:t>.</w:t>
      </w:r>
    </w:p>
    <w:p w:rsidR="00C3125A" w:rsidRDefault="00C3125A" w:rsidP="00C3125A">
      <w:pPr>
        <w:rPr>
          <w:rFonts w:eastAsia="SimSun"/>
        </w:rPr>
      </w:pPr>
      <w:r w:rsidRPr="00012ACD">
        <w:rPr>
          <w:rFonts w:eastAsia="SimSun"/>
        </w:rPr>
        <w:t xml:space="preserve">The contact person from the </w:t>
      </w:r>
      <w:proofErr w:type="spellStart"/>
      <w:r>
        <w:rPr>
          <w:rFonts w:eastAsia="SimSun"/>
        </w:rPr>
        <w:t>Radio</w:t>
      </w:r>
      <w:r w:rsidRPr="00012ACD">
        <w:rPr>
          <w:rFonts w:eastAsia="SimSun"/>
        </w:rPr>
        <w:t>communication</w:t>
      </w:r>
      <w:proofErr w:type="spellEnd"/>
      <w:r w:rsidRPr="00012ACD">
        <w:rPr>
          <w:rFonts w:eastAsia="SimSun"/>
        </w:rPr>
        <w:t xml:space="preserve"> Bureau for this matter is:</w:t>
      </w:r>
    </w:p>
    <w:p w:rsidR="00C3125A" w:rsidRDefault="00C3125A" w:rsidP="00C3125A">
      <w:pPr>
        <w:rPr>
          <w:spacing w:val="-2"/>
          <w:lang w:eastAsia="zh-CN"/>
        </w:rPr>
      </w:pPr>
      <w:r w:rsidRPr="002F7A1F">
        <w:rPr>
          <w:rFonts w:eastAsia="SimSun"/>
        </w:rPr>
        <w:t>Mr.</w:t>
      </w:r>
      <w:r w:rsidRPr="002F7A1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Vadim </w:t>
      </w:r>
      <w:proofErr w:type="spellStart"/>
      <w:r>
        <w:rPr>
          <w:rFonts w:eastAsia="SimSun"/>
          <w:lang w:eastAsia="zh-CN"/>
        </w:rPr>
        <w:t>Nozdrin</w:t>
      </w:r>
      <w:proofErr w:type="spellEnd"/>
      <w:r>
        <w:rPr>
          <w:rFonts w:eastAsia="SimSun"/>
          <w:lang w:eastAsia="zh-CN"/>
        </w:rPr>
        <w:t xml:space="preserve">, Working Party </w:t>
      </w:r>
      <w:proofErr w:type="spellStart"/>
      <w:r>
        <w:rPr>
          <w:rFonts w:eastAsia="SimSun"/>
          <w:lang w:eastAsia="zh-CN"/>
        </w:rPr>
        <w:t>5B</w:t>
      </w:r>
      <w:proofErr w:type="spellEnd"/>
      <w:r>
        <w:rPr>
          <w:rFonts w:eastAsia="SimSun"/>
          <w:lang w:eastAsia="zh-CN"/>
        </w:rPr>
        <w:t xml:space="preserve"> Counsellor.</w:t>
      </w:r>
    </w:p>
    <w:p w:rsidR="000C4846" w:rsidRPr="0029683B" w:rsidRDefault="009A3912" w:rsidP="00841B42">
      <w:pPr>
        <w:spacing w:before="2760"/>
        <w:jc w:val="left"/>
        <w:rPr>
          <w:szCs w:val="24"/>
          <w:lang w:val="fr-CH"/>
        </w:rPr>
      </w:pPr>
      <w:r w:rsidRPr="0029683B">
        <w:rPr>
          <w:szCs w:val="24"/>
          <w:lang w:val="fr-CH"/>
        </w:rPr>
        <w:t xml:space="preserve">François </w:t>
      </w:r>
      <w:proofErr w:type="spellStart"/>
      <w:r w:rsidRPr="0029683B">
        <w:rPr>
          <w:szCs w:val="24"/>
          <w:lang w:val="fr-CH"/>
        </w:rPr>
        <w:t>Rancy</w:t>
      </w:r>
      <w:proofErr w:type="spellEnd"/>
      <w:r w:rsidRPr="0029683B">
        <w:rPr>
          <w:szCs w:val="24"/>
          <w:lang w:val="fr-CH"/>
        </w:rPr>
        <w:br/>
      </w:r>
      <w:proofErr w:type="spellStart"/>
      <w:r w:rsidRPr="0029683B">
        <w:rPr>
          <w:szCs w:val="24"/>
          <w:lang w:val="fr-CH"/>
        </w:rPr>
        <w:t>Director</w:t>
      </w:r>
      <w:proofErr w:type="spellEnd"/>
    </w:p>
    <w:p w:rsidR="000C4846" w:rsidRDefault="009A3912" w:rsidP="00DE2CCA">
      <w:pPr>
        <w:spacing w:before="480" w:after="120"/>
        <w:rPr>
          <w:lang w:val="fr-CH"/>
        </w:rPr>
      </w:pPr>
      <w:proofErr w:type="spellStart"/>
      <w:r w:rsidRPr="0029683B">
        <w:rPr>
          <w:b/>
          <w:bCs/>
          <w:lang w:val="fr-CH"/>
        </w:rPr>
        <w:t>Annex</w:t>
      </w:r>
      <w:proofErr w:type="spellEnd"/>
      <w:r w:rsidRPr="0029683B">
        <w:rPr>
          <w:lang w:val="fr-CH"/>
        </w:rPr>
        <w:t>:</w:t>
      </w:r>
      <w:r w:rsidRPr="0029683B">
        <w:rPr>
          <w:lang w:val="fr-CH"/>
        </w:rPr>
        <w:tab/>
        <w:t>1</w:t>
      </w:r>
    </w:p>
    <w:p w:rsidR="00764BDF" w:rsidRPr="0029683B" w:rsidRDefault="00764BDF" w:rsidP="00DE2CCA">
      <w:pPr>
        <w:spacing w:before="480" w:after="120"/>
        <w:rPr>
          <w:lang w:val="fr-CH"/>
        </w:rPr>
      </w:pPr>
    </w:p>
    <w:p w:rsidR="000C4846" w:rsidRPr="0029683B" w:rsidRDefault="009A3912" w:rsidP="00841B42">
      <w:pPr>
        <w:tabs>
          <w:tab w:val="left" w:pos="284"/>
          <w:tab w:val="left" w:pos="568"/>
        </w:tabs>
        <w:spacing w:before="5400" w:line="240" w:lineRule="auto"/>
        <w:rPr>
          <w:b/>
          <w:bCs/>
          <w:sz w:val="18"/>
          <w:szCs w:val="18"/>
          <w:lang w:val="fr-CH"/>
        </w:rPr>
      </w:pPr>
      <w:r w:rsidRPr="0029683B">
        <w:rPr>
          <w:b/>
          <w:bCs/>
          <w:sz w:val="18"/>
          <w:szCs w:val="18"/>
          <w:lang w:val="fr-CH"/>
        </w:rPr>
        <w:t>Distribution:</w:t>
      </w:r>
    </w:p>
    <w:p w:rsidR="000C4846" w:rsidRPr="00450DD8" w:rsidRDefault="009A3912" w:rsidP="00C1690C">
      <w:pPr>
        <w:tabs>
          <w:tab w:val="clear" w:pos="794"/>
          <w:tab w:val="left" w:pos="284"/>
        </w:tabs>
        <w:spacing w:before="120" w:line="240" w:lineRule="auto"/>
        <w:ind w:left="284" w:hanging="284"/>
        <w:jc w:val="left"/>
        <w:rPr>
          <w:sz w:val="18"/>
          <w:szCs w:val="18"/>
        </w:rPr>
      </w:pPr>
      <w:r w:rsidRPr="00450DD8">
        <w:rPr>
          <w:sz w:val="18"/>
          <w:szCs w:val="18"/>
        </w:rPr>
        <w:t>–</w:t>
      </w:r>
      <w:r w:rsidRPr="00450DD8">
        <w:rPr>
          <w:sz w:val="18"/>
          <w:szCs w:val="18"/>
        </w:rPr>
        <w:tab/>
        <w:t xml:space="preserve">Administrations of Member States of the </w:t>
      </w:r>
      <w:proofErr w:type="spellStart"/>
      <w:r w:rsidRPr="00450DD8">
        <w:rPr>
          <w:sz w:val="18"/>
          <w:szCs w:val="18"/>
        </w:rPr>
        <w:t>ITU</w:t>
      </w:r>
      <w:proofErr w:type="spellEnd"/>
      <w:r w:rsidRPr="00450DD8">
        <w:rPr>
          <w:sz w:val="18"/>
          <w:szCs w:val="18"/>
        </w:rPr>
        <w:t xml:space="preserve"> and </w:t>
      </w:r>
      <w:proofErr w:type="spellStart"/>
      <w:r w:rsidRPr="00450DD8">
        <w:rPr>
          <w:sz w:val="18"/>
          <w:szCs w:val="18"/>
        </w:rPr>
        <w:t>Radiocommunication</w:t>
      </w:r>
      <w:proofErr w:type="spellEnd"/>
      <w:r w:rsidRPr="00450DD8">
        <w:rPr>
          <w:sz w:val="18"/>
          <w:szCs w:val="18"/>
        </w:rPr>
        <w:t xml:space="preserve"> Sector Members participating in the work of</w:t>
      </w:r>
      <w:r w:rsidRPr="00450DD8">
        <w:rPr>
          <w:sz w:val="18"/>
          <w:szCs w:val="18"/>
        </w:rPr>
        <w:br/>
      </w:r>
      <w:proofErr w:type="spellStart"/>
      <w:r w:rsidRPr="00450DD8">
        <w:rPr>
          <w:sz w:val="18"/>
          <w:szCs w:val="18"/>
        </w:rPr>
        <w:t>Radiocommunication</w:t>
      </w:r>
      <w:proofErr w:type="spellEnd"/>
      <w:r w:rsidRPr="00450DD8">
        <w:rPr>
          <w:sz w:val="18"/>
          <w:szCs w:val="18"/>
        </w:rPr>
        <w:t xml:space="preserve"> Study Group </w:t>
      </w:r>
      <w:r w:rsidR="00C1690C" w:rsidRPr="00450DD8">
        <w:rPr>
          <w:sz w:val="18"/>
          <w:szCs w:val="18"/>
        </w:rPr>
        <w:t>5</w:t>
      </w:r>
    </w:p>
    <w:p w:rsidR="000C4846" w:rsidRPr="00450DD8" w:rsidRDefault="009A3912" w:rsidP="00C1690C">
      <w:pPr>
        <w:tabs>
          <w:tab w:val="clear" w:pos="794"/>
          <w:tab w:val="left" w:pos="284"/>
        </w:tabs>
        <w:spacing w:before="0" w:line="240" w:lineRule="auto"/>
        <w:rPr>
          <w:sz w:val="18"/>
          <w:szCs w:val="18"/>
        </w:rPr>
      </w:pPr>
      <w:r w:rsidRPr="00450DD8">
        <w:rPr>
          <w:sz w:val="18"/>
          <w:szCs w:val="18"/>
        </w:rPr>
        <w:t>–</w:t>
      </w:r>
      <w:r w:rsidRPr="00450DD8">
        <w:rPr>
          <w:sz w:val="18"/>
          <w:szCs w:val="18"/>
        </w:rPr>
        <w:tab/>
      </w:r>
      <w:proofErr w:type="spellStart"/>
      <w:r w:rsidRPr="00450DD8">
        <w:rPr>
          <w:sz w:val="18"/>
          <w:szCs w:val="18"/>
        </w:rPr>
        <w:t>ITU</w:t>
      </w:r>
      <w:proofErr w:type="spellEnd"/>
      <w:r w:rsidRPr="00450DD8">
        <w:rPr>
          <w:sz w:val="18"/>
          <w:szCs w:val="18"/>
        </w:rPr>
        <w:t xml:space="preserve">-R Associates participating in the work of </w:t>
      </w:r>
      <w:proofErr w:type="spellStart"/>
      <w:r w:rsidRPr="00450DD8">
        <w:rPr>
          <w:sz w:val="18"/>
          <w:szCs w:val="18"/>
        </w:rPr>
        <w:t>Radiocommunication</w:t>
      </w:r>
      <w:proofErr w:type="spellEnd"/>
      <w:r w:rsidRPr="00450DD8">
        <w:rPr>
          <w:sz w:val="18"/>
          <w:szCs w:val="18"/>
        </w:rPr>
        <w:t xml:space="preserve"> Study Group </w:t>
      </w:r>
      <w:r w:rsidR="00C1690C" w:rsidRPr="00450DD8">
        <w:rPr>
          <w:sz w:val="18"/>
          <w:szCs w:val="18"/>
        </w:rPr>
        <w:t>5</w:t>
      </w:r>
    </w:p>
    <w:p w:rsidR="000C4846" w:rsidRPr="00450DD8" w:rsidRDefault="009A3912">
      <w:pPr>
        <w:tabs>
          <w:tab w:val="clear" w:pos="794"/>
          <w:tab w:val="left" w:pos="284"/>
        </w:tabs>
        <w:spacing w:before="0" w:line="240" w:lineRule="auto"/>
        <w:rPr>
          <w:sz w:val="18"/>
          <w:szCs w:val="18"/>
        </w:rPr>
      </w:pPr>
      <w:r w:rsidRPr="00450DD8">
        <w:rPr>
          <w:sz w:val="18"/>
          <w:szCs w:val="18"/>
        </w:rPr>
        <w:t>–</w:t>
      </w:r>
      <w:r w:rsidRPr="00450DD8">
        <w:rPr>
          <w:sz w:val="18"/>
          <w:szCs w:val="18"/>
        </w:rPr>
        <w:tab/>
      </w:r>
      <w:proofErr w:type="spellStart"/>
      <w:r w:rsidRPr="00450DD8">
        <w:rPr>
          <w:sz w:val="18"/>
          <w:szCs w:val="18"/>
        </w:rPr>
        <w:t>ITU</w:t>
      </w:r>
      <w:proofErr w:type="spellEnd"/>
      <w:r w:rsidRPr="00450DD8">
        <w:rPr>
          <w:sz w:val="18"/>
          <w:szCs w:val="18"/>
        </w:rPr>
        <w:t xml:space="preserve"> Academia</w:t>
      </w:r>
    </w:p>
    <w:p w:rsidR="000C4846" w:rsidRPr="00450DD8" w:rsidRDefault="009A3912" w:rsidP="00C1690C">
      <w:pPr>
        <w:tabs>
          <w:tab w:val="clear" w:pos="794"/>
          <w:tab w:val="left" w:pos="284"/>
        </w:tabs>
        <w:spacing w:before="0" w:line="240" w:lineRule="auto"/>
        <w:rPr>
          <w:sz w:val="18"/>
          <w:szCs w:val="18"/>
        </w:rPr>
      </w:pPr>
      <w:r w:rsidRPr="00450DD8">
        <w:rPr>
          <w:sz w:val="18"/>
          <w:szCs w:val="18"/>
        </w:rPr>
        <w:t>–</w:t>
      </w:r>
      <w:r w:rsidRPr="00450DD8">
        <w:rPr>
          <w:sz w:val="18"/>
          <w:szCs w:val="18"/>
        </w:rPr>
        <w:tab/>
        <w:t xml:space="preserve">Chairman and Vice-Chairmen of </w:t>
      </w:r>
      <w:proofErr w:type="spellStart"/>
      <w:r w:rsidRPr="00450DD8">
        <w:rPr>
          <w:sz w:val="18"/>
          <w:szCs w:val="18"/>
        </w:rPr>
        <w:t>Radiocommunication</w:t>
      </w:r>
      <w:proofErr w:type="spellEnd"/>
      <w:r w:rsidRPr="00450DD8">
        <w:rPr>
          <w:sz w:val="18"/>
          <w:szCs w:val="18"/>
        </w:rPr>
        <w:t xml:space="preserve"> Study Group </w:t>
      </w:r>
      <w:r w:rsidR="00C1690C" w:rsidRPr="00450DD8">
        <w:rPr>
          <w:sz w:val="18"/>
          <w:szCs w:val="18"/>
        </w:rPr>
        <w:t>5</w:t>
      </w:r>
    </w:p>
    <w:p w:rsidR="000C4846" w:rsidRPr="00450DD8" w:rsidRDefault="009A3912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450DD8">
        <w:rPr>
          <w:sz w:val="18"/>
          <w:szCs w:val="18"/>
        </w:rPr>
        <w:t>–</w:t>
      </w:r>
      <w:r w:rsidRPr="00450DD8">
        <w:rPr>
          <w:sz w:val="18"/>
          <w:szCs w:val="18"/>
        </w:rPr>
        <w:tab/>
        <w:t xml:space="preserve">Secretary General of the </w:t>
      </w:r>
      <w:proofErr w:type="spellStart"/>
      <w:r w:rsidRPr="00450DD8">
        <w:rPr>
          <w:sz w:val="18"/>
          <w:szCs w:val="18"/>
        </w:rPr>
        <w:t>ITU</w:t>
      </w:r>
      <w:proofErr w:type="spellEnd"/>
      <w:r w:rsidRPr="00450DD8">
        <w:rPr>
          <w:sz w:val="18"/>
          <w:szCs w:val="18"/>
        </w:rPr>
        <w:t xml:space="preserve">, Director of the Telecommunication Standardization Bureau, Director of the </w:t>
      </w:r>
      <w:r w:rsidRPr="00450DD8">
        <w:rPr>
          <w:sz w:val="18"/>
          <w:szCs w:val="18"/>
        </w:rPr>
        <w:br/>
        <w:t>Telecommunication Development Bureau</w:t>
      </w:r>
    </w:p>
    <w:p w:rsidR="00D8361B" w:rsidRDefault="00D8361B">
      <w:pPr>
        <w:tabs>
          <w:tab w:val="clear" w:pos="794"/>
          <w:tab w:val="clear" w:pos="1191"/>
          <w:tab w:val="clear" w:pos="1588"/>
          <w:tab w:val="clear" w:pos="1985"/>
        </w:tabs>
        <w:suppressAutoHyphens w:val="0"/>
        <w:overflowPunct/>
        <w:autoSpaceDE/>
        <w:spacing w:before="0" w:line="240" w:lineRule="auto"/>
        <w:jc w:val="left"/>
        <w:rPr>
          <w:rFonts w:ascii="Times New Roman" w:hAnsi="Times New Roman" w:cs="Times New Roman"/>
          <w:b/>
          <w:sz w:val="28"/>
          <w:szCs w:val="20"/>
          <w:lang w:val="en-GB"/>
        </w:rPr>
      </w:pPr>
      <w:r>
        <w:br w:type="page"/>
      </w:r>
    </w:p>
    <w:p w:rsidR="00764BDF" w:rsidRPr="00764BDF" w:rsidRDefault="00764BDF" w:rsidP="00764BDF">
      <w:pPr>
        <w:pStyle w:val="AnnexNo"/>
        <w:rPr>
          <w:rFonts w:asciiTheme="minorHAnsi" w:hAnsiTheme="minorHAnsi"/>
          <w:lang w:val="en-US" w:eastAsia="zh-CN"/>
        </w:rPr>
      </w:pPr>
      <w:r w:rsidRPr="00764BDF">
        <w:rPr>
          <w:rFonts w:asciiTheme="minorHAnsi" w:hAnsiTheme="minorHAnsi"/>
          <w:lang w:val="en-US" w:eastAsia="zh-CN"/>
        </w:rPr>
        <w:lastRenderedPageBreak/>
        <w:t>ANNEX</w:t>
      </w:r>
    </w:p>
    <w:p w:rsidR="00764BDF" w:rsidRPr="004A7A73" w:rsidRDefault="00764BDF" w:rsidP="00764BDF">
      <w:pPr>
        <w:pStyle w:val="Title1"/>
        <w:rPr>
          <w:b/>
          <w:lang w:eastAsia="zh-CN"/>
        </w:rPr>
      </w:pPr>
      <w:r w:rsidRPr="004A7A73">
        <w:t>Questionnaire</w:t>
      </w:r>
    </w:p>
    <w:p w:rsidR="00764BDF" w:rsidRPr="004F3653" w:rsidRDefault="00764BDF" w:rsidP="00764BDF">
      <w:pPr>
        <w:pStyle w:val="Normalaftertitle"/>
        <w:spacing w:after="120"/>
        <w:ind w:left="1560" w:hanging="1560"/>
        <w:rPr>
          <w:rFonts w:eastAsia="Malgun Gothic"/>
          <w:b/>
          <w:bCs/>
          <w:sz w:val="4"/>
          <w:lang w:bidi="th-TH"/>
        </w:rPr>
      </w:pPr>
      <w:r w:rsidRPr="004F3653">
        <w:rPr>
          <w:b/>
          <w:bCs/>
        </w:rPr>
        <w:t xml:space="preserve">Question </w:t>
      </w:r>
      <w:r w:rsidRPr="004F3653">
        <w:rPr>
          <w:b/>
          <w:bCs/>
        </w:rPr>
        <w:tab/>
        <w:t>1:</w:t>
      </w:r>
      <w:r w:rsidRPr="004F3653">
        <w:rPr>
          <w:b/>
          <w:bCs/>
        </w:rPr>
        <w:tab/>
      </w:r>
      <w:r w:rsidRPr="004F3653">
        <w:rPr>
          <w:b/>
          <w:bCs/>
          <w:lang w:eastAsia="zh-CN" w:bidi="th-TH"/>
        </w:rPr>
        <w:t>What are the national frequency allocations (</w:t>
      </w:r>
      <w:r w:rsidRPr="004F3653">
        <w:rPr>
          <w:rFonts w:eastAsia="MS Mincho"/>
          <w:b/>
          <w:bCs/>
          <w:lang w:eastAsia="ja-JP" w:bidi="th-TH"/>
        </w:rPr>
        <w:t xml:space="preserve">e.g. Fixed service, Mobile service, Maritime mobile </w:t>
      </w:r>
      <w:proofErr w:type="gramStart"/>
      <w:r w:rsidRPr="004F3653">
        <w:rPr>
          <w:rFonts w:eastAsia="MS Mincho"/>
          <w:b/>
          <w:bCs/>
          <w:lang w:eastAsia="ja-JP" w:bidi="th-TH"/>
        </w:rPr>
        <w:t>service, …)</w:t>
      </w:r>
      <w:proofErr w:type="gramEnd"/>
      <w:r w:rsidRPr="004F3653">
        <w:rPr>
          <w:b/>
          <w:bCs/>
          <w:lang w:eastAsia="zh-CN" w:bidi="th-TH"/>
        </w:rPr>
        <w:t xml:space="preserve"> with</w:t>
      </w:r>
      <w:r w:rsidRPr="004F3653">
        <w:rPr>
          <w:rFonts w:eastAsia="MS Mincho"/>
          <w:b/>
          <w:bCs/>
          <w:lang w:eastAsia="ja-JP" w:bidi="th-TH"/>
        </w:rPr>
        <w:t xml:space="preserve">in </w:t>
      </w:r>
      <w:r w:rsidRPr="004F3653">
        <w:rPr>
          <w:b/>
          <w:bCs/>
          <w:lang w:eastAsia="zh-CN" w:bidi="th-TH"/>
        </w:rPr>
        <w:t xml:space="preserve">the </w:t>
      </w:r>
      <w:r w:rsidRPr="004F3653">
        <w:rPr>
          <w:rFonts w:eastAsia="MS Mincho"/>
          <w:b/>
          <w:bCs/>
          <w:lang w:eastAsia="ja-JP" w:bidi="th-TH"/>
        </w:rPr>
        <w:t>listed bands in your country?</w:t>
      </w:r>
      <w:r w:rsidRPr="004F3653">
        <w:rPr>
          <w:b/>
          <w:bCs/>
          <w:lang w:eastAsia="zh-CN" w:bidi="th-TH"/>
        </w:rPr>
        <w:t xml:space="preserve"> Please provide the regulation on these services other than Maritime Mobile Service (e.g. Radio Regulations footnote, country footnote, specific regulation, guideline for application)?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34"/>
        <w:gridCol w:w="2245"/>
        <w:gridCol w:w="2073"/>
        <w:gridCol w:w="3396"/>
      </w:tblGrid>
      <w:tr w:rsidR="00764BDF" w:rsidRPr="0072490C" w:rsidTr="005F2E67">
        <w:trPr>
          <w:trHeight w:val="6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b/>
                <w:sz w:val="22"/>
                <w:lang w:eastAsia="zh-CN"/>
              </w:rPr>
            </w:pPr>
            <w:r w:rsidRPr="0072490C">
              <w:rPr>
                <w:b/>
                <w:sz w:val="22"/>
                <w:lang w:eastAsia="zh-CN"/>
              </w:rPr>
              <w:t>Bands (MHz)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algun Gothic"/>
                <w:b/>
                <w:sz w:val="22"/>
              </w:rPr>
            </w:pPr>
            <w:r w:rsidRPr="0072490C">
              <w:rPr>
                <w:b/>
                <w:sz w:val="22"/>
              </w:rPr>
              <w:t>Sub band (MHz)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algun Gothic"/>
                <w:b/>
                <w:sz w:val="22"/>
              </w:rPr>
            </w:pPr>
            <w:r w:rsidRPr="0072490C">
              <w:rPr>
                <w:b/>
                <w:sz w:val="22"/>
              </w:rPr>
              <w:t>National allocation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72490C">
              <w:rPr>
                <w:b/>
                <w:sz w:val="22"/>
                <w:lang w:eastAsia="zh-CN" w:bidi="th-TH"/>
              </w:rPr>
              <w:t>Specific Regulation</w:t>
            </w:r>
          </w:p>
        </w:tc>
      </w:tr>
      <w:tr w:rsidR="00764BDF" w:rsidRPr="0072490C" w:rsidTr="005F2E67">
        <w:trPr>
          <w:trHeight w:val="3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  <w:lang w:eastAsia="zh-CN"/>
              </w:rPr>
            </w:pPr>
            <w:r w:rsidRPr="0072490C">
              <w:rPr>
                <w:rFonts w:eastAsia="MS PGothic"/>
                <w:sz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rFonts w:eastAsia="MS PGothic"/>
                <w:sz w:val="22"/>
              </w:rPr>
              <w:t>456 – 459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rPr>
                <w:rFonts w:eastAsia="MS PGothic"/>
                <w:sz w:val="22"/>
              </w:rPr>
            </w:pPr>
          </w:p>
        </w:tc>
      </w:tr>
      <w:tr w:rsidR="00764BDF" w:rsidRPr="0072490C" w:rsidTr="005F2E6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  <w:lang w:eastAsia="zh-CN"/>
              </w:rPr>
            </w:pPr>
            <w:r w:rsidRPr="0072490C">
              <w:rPr>
                <w:rFonts w:eastAsia="MS PGothic"/>
                <w:sz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sz w:val="22"/>
              </w:rPr>
              <w:t>457.5125 - 457.5875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</w:tr>
      <w:tr w:rsidR="00764BDF" w:rsidRPr="0072490C" w:rsidTr="005F2E6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DF" w:rsidRPr="0072490C" w:rsidRDefault="00764BDF" w:rsidP="005F2E67">
            <w:pPr>
              <w:tabs>
                <w:tab w:val="center" w:pos="242"/>
              </w:tabs>
              <w:spacing w:before="60" w:line="256" w:lineRule="auto"/>
              <w:jc w:val="center"/>
              <w:rPr>
                <w:rFonts w:eastAsia="Malgun Gothic"/>
                <w:sz w:val="22"/>
              </w:rPr>
            </w:pPr>
            <w:r w:rsidRPr="0072490C">
              <w:rPr>
                <w:rFonts w:eastAsia="Malgun Gothic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rFonts w:eastAsia="MS PGothic"/>
                <w:sz w:val="22"/>
              </w:rPr>
              <w:t>460 – 470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rPr>
                <w:rFonts w:eastAsia="MS PGothic"/>
                <w:sz w:val="22"/>
              </w:rPr>
            </w:pPr>
          </w:p>
        </w:tc>
      </w:tr>
      <w:tr w:rsidR="00764BDF" w:rsidRPr="0072490C" w:rsidTr="005F2E6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tabs>
                <w:tab w:val="center" w:pos="242"/>
              </w:tabs>
              <w:spacing w:before="60" w:line="256" w:lineRule="auto"/>
              <w:jc w:val="center"/>
              <w:rPr>
                <w:rFonts w:eastAsia="Malgun Gothic"/>
                <w:sz w:val="22"/>
              </w:rPr>
            </w:pPr>
            <w:r w:rsidRPr="0072490C">
              <w:rPr>
                <w:rFonts w:eastAsia="Malgun Gothic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sz w:val="22"/>
              </w:rPr>
              <w:t>467.5125 - 467.5875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rPr>
                <w:sz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</w:tr>
    </w:tbl>
    <w:p w:rsidR="00764BDF" w:rsidRPr="0072490C" w:rsidRDefault="00764BDF" w:rsidP="00764BDF">
      <w:pPr>
        <w:pStyle w:val="Headingi"/>
        <w:spacing w:after="120"/>
        <w:rPr>
          <w:sz w:val="22"/>
        </w:rPr>
      </w:pPr>
      <w:r w:rsidRPr="0072490C">
        <w:rPr>
          <w:sz w:val="22"/>
        </w:rPr>
        <w:t>Example responses are provided in italics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34"/>
        <w:gridCol w:w="2245"/>
        <w:gridCol w:w="2073"/>
        <w:gridCol w:w="3396"/>
      </w:tblGrid>
      <w:tr w:rsidR="00764BDF" w:rsidRPr="0072490C" w:rsidTr="005F2E67">
        <w:trPr>
          <w:trHeight w:val="6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b/>
                <w:sz w:val="22"/>
                <w:lang w:eastAsia="zh-CN"/>
              </w:rPr>
            </w:pPr>
            <w:r w:rsidRPr="0072490C">
              <w:rPr>
                <w:b/>
                <w:sz w:val="22"/>
                <w:lang w:eastAsia="zh-CN"/>
              </w:rPr>
              <w:t>Bands (MHz)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algun Gothic"/>
                <w:b/>
                <w:sz w:val="22"/>
              </w:rPr>
            </w:pPr>
            <w:r w:rsidRPr="0072490C">
              <w:rPr>
                <w:b/>
                <w:sz w:val="22"/>
              </w:rPr>
              <w:t>Sub band (MHz)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algun Gothic"/>
                <w:b/>
                <w:sz w:val="22"/>
              </w:rPr>
            </w:pPr>
            <w:r w:rsidRPr="0072490C">
              <w:rPr>
                <w:b/>
                <w:sz w:val="22"/>
              </w:rPr>
              <w:t>National allocation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72490C">
              <w:rPr>
                <w:b/>
                <w:sz w:val="22"/>
                <w:lang w:eastAsia="zh-CN" w:bidi="th-TH"/>
              </w:rPr>
              <w:t>Specific Regulation</w:t>
            </w:r>
          </w:p>
        </w:tc>
      </w:tr>
      <w:tr w:rsidR="00764BDF" w:rsidRPr="0072490C" w:rsidTr="005F2E67">
        <w:trPr>
          <w:trHeight w:val="3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  <w:lang w:eastAsia="zh-CN"/>
              </w:rPr>
            </w:pPr>
            <w:r w:rsidRPr="0072490C">
              <w:rPr>
                <w:rFonts w:eastAsia="MS PGothic"/>
                <w:sz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rFonts w:eastAsia="MS PGothic"/>
                <w:sz w:val="22"/>
              </w:rPr>
              <w:t>456 – 459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 xml:space="preserve">FIXED </w:t>
            </w:r>
          </w:p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>MOBILE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 w:line="257" w:lineRule="auto"/>
              <w:rPr>
                <w:rFonts w:eastAsia="MS PGothic"/>
                <w:i/>
                <w:sz w:val="22"/>
              </w:rPr>
            </w:pPr>
            <w:r w:rsidRPr="0072490C">
              <w:rPr>
                <w:rFonts w:eastAsia="Arial"/>
                <w:i/>
                <w:sz w:val="22"/>
              </w:rPr>
              <w:t>Frequency band of 450-470 MHz is rese</w:t>
            </w:r>
            <w:r w:rsidR="000C2C3E">
              <w:rPr>
                <w:rFonts w:eastAsia="Arial"/>
                <w:i/>
                <w:sz w:val="22"/>
              </w:rPr>
              <w:t>r</w:t>
            </w:r>
            <w:r w:rsidRPr="0072490C">
              <w:rPr>
                <w:rFonts w:eastAsia="Arial"/>
                <w:i/>
                <w:sz w:val="22"/>
              </w:rPr>
              <w:t xml:space="preserve">ved for the </w:t>
            </w:r>
            <w:proofErr w:type="spellStart"/>
            <w:r w:rsidRPr="0072490C">
              <w:rPr>
                <w:rFonts w:eastAsia="Arial"/>
                <w:i/>
                <w:sz w:val="22"/>
              </w:rPr>
              <w:t>IMT</w:t>
            </w:r>
            <w:proofErr w:type="spellEnd"/>
            <w:r w:rsidRPr="0072490C">
              <w:rPr>
                <w:rFonts w:eastAsia="Arial"/>
                <w:i/>
                <w:sz w:val="22"/>
              </w:rPr>
              <w:t xml:space="preserve"> system.</w:t>
            </w:r>
          </w:p>
        </w:tc>
      </w:tr>
      <w:tr w:rsidR="00764BDF" w:rsidRPr="0072490C" w:rsidTr="005F2E6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  <w:lang w:eastAsia="zh-CN"/>
              </w:rPr>
            </w:pPr>
            <w:r w:rsidRPr="0072490C">
              <w:rPr>
                <w:rFonts w:eastAsia="MS PGothic"/>
                <w:sz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sz w:val="22"/>
              </w:rPr>
              <w:t>457.5125 - 457.5875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 xml:space="preserve">FIXED </w:t>
            </w:r>
          </w:p>
          <w:p w:rsidR="00764BDF" w:rsidRPr="0072490C" w:rsidRDefault="00764BDF" w:rsidP="0072490C">
            <w:pPr>
              <w:spacing w:before="60" w:line="256" w:lineRule="auto"/>
              <w:rPr>
                <w:rFonts w:eastAsia="MS PGothic"/>
                <w:i/>
                <w:sz w:val="22"/>
              </w:rPr>
            </w:pPr>
            <w:r w:rsidRPr="0072490C">
              <w:rPr>
                <w:i/>
                <w:sz w:val="22"/>
              </w:rPr>
              <w:t>MOBILE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 w:line="256" w:lineRule="auto"/>
              <w:jc w:val="center"/>
              <w:rPr>
                <w:rFonts w:eastAsia="MS PGothic"/>
                <w:i/>
                <w:sz w:val="22"/>
              </w:rPr>
            </w:pPr>
          </w:p>
        </w:tc>
      </w:tr>
      <w:tr w:rsidR="00764BDF" w:rsidRPr="0072490C" w:rsidTr="005F2E6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DF" w:rsidRPr="0072490C" w:rsidRDefault="00764BDF" w:rsidP="005F2E67">
            <w:pPr>
              <w:tabs>
                <w:tab w:val="center" w:pos="242"/>
              </w:tabs>
              <w:spacing w:before="60" w:line="256" w:lineRule="auto"/>
              <w:jc w:val="center"/>
              <w:rPr>
                <w:rFonts w:eastAsia="Malgun Gothic"/>
                <w:sz w:val="22"/>
              </w:rPr>
            </w:pPr>
            <w:r w:rsidRPr="0072490C">
              <w:rPr>
                <w:rFonts w:eastAsia="Malgun Gothic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rFonts w:eastAsia="MS PGothic"/>
                <w:sz w:val="22"/>
              </w:rPr>
              <w:t>460 – 470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>FIXED</w:t>
            </w:r>
          </w:p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 xml:space="preserve">MOBILE </w:t>
            </w:r>
            <w:proofErr w:type="spellStart"/>
            <w:r w:rsidRPr="0072490C">
              <w:rPr>
                <w:i/>
                <w:sz w:val="22"/>
              </w:rPr>
              <w:t>5.286AA</w:t>
            </w:r>
            <w:proofErr w:type="spellEnd"/>
          </w:p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>SATELLITE METEOROLOGY</w:t>
            </w:r>
          </w:p>
          <w:p w:rsidR="00764BDF" w:rsidRPr="0072490C" w:rsidRDefault="00764BDF" w:rsidP="0072490C">
            <w:pPr>
              <w:spacing w:before="60"/>
              <w:jc w:val="left"/>
              <w:rPr>
                <w:rFonts w:eastAsia="MS PGothic"/>
                <w:i/>
                <w:sz w:val="22"/>
              </w:rPr>
            </w:pPr>
            <w:r w:rsidRPr="0072490C">
              <w:rPr>
                <w:i/>
                <w:sz w:val="22"/>
              </w:rPr>
              <w:t>(From Space to Earth)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/>
              <w:rPr>
                <w:rFonts w:eastAsia="MS PGothic"/>
                <w:i/>
                <w:sz w:val="22"/>
              </w:rPr>
            </w:pPr>
            <w:r w:rsidRPr="0072490C">
              <w:rPr>
                <w:rFonts w:eastAsia="Arial"/>
                <w:i/>
                <w:sz w:val="22"/>
              </w:rPr>
              <w:t>Frequency band of 450-470 MHz is rese</w:t>
            </w:r>
            <w:r w:rsidR="000C2C3E">
              <w:rPr>
                <w:rFonts w:eastAsia="Arial"/>
                <w:i/>
                <w:sz w:val="22"/>
              </w:rPr>
              <w:t>r</w:t>
            </w:r>
            <w:r w:rsidRPr="0072490C">
              <w:rPr>
                <w:rFonts w:eastAsia="Arial"/>
                <w:i/>
                <w:sz w:val="22"/>
              </w:rPr>
              <w:t xml:space="preserve">ved for the </w:t>
            </w:r>
            <w:proofErr w:type="spellStart"/>
            <w:r w:rsidRPr="0072490C">
              <w:rPr>
                <w:rFonts w:eastAsia="Arial"/>
                <w:i/>
                <w:sz w:val="22"/>
              </w:rPr>
              <w:t>IMT</w:t>
            </w:r>
            <w:proofErr w:type="spellEnd"/>
            <w:r w:rsidRPr="0072490C">
              <w:rPr>
                <w:rFonts w:eastAsia="Arial"/>
                <w:i/>
                <w:sz w:val="22"/>
              </w:rPr>
              <w:t xml:space="preserve"> system.</w:t>
            </w:r>
          </w:p>
        </w:tc>
      </w:tr>
      <w:tr w:rsidR="00764BDF" w:rsidRPr="0072490C" w:rsidTr="005F2E6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tabs>
                <w:tab w:val="center" w:pos="242"/>
              </w:tabs>
              <w:spacing w:before="60" w:line="256" w:lineRule="auto"/>
              <w:jc w:val="center"/>
              <w:rPr>
                <w:rFonts w:eastAsia="Malgun Gothic"/>
                <w:sz w:val="22"/>
              </w:rPr>
            </w:pPr>
            <w:r w:rsidRPr="0072490C">
              <w:rPr>
                <w:rFonts w:eastAsia="Malgun Gothic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5F2E67">
            <w:pPr>
              <w:spacing w:before="60" w:line="256" w:lineRule="auto"/>
              <w:jc w:val="center"/>
              <w:rPr>
                <w:rFonts w:eastAsia="MS PGothic"/>
                <w:sz w:val="22"/>
              </w:rPr>
            </w:pPr>
            <w:r w:rsidRPr="0072490C">
              <w:rPr>
                <w:sz w:val="22"/>
              </w:rPr>
              <w:t>467.5125 - 467.5875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>FIXED</w:t>
            </w:r>
          </w:p>
          <w:p w:rsidR="00764BDF" w:rsidRPr="0072490C" w:rsidRDefault="00764BDF" w:rsidP="0072490C">
            <w:pPr>
              <w:spacing w:before="60"/>
              <w:rPr>
                <w:i/>
                <w:sz w:val="22"/>
              </w:rPr>
            </w:pPr>
            <w:r w:rsidRPr="0072490C">
              <w:rPr>
                <w:i/>
                <w:sz w:val="22"/>
              </w:rPr>
              <w:t>MOBILE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DF" w:rsidRPr="0072490C" w:rsidRDefault="00764BDF" w:rsidP="0072490C">
            <w:pPr>
              <w:spacing w:before="60" w:line="256" w:lineRule="auto"/>
              <w:jc w:val="center"/>
              <w:rPr>
                <w:rFonts w:eastAsia="MS PGothic"/>
                <w:i/>
                <w:sz w:val="22"/>
              </w:rPr>
            </w:pPr>
          </w:p>
        </w:tc>
      </w:tr>
    </w:tbl>
    <w:p w:rsidR="00764BDF" w:rsidRDefault="00764BDF" w:rsidP="00764BDF">
      <w:pPr>
        <w:pStyle w:val="Normalaftertitle"/>
        <w:spacing w:after="120"/>
        <w:ind w:left="1871" w:hanging="1871"/>
        <w:rPr>
          <w:rFonts w:eastAsia="MS Mincho"/>
          <w:b/>
          <w:bCs/>
          <w:lang w:eastAsia="ja-JP" w:bidi="th-TH"/>
        </w:rPr>
      </w:pPr>
      <w:r>
        <w:rPr>
          <w:rFonts w:eastAsia="MS Mincho"/>
          <w:b/>
          <w:bCs/>
          <w:lang w:eastAsia="ja-JP" w:bidi="th-TH"/>
        </w:rPr>
        <w:br w:type="page"/>
      </w:r>
    </w:p>
    <w:p w:rsidR="00764BDF" w:rsidRPr="004F3653" w:rsidRDefault="00764BDF" w:rsidP="00764BDF">
      <w:pPr>
        <w:pStyle w:val="Normalaftertitle"/>
        <w:spacing w:after="120"/>
        <w:ind w:left="1560" w:hanging="1560"/>
        <w:rPr>
          <w:rFonts w:eastAsia="MS Mincho"/>
          <w:b/>
          <w:bCs/>
          <w:lang w:eastAsia="ja-JP" w:bidi="th-TH"/>
        </w:rPr>
      </w:pPr>
      <w:r w:rsidRPr="004F3653">
        <w:rPr>
          <w:rFonts w:eastAsia="MS Mincho"/>
          <w:b/>
          <w:bCs/>
          <w:lang w:eastAsia="ja-JP" w:bidi="th-TH"/>
        </w:rPr>
        <w:lastRenderedPageBreak/>
        <w:t xml:space="preserve">Question </w:t>
      </w:r>
      <w:r w:rsidRPr="004F3653">
        <w:rPr>
          <w:rFonts w:eastAsia="MS Mincho"/>
          <w:b/>
          <w:bCs/>
          <w:lang w:eastAsia="ja-JP" w:bidi="th-TH"/>
        </w:rPr>
        <w:tab/>
        <w:t>2:</w:t>
      </w:r>
      <w:r w:rsidRPr="004F3653">
        <w:rPr>
          <w:rFonts w:eastAsia="MS Mincho"/>
          <w:b/>
          <w:bCs/>
          <w:lang w:eastAsia="ja-JP" w:bidi="th-TH"/>
        </w:rPr>
        <w:tab/>
        <w:t xml:space="preserve">Does your country allow on-board vessel </w:t>
      </w:r>
      <w:proofErr w:type="spellStart"/>
      <w:r w:rsidRPr="004F3653">
        <w:rPr>
          <w:rFonts w:eastAsia="MS Mincho"/>
          <w:b/>
          <w:bCs/>
          <w:lang w:eastAsia="ja-JP" w:bidi="th-TH"/>
        </w:rPr>
        <w:t>radiocommunication</w:t>
      </w:r>
      <w:proofErr w:type="spellEnd"/>
      <w:r w:rsidRPr="004F3653">
        <w:rPr>
          <w:rFonts w:eastAsia="MS Mincho"/>
          <w:b/>
          <w:bCs/>
          <w:lang w:eastAsia="ja-JP" w:bidi="th-TH"/>
        </w:rPr>
        <w:t xml:space="preserve"> stations operating on frequency bands 457.5125 - 457.5875 MHz and 467.5125 - 467.5875 MHz in territorial waters?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647"/>
      </w:tblGrid>
      <w:tr w:rsidR="00764BDF" w:rsidTr="005F2E67">
        <w:tc>
          <w:tcPr>
            <w:tcW w:w="846" w:type="dxa"/>
          </w:tcPr>
          <w:p w:rsidR="00764BDF" w:rsidRDefault="00764BDF" w:rsidP="005F2E67"/>
        </w:tc>
        <w:tc>
          <w:tcPr>
            <w:tcW w:w="8647" w:type="dxa"/>
          </w:tcPr>
          <w:p w:rsidR="00764BDF" w:rsidRDefault="00764BDF" w:rsidP="005F2E67">
            <w:pPr>
              <w:jc w:val="center"/>
            </w:pPr>
            <w:r>
              <w:t>Answer (please select Yes or No)</w:t>
            </w:r>
          </w:p>
        </w:tc>
      </w:tr>
      <w:tr w:rsidR="00764BDF" w:rsidTr="005F2E67">
        <w:tc>
          <w:tcPr>
            <w:tcW w:w="846" w:type="dxa"/>
          </w:tcPr>
          <w:p w:rsidR="00764BDF" w:rsidRDefault="00764BDF" w:rsidP="005F2E67">
            <w:r>
              <w:t>Yes</w:t>
            </w:r>
          </w:p>
        </w:tc>
        <w:tc>
          <w:tcPr>
            <w:tcW w:w="8647" w:type="dxa"/>
          </w:tcPr>
          <w:p w:rsidR="00764BDF" w:rsidRPr="00E72CFF" w:rsidRDefault="00764BDF" w:rsidP="005F2E67">
            <w:pPr>
              <w:rPr>
                <w:u w:val="single"/>
              </w:rPr>
            </w:pPr>
            <w:r>
              <w:sym w:font="Wingdings" w:char="F06F"/>
            </w:r>
          </w:p>
          <w:p w:rsidR="00764BDF" w:rsidRPr="00E72CFF" w:rsidRDefault="00764BDF" w:rsidP="005F2E67">
            <w:pPr>
              <w:rPr>
                <w:u w:val="single"/>
              </w:rPr>
            </w:pPr>
            <w:r>
              <w:t>Comment: ………………………………………………………………………….</w:t>
            </w:r>
          </w:p>
        </w:tc>
      </w:tr>
      <w:tr w:rsidR="00764BDF" w:rsidTr="005F2E67">
        <w:tc>
          <w:tcPr>
            <w:tcW w:w="846" w:type="dxa"/>
          </w:tcPr>
          <w:p w:rsidR="00764BDF" w:rsidRDefault="00764BDF" w:rsidP="005F2E67">
            <w:r>
              <w:t>No</w:t>
            </w:r>
          </w:p>
        </w:tc>
        <w:tc>
          <w:tcPr>
            <w:tcW w:w="8647" w:type="dxa"/>
          </w:tcPr>
          <w:p w:rsidR="00764BDF" w:rsidRDefault="00764BDF" w:rsidP="005F2E67">
            <w:r>
              <w:sym w:font="Wingdings" w:char="F06F"/>
            </w:r>
          </w:p>
          <w:p w:rsidR="00764BDF" w:rsidRDefault="00764BDF" w:rsidP="005F2E67">
            <w:r>
              <w:t>Please indicate (if possible) which systems is allowed to use these frequency bands?</w:t>
            </w:r>
          </w:p>
          <w:p w:rsidR="00764BDF" w:rsidRDefault="00764BDF" w:rsidP="005F2E67">
            <w:r>
              <w:t>………………………………………………………………………………………..</w:t>
            </w:r>
          </w:p>
          <w:p w:rsidR="00764BDF" w:rsidRDefault="00764BDF" w:rsidP="005F2E67">
            <w:r>
              <w:t>………………………………………………………………………………………..</w:t>
            </w:r>
          </w:p>
          <w:p w:rsidR="00764BDF" w:rsidRDefault="00764BDF" w:rsidP="005F2E67"/>
          <w:p w:rsidR="00764BDF" w:rsidRDefault="00764BDF" w:rsidP="005F2E67">
            <w:r>
              <w:t xml:space="preserve">Please specify (if possible) which frequency band could be used for UHF on-board vessel </w:t>
            </w:r>
            <w:proofErr w:type="spellStart"/>
            <w:r>
              <w:t>radiocommunication</w:t>
            </w:r>
            <w:proofErr w:type="spellEnd"/>
            <w:r>
              <w:t xml:space="preserve"> stations?</w:t>
            </w:r>
          </w:p>
          <w:p w:rsidR="00764BDF" w:rsidRDefault="00764BDF" w:rsidP="005F2E67">
            <w:r>
              <w:t>………………………………………………………………………………………..</w:t>
            </w:r>
          </w:p>
          <w:p w:rsidR="00764BDF" w:rsidRDefault="00764BDF" w:rsidP="005F2E67"/>
        </w:tc>
      </w:tr>
    </w:tbl>
    <w:p w:rsidR="00764BDF" w:rsidRPr="004F3653" w:rsidRDefault="00764BDF" w:rsidP="00764BDF">
      <w:pPr>
        <w:pStyle w:val="Normalaftertitle"/>
        <w:spacing w:after="120"/>
        <w:ind w:left="1560" w:hanging="1560"/>
        <w:rPr>
          <w:rFonts w:eastAsia="MS Mincho"/>
          <w:b/>
          <w:bCs/>
          <w:lang w:eastAsia="ja-JP" w:bidi="th-TH"/>
        </w:rPr>
      </w:pPr>
      <w:r w:rsidRPr="004F3653">
        <w:rPr>
          <w:rFonts w:eastAsia="MS Mincho"/>
          <w:b/>
          <w:bCs/>
          <w:lang w:eastAsia="ja-JP" w:bidi="th-TH"/>
        </w:rPr>
        <w:t xml:space="preserve">Question </w:t>
      </w:r>
      <w:r w:rsidRPr="004F3653">
        <w:rPr>
          <w:rFonts w:eastAsia="MS Mincho"/>
          <w:b/>
          <w:bCs/>
          <w:lang w:eastAsia="ja-JP" w:bidi="th-TH"/>
        </w:rPr>
        <w:tab/>
        <w:t>3:</w:t>
      </w:r>
      <w:r w:rsidRPr="004F3653">
        <w:rPr>
          <w:rFonts w:eastAsia="MS Mincho"/>
          <w:b/>
          <w:bCs/>
          <w:lang w:eastAsia="ja-JP" w:bidi="th-TH"/>
        </w:rPr>
        <w:tab/>
        <w:t>If there is any other requirement on the use of the frequency bands 457.5125 - 457.5875 MHz and 467.5125 - 467.5875 MHz by on-board communication stations in the maritime mobile service in your territorial waters, please provide in detail?</w:t>
      </w:r>
    </w:p>
    <w:p w:rsidR="00764BDF" w:rsidRPr="004F3653" w:rsidRDefault="00764BDF" w:rsidP="00764BDF">
      <w:pPr>
        <w:pStyle w:val="Normalaftertitle"/>
        <w:spacing w:after="120"/>
        <w:ind w:left="1560" w:hanging="1560"/>
        <w:rPr>
          <w:rFonts w:eastAsia="MS Mincho"/>
          <w:b/>
          <w:bCs/>
          <w:lang w:eastAsia="ja-JP" w:bidi="th-TH"/>
        </w:rPr>
      </w:pPr>
      <w:r w:rsidRPr="004F3653">
        <w:rPr>
          <w:rFonts w:eastAsia="MS Mincho"/>
          <w:b/>
          <w:bCs/>
          <w:lang w:eastAsia="ja-JP" w:bidi="th-TH"/>
        </w:rPr>
        <w:t xml:space="preserve">Question </w:t>
      </w:r>
      <w:r w:rsidRPr="004F3653">
        <w:rPr>
          <w:rFonts w:eastAsia="MS Mincho"/>
          <w:b/>
          <w:bCs/>
          <w:lang w:eastAsia="ja-JP" w:bidi="th-TH"/>
        </w:rPr>
        <w:tab/>
        <w:t>4:</w:t>
      </w:r>
      <w:r w:rsidRPr="004F3653">
        <w:rPr>
          <w:rFonts w:eastAsia="MS Mincho"/>
          <w:b/>
          <w:bCs/>
          <w:lang w:eastAsia="ja-JP" w:bidi="th-TH"/>
        </w:rPr>
        <w:tab/>
        <w:t>Is there any interference case between UHF on-board vessel communication stations and other systems been reported in your country? If yes, please provide information about the case and the solution to solve interference.</w:t>
      </w:r>
    </w:p>
    <w:p w:rsidR="00764BDF" w:rsidRDefault="00764BDF" w:rsidP="00764BDF">
      <w:pPr>
        <w:pStyle w:val="Reasons"/>
      </w:pPr>
    </w:p>
    <w:p w:rsidR="00764BDF" w:rsidRPr="00764BDF" w:rsidRDefault="00764BDF" w:rsidP="00764BDF">
      <w:pPr>
        <w:jc w:val="center"/>
        <w:rPr>
          <w:rFonts w:asciiTheme="majorBidi" w:hAnsiTheme="majorBidi" w:cstheme="majorBidi"/>
        </w:rPr>
      </w:pPr>
      <w:r w:rsidRPr="00764BDF">
        <w:rPr>
          <w:rFonts w:asciiTheme="majorBidi" w:hAnsiTheme="majorBidi" w:cstheme="majorBidi"/>
        </w:rPr>
        <w:t>______________</w:t>
      </w:r>
    </w:p>
    <w:sectPr w:rsidR="00764BDF" w:rsidRPr="00764BDF" w:rsidSect="00236FC1">
      <w:headerReference w:type="even" r:id="rId9"/>
      <w:headerReference w:type="default" r:id="rId10"/>
      <w:headerReference w:type="first" r:id="rId11"/>
      <w:footerReference w:type="first" r:id="rId12"/>
      <w:pgSz w:w="11907" w:h="16834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8E" w:rsidRDefault="00D0508E">
      <w:pPr>
        <w:spacing w:before="0" w:line="240" w:lineRule="auto"/>
      </w:pPr>
      <w:r>
        <w:separator/>
      </w:r>
    </w:p>
  </w:endnote>
  <w:endnote w:type="continuationSeparator" w:id="0">
    <w:p w:rsidR="00D0508E" w:rsidRDefault="00D050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9E" w:rsidRDefault="0074679E" w:rsidP="0074679E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proofErr w:type="spellStart"/>
      <w:r w:rsidRPr="005E5EB3">
        <w:rPr>
          <w:rStyle w:val="Hyperlink"/>
          <w:sz w:val="18"/>
          <w:szCs w:val="18"/>
        </w:rPr>
        <w:t>itumail@itu.int</w:t>
      </w:r>
      <w:proofErr w:type="spellEnd"/>
    </w:hyperlink>
    <w:r w:rsidRPr="005E5EB3">
      <w:rPr>
        <w:sz w:val="18"/>
        <w:szCs w:val="18"/>
      </w:rPr>
      <w:t xml:space="preserve"> • </w:t>
    </w:r>
    <w:hyperlink r:id="rId2" w:history="1">
      <w:proofErr w:type="spellStart"/>
      <w:r w:rsidRPr="005E5EB3">
        <w:rPr>
          <w:rStyle w:val="Hyperlink"/>
          <w:sz w:val="18"/>
          <w:szCs w:val="18"/>
        </w:rPr>
        <w:t>www.itu.int</w:t>
      </w:r>
      <w:proofErr w:type="spellEnd"/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8E" w:rsidRPr="00450DD8" w:rsidRDefault="00D0508E" w:rsidP="00450DD8">
      <w:r>
        <w:t>_______________</w:t>
      </w:r>
    </w:p>
  </w:footnote>
  <w:footnote w:type="continuationSeparator" w:id="0">
    <w:p w:rsidR="00D0508E" w:rsidRDefault="00D050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8" w:rsidRDefault="009A3912" w:rsidP="002D5250">
    <w:pPr>
      <w:pStyle w:val="Header"/>
      <w:jc w:val="center"/>
    </w:pPr>
    <w:r>
      <w:rPr>
        <w:sz w:val="18"/>
        <w:szCs w:val="16"/>
      </w:rPr>
      <w:t xml:space="preserve">- </w:t>
    </w:r>
    <w:r>
      <w:rPr>
        <w:rStyle w:val="PageNumber"/>
        <w:sz w:val="18"/>
        <w:szCs w:val="16"/>
      </w:rPr>
      <w:fldChar w:fldCharType="begin"/>
    </w:r>
    <w:r>
      <w:rPr>
        <w:rStyle w:val="PageNumber"/>
        <w:sz w:val="18"/>
        <w:szCs w:val="16"/>
      </w:rPr>
      <w:instrText xml:space="preserve"> PAGE </w:instrText>
    </w:r>
    <w:r>
      <w:rPr>
        <w:rStyle w:val="PageNumber"/>
        <w:sz w:val="18"/>
        <w:szCs w:val="16"/>
      </w:rPr>
      <w:fldChar w:fldCharType="separate"/>
    </w:r>
    <w:r w:rsidR="000C40CD">
      <w:rPr>
        <w:rStyle w:val="PageNumber"/>
        <w:noProof/>
        <w:sz w:val="18"/>
        <w:szCs w:val="16"/>
      </w:rPr>
      <w:t>4</w:t>
    </w:r>
    <w:r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18" w:rsidRDefault="009A3912" w:rsidP="00C1690C">
    <w:pPr>
      <w:pStyle w:val="Header"/>
      <w:jc w:val="center"/>
    </w:pPr>
    <w:r>
      <w:rPr>
        <w:sz w:val="18"/>
        <w:szCs w:val="16"/>
      </w:rPr>
      <w:t xml:space="preserve">- </w:t>
    </w:r>
    <w:r>
      <w:rPr>
        <w:rStyle w:val="PageNumber"/>
        <w:sz w:val="18"/>
        <w:szCs w:val="16"/>
      </w:rPr>
      <w:fldChar w:fldCharType="begin"/>
    </w:r>
    <w:r>
      <w:rPr>
        <w:rStyle w:val="PageNumber"/>
        <w:sz w:val="18"/>
        <w:szCs w:val="16"/>
      </w:rPr>
      <w:instrText xml:space="preserve"> PAGE </w:instrText>
    </w:r>
    <w:r>
      <w:rPr>
        <w:rStyle w:val="PageNumber"/>
        <w:sz w:val="18"/>
        <w:szCs w:val="16"/>
      </w:rPr>
      <w:fldChar w:fldCharType="separate"/>
    </w:r>
    <w:r w:rsidR="00595746">
      <w:rPr>
        <w:rStyle w:val="PageNumber"/>
        <w:noProof/>
        <w:sz w:val="18"/>
        <w:szCs w:val="16"/>
      </w:rPr>
      <w:t>3</w:t>
    </w:r>
    <w:r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9E" w:rsidRPr="00EA15B3" w:rsidRDefault="0074679E" w:rsidP="0074679E">
    <w:pPr>
      <w:pStyle w:val="Header"/>
      <w:spacing w:line="360" w:lineRule="auto"/>
      <w:jc w:val="center"/>
    </w:pPr>
    <w:r>
      <w:rPr>
        <w:b/>
        <w:bCs/>
        <w:noProof/>
        <w:lang w:val="en-GB" w:eastAsia="zh-CN"/>
      </w:rPr>
      <w:drawing>
        <wp:inline distT="0" distB="0" distL="0" distR="0" wp14:anchorId="726CC25B" wp14:editId="516923C7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46"/>
    <w:rsid w:val="0000041A"/>
    <w:rsid w:val="00031DF3"/>
    <w:rsid w:val="000330E3"/>
    <w:rsid w:val="00072E43"/>
    <w:rsid w:val="000A6ACE"/>
    <w:rsid w:val="000B6831"/>
    <w:rsid w:val="000C2C3E"/>
    <w:rsid w:val="000C40CD"/>
    <w:rsid w:val="000C4846"/>
    <w:rsid w:val="00124FBE"/>
    <w:rsid w:val="00145AE4"/>
    <w:rsid w:val="00175DE8"/>
    <w:rsid w:val="00182E51"/>
    <w:rsid w:val="00183A68"/>
    <w:rsid w:val="0018601E"/>
    <w:rsid w:val="00192CAA"/>
    <w:rsid w:val="001A1166"/>
    <w:rsid w:val="001B51F2"/>
    <w:rsid w:val="001C5697"/>
    <w:rsid w:val="001D0CB4"/>
    <w:rsid w:val="001D4AAF"/>
    <w:rsid w:val="00200F0C"/>
    <w:rsid w:val="002042F4"/>
    <w:rsid w:val="00205A22"/>
    <w:rsid w:val="00207F66"/>
    <w:rsid w:val="0021773B"/>
    <w:rsid w:val="00225866"/>
    <w:rsid w:val="00231BCC"/>
    <w:rsid w:val="00236FC1"/>
    <w:rsid w:val="002510C5"/>
    <w:rsid w:val="002607B9"/>
    <w:rsid w:val="00261400"/>
    <w:rsid w:val="00276BC0"/>
    <w:rsid w:val="0029683B"/>
    <w:rsid w:val="00297182"/>
    <w:rsid w:val="002D4C2F"/>
    <w:rsid w:val="002D5250"/>
    <w:rsid w:val="002E6EEE"/>
    <w:rsid w:val="003012F2"/>
    <w:rsid w:val="003108B4"/>
    <w:rsid w:val="0031567D"/>
    <w:rsid w:val="00333597"/>
    <w:rsid w:val="00350491"/>
    <w:rsid w:val="00383A24"/>
    <w:rsid w:val="003D1929"/>
    <w:rsid w:val="003E1EA6"/>
    <w:rsid w:val="00436762"/>
    <w:rsid w:val="00450DD8"/>
    <w:rsid w:val="00486ED1"/>
    <w:rsid w:val="004A518B"/>
    <w:rsid w:val="004B178D"/>
    <w:rsid w:val="004C0217"/>
    <w:rsid w:val="004C2D8B"/>
    <w:rsid w:val="004E2D96"/>
    <w:rsid w:val="004E7B07"/>
    <w:rsid w:val="004F4C86"/>
    <w:rsid w:val="00510FCC"/>
    <w:rsid w:val="00514BEC"/>
    <w:rsid w:val="00523483"/>
    <w:rsid w:val="00555D72"/>
    <w:rsid w:val="00563D39"/>
    <w:rsid w:val="00586E59"/>
    <w:rsid w:val="00595746"/>
    <w:rsid w:val="005A3208"/>
    <w:rsid w:val="005A431D"/>
    <w:rsid w:val="005A7BB3"/>
    <w:rsid w:val="00626946"/>
    <w:rsid w:val="00645448"/>
    <w:rsid w:val="00653124"/>
    <w:rsid w:val="00653582"/>
    <w:rsid w:val="00656CCC"/>
    <w:rsid w:val="00666F7F"/>
    <w:rsid w:val="00690B2D"/>
    <w:rsid w:val="006D1926"/>
    <w:rsid w:val="0072250A"/>
    <w:rsid w:val="0072490C"/>
    <w:rsid w:val="007318CD"/>
    <w:rsid w:val="0074679E"/>
    <w:rsid w:val="00755D71"/>
    <w:rsid w:val="00764BDF"/>
    <w:rsid w:val="00766B44"/>
    <w:rsid w:val="007B1B53"/>
    <w:rsid w:val="007B6D22"/>
    <w:rsid w:val="007C1426"/>
    <w:rsid w:val="00841B42"/>
    <w:rsid w:val="00861E17"/>
    <w:rsid w:val="00872130"/>
    <w:rsid w:val="00877497"/>
    <w:rsid w:val="0088649F"/>
    <w:rsid w:val="008A09C1"/>
    <w:rsid w:val="008A34CA"/>
    <w:rsid w:val="008B502B"/>
    <w:rsid w:val="008B6F65"/>
    <w:rsid w:val="008B7533"/>
    <w:rsid w:val="009536E1"/>
    <w:rsid w:val="009637D1"/>
    <w:rsid w:val="00972990"/>
    <w:rsid w:val="009A3912"/>
    <w:rsid w:val="009B3817"/>
    <w:rsid w:val="009D7B14"/>
    <w:rsid w:val="00A30ABA"/>
    <w:rsid w:val="00A31430"/>
    <w:rsid w:val="00A615CB"/>
    <w:rsid w:val="00A70C1D"/>
    <w:rsid w:val="00AF3551"/>
    <w:rsid w:val="00B124A5"/>
    <w:rsid w:val="00B24BD1"/>
    <w:rsid w:val="00B67A3C"/>
    <w:rsid w:val="00B81FF6"/>
    <w:rsid w:val="00BA4921"/>
    <w:rsid w:val="00BB1986"/>
    <w:rsid w:val="00BD4165"/>
    <w:rsid w:val="00C1690C"/>
    <w:rsid w:val="00C211C5"/>
    <w:rsid w:val="00C3125A"/>
    <w:rsid w:val="00C5067B"/>
    <w:rsid w:val="00CA3EC7"/>
    <w:rsid w:val="00CB4FE0"/>
    <w:rsid w:val="00CB772A"/>
    <w:rsid w:val="00CD5796"/>
    <w:rsid w:val="00CE3476"/>
    <w:rsid w:val="00D0508E"/>
    <w:rsid w:val="00D36358"/>
    <w:rsid w:val="00D37B94"/>
    <w:rsid w:val="00D42B00"/>
    <w:rsid w:val="00D42D87"/>
    <w:rsid w:val="00D77240"/>
    <w:rsid w:val="00D8361B"/>
    <w:rsid w:val="00D83AAE"/>
    <w:rsid w:val="00D854A1"/>
    <w:rsid w:val="00D93E0B"/>
    <w:rsid w:val="00DC4240"/>
    <w:rsid w:val="00DC4F18"/>
    <w:rsid w:val="00DE22AD"/>
    <w:rsid w:val="00DE2CCA"/>
    <w:rsid w:val="00E13C40"/>
    <w:rsid w:val="00E25C94"/>
    <w:rsid w:val="00E60B58"/>
    <w:rsid w:val="00E742F8"/>
    <w:rsid w:val="00E74969"/>
    <w:rsid w:val="00EC3711"/>
    <w:rsid w:val="00EC7340"/>
    <w:rsid w:val="00EF144A"/>
    <w:rsid w:val="00EF71F9"/>
    <w:rsid w:val="00F35766"/>
    <w:rsid w:val="00F406AF"/>
    <w:rsid w:val="00F66A26"/>
    <w:rsid w:val="00F873CB"/>
    <w:rsid w:val="00F94CCD"/>
    <w:rsid w:val="00FB449C"/>
    <w:rsid w:val="00FC40A5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0FEC580-81EB-4167-B65E-F4B94AC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60" w:line="280" w:lineRule="exact"/>
      <w:jc w:val="both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pPr>
      <w:spacing w:before="360"/>
      <w:outlineLvl w:val="1"/>
    </w:pPr>
  </w:style>
  <w:style w:type="paragraph" w:styleId="Heading3">
    <w:name w:val="heading 3"/>
    <w:basedOn w:val="Heading1"/>
    <w:next w:val="Normal"/>
    <w:pPr>
      <w:spacing w:before="240"/>
      <w:outlineLvl w:val="2"/>
    </w:pPr>
  </w:style>
  <w:style w:type="paragraph" w:styleId="Heading4">
    <w:name w:val="heading 4"/>
    <w:basedOn w:val="Heading3"/>
    <w:next w:val="Normal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pPr>
      <w:outlineLvl w:val="4"/>
    </w:pPr>
  </w:style>
  <w:style w:type="paragraph" w:styleId="Heading6">
    <w:name w:val="heading 6"/>
    <w:basedOn w:val="Heading4"/>
    <w:next w:val="Normal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</w:style>
  <w:style w:type="paragraph" w:styleId="TOC3">
    <w:name w:val="toc 3"/>
    <w:basedOn w:val="TOC2"/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Pr>
      <w:position w:val="5"/>
      <w:sz w:val="18"/>
      <w:vertAlign w:val="baseline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</w:pPr>
    <w:rPr>
      <w:rFonts w:ascii="Courier New" w:hAnsi="Courier New"/>
      <w:b/>
      <w:lang w:val="fr-FR" w:eastAsia="en-US"/>
    </w:rPr>
  </w:style>
  <w:style w:type="paragraph" w:styleId="TOC9">
    <w:name w:val="toc 9"/>
    <w:basedOn w:val="TOC3"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pPr>
      <w:jc w:val="left"/>
    </w:pPr>
  </w:style>
  <w:style w:type="paragraph" w:customStyle="1" w:styleId="Formal">
    <w:name w:val="Formal"/>
    <w:basedOn w:val="ASN1"/>
    <w:rPr>
      <w:b w:val="0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pPr>
      <w:ind w:left="284"/>
      <w:jc w:val="left"/>
    </w:pPr>
  </w:style>
  <w:style w:type="paragraph" w:styleId="Index3">
    <w:name w:val="index 3"/>
    <w:basedOn w:val="Normal"/>
    <w:next w:val="Normal"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href">
    <w:name w:val="href"/>
    <w:basedOn w:val="DefaultParagraphFont"/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Heading1Char">
    <w:name w:val="Heading 1 Char"/>
    <w:basedOn w:val="DefaultParagraphFont"/>
    <w:rPr>
      <w:b/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pPr>
      <w:overflowPunct/>
      <w:autoSpaceDE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spacing w:before="160" w:line="240" w:lineRule="auto"/>
      <w:ind w:left="0" w:firstLine="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TableText0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spacing w:before="40" w:after="40" w:line="240" w:lineRule="auto"/>
      <w:jc w:val="left"/>
      <w:textAlignment w:val="auto"/>
    </w:pPr>
    <w:rPr>
      <w:rFonts w:ascii="Times New Roman" w:eastAsia="SimSun" w:hAnsi="Times New Roman" w:cs="Times New Roman"/>
      <w:sz w:val="22"/>
      <w:szCs w:val="20"/>
      <w:lang w:val="en-GB"/>
    </w:rPr>
  </w:style>
  <w:style w:type="character" w:customStyle="1" w:styleId="AnnexNotitleChar">
    <w:name w:val="Annex_No &amp; title Char"/>
    <w:basedOn w:val="DefaultParagraphFont"/>
    <w:rPr>
      <w:rFonts w:ascii="Times New Roman" w:hAnsi="Times New Roman"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FootnoteReference12pt">
    <w:name w:val="Footnote Reference + 12 pt"/>
    <w:basedOn w:val="Normal"/>
    <w:rPr>
      <w:szCs w:val="24"/>
    </w:rPr>
  </w:style>
  <w:style w:type="character" w:customStyle="1" w:styleId="HeaderChar">
    <w:name w:val="Header Char"/>
    <w:basedOn w:val="DefaultParagraphFont"/>
    <w:link w:val="Header"/>
    <w:rsid w:val="00236FC1"/>
    <w:rPr>
      <w:sz w:val="24"/>
      <w:szCs w:val="22"/>
      <w:lang w:val="en-US" w:eastAsia="en-US"/>
    </w:rPr>
  </w:style>
  <w:style w:type="table" w:styleId="TableGrid">
    <w:name w:val="Table Grid"/>
    <w:basedOn w:val="TableNormal"/>
    <w:uiPriority w:val="59"/>
    <w:rsid w:val="00236FC1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5250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14BEC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86E59"/>
    <w:pPr>
      <w:tabs>
        <w:tab w:val="clear" w:pos="794"/>
        <w:tab w:val="clear" w:pos="1191"/>
        <w:tab w:val="clear" w:pos="1588"/>
        <w:tab w:val="clear" w:pos="1985"/>
      </w:tabs>
      <w:suppressAutoHyphens w:val="0"/>
      <w:overflowPunct/>
      <w:autoSpaceDE/>
      <w:autoSpaceDN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Tablefin">
    <w:name w:val="Table_fin"/>
    <w:basedOn w:val="Tabletext"/>
    <w:rsid w:val="00841B42"/>
  </w:style>
  <w:style w:type="character" w:customStyle="1" w:styleId="Title1Char">
    <w:name w:val="Title 1 Char"/>
    <w:basedOn w:val="DefaultParagraphFont"/>
    <w:link w:val="Title1"/>
    <w:uiPriority w:val="99"/>
    <w:locked/>
    <w:rsid w:val="00764BDF"/>
    <w:rPr>
      <w:caps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sgd@itu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rec/R-REC-M.1174/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11F4-9038-477C-87F7-5F6E978F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ITU</dc:creator>
  <cp:lastModifiedBy>Song, Xiaojing</cp:lastModifiedBy>
  <cp:revision>13</cp:revision>
  <cp:lastPrinted>2018-11-23T13:17:00Z</cp:lastPrinted>
  <dcterms:created xsi:type="dcterms:W3CDTF">2018-11-23T08:41:00Z</dcterms:created>
  <dcterms:modified xsi:type="dcterms:W3CDTF">2018-11-23T14:24:00Z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