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14F06D71" w14:textId="77777777" w:rsidTr="00306452">
        <w:trPr>
          <w:jc w:val="center"/>
        </w:trPr>
        <w:tc>
          <w:tcPr>
            <w:tcW w:w="9889" w:type="dxa"/>
            <w:gridSpan w:val="3"/>
          </w:tcPr>
          <w:p w14:paraId="1A2CF0FE" w14:textId="77777777" w:rsidR="00E53DCE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415C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4925FA0B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50F6538F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029C" w14:paraId="2C22E2F9" w14:textId="77777777" w:rsidTr="00306452">
        <w:trPr>
          <w:jc w:val="center"/>
        </w:trPr>
        <w:tc>
          <w:tcPr>
            <w:tcW w:w="7054" w:type="dxa"/>
            <w:gridSpan w:val="2"/>
          </w:tcPr>
          <w:p w14:paraId="66A34F61" w14:textId="6495E3C3" w:rsidR="00E53DCE" w:rsidRPr="001B3D4D" w:rsidRDefault="001B3D4D" w:rsidP="006160CB">
            <w:pPr>
              <w:spacing w:before="0"/>
              <w:jc w:val="left"/>
              <w:rPr>
                <w:szCs w:val="24"/>
                <w:lang w:val="es-ES"/>
              </w:rPr>
            </w:pPr>
            <w:r w:rsidRPr="0075124D">
              <w:rPr>
                <w:lang w:val="es-ES_tradnl"/>
              </w:rPr>
              <w:t>Carta Circular</w:t>
            </w:r>
          </w:p>
          <w:p w14:paraId="22293972" w14:textId="1400D9B0" w:rsidR="00E53DCE" w:rsidRPr="001B3D4D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1B3D4D">
              <w:rPr>
                <w:b/>
                <w:bCs/>
                <w:szCs w:val="24"/>
                <w:lang w:val="es-ES"/>
              </w:rPr>
              <w:t>CR</w:t>
            </w:r>
            <w:r w:rsidR="006913B2">
              <w:rPr>
                <w:b/>
                <w:bCs/>
                <w:szCs w:val="24"/>
                <w:lang w:val="es-ES"/>
              </w:rPr>
              <w:t>/53</w:t>
            </w:r>
            <w:r w:rsidR="004C6753">
              <w:rPr>
                <w:b/>
                <w:bCs/>
                <w:szCs w:val="24"/>
                <w:lang w:val="es-ES"/>
              </w:rPr>
              <w:t>2</w:t>
            </w:r>
          </w:p>
        </w:tc>
        <w:tc>
          <w:tcPr>
            <w:tcW w:w="2835" w:type="dxa"/>
          </w:tcPr>
          <w:p w14:paraId="228D91E6" w14:textId="045CADB2" w:rsidR="00E53DCE" w:rsidRPr="002B7EE0" w:rsidRDefault="00204045" w:rsidP="006160CB">
            <w:pPr>
              <w:spacing w:before="0"/>
              <w:jc w:val="right"/>
              <w:rPr>
                <w:szCs w:val="24"/>
                <w:lang w:val="fr-FR"/>
              </w:rPr>
            </w:pPr>
            <w:r>
              <w:rPr>
                <w:bCs/>
                <w:szCs w:val="24"/>
                <w:lang w:val="fr-FR"/>
              </w:rPr>
              <w:t>1</w:t>
            </w:r>
            <w:r w:rsidR="00CB1649">
              <w:rPr>
                <w:bCs/>
                <w:szCs w:val="24"/>
                <w:lang w:val="fr-FR"/>
              </w:rPr>
              <w:t>4</w:t>
            </w:r>
            <w:r w:rsidR="006913B2">
              <w:rPr>
                <w:bCs/>
                <w:szCs w:val="24"/>
                <w:lang w:val="fr-FR"/>
              </w:rPr>
              <w:t xml:space="preserve"> de </w:t>
            </w:r>
            <w:r w:rsidR="004C6753">
              <w:rPr>
                <w:bCs/>
                <w:szCs w:val="24"/>
                <w:lang w:val="fr-FR"/>
              </w:rPr>
              <w:t>julio</w:t>
            </w:r>
            <w:r w:rsidR="006913B2">
              <w:rPr>
                <w:bCs/>
                <w:szCs w:val="24"/>
                <w:lang w:val="fr-FR"/>
              </w:rPr>
              <w:t xml:space="preserve"> de 2026</w:t>
            </w:r>
          </w:p>
        </w:tc>
      </w:tr>
      <w:tr w:rsidR="00E53DCE" w:rsidRPr="0033029C" w14:paraId="70CE7730" w14:textId="77777777" w:rsidTr="00306452">
        <w:trPr>
          <w:jc w:val="center"/>
        </w:trPr>
        <w:tc>
          <w:tcPr>
            <w:tcW w:w="9889" w:type="dxa"/>
            <w:gridSpan w:val="3"/>
          </w:tcPr>
          <w:p w14:paraId="516A29B2" w14:textId="77777777" w:rsidR="00E53DCE" w:rsidRPr="0033029C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029C" w14:paraId="3A6CB941" w14:textId="77777777" w:rsidTr="00306452">
        <w:trPr>
          <w:jc w:val="center"/>
        </w:trPr>
        <w:tc>
          <w:tcPr>
            <w:tcW w:w="9889" w:type="dxa"/>
            <w:gridSpan w:val="3"/>
          </w:tcPr>
          <w:p w14:paraId="3BBF715C" w14:textId="77777777" w:rsidR="00E53DCE" w:rsidRPr="0033029C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E55761" w14:paraId="5AFF9D50" w14:textId="77777777" w:rsidTr="00306452">
        <w:trPr>
          <w:jc w:val="center"/>
        </w:trPr>
        <w:tc>
          <w:tcPr>
            <w:tcW w:w="9889" w:type="dxa"/>
            <w:gridSpan w:val="3"/>
          </w:tcPr>
          <w:p w14:paraId="780BBC7D" w14:textId="77777777" w:rsidR="00E53DCE" w:rsidRPr="0033029C" w:rsidRDefault="00FE4822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33029C">
              <w:rPr>
                <w:b/>
                <w:szCs w:val="24"/>
                <w:lang w:val="es-ES"/>
              </w:rPr>
              <w:t>A las Administraciones de los Estados Miembros de la UIT</w:t>
            </w:r>
          </w:p>
          <w:p w14:paraId="754B0B5B" w14:textId="77777777" w:rsidR="00E53DCE" w:rsidRPr="0033029C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E55761" w14:paraId="742EFD90" w14:textId="77777777" w:rsidTr="00306452">
        <w:trPr>
          <w:jc w:val="center"/>
        </w:trPr>
        <w:tc>
          <w:tcPr>
            <w:tcW w:w="9889" w:type="dxa"/>
            <w:gridSpan w:val="3"/>
          </w:tcPr>
          <w:p w14:paraId="1B42FEA0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E55761" w14:paraId="45058652" w14:textId="77777777" w:rsidTr="00306452">
        <w:trPr>
          <w:jc w:val="center"/>
        </w:trPr>
        <w:tc>
          <w:tcPr>
            <w:tcW w:w="9889" w:type="dxa"/>
            <w:gridSpan w:val="3"/>
          </w:tcPr>
          <w:p w14:paraId="49C27B6B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E55761" w14:paraId="34D1A569" w14:textId="77777777" w:rsidTr="00306452">
        <w:trPr>
          <w:jc w:val="center"/>
        </w:trPr>
        <w:tc>
          <w:tcPr>
            <w:tcW w:w="1526" w:type="dxa"/>
          </w:tcPr>
          <w:p w14:paraId="7FFED871" w14:textId="77777777" w:rsidR="00E53DCE" w:rsidRPr="0033029C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</w:rPr>
            </w:pPr>
            <w:r>
              <w:rPr>
                <w:szCs w:val="24"/>
              </w:rPr>
              <w:t>Asunto</w:t>
            </w:r>
            <w:r w:rsidRPr="0033029C">
              <w:rPr>
                <w:szCs w:val="24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6EC27364" w14:textId="350D449D" w:rsidR="00E53DCE" w:rsidRPr="006913B2" w:rsidRDefault="006913B2" w:rsidP="00E55761">
            <w:pPr>
              <w:tabs>
                <w:tab w:val="clear" w:pos="1588"/>
                <w:tab w:val="left" w:pos="1560"/>
              </w:tabs>
              <w:spacing w:before="0" w:after="120"/>
              <w:jc w:val="left"/>
              <w:rPr>
                <w:b/>
                <w:bCs/>
                <w:szCs w:val="24"/>
                <w:lang w:val="es-ES"/>
              </w:rPr>
            </w:pPr>
            <w:r w:rsidRPr="00401301">
              <w:rPr>
                <w:b/>
                <w:bCs/>
                <w:szCs w:val="24"/>
                <w:lang w:val="es-ES"/>
              </w:rPr>
              <w:t xml:space="preserve">Reglas de Procedimiento aprobadas por la Junta del Reglamento de </w:t>
            </w:r>
            <w:r>
              <w:rPr>
                <w:b/>
                <w:bCs/>
                <w:szCs w:val="24"/>
                <w:lang w:val="es-ES"/>
              </w:rPr>
              <w:t>Radiocomunicaciones</w:t>
            </w:r>
          </w:p>
        </w:tc>
      </w:tr>
      <w:tr w:rsidR="00E53DCE" w:rsidRPr="00E55761" w14:paraId="0890C5A3" w14:textId="77777777" w:rsidTr="00306452">
        <w:trPr>
          <w:jc w:val="center"/>
        </w:trPr>
        <w:tc>
          <w:tcPr>
            <w:tcW w:w="1526" w:type="dxa"/>
          </w:tcPr>
          <w:p w14:paraId="69C37E24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BCB127C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E55761" w14:paraId="3AA62558" w14:textId="77777777" w:rsidTr="00306452">
        <w:trPr>
          <w:jc w:val="center"/>
        </w:trPr>
        <w:tc>
          <w:tcPr>
            <w:tcW w:w="1526" w:type="dxa"/>
          </w:tcPr>
          <w:p w14:paraId="34FAC699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13A1A0E5" w14:textId="77777777" w:rsidR="00E53DCE" w:rsidRPr="006913B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E55761" w14:paraId="1E684F27" w14:textId="77777777" w:rsidTr="00306452">
        <w:trPr>
          <w:jc w:val="center"/>
        </w:trPr>
        <w:tc>
          <w:tcPr>
            <w:tcW w:w="9889" w:type="dxa"/>
            <w:gridSpan w:val="3"/>
          </w:tcPr>
          <w:p w14:paraId="12F364A2" w14:textId="77777777" w:rsidR="00E53DCE" w:rsidRPr="006913B2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E55761" w14:paraId="09409DA1" w14:textId="77777777" w:rsidTr="00306452">
        <w:trPr>
          <w:jc w:val="center"/>
        </w:trPr>
        <w:tc>
          <w:tcPr>
            <w:tcW w:w="9889" w:type="dxa"/>
            <w:gridSpan w:val="3"/>
          </w:tcPr>
          <w:p w14:paraId="22B15CC4" w14:textId="77777777" w:rsidR="00E53DCE" w:rsidRPr="006913B2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</w:tbl>
    <w:p w14:paraId="4AEF08BE" w14:textId="23A9FF59" w:rsidR="00D21694" w:rsidRPr="006913B2" w:rsidRDefault="006913B2" w:rsidP="00031E64">
      <w:pPr>
        <w:rPr>
          <w:rFonts w:asciiTheme="minorHAnsi" w:hAnsiTheme="minorHAnsi" w:cstheme="minorHAnsi"/>
          <w:szCs w:val="24"/>
          <w:lang w:val="es-ES"/>
        </w:rPr>
      </w:pPr>
      <w:r w:rsidRPr="00401301">
        <w:rPr>
          <w:szCs w:val="24"/>
          <w:lang w:val="es-ES"/>
        </w:rPr>
        <w:t xml:space="preserve">Tras la Conferencia Mundial de Radiocomunicaciones de 2023 se publicó la </w:t>
      </w:r>
      <w:r>
        <w:rPr>
          <w:szCs w:val="24"/>
          <w:lang w:val="es-ES"/>
        </w:rPr>
        <w:t xml:space="preserve">edición de 2025 de las Reglas de Procedimiento. </w:t>
      </w:r>
      <w:r w:rsidRPr="00401301">
        <w:rPr>
          <w:szCs w:val="24"/>
          <w:lang w:val="es-ES"/>
        </w:rPr>
        <w:t>La nueva edición comprende todas las revisiones efectuadas hasta ese momento, inclui</w:t>
      </w:r>
      <w:r>
        <w:rPr>
          <w:szCs w:val="24"/>
          <w:lang w:val="es-ES"/>
        </w:rPr>
        <w:t xml:space="preserve">das las Reglas de Procedimiento aprobadas que se mencionan en los anexos a la </w:t>
      </w:r>
      <w:hyperlink r:id="rId8" w:history="1">
        <w:r w:rsidRPr="00401301">
          <w:rPr>
            <w:rStyle w:val="Hyperlink"/>
            <w:szCs w:val="24"/>
            <w:lang w:val="es-ES"/>
          </w:rPr>
          <w:t>Ca</w:t>
        </w:r>
        <w:r>
          <w:rPr>
            <w:rStyle w:val="Hyperlink"/>
            <w:szCs w:val="24"/>
            <w:lang w:val="es-ES"/>
          </w:rPr>
          <w:t>rta C</w:t>
        </w:r>
        <w:r w:rsidRPr="00401301">
          <w:rPr>
            <w:rStyle w:val="Hyperlink"/>
            <w:szCs w:val="24"/>
            <w:lang w:val="es-ES"/>
          </w:rPr>
          <w:t>ircular CR/524</w:t>
        </w:r>
      </w:hyperlink>
      <w:r w:rsidRPr="00401301">
        <w:rPr>
          <w:szCs w:val="24"/>
          <w:lang w:val="es-ES"/>
        </w:rPr>
        <w:t xml:space="preserve"> </w:t>
      </w:r>
      <w:r>
        <w:rPr>
          <w:szCs w:val="24"/>
          <w:lang w:val="es-ES"/>
        </w:rPr>
        <w:t>de 10 de diciembre de</w:t>
      </w:r>
      <w:r w:rsidRPr="00401301">
        <w:rPr>
          <w:szCs w:val="24"/>
          <w:lang w:val="es-ES"/>
        </w:rPr>
        <w:t xml:space="preserve"> 2025.</w:t>
      </w:r>
    </w:p>
    <w:p w14:paraId="4F2F3026" w14:textId="25743FCD" w:rsidR="002A5DD7" w:rsidRPr="006913B2" w:rsidRDefault="006913B2" w:rsidP="00031E64">
      <w:pPr>
        <w:rPr>
          <w:rFonts w:asciiTheme="minorHAnsi" w:hAnsiTheme="minorHAnsi" w:cstheme="minorHAnsi"/>
          <w:szCs w:val="24"/>
          <w:lang w:val="es-ES"/>
        </w:rPr>
      </w:pPr>
      <w:r w:rsidRPr="00401301">
        <w:rPr>
          <w:szCs w:val="24"/>
          <w:lang w:val="es-ES"/>
        </w:rPr>
        <w:t xml:space="preserve">En cumplimiento de lo dispuesto en los números </w:t>
      </w:r>
      <w:r w:rsidRPr="00401301">
        <w:rPr>
          <w:b/>
          <w:bCs/>
          <w:szCs w:val="24"/>
          <w:lang w:val="es-ES"/>
        </w:rPr>
        <w:t>13.12</w:t>
      </w:r>
      <w:r w:rsidRPr="00401301">
        <w:rPr>
          <w:szCs w:val="24"/>
          <w:lang w:val="es-ES"/>
        </w:rPr>
        <w:t xml:space="preserve"> y </w:t>
      </w:r>
      <w:r w:rsidRPr="00401301">
        <w:rPr>
          <w:b/>
          <w:bCs/>
          <w:szCs w:val="24"/>
          <w:lang w:val="es-ES"/>
        </w:rPr>
        <w:t>13.14</w:t>
      </w:r>
      <w:r w:rsidRPr="00401301">
        <w:rPr>
          <w:szCs w:val="24"/>
          <w:lang w:val="es-ES"/>
        </w:rPr>
        <w:t xml:space="preserve"> del Reglamento de Radiocomunicaciones, en su 10</w:t>
      </w:r>
      <w:r w:rsidR="004C6753">
        <w:rPr>
          <w:szCs w:val="24"/>
          <w:lang w:val="es-ES"/>
        </w:rPr>
        <w:t>2</w:t>
      </w:r>
      <w:r w:rsidR="003062FB">
        <w:rPr>
          <w:szCs w:val="24"/>
          <w:lang w:val="es-ES"/>
        </w:rPr>
        <w:t>.</w:t>
      </w:r>
      <w:r w:rsidRPr="00401301">
        <w:rPr>
          <w:szCs w:val="24"/>
          <w:lang w:val="es-ES"/>
        </w:rPr>
        <w:t>ª re</w:t>
      </w:r>
      <w:r>
        <w:rPr>
          <w:szCs w:val="24"/>
          <w:lang w:val="es-ES"/>
        </w:rPr>
        <w:t>unión (2</w:t>
      </w:r>
      <w:r w:rsidR="004C6753">
        <w:rPr>
          <w:szCs w:val="24"/>
          <w:lang w:val="es-ES"/>
        </w:rPr>
        <w:t>9 de junio – 3 de julio</w:t>
      </w:r>
      <w:r>
        <w:rPr>
          <w:szCs w:val="24"/>
          <w:lang w:val="es-ES"/>
        </w:rPr>
        <w:t xml:space="preserve"> 2026) la Junta del Reglamento de Radiocomunicaciones</w:t>
      </w:r>
      <w:r w:rsidRPr="00401301">
        <w:rPr>
          <w:szCs w:val="24"/>
          <w:lang w:val="es-ES"/>
        </w:rPr>
        <w:t xml:space="preserve"> (RRB) </w:t>
      </w:r>
      <w:r>
        <w:rPr>
          <w:szCs w:val="24"/>
          <w:lang w:val="es-ES"/>
        </w:rPr>
        <w:t>aprobó cambios en las Reglas de Procedimiento (Actualización</w:t>
      </w:r>
      <w:r w:rsidR="003062FB">
        <w:rPr>
          <w:szCs w:val="24"/>
          <w:lang w:val="es-ES"/>
        </w:rPr>
        <w:t> </w:t>
      </w:r>
      <w:r w:rsidR="004C6753">
        <w:rPr>
          <w:szCs w:val="24"/>
          <w:lang w:val="es-ES"/>
        </w:rPr>
        <w:t>2</w:t>
      </w:r>
      <w:r>
        <w:rPr>
          <w:szCs w:val="24"/>
          <w:lang w:val="es-ES"/>
        </w:rPr>
        <w:t>, Edición de 2025</w:t>
      </w:r>
      <w:r w:rsidRPr="00401301">
        <w:rPr>
          <w:szCs w:val="24"/>
          <w:lang w:val="es-ES"/>
        </w:rPr>
        <w:t>).</w:t>
      </w:r>
    </w:p>
    <w:p w14:paraId="58700222" w14:textId="4A3A5654" w:rsidR="00031E64" w:rsidRDefault="001B3D4D" w:rsidP="006913B2">
      <w:pPr>
        <w:spacing w:before="1200" w:line="240" w:lineRule="auto"/>
        <w:jc w:val="left"/>
        <w:rPr>
          <w:szCs w:val="24"/>
          <w:lang w:val="es-ES"/>
        </w:rPr>
      </w:pPr>
      <w:r w:rsidRPr="006913B2">
        <w:rPr>
          <w:rFonts w:asciiTheme="minorHAnsi" w:hAnsiTheme="minorHAnsi" w:cstheme="minorHAnsi"/>
          <w:lang w:val="es-ES"/>
        </w:rPr>
        <w:t>Mario Maniewicz</w:t>
      </w:r>
      <w:r w:rsidR="00E53DCE" w:rsidRPr="0033029C">
        <w:rPr>
          <w:szCs w:val="24"/>
          <w:lang w:val="es-ES"/>
        </w:rPr>
        <w:br/>
      </w:r>
      <w:r w:rsidR="00A96D3A" w:rsidRPr="0033029C">
        <w:rPr>
          <w:szCs w:val="24"/>
          <w:lang w:val="es-ES"/>
        </w:rPr>
        <w:t>Director</w:t>
      </w:r>
    </w:p>
    <w:p w14:paraId="4C36622D" w14:textId="5BD290B6" w:rsidR="006913B2" w:rsidRPr="00401301" w:rsidRDefault="006913B2" w:rsidP="00551809">
      <w:pPr>
        <w:tabs>
          <w:tab w:val="left" w:pos="142"/>
        </w:tabs>
        <w:spacing w:before="1440"/>
        <w:rPr>
          <w:color w:val="0000FF"/>
          <w:szCs w:val="24"/>
          <w:u w:val="single"/>
          <w:lang w:val="es-ES"/>
        </w:rPr>
      </w:pPr>
      <w:r w:rsidRPr="00401301">
        <w:rPr>
          <w:b/>
          <w:bCs/>
          <w:szCs w:val="24"/>
          <w:lang w:val="es-ES"/>
        </w:rPr>
        <w:t>Anex</w:t>
      </w:r>
      <w:r>
        <w:rPr>
          <w:b/>
          <w:bCs/>
          <w:szCs w:val="24"/>
          <w:lang w:val="es-ES"/>
        </w:rPr>
        <w:t>o</w:t>
      </w:r>
      <w:r w:rsidRPr="00401301">
        <w:rPr>
          <w:b/>
          <w:bCs/>
          <w:szCs w:val="24"/>
          <w:lang w:val="es-ES"/>
        </w:rPr>
        <w:t>:</w:t>
      </w:r>
      <w:r w:rsidRPr="00401301">
        <w:rPr>
          <w:szCs w:val="24"/>
          <w:lang w:val="es-ES"/>
        </w:rPr>
        <w:t xml:space="preserve"> </w:t>
      </w:r>
      <w:hyperlink r:id="rId9" w:history="1">
        <w:r w:rsidR="004C6753">
          <w:rPr>
            <w:rStyle w:val="Hyperlink"/>
            <w:szCs w:val="24"/>
            <w:lang w:val="es-ES"/>
          </w:rPr>
          <w:t>Reglas de Procedimiento – Edición 2025– Actualización 2</w:t>
        </w:r>
      </w:hyperlink>
    </w:p>
    <w:p w14:paraId="7400366B" w14:textId="77777777" w:rsidR="006913B2" w:rsidRPr="00401301" w:rsidRDefault="006913B2" w:rsidP="00E55761">
      <w:pPr>
        <w:pStyle w:val="toc0"/>
        <w:tabs>
          <w:tab w:val="left" w:pos="794"/>
          <w:tab w:val="left" w:pos="1191"/>
          <w:tab w:val="left" w:pos="1588"/>
          <w:tab w:val="left" w:pos="1985"/>
        </w:tabs>
        <w:spacing w:before="840"/>
        <w:ind w:firstLine="142"/>
        <w:jc w:val="both"/>
        <w:rPr>
          <w:bCs/>
          <w:sz w:val="18"/>
          <w:szCs w:val="18"/>
          <w:u w:val="single"/>
          <w:lang w:val="es-ES"/>
        </w:rPr>
      </w:pPr>
      <w:r w:rsidRPr="00401301">
        <w:rPr>
          <w:bCs/>
          <w:sz w:val="18"/>
          <w:szCs w:val="18"/>
          <w:u w:val="single"/>
          <w:lang w:val="es-ES"/>
        </w:rPr>
        <w:t>Distribución:</w:t>
      </w:r>
    </w:p>
    <w:p w14:paraId="15945173" w14:textId="77777777" w:rsidR="006913B2" w:rsidRDefault="006913B2" w:rsidP="004C6753">
      <w:pPr>
        <w:pStyle w:val="enumlev1"/>
        <w:tabs>
          <w:tab w:val="clear" w:pos="794"/>
          <w:tab w:val="left" w:pos="284"/>
        </w:tabs>
        <w:spacing w:line="240" w:lineRule="auto"/>
        <w:ind w:left="0" w:firstLine="0"/>
        <w:rPr>
          <w:sz w:val="18"/>
          <w:szCs w:val="18"/>
          <w:lang w:val="es-ES"/>
        </w:rPr>
      </w:pPr>
      <w:r w:rsidRPr="00401301">
        <w:rPr>
          <w:sz w:val="18"/>
          <w:szCs w:val="18"/>
          <w:lang w:val="es-ES"/>
        </w:rPr>
        <w:t>–</w:t>
      </w:r>
      <w:r w:rsidRPr="00401301">
        <w:rPr>
          <w:sz w:val="18"/>
          <w:szCs w:val="18"/>
          <w:lang w:val="es-ES"/>
        </w:rPr>
        <w:tab/>
        <w:t>Administraciones de los Estados Miem</w:t>
      </w:r>
      <w:r>
        <w:rPr>
          <w:sz w:val="18"/>
          <w:szCs w:val="18"/>
          <w:lang w:val="es-ES"/>
        </w:rPr>
        <w:t>bros de la UIT</w:t>
      </w:r>
    </w:p>
    <w:p w14:paraId="5C0EB0E9" w14:textId="2DCFBD0C" w:rsidR="00D239B4" w:rsidRPr="0033029C" w:rsidRDefault="006913B2" w:rsidP="004C6753">
      <w:pPr>
        <w:pStyle w:val="enumlev1"/>
        <w:tabs>
          <w:tab w:val="clear" w:pos="794"/>
          <w:tab w:val="left" w:pos="284"/>
        </w:tabs>
        <w:spacing w:before="0" w:line="240" w:lineRule="auto"/>
        <w:ind w:left="0" w:firstLine="0"/>
        <w:rPr>
          <w:rFonts w:asciiTheme="minorHAnsi" w:hAnsiTheme="minorHAnsi" w:cstheme="minorHAnsi"/>
          <w:szCs w:val="24"/>
          <w:lang w:val="es-ES"/>
        </w:rPr>
      </w:pPr>
      <w:r w:rsidRPr="00401301">
        <w:rPr>
          <w:sz w:val="18"/>
          <w:szCs w:val="18"/>
          <w:lang w:val="es-ES"/>
        </w:rPr>
        <w:t>–</w:t>
      </w:r>
      <w:r w:rsidRPr="00401301">
        <w:rPr>
          <w:sz w:val="18"/>
          <w:szCs w:val="18"/>
          <w:lang w:val="es-ES"/>
        </w:rPr>
        <w:tab/>
        <w:t xml:space="preserve">Miembros de la Junta del Reglamento </w:t>
      </w:r>
      <w:r>
        <w:rPr>
          <w:sz w:val="18"/>
          <w:szCs w:val="18"/>
          <w:lang w:val="es-ES"/>
        </w:rPr>
        <w:t>de Radiocomunicaciones</w:t>
      </w:r>
    </w:p>
    <w:sectPr w:rsidR="00D239B4" w:rsidRPr="0033029C" w:rsidSect="00D316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81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1FFEC" w14:textId="77777777" w:rsidR="004F557E" w:rsidRDefault="004F557E">
      <w:r>
        <w:separator/>
      </w:r>
    </w:p>
  </w:endnote>
  <w:endnote w:type="continuationSeparator" w:id="0">
    <w:p w14:paraId="0F3D0D34" w14:textId="77777777" w:rsidR="004F557E" w:rsidRDefault="004F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A92C2" w14:textId="77777777" w:rsidR="00925F2E" w:rsidRDefault="00925F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3AD46" w14:textId="77777777" w:rsidR="00925F2E" w:rsidRDefault="00925F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ABDD5" w14:textId="5D98D5C9" w:rsidR="005370F0" w:rsidRPr="00925F2E" w:rsidRDefault="00925F2E" w:rsidP="00925F2E">
    <w:pPr>
      <w:pStyle w:val="Footer"/>
      <w:spacing w:line="240" w:lineRule="auto"/>
      <w:jc w:val="center"/>
      <w:rPr>
        <w:lang w:val="es-ES"/>
      </w:rPr>
    </w:pPr>
    <w:r>
      <w:rPr>
        <w:color w:val="4F81BD" w:themeColor="accent1"/>
        <w:sz w:val="19"/>
        <w:szCs w:val="19"/>
        <w:lang w:val="es-ES"/>
      </w:rPr>
      <w:t>U</w:t>
    </w:r>
    <w:r w:rsidRPr="00925F2E">
      <w:rPr>
        <w:color w:val="4F81BD" w:themeColor="accent1"/>
        <w:sz w:val="19"/>
        <w:szCs w:val="19"/>
        <w:lang w:val="es-ES"/>
      </w:rPr>
      <w:t>nión Internacional de Telecomunicaciones • Place des Nations, CH-1211 Ginebra 20, Suiza</w:t>
    </w:r>
    <w:r>
      <w:rPr>
        <w:color w:val="4F81BD" w:themeColor="accent1"/>
        <w:sz w:val="19"/>
        <w:szCs w:val="19"/>
        <w:lang w:val="es-ES"/>
      </w:rPr>
      <w:br/>
    </w:r>
    <w:r w:rsidRPr="00925F2E">
      <w:rPr>
        <w:color w:val="4F81BD" w:themeColor="accent1"/>
        <w:sz w:val="19"/>
        <w:szCs w:val="19"/>
        <w:lang w:val="es-ES"/>
      </w:rPr>
      <w:t xml:space="preserve">Tel.: +41 22 730 5111 • Correo-e: </w:t>
    </w:r>
    <w:hyperlink r:id="rId1" w:history="1">
      <w:r w:rsidRPr="001F2E41">
        <w:rPr>
          <w:rStyle w:val="Hyperlink"/>
          <w:sz w:val="19"/>
          <w:szCs w:val="19"/>
          <w:lang w:val="es-ES"/>
        </w:rPr>
        <w:t>brmail@itu.int</w:t>
      </w:r>
    </w:hyperlink>
    <w:r>
      <w:rPr>
        <w:color w:val="4F81BD" w:themeColor="accent1"/>
        <w:sz w:val="19"/>
        <w:szCs w:val="19"/>
        <w:lang w:val="es-ES"/>
      </w:rPr>
      <w:t xml:space="preserve"> </w:t>
    </w:r>
    <w:r w:rsidRPr="00925F2E">
      <w:rPr>
        <w:color w:val="4F81BD" w:themeColor="accent1"/>
        <w:sz w:val="19"/>
        <w:szCs w:val="19"/>
        <w:lang w:val="es-ES"/>
      </w:rPr>
      <w:t xml:space="preserve">• Fax: +41 22 733 7256 • </w:t>
    </w:r>
    <w:hyperlink r:id="rId2" w:history="1">
      <w:r w:rsidRPr="001F2E41">
        <w:rPr>
          <w:rStyle w:val="Hyperlink"/>
          <w:sz w:val="19"/>
          <w:szCs w:val="19"/>
          <w:lang w:val="es-ES"/>
        </w:rPr>
        <w:t>www.itu.int</w:t>
      </w:r>
    </w:hyperlink>
    <w:r>
      <w:rPr>
        <w:color w:val="4F81BD" w:themeColor="accent1"/>
        <w:sz w:val="19"/>
        <w:szCs w:val="19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FA6E1" w14:textId="77777777" w:rsidR="004F557E" w:rsidRDefault="004F557E">
      <w:r>
        <w:t>____________________</w:t>
      </w:r>
    </w:p>
  </w:footnote>
  <w:footnote w:type="continuationSeparator" w:id="0">
    <w:p w14:paraId="3BDDBCF3" w14:textId="77777777" w:rsidR="004F557E" w:rsidRDefault="004F5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7D28E" w14:textId="77777777" w:rsidR="00E915AF" w:rsidRPr="00D239B4" w:rsidRDefault="001B42C9" w:rsidP="00D316C8">
    <w:pPr>
      <w:pStyle w:val="Header"/>
      <w:jc w:val="center"/>
      <w:rPr>
        <w:sz w:val="18"/>
        <w:szCs w:val="16"/>
      </w:rPr>
    </w:pPr>
    <w:r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9EC4B" w14:textId="77777777" w:rsidR="00D316C8" w:rsidRPr="00D239B4" w:rsidRDefault="00D316C8" w:rsidP="00D316C8">
    <w:pPr>
      <w:pStyle w:val="Header"/>
      <w:jc w:val="center"/>
      <w:rPr>
        <w:sz w:val="18"/>
        <w:szCs w:val="16"/>
      </w:rPr>
    </w:pP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86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2"/>
    </w:tblGrid>
    <w:tr w:rsidR="002A3F03" w14:paraId="2D1C636A" w14:textId="77777777" w:rsidTr="002A3F03">
      <w:tc>
        <w:tcPr>
          <w:tcW w:w="9862" w:type="dxa"/>
          <w:tcMar>
            <w:left w:w="0" w:type="dxa"/>
          </w:tcMar>
        </w:tcPr>
        <w:p w14:paraId="581808F4" w14:textId="2762F1EB" w:rsidR="002A3F03" w:rsidRDefault="002A3F03" w:rsidP="006913B2">
          <w:pPr>
            <w:pStyle w:val="FirstFooter"/>
            <w:spacing w:line="240" w:lineRule="auto"/>
            <w:ind w:left="8079" w:right="-397" w:hanging="8079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1" locked="0" layoutInCell="1" allowOverlap="1" wp14:anchorId="79608868" wp14:editId="600FD5A4">
                <wp:simplePos x="0" y="0"/>
                <wp:positionH relativeFrom="column">
                  <wp:posOffset>179514</wp:posOffset>
                </wp:positionH>
                <wp:positionV relativeFrom="paragraph">
                  <wp:posOffset>207</wp:posOffset>
                </wp:positionV>
                <wp:extent cx="765175" cy="765175"/>
                <wp:effectExtent l="0" t="0" r="0" b="0"/>
                <wp:wrapTight wrapText="bothSides">
                  <wp:wrapPolygon edited="0">
                    <wp:start x="2689" y="538"/>
                    <wp:lineTo x="1076" y="12368"/>
                    <wp:lineTo x="4302" y="18822"/>
                    <wp:lineTo x="6991" y="20435"/>
                    <wp:lineTo x="19897" y="20435"/>
                    <wp:lineTo x="20435" y="6991"/>
                    <wp:lineTo x="13982" y="3227"/>
                    <wp:lineTo x="5378" y="538"/>
                    <wp:lineTo x="2689" y="538"/>
                  </wp:wrapPolygon>
                </wp:wrapTight>
                <wp:docPr id="1350946514" name="Picture 1350946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TU official logo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175" cy="76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913B2">
            <w:tab/>
          </w:r>
          <w:r w:rsidR="006913B2" w:rsidRPr="00FE6874">
            <w:rPr>
              <w:noProof/>
            </w:rPr>
            <w:drawing>
              <wp:inline distT="0" distB="0" distL="0" distR="0" wp14:anchorId="19E788EF" wp14:editId="62B692DC">
                <wp:extent cx="746106" cy="788015"/>
                <wp:effectExtent l="0" t="0" r="0" b="0"/>
                <wp:docPr id="189476964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859" cy="81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1EAD21" w14:textId="77777777" w:rsidR="00E915AF" w:rsidRPr="001B3D4D" w:rsidRDefault="00E915AF" w:rsidP="001B3D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486E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32DD2"/>
    <w:rsid w:val="00134404"/>
    <w:rsid w:val="00144DFB"/>
    <w:rsid w:val="00151A35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4045"/>
    <w:rsid w:val="002302B3"/>
    <w:rsid w:val="00230C66"/>
    <w:rsid w:val="00235A29"/>
    <w:rsid w:val="00241526"/>
    <w:rsid w:val="002443A2"/>
    <w:rsid w:val="00257BE7"/>
    <w:rsid w:val="00266E74"/>
    <w:rsid w:val="00283C3B"/>
    <w:rsid w:val="002861E6"/>
    <w:rsid w:val="00287D18"/>
    <w:rsid w:val="002A2618"/>
    <w:rsid w:val="002A3F03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2FB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2BDA"/>
    <w:rsid w:val="003B370E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6753"/>
    <w:rsid w:val="004C6779"/>
    <w:rsid w:val="004C7F7C"/>
    <w:rsid w:val="004D733B"/>
    <w:rsid w:val="004E0DC4"/>
    <w:rsid w:val="004E0FB5"/>
    <w:rsid w:val="004E43BB"/>
    <w:rsid w:val="004E460D"/>
    <w:rsid w:val="004F178E"/>
    <w:rsid w:val="004F4543"/>
    <w:rsid w:val="004F557E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51809"/>
    <w:rsid w:val="00553364"/>
    <w:rsid w:val="00553DD7"/>
    <w:rsid w:val="005638CF"/>
    <w:rsid w:val="0056741E"/>
    <w:rsid w:val="0057325A"/>
    <w:rsid w:val="0057469A"/>
    <w:rsid w:val="00580814"/>
    <w:rsid w:val="005817E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37955"/>
    <w:rsid w:val="0064371D"/>
    <w:rsid w:val="00650543"/>
    <w:rsid w:val="00650B2A"/>
    <w:rsid w:val="00651777"/>
    <w:rsid w:val="006550F8"/>
    <w:rsid w:val="006829F3"/>
    <w:rsid w:val="006913B2"/>
    <w:rsid w:val="006A087E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0B3A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2526C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5F2E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D6F"/>
    <w:rsid w:val="00A41F91"/>
    <w:rsid w:val="00A42464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1649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16C8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3F7F"/>
    <w:rsid w:val="00E35E8F"/>
    <w:rsid w:val="00E428AB"/>
    <w:rsid w:val="00E438E8"/>
    <w:rsid w:val="00E453A3"/>
    <w:rsid w:val="00E520E2"/>
    <w:rsid w:val="00E530C4"/>
    <w:rsid w:val="00E53DCE"/>
    <w:rsid w:val="00E55761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247AA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3A3"/>
    <w:rsid w:val="00FB7A2C"/>
    <w:rsid w:val="00FC2947"/>
    <w:rsid w:val="00FE0818"/>
    <w:rsid w:val="00FE37E7"/>
    <w:rsid w:val="00FE4822"/>
    <w:rsid w:val="00FE6FB1"/>
    <w:rsid w:val="00FF33EF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EA7AE3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7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character" w:customStyle="1" w:styleId="enumlev1Char">
    <w:name w:val="enumlev1 Char"/>
    <w:basedOn w:val="DefaultParagraphFont"/>
    <w:link w:val="enumlev1"/>
    <w:rsid w:val="006913B2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PS_BR Circulars</vt:lpstr>
      <vt:lpstr>ITU-T Rec. Book 1 Resolutions ITU-T Series A Recommendations:</vt:lpstr>
    </vt:vector>
  </TitlesOfParts>
  <Company>ITU</Company>
  <LinksUpToDate>false</LinksUpToDate>
  <CharactersWithSpaces>1198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PS_BR Circulars</dc:title>
  <dc:creator>Spanish</dc:creator>
  <cp:lastModifiedBy>Panoussopoulos, Sonia</cp:lastModifiedBy>
  <cp:revision>5</cp:revision>
  <cp:lastPrinted>2013-03-08T10:15:00Z</cp:lastPrinted>
  <dcterms:created xsi:type="dcterms:W3CDTF">2026-07-03T14:34:00Z</dcterms:created>
  <dcterms:modified xsi:type="dcterms:W3CDTF">2026-07-13T14:54:00Z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