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09661A8" w14:textId="77777777" w:rsidTr="00306452">
        <w:trPr>
          <w:jc w:val="center"/>
        </w:trPr>
        <w:tc>
          <w:tcPr>
            <w:tcW w:w="9889" w:type="dxa"/>
            <w:gridSpan w:val="3"/>
          </w:tcPr>
          <w:p w14:paraId="2D436DE4"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0EDB8E3C" w14:textId="77777777" w:rsidR="00E53DCE" w:rsidRDefault="00E53DCE" w:rsidP="006160CB">
            <w:pPr>
              <w:spacing w:before="0"/>
              <w:jc w:val="left"/>
              <w:rPr>
                <w:rFonts w:cstheme="minorHAnsi"/>
                <w:b/>
                <w:bCs/>
                <w:color w:val="808080"/>
                <w:sz w:val="28"/>
                <w:szCs w:val="28"/>
                <w:lang w:val="en-GB"/>
              </w:rPr>
            </w:pPr>
          </w:p>
          <w:p w14:paraId="17EC5570"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3284BE21" w14:textId="77777777" w:rsidTr="00306452">
        <w:trPr>
          <w:jc w:val="center"/>
        </w:trPr>
        <w:tc>
          <w:tcPr>
            <w:tcW w:w="7054" w:type="dxa"/>
            <w:gridSpan w:val="2"/>
          </w:tcPr>
          <w:p w14:paraId="042D5E2D" w14:textId="006FC286" w:rsidR="00E53DCE" w:rsidRPr="001B3D4D" w:rsidRDefault="001B3D4D" w:rsidP="006160CB">
            <w:pPr>
              <w:spacing w:before="0"/>
              <w:jc w:val="left"/>
              <w:rPr>
                <w:szCs w:val="24"/>
                <w:lang w:val="es-ES"/>
              </w:rPr>
            </w:pPr>
            <w:r w:rsidRPr="0075124D">
              <w:rPr>
                <w:lang w:val="es-ES_tradnl"/>
              </w:rPr>
              <w:t>Carta Circular</w:t>
            </w:r>
          </w:p>
          <w:p w14:paraId="5B82864A" w14:textId="69F02BC1" w:rsidR="00E53DCE" w:rsidRPr="001B3D4D" w:rsidRDefault="001B3D4D" w:rsidP="006160CB">
            <w:pPr>
              <w:spacing w:before="0"/>
              <w:jc w:val="left"/>
              <w:rPr>
                <w:b/>
                <w:bCs/>
                <w:szCs w:val="24"/>
                <w:lang w:val="es-ES"/>
              </w:rPr>
            </w:pPr>
            <w:r w:rsidRPr="001B3D4D">
              <w:rPr>
                <w:b/>
                <w:bCs/>
                <w:szCs w:val="24"/>
                <w:lang w:val="es-ES"/>
              </w:rPr>
              <w:t>CR</w:t>
            </w:r>
            <w:r w:rsidR="00EF333D">
              <w:rPr>
                <w:b/>
                <w:bCs/>
                <w:szCs w:val="24"/>
                <w:lang w:val="es-ES"/>
              </w:rPr>
              <w:t>/529</w:t>
            </w:r>
          </w:p>
        </w:tc>
        <w:tc>
          <w:tcPr>
            <w:tcW w:w="2835" w:type="dxa"/>
          </w:tcPr>
          <w:p w14:paraId="3966A996" w14:textId="307974CF" w:rsidR="00E53DCE" w:rsidRPr="002B7EE0" w:rsidRDefault="00031B9B" w:rsidP="006160CB">
            <w:pPr>
              <w:spacing w:before="0"/>
              <w:jc w:val="right"/>
              <w:rPr>
                <w:szCs w:val="24"/>
                <w:lang w:val="fr-FR"/>
              </w:rPr>
            </w:pPr>
            <w:r>
              <w:rPr>
                <w:bCs/>
                <w:szCs w:val="24"/>
                <w:lang w:val="fr-FR"/>
              </w:rPr>
              <w:t>1</w:t>
            </w:r>
            <w:r w:rsidR="00267DEE">
              <w:rPr>
                <w:bCs/>
                <w:szCs w:val="24"/>
                <w:lang w:val="fr-FR"/>
              </w:rPr>
              <w:t>7</w:t>
            </w:r>
            <w:r w:rsidR="00A96D3A" w:rsidRPr="002B7EE0">
              <w:rPr>
                <w:bCs/>
                <w:szCs w:val="24"/>
                <w:lang w:val="fr-FR"/>
              </w:rPr>
              <w:t xml:space="preserve"> de </w:t>
            </w:r>
            <w:proofErr w:type="spellStart"/>
            <w:r w:rsidR="00EF333D">
              <w:rPr>
                <w:bCs/>
                <w:szCs w:val="24"/>
                <w:lang w:val="fr-FR"/>
              </w:rPr>
              <w:t>marzo</w:t>
            </w:r>
            <w:proofErr w:type="spellEnd"/>
            <w:r w:rsidR="00A96D3A" w:rsidRPr="002B7EE0">
              <w:rPr>
                <w:bCs/>
                <w:szCs w:val="24"/>
                <w:lang w:val="fr-FR"/>
              </w:rPr>
              <w:t xml:space="preserve"> de 20</w:t>
            </w:r>
            <w:r w:rsidR="002B7EE0" w:rsidRPr="002B7EE0">
              <w:rPr>
                <w:bCs/>
                <w:szCs w:val="24"/>
                <w:lang w:val="fr-FR"/>
              </w:rPr>
              <w:t>2</w:t>
            </w:r>
            <w:r w:rsidR="00EF333D">
              <w:rPr>
                <w:bCs/>
                <w:szCs w:val="24"/>
                <w:lang w:val="fr-FR"/>
              </w:rPr>
              <w:t>6</w:t>
            </w:r>
          </w:p>
        </w:tc>
      </w:tr>
      <w:tr w:rsidR="00E53DCE" w:rsidRPr="0033029C" w14:paraId="7DE34A9C" w14:textId="77777777" w:rsidTr="00306452">
        <w:trPr>
          <w:jc w:val="center"/>
        </w:trPr>
        <w:tc>
          <w:tcPr>
            <w:tcW w:w="9889" w:type="dxa"/>
            <w:gridSpan w:val="3"/>
          </w:tcPr>
          <w:p w14:paraId="297EBB47" w14:textId="77777777" w:rsidR="00E53DCE" w:rsidRPr="0033029C" w:rsidRDefault="00E53DCE" w:rsidP="006160CB">
            <w:pPr>
              <w:spacing w:before="0"/>
              <w:jc w:val="left"/>
              <w:rPr>
                <w:rFonts w:cs="Arial"/>
                <w:szCs w:val="24"/>
                <w:lang w:val="en-GB"/>
              </w:rPr>
            </w:pPr>
          </w:p>
        </w:tc>
      </w:tr>
      <w:tr w:rsidR="00E53DCE" w:rsidRPr="0033029C" w14:paraId="3A96A7B5" w14:textId="77777777" w:rsidTr="00306452">
        <w:trPr>
          <w:jc w:val="center"/>
        </w:trPr>
        <w:tc>
          <w:tcPr>
            <w:tcW w:w="9889" w:type="dxa"/>
            <w:gridSpan w:val="3"/>
          </w:tcPr>
          <w:p w14:paraId="13B24F3E" w14:textId="77777777" w:rsidR="00E53DCE" w:rsidRPr="0033029C" w:rsidRDefault="00E53DCE" w:rsidP="006160CB">
            <w:pPr>
              <w:spacing w:before="0"/>
              <w:jc w:val="left"/>
              <w:rPr>
                <w:szCs w:val="24"/>
              </w:rPr>
            </w:pPr>
          </w:p>
        </w:tc>
      </w:tr>
      <w:tr w:rsidR="00E53DCE" w:rsidRPr="00015B22" w14:paraId="7F6FD774" w14:textId="77777777" w:rsidTr="00306452">
        <w:trPr>
          <w:jc w:val="center"/>
        </w:trPr>
        <w:tc>
          <w:tcPr>
            <w:tcW w:w="9889" w:type="dxa"/>
            <w:gridSpan w:val="3"/>
          </w:tcPr>
          <w:p w14:paraId="40ACAEB5" w14:textId="77777777" w:rsidR="00E53DCE" w:rsidRPr="0033029C" w:rsidRDefault="00FE4822" w:rsidP="006160CB">
            <w:pPr>
              <w:spacing w:before="0"/>
              <w:jc w:val="left"/>
              <w:rPr>
                <w:b/>
                <w:bCs/>
                <w:szCs w:val="24"/>
                <w:lang w:val="es-ES"/>
              </w:rPr>
            </w:pPr>
            <w:r w:rsidRPr="0033029C">
              <w:rPr>
                <w:b/>
                <w:szCs w:val="24"/>
                <w:lang w:val="es-ES"/>
              </w:rPr>
              <w:t>A las Administraciones de los Estados Miembros de la UIT</w:t>
            </w:r>
          </w:p>
          <w:p w14:paraId="3BB73B6F" w14:textId="77777777" w:rsidR="00E53DCE" w:rsidRPr="0033029C" w:rsidRDefault="00E53DCE" w:rsidP="006160CB">
            <w:pPr>
              <w:spacing w:before="0"/>
              <w:jc w:val="left"/>
              <w:rPr>
                <w:b/>
                <w:bCs/>
                <w:szCs w:val="24"/>
                <w:lang w:val="es-ES"/>
              </w:rPr>
            </w:pPr>
          </w:p>
        </w:tc>
      </w:tr>
      <w:tr w:rsidR="00E53DCE" w:rsidRPr="00015B22" w14:paraId="015169AF" w14:textId="77777777" w:rsidTr="00306452">
        <w:trPr>
          <w:jc w:val="center"/>
        </w:trPr>
        <w:tc>
          <w:tcPr>
            <w:tcW w:w="9889" w:type="dxa"/>
            <w:gridSpan w:val="3"/>
          </w:tcPr>
          <w:p w14:paraId="00A97DF2" w14:textId="77777777" w:rsidR="00E53DCE" w:rsidRPr="0033029C" w:rsidRDefault="00E53DCE" w:rsidP="006160CB">
            <w:pPr>
              <w:spacing w:before="0"/>
              <w:jc w:val="left"/>
              <w:rPr>
                <w:szCs w:val="24"/>
                <w:lang w:val="es-ES"/>
              </w:rPr>
            </w:pPr>
          </w:p>
        </w:tc>
      </w:tr>
      <w:tr w:rsidR="00E53DCE" w:rsidRPr="00015B22" w14:paraId="3B9A6555" w14:textId="77777777" w:rsidTr="00306452">
        <w:trPr>
          <w:jc w:val="center"/>
        </w:trPr>
        <w:tc>
          <w:tcPr>
            <w:tcW w:w="9889" w:type="dxa"/>
            <w:gridSpan w:val="3"/>
          </w:tcPr>
          <w:p w14:paraId="2B501DF7" w14:textId="77777777" w:rsidR="00E53DCE" w:rsidRPr="0033029C" w:rsidRDefault="00E53DCE" w:rsidP="006160CB">
            <w:pPr>
              <w:spacing w:before="0"/>
              <w:jc w:val="left"/>
              <w:rPr>
                <w:szCs w:val="24"/>
                <w:lang w:val="es-ES"/>
              </w:rPr>
            </w:pPr>
          </w:p>
        </w:tc>
      </w:tr>
      <w:tr w:rsidR="00E53DCE" w:rsidRPr="00015B22" w14:paraId="4DCE949B" w14:textId="77777777" w:rsidTr="00306452">
        <w:trPr>
          <w:jc w:val="center"/>
        </w:trPr>
        <w:tc>
          <w:tcPr>
            <w:tcW w:w="1526" w:type="dxa"/>
          </w:tcPr>
          <w:p w14:paraId="2D2E3BD8" w14:textId="77777777"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tcPr>
          <w:p w14:paraId="5B946A6D" w14:textId="77777777" w:rsidR="00EF333D" w:rsidRPr="00FA194F" w:rsidRDefault="00EF333D" w:rsidP="00EF333D">
            <w:pPr>
              <w:tabs>
                <w:tab w:val="clear" w:pos="1588"/>
                <w:tab w:val="left" w:pos="1560"/>
              </w:tabs>
              <w:spacing w:before="0"/>
              <w:rPr>
                <w:b/>
                <w:bCs/>
                <w:szCs w:val="24"/>
                <w:lang w:val="es-ES_tradnl"/>
              </w:rPr>
            </w:pPr>
            <w:r w:rsidRPr="00FA194F">
              <w:rPr>
                <w:b/>
                <w:bCs/>
                <w:szCs w:val="24"/>
                <w:lang w:val="es-ES_tradnl"/>
              </w:rPr>
              <w:t>Artículos 19 y 25 del Reglamento de Radiocomunicaciones (RR),</w:t>
            </w:r>
          </w:p>
          <w:p w14:paraId="61BA940D" w14:textId="67C3CC69" w:rsidR="00E53DCE" w:rsidRPr="00EF333D" w:rsidRDefault="00EF333D" w:rsidP="0013293F">
            <w:pPr>
              <w:tabs>
                <w:tab w:val="clear" w:pos="1588"/>
                <w:tab w:val="left" w:pos="1560"/>
              </w:tabs>
              <w:spacing w:before="0"/>
              <w:rPr>
                <w:b/>
                <w:bCs/>
                <w:szCs w:val="24"/>
                <w:lang w:val="es-ES"/>
              </w:rPr>
            </w:pPr>
            <w:r w:rsidRPr="00FA194F">
              <w:rPr>
                <w:b/>
                <w:bCs/>
                <w:szCs w:val="24"/>
                <w:lang w:val="es-ES_tradnl"/>
              </w:rPr>
              <w:t>servicio de aficionados y servicio de aficionados por satélite</w:t>
            </w:r>
          </w:p>
        </w:tc>
      </w:tr>
      <w:tr w:rsidR="00E53DCE" w:rsidRPr="00015B22" w14:paraId="54EF795C" w14:textId="77777777" w:rsidTr="00306452">
        <w:trPr>
          <w:jc w:val="center"/>
        </w:trPr>
        <w:tc>
          <w:tcPr>
            <w:tcW w:w="1526" w:type="dxa"/>
          </w:tcPr>
          <w:p w14:paraId="0927EF01" w14:textId="77777777" w:rsidR="00E53DCE" w:rsidRPr="00EF333D" w:rsidRDefault="00E53DCE" w:rsidP="006160CB">
            <w:pPr>
              <w:tabs>
                <w:tab w:val="clear" w:pos="1588"/>
                <w:tab w:val="left" w:pos="1560"/>
              </w:tabs>
              <w:spacing w:before="0"/>
              <w:jc w:val="left"/>
              <w:rPr>
                <w:b/>
                <w:bCs/>
                <w:szCs w:val="24"/>
                <w:lang w:val="es-ES"/>
              </w:rPr>
            </w:pPr>
          </w:p>
        </w:tc>
        <w:tc>
          <w:tcPr>
            <w:tcW w:w="8363" w:type="dxa"/>
            <w:gridSpan w:val="2"/>
            <w:vMerge/>
          </w:tcPr>
          <w:p w14:paraId="5C08B408" w14:textId="77777777" w:rsidR="00E53DCE" w:rsidRPr="00EF333D" w:rsidRDefault="00E53DCE" w:rsidP="006160CB">
            <w:pPr>
              <w:tabs>
                <w:tab w:val="clear" w:pos="1588"/>
                <w:tab w:val="left" w:pos="1560"/>
              </w:tabs>
              <w:spacing w:before="0"/>
              <w:rPr>
                <w:b/>
                <w:bCs/>
                <w:szCs w:val="24"/>
                <w:lang w:val="es-ES"/>
              </w:rPr>
            </w:pPr>
          </w:p>
        </w:tc>
      </w:tr>
      <w:tr w:rsidR="00E53DCE" w:rsidRPr="00015B22" w14:paraId="6BA4AEA6" w14:textId="77777777" w:rsidTr="00306452">
        <w:trPr>
          <w:jc w:val="center"/>
        </w:trPr>
        <w:tc>
          <w:tcPr>
            <w:tcW w:w="1526" w:type="dxa"/>
          </w:tcPr>
          <w:p w14:paraId="020FB231" w14:textId="77777777" w:rsidR="00E53DCE" w:rsidRPr="00EF333D" w:rsidRDefault="00E53DCE" w:rsidP="006160CB">
            <w:pPr>
              <w:tabs>
                <w:tab w:val="clear" w:pos="1588"/>
                <w:tab w:val="left" w:pos="1560"/>
              </w:tabs>
              <w:spacing w:before="0"/>
              <w:jc w:val="left"/>
              <w:rPr>
                <w:b/>
                <w:bCs/>
                <w:szCs w:val="24"/>
                <w:lang w:val="es-ES"/>
              </w:rPr>
            </w:pPr>
          </w:p>
        </w:tc>
        <w:tc>
          <w:tcPr>
            <w:tcW w:w="8363" w:type="dxa"/>
            <w:gridSpan w:val="2"/>
            <w:vMerge/>
          </w:tcPr>
          <w:p w14:paraId="2F33A744" w14:textId="77777777" w:rsidR="00E53DCE" w:rsidRPr="00EF333D" w:rsidRDefault="00E53DCE" w:rsidP="006160CB">
            <w:pPr>
              <w:tabs>
                <w:tab w:val="clear" w:pos="1588"/>
                <w:tab w:val="left" w:pos="1560"/>
              </w:tabs>
              <w:spacing w:before="0"/>
              <w:rPr>
                <w:b/>
                <w:bCs/>
                <w:szCs w:val="24"/>
                <w:lang w:val="es-ES"/>
              </w:rPr>
            </w:pPr>
          </w:p>
        </w:tc>
      </w:tr>
      <w:tr w:rsidR="00E53DCE" w:rsidRPr="00015B22" w14:paraId="46B4A45F" w14:textId="77777777" w:rsidTr="00306452">
        <w:trPr>
          <w:jc w:val="center"/>
        </w:trPr>
        <w:tc>
          <w:tcPr>
            <w:tcW w:w="9889" w:type="dxa"/>
            <w:gridSpan w:val="3"/>
          </w:tcPr>
          <w:p w14:paraId="52D168F7" w14:textId="77777777" w:rsidR="00E53DCE" w:rsidRPr="00EF333D" w:rsidRDefault="00E53DCE" w:rsidP="006160CB">
            <w:pPr>
              <w:spacing w:before="0"/>
              <w:jc w:val="left"/>
              <w:rPr>
                <w:b/>
                <w:bCs/>
                <w:szCs w:val="24"/>
                <w:lang w:val="es-ES"/>
              </w:rPr>
            </w:pPr>
          </w:p>
        </w:tc>
      </w:tr>
    </w:tbl>
    <w:p w14:paraId="59AECC4F" w14:textId="2BD8640D" w:rsidR="00D21694" w:rsidRPr="00EF333D" w:rsidRDefault="00EF333D" w:rsidP="0013293F">
      <w:pPr>
        <w:spacing w:before="0"/>
        <w:rPr>
          <w:rFonts w:asciiTheme="minorHAnsi" w:hAnsiTheme="minorHAnsi" w:cstheme="minorHAnsi"/>
          <w:szCs w:val="24"/>
          <w:lang w:val="es-ES"/>
        </w:rPr>
      </w:pPr>
      <w:r w:rsidRPr="00FA194F">
        <w:rPr>
          <w:lang w:val="es-ES_tradnl"/>
        </w:rPr>
        <w:t>En el número 25.1 del Reglamento de Radiocomunicaciones (RR) se estipula que se permitirán las radiocomunicaciones entre estaciones de aficionado de países distintos, a menos que la administración de cualquiera de los países interesados notifique su oposición.</w:t>
      </w:r>
    </w:p>
    <w:p w14:paraId="21E0C7E5" w14:textId="3B1E6C07" w:rsidR="002A5DD7" w:rsidRPr="00EF333D" w:rsidRDefault="00EF333D" w:rsidP="00031E64">
      <w:pPr>
        <w:rPr>
          <w:rFonts w:asciiTheme="minorHAnsi" w:hAnsiTheme="minorHAnsi" w:cstheme="minorHAnsi"/>
          <w:szCs w:val="24"/>
          <w:lang w:val="es-ES"/>
        </w:rPr>
      </w:pPr>
      <w:r w:rsidRPr="00FA194F">
        <w:rPr>
          <w:lang w:val="es-ES_tradnl"/>
        </w:rPr>
        <w:t>A fin de informar a las administraciones sobre el estado de aplicación de esta disposición por los diversos Estados Miembros, la Oficina de Radiocomunicaciones publica un Anexo al Boletín de Explotación de la UIT en el que se resume la situación actual. Están en curso los preparativos para publicar el mencionado Anexo al Boletín de Explotación de la UIT de 202</w:t>
      </w:r>
      <w:r>
        <w:rPr>
          <w:lang w:val="es-ES_tradnl"/>
        </w:rPr>
        <w:t>6</w:t>
      </w:r>
      <w:r w:rsidRPr="00FA194F">
        <w:rPr>
          <w:lang w:val="es-ES_tradnl"/>
        </w:rPr>
        <w:t>.</w:t>
      </w:r>
    </w:p>
    <w:p w14:paraId="476163D3" w14:textId="25EF7F88" w:rsidR="00FE4822" w:rsidRPr="00EF333D" w:rsidRDefault="00EF333D" w:rsidP="00031E64">
      <w:pPr>
        <w:rPr>
          <w:rFonts w:asciiTheme="minorHAnsi" w:hAnsiTheme="minorHAnsi" w:cstheme="minorHAnsi"/>
          <w:szCs w:val="24"/>
          <w:lang w:val="es-ES"/>
        </w:rPr>
      </w:pPr>
      <w:r w:rsidRPr="00FA194F">
        <w:rPr>
          <w:lang w:val="es-ES_tradnl"/>
        </w:rPr>
        <w:t xml:space="preserve">Le agradecería que notificara a la BR si su Administración se opone a las radiocomunicaciones entre estaciones de aficionado de otros países y estaciones de su país y, en dado caso, los países de que se trata. La Oficina recibirá las respuestas enviadas a esta consulta hasta el </w:t>
      </w:r>
      <w:r>
        <w:rPr>
          <w:b/>
          <w:bCs/>
          <w:lang w:val="es-ES_tradnl"/>
        </w:rPr>
        <w:t>8 de junio de 2026</w:t>
      </w:r>
      <w:r w:rsidRPr="00FA194F">
        <w:rPr>
          <w:lang w:val="es-ES_tradnl"/>
        </w:rPr>
        <w:t>. De no haberse recibido respuesta en la fecha indicada, se partirá del supuesto que su Administración no se opone a esas transmisiones.</w:t>
      </w:r>
    </w:p>
    <w:p w14:paraId="7E3F6200" w14:textId="09D1C8F5" w:rsidR="00FE4822" w:rsidRPr="00EF333D" w:rsidRDefault="00EF333D" w:rsidP="00031E64">
      <w:pPr>
        <w:rPr>
          <w:rFonts w:asciiTheme="minorHAnsi" w:hAnsiTheme="minorHAnsi" w:cstheme="minorHAnsi"/>
          <w:szCs w:val="24"/>
          <w:lang w:val="es-ES"/>
        </w:rPr>
      </w:pPr>
      <w:r w:rsidRPr="00FA194F">
        <w:rPr>
          <w:lang w:val="es-ES_tradnl"/>
        </w:rPr>
        <w:t xml:space="preserve">En el mismo Anexo, la Oficina publicará información relativa a la forma de los distintivos de llamada asignados por las administraciones, con arreglo a las disposiciones 19.68, 19.68A y 19.69 del RR, a las estaciones de aficionado y estaciones experimentales. Deberá también comunicarse esa información a la BR antes del </w:t>
      </w:r>
      <w:r>
        <w:rPr>
          <w:b/>
          <w:bCs/>
          <w:lang w:val="es-ES_tradnl"/>
        </w:rPr>
        <w:t>8</w:t>
      </w:r>
      <w:r w:rsidRPr="00FA194F">
        <w:rPr>
          <w:b/>
          <w:bCs/>
          <w:lang w:val="es-ES_tradnl"/>
        </w:rPr>
        <w:t xml:space="preserve"> de junio de 202</w:t>
      </w:r>
      <w:r>
        <w:rPr>
          <w:b/>
          <w:bCs/>
          <w:lang w:val="es-ES_tradnl"/>
        </w:rPr>
        <w:t>6</w:t>
      </w:r>
      <w:r w:rsidRPr="00FA194F">
        <w:rPr>
          <w:lang w:val="es-ES_tradnl"/>
        </w:rPr>
        <w:t>.</w:t>
      </w:r>
    </w:p>
    <w:p w14:paraId="609F9DB9" w14:textId="7308A8BB" w:rsidR="00FE4822" w:rsidRPr="00EF333D" w:rsidRDefault="00EF333D" w:rsidP="00031E64">
      <w:pPr>
        <w:rPr>
          <w:rFonts w:asciiTheme="minorHAnsi" w:hAnsiTheme="minorHAnsi" w:cstheme="minorHAnsi"/>
          <w:szCs w:val="24"/>
          <w:lang w:val="es-ES"/>
        </w:rPr>
      </w:pPr>
      <w:r w:rsidRPr="00FA194F">
        <w:rPr>
          <w:lang w:val="es-ES_tradnl"/>
        </w:rPr>
        <w:t>La publicación más reciente de este Anexo figura en el Boletín de Explotación núm. 1</w:t>
      </w:r>
      <w:r>
        <w:rPr>
          <w:lang w:val="es-ES_tradnl"/>
        </w:rPr>
        <w:t>251</w:t>
      </w:r>
      <w:r w:rsidRPr="00FA194F">
        <w:rPr>
          <w:lang w:val="es-ES_tradnl"/>
        </w:rPr>
        <w:t xml:space="preserve"> de 20</w:t>
      </w:r>
      <w:r>
        <w:rPr>
          <w:lang w:val="es-ES_tradnl"/>
        </w:rPr>
        <w:t>22</w:t>
      </w:r>
      <w:r w:rsidRPr="00FA194F">
        <w:rPr>
          <w:lang w:val="es-ES_tradnl"/>
        </w:rPr>
        <w:t>, y está disponible en el sitio web de la UIT, en la dirección</w:t>
      </w:r>
      <w:r>
        <w:rPr>
          <w:lang w:val="es-ES_tradnl"/>
        </w:rPr>
        <w:t xml:space="preserve"> </w:t>
      </w:r>
      <w:hyperlink r:id="rId8" w:history="1">
        <w:r>
          <w:rPr>
            <w:rStyle w:val="Hyperlink"/>
            <w:rFonts w:eastAsia="SimSun" w:cs="Arial"/>
            <w:szCs w:val="24"/>
            <w:lang w:val="es-ES_tradnl" w:eastAsia="zh-CN"/>
          </w:rPr>
          <w:t>http://www.itu.int/pub/T-SP-OB.1251-2022</w:t>
        </w:r>
      </w:hyperlink>
      <w:r w:rsidRPr="00FA194F">
        <w:rPr>
          <w:lang w:val="es-ES_tradnl"/>
        </w:rPr>
        <w:t>.</w:t>
      </w:r>
    </w:p>
    <w:p w14:paraId="6672A8A2" w14:textId="4D3746AF" w:rsidR="00FE4822" w:rsidRPr="00EF333D" w:rsidRDefault="00EF333D" w:rsidP="00031E64">
      <w:pPr>
        <w:rPr>
          <w:rFonts w:asciiTheme="minorHAnsi" w:hAnsiTheme="minorHAnsi" w:cstheme="minorHAnsi"/>
          <w:szCs w:val="24"/>
          <w:lang w:val="es-ES"/>
        </w:rPr>
      </w:pPr>
      <w:r w:rsidRPr="00FA194F">
        <w:rPr>
          <w:lang w:val="es-ES_tradnl"/>
        </w:rPr>
        <w:t xml:space="preserve">La BR se mantiene a disposición de su Administración en la dirección </w:t>
      </w:r>
      <w:hyperlink r:id="rId9" w:history="1">
        <w:r w:rsidRPr="00FA194F">
          <w:rPr>
            <w:rStyle w:val="Hyperlink"/>
            <w:szCs w:val="24"/>
            <w:lang w:val="es-ES_tradnl"/>
          </w:rPr>
          <w:t>brmail@itu.int</w:t>
        </w:r>
      </w:hyperlink>
      <w:r w:rsidRPr="00FA194F">
        <w:rPr>
          <w:lang w:val="es-ES_tradnl"/>
        </w:rPr>
        <w:t xml:space="preserve"> para cualquier aclaración que pueda necesitar en relación con los temas tratados en la presente Carta Circular.</w:t>
      </w:r>
    </w:p>
    <w:p w14:paraId="40EEB5E1" w14:textId="29E2DD44" w:rsidR="00031E64" w:rsidRDefault="001B3D4D" w:rsidP="00015B22">
      <w:pPr>
        <w:spacing w:before="1080" w:line="240" w:lineRule="auto"/>
        <w:jc w:val="left"/>
        <w:rPr>
          <w:szCs w:val="24"/>
          <w:lang w:val="es-ES"/>
        </w:rPr>
      </w:pPr>
      <w:r w:rsidRPr="00EF333D">
        <w:rPr>
          <w:rFonts w:asciiTheme="minorHAnsi" w:hAnsiTheme="minorHAnsi" w:cstheme="minorHAnsi"/>
          <w:lang w:val="es-ES"/>
        </w:rPr>
        <w:t>Mario Maniewicz</w:t>
      </w:r>
      <w:r w:rsidR="00E53DCE" w:rsidRPr="0033029C">
        <w:rPr>
          <w:szCs w:val="24"/>
          <w:lang w:val="es-ES"/>
        </w:rPr>
        <w:br/>
      </w:r>
      <w:proofErr w:type="gramStart"/>
      <w:r w:rsidR="00A96D3A" w:rsidRPr="0033029C">
        <w:rPr>
          <w:szCs w:val="24"/>
          <w:lang w:val="es-ES"/>
        </w:rPr>
        <w:t>Director</w:t>
      </w:r>
      <w:proofErr w:type="gramEnd"/>
    </w:p>
    <w:p w14:paraId="12A3E01C" w14:textId="77777777" w:rsidR="00EF333D" w:rsidRPr="00FA194F" w:rsidRDefault="00EF333D" w:rsidP="00015B22">
      <w:pPr>
        <w:pStyle w:val="toc0"/>
        <w:tabs>
          <w:tab w:val="left" w:pos="794"/>
          <w:tab w:val="left" w:pos="1191"/>
          <w:tab w:val="left" w:pos="1588"/>
          <w:tab w:val="left" w:pos="1985"/>
        </w:tabs>
        <w:spacing w:before="600" w:line="240" w:lineRule="auto"/>
        <w:jc w:val="both"/>
        <w:rPr>
          <w:bCs/>
          <w:sz w:val="18"/>
          <w:szCs w:val="18"/>
          <w:u w:val="single"/>
          <w:lang w:val="es-ES_tradnl"/>
        </w:rPr>
      </w:pPr>
      <w:r w:rsidRPr="00FA194F">
        <w:rPr>
          <w:bCs/>
          <w:sz w:val="18"/>
          <w:szCs w:val="18"/>
          <w:u w:val="single"/>
          <w:lang w:val="es-ES_tradnl"/>
        </w:rPr>
        <w:t>Distribución:</w:t>
      </w:r>
    </w:p>
    <w:p w14:paraId="6EDCFA44" w14:textId="77777777" w:rsidR="00EF333D" w:rsidRDefault="00EF333D" w:rsidP="00EF333D">
      <w:pPr>
        <w:pStyle w:val="enumlev1"/>
        <w:tabs>
          <w:tab w:val="clear" w:pos="794"/>
          <w:tab w:val="left" w:pos="284"/>
        </w:tabs>
        <w:spacing w:before="0" w:line="240" w:lineRule="auto"/>
        <w:rPr>
          <w:sz w:val="18"/>
          <w:szCs w:val="18"/>
          <w:lang w:val="es-ES_tradnl"/>
        </w:rPr>
      </w:pPr>
      <w:r w:rsidRPr="00FA194F">
        <w:rPr>
          <w:sz w:val="18"/>
          <w:szCs w:val="18"/>
          <w:lang w:val="es-ES_tradnl"/>
        </w:rPr>
        <w:sym w:font="Symbol" w:char="F02D"/>
      </w:r>
      <w:r w:rsidRPr="00FA194F">
        <w:rPr>
          <w:sz w:val="18"/>
          <w:szCs w:val="18"/>
          <w:lang w:val="es-ES_tradnl"/>
        </w:rPr>
        <w:tab/>
        <w:t>Administraciones de los Estados Miembros de la UIT</w:t>
      </w:r>
    </w:p>
    <w:p w14:paraId="20C4404C" w14:textId="73A3D2DA" w:rsidR="00D239B4" w:rsidRPr="0033029C" w:rsidRDefault="00EF333D" w:rsidP="00EF333D">
      <w:pPr>
        <w:pStyle w:val="enumlev1"/>
        <w:tabs>
          <w:tab w:val="clear" w:pos="794"/>
          <w:tab w:val="left" w:pos="284"/>
        </w:tabs>
        <w:spacing w:before="0" w:line="240" w:lineRule="auto"/>
        <w:rPr>
          <w:rFonts w:asciiTheme="minorHAnsi" w:hAnsiTheme="minorHAnsi" w:cstheme="minorHAnsi"/>
          <w:szCs w:val="24"/>
          <w:lang w:val="es-ES"/>
        </w:rPr>
      </w:pPr>
      <w:r w:rsidRPr="00FA194F">
        <w:rPr>
          <w:sz w:val="18"/>
          <w:szCs w:val="18"/>
          <w:lang w:val="es-ES_tradnl"/>
        </w:rPr>
        <w:sym w:font="Symbol" w:char="F02D"/>
      </w:r>
      <w:r w:rsidRPr="00FA194F">
        <w:rPr>
          <w:sz w:val="18"/>
          <w:szCs w:val="18"/>
          <w:lang w:val="es-ES_tradnl"/>
        </w:rPr>
        <w:tab/>
        <w:t>Miembros de la Junta del Reglamento de Radiocomunicaciones</w:t>
      </w:r>
    </w:p>
    <w:sectPr w:rsidR="00D239B4" w:rsidRPr="0033029C" w:rsidSect="00D316C8">
      <w:headerReference w:type="even" r:id="rId10"/>
      <w:headerReference w:type="default" r:id="rId11"/>
      <w:footerReference w:type="even" r:id="rId12"/>
      <w:footerReference w:type="default" r:id="rId13"/>
      <w:headerReference w:type="first" r:id="rId14"/>
      <w:footerReference w:type="first" r:id="rId15"/>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52DA" w14:textId="77777777" w:rsidR="00EF333D" w:rsidRDefault="00EF333D">
      <w:r>
        <w:separator/>
      </w:r>
    </w:p>
  </w:endnote>
  <w:endnote w:type="continuationSeparator" w:id="0">
    <w:p w14:paraId="1295CE50" w14:textId="77777777" w:rsidR="00EF333D" w:rsidRDefault="00EF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0B16" w14:textId="77777777" w:rsidR="0082526C" w:rsidRDefault="0082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D669" w14:textId="77777777" w:rsidR="0082526C" w:rsidRDefault="0082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A954"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Pr="0035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68FF" w14:textId="77777777" w:rsidR="00EF333D" w:rsidRDefault="00EF333D">
      <w:r>
        <w:t>____________________</w:t>
      </w:r>
    </w:p>
  </w:footnote>
  <w:footnote w:type="continuationSeparator" w:id="0">
    <w:p w14:paraId="35C60704" w14:textId="77777777" w:rsidR="00EF333D" w:rsidRDefault="00EF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A2F2"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FD54" w14:textId="77777777" w:rsidR="00D316C8" w:rsidRPr="00D239B4" w:rsidRDefault="00D316C8" w:rsidP="00D316C8">
    <w:pPr>
      <w:pStyle w:val="Header"/>
      <w:jc w:val="center"/>
      <w:rPr>
        <w:sz w:val="18"/>
        <w:szCs w:val="16"/>
      </w:rPr>
    </w:pP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5FA15564" w14:textId="77777777" w:rsidTr="002A3F03">
      <w:tc>
        <w:tcPr>
          <w:tcW w:w="9862" w:type="dxa"/>
          <w:tcMar>
            <w:left w:w="0" w:type="dxa"/>
          </w:tcMar>
        </w:tcPr>
        <w:p w14:paraId="0A6F01B6"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049BFA9F" wp14:editId="6EEA611A">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B55D8F6"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B22"/>
    <w:rsid w:val="00015C76"/>
    <w:rsid w:val="00026CF8"/>
    <w:rsid w:val="00030BD7"/>
    <w:rsid w:val="00031B9B"/>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93F"/>
    <w:rsid w:val="00132DD2"/>
    <w:rsid w:val="00134404"/>
    <w:rsid w:val="00144DFB"/>
    <w:rsid w:val="00172A42"/>
    <w:rsid w:val="00186D50"/>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67DEE"/>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88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526C"/>
    <w:rsid w:val="00854131"/>
    <w:rsid w:val="0085652D"/>
    <w:rsid w:val="0087694B"/>
    <w:rsid w:val="00880F4D"/>
    <w:rsid w:val="008A27B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11BE4"/>
    <w:rsid w:val="00A20FBC"/>
    <w:rsid w:val="00A31370"/>
    <w:rsid w:val="00A34D6F"/>
    <w:rsid w:val="00A41F91"/>
    <w:rsid w:val="00A63355"/>
    <w:rsid w:val="00A7596D"/>
    <w:rsid w:val="00A80EFE"/>
    <w:rsid w:val="00A963DF"/>
    <w:rsid w:val="00A96D3A"/>
    <w:rsid w:val="00AC0C22"/>
    <w:rsid w:val="00AC3896"/>
    <w:rsid w:val="00AD0D80"/>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796"/>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F333D"/>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B155C"/>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T-SP-OB.1251-202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352</Words>
  <Characters>1982</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2330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Panoussopoulos, Sonia</cp:lastModifiedBy>
  <cp:revision>7</cp:revision>
  <cp:lastPrinted>2013-03-08T10:15:00Z</cp:lastPrinted>
  <dcterms:created xsi:type="dcterms:W3CDTF">2026-03-13T11:03:00Z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