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3D20DEBA" w14:textId="77777777" w:rsidTr="00306452">
        <w:trPr>
          <w:jc w:val="center"/>
        </w:trPr>
        <w:tc>
          <w:tcPr>
            <w:tcW w:w="9889" w:type="dxa"/>
            <w:gridSpan w:val="3"/>
          </w:tcPr>
          <w:p w14:paraId="769972CF" w14:textId="77777777" w:rsidR="00E53DCE" w:rsidRPr="00953A80" w:rsidRDefault="00A96D3A" w:rsidP="00953A80">
            <w:pPr>
              <w:spacing w:before="0"/>
              <w:rPr>
                <w:b/>
                <w:bCs/>
                <w:color w:val="808080"/>
                <w:sz w:val="28"/>
                <w:szCs w:val="28"/>
                <w:lang w:val="en-GB"/>
              </w:rPr>
            </w:pPr>
            <w:r w:rsidRPr="00953A80">
              <w:rPr>
                <w:b/>
                <w:bCs/>
                <w:color w:val="808080"/>
                <w:sz w:val="28"/>
                <w:szCs w:val="28"/>
                <w:lang w:val="es-ES_tradnl"/>
              </w:rPr>
              <w:t>Oficina de Radiocomunicaciones (BR)</w:t>
            </w:r>
          </w:p>
          <w:p w14:paraId="76B9488A" w14:textId="77777777" w:rsidR="00E53DCE" w:rsidRPr="00953A80" w:rsidRDefault="00E53DCE" w:rsidP="00953A80">
            <w:pPr>
              <w:spacing w:before="0"/>
              <w:rPr>
                <w:b/>
                <w:bCs/>
                <w:color w:val="808080"/>
                <w:sz w:val="28"/>
                <w:szCs w:val="28"/>
                <w:lang w:val="en-GB"/>
              </w:rPr>
            </w:pPr>
          </w:p>
        </w:tc>
      </w:tr>
      <w:tr w:rsidR="00E53DCE" w:rsidRPr="0033029C" w14:paraId="2DCA6E71" w14:textId="77777777" w:rsidTr="00306452">
        <w:trPr>
          <w:jc w:val="center"/>
        </w:trPr>
        <w:tc>
          <w:tcPr>
            <w:tcW w:w="7054" w:type="dxa"/>
            <w:gridSpan w:val="2"/>
          </w:tcPr>
          <w:p w14:paraId="310D6481" w14:textId="6AF4F1B1" w:rsidR="00E53DCE" w:rsidRPr="003969C9" w:rsidRDefault="001B3D4D" w:rsidP="003969C9">
            <w:pPr>
              <w:spacing w:before="0"/>
              <w:rPr>
                <w:lang w:val="pt-BR"/>
              </w:rPr>
            </w:pPr>
            <w:r w:rsidRPr="003969C9">
              <w:rPr>
                <w:lang w:val="pt-BR"/>
              </w:rPr>
              <w:t>Carta Circular</w:t>
            </w:r>
          </w:p>
          <w:p w14:paraId="69D58805" w14:textId="6C7CBE0C" w:rsidR="00E53DCE" w:rsidRPr="003969C9" w:rsidRDefault="001B3D4D" w:rsidP="003969C9">
            <w:pPr>
              <w:spacing w:before="0"/>
              <w:rPr>
                <w:b/>
                <w:bCs/>
                <w:lang w:val="pt-BR"/>
              </w:rPr>
            </w:pPr>
            <w:r w:rsidRPr="003969C9">
              <w:rPr>
                <w:b/>
                <w:bCs/>
                <w:lang w:val="pt-BR"/>
              </w:rPr>
              <w:t>CR</w:t>
            </w:r>
            <w:r w:rsidR="00D36E1D" w:rsidRPr="003969C9">
              <w:rPr>
                <w:b/>
                <w:bCs/>
                <w:lang w:val="pt-BR"/>
              </w:rPr>
              <w:t>/</w:t>
            </w:r>
            <w:r w:rsidR="00D36E1D">
              <w:rPr>
                <w:b/>
                <w:bCs/>
                <w:lang w:val="pt-BR"/>
              </w:rPr>
              <w:t>528</w:t>
            </w:r>
          </w:p>
        </w:tc>
        <w:tc>
          <w:tcPr>
            <w:tcW w:w="2835" w:type="dxa"/>
          </w:tcPr>
          <w:p w14:paraId="3FD01BE1" w14:textId="2FBC6ED7" w:rsidR="00E53DCE" w:rsidRPr="002B7EE0" w:rsidRDefault="00D36E1D" w:rsidP="003969C9">
            <w:pPr>
              <w:spacing w:before="0"/>
              <w:jc w:val="right"/>
              <w:rPr>
                <w:lang w:val="fr-FR"/>
              </w:rPr>
            </w:pPr>
            <w:r>
              <w:rPr>
                <w:lang w:val="fr-FR"/>
              </w:rPr>
              <w:t>27</w:t>
            </w:r>
            <w:r w:rsidR="00A96D3A" w:rsidRPr="002B7EE0">
              <w:rPr>
                <w:lang w:val="fr-FR"/>
              </w:rPr>
              <w:t xml:space="preserve"> de enero de 20</w:t>
            </w:r>
            <w:r w:rsidR="002B7EE0" w:rsidRPr="002B7EE0">
              <w:rPr>
                <w:lang w:val="fr-FR"/>
              </w:rPr>
              <w:t>2</w:t>
            </w:r>
            <w:r>
              <w:rPr>
                <w:lang w:val="fr-FR"/>
              </w:rPr>
              <w:t>6</w:t>
            </w:r>
          </w:p>
        </w:tc>
      </w:tr>
      <w:tr w:rsidR="00E53DCE" w:rsidRPr="0033029C" w14:paraId="56562AD9" w14:textId="77777777" w:rsidTr="00306452">
        <w:trPr>
          <w:jc w:val="center"/>
        </w:trPr>
        <w:tc>
          <w:tcPr>
            <w:tcW w:w="9889" w:type="dxa"/>
            <w:gridSpan w:val="3"/>
          </w:tcPr>
          <w:p w14:paraId="49FBA783" w14:textId="77777777" w:rsidR="00E53DCE" w:rsidRPr="003969C9" w:rsidRDefault="00E53DCE" w:rsidP="003969C9">
            <w:pPr>
              <w:spacing w:before="0"/>
              <w:rPr>
                <w:lang w:val="es-ES"/>
              </w:rPr>
            </w:pPr>
          </w:p>
        </w:tc>
      </w:tr>
      <w:tr w:rsidR="00E53DCE" w:rsidRPr="0033029C" w14:paraId="762456CA" w14:textId="77777777" w:rsidTr="00306452">
        <w:trPr>
          <w:jc w:val="center"/>
        </w:trPr>
        <w:tc>
          <w:tcPr>
            <w:tcW w:w="9889" w:type="dxa"/>
            <w:gridSpan w:val="3"/>
          </w:tcPr>
          <w:p w14:paraId="42B6B401" w14:textId="77777777" w:rsidR="00E53DCE" w:rsidRPr="003969C9" w:rsidRDefault="00E53DCE" w:rsidP="003969C9">
            <w:pPr>
              <w:spacing w:before="0"/>
              <w:rPr>
                <w:lang w:val="es-ES"/>
              </w:rPr>
            </w:pPr>
          </w:p>
        </w:tc>
      </w:tr>
      <w:tr w:rsidR="00E53DCE" w:rsidRPr="002D12DA" w14:paraId="4BAE9C44" w14:textId="77777777" w:rsidTr="00306452">
        <w:trPr>
          <w:jc w:val="center"/>
        </w:trPr>
        <w:tc>
          <w:tcPr>
            <w:tcW w:w="9889" w:type="dxa"/>
            <w:gridSpan w:val="3"/>
          </w:tcPr>
          <w:p w14:paraId="21F1935A" w14:textId="0BF43D3B" w:rsidR="00E53DCE" w:rsidRPr="003969C9" w:rsidRDefault="00D36E1D" w:rsidP="003969C9">
            <w:pPr>
              <w:spacing w:before="0"/>
              <w:rPr>
                <w:b/>
                <w:bCs/>
                <w:lang w:val="es-ES"/>
              </w:rPr>
            </w:pPr>
            <w:r w:rsidRPr="00D36E1D">
              <w:rPr>
                <w:b/>
                <w:bCs/>
                <w:lang w:val="es-ES"/>
              </w:rPr>
              <w:t>A las Administraciones de los Estados Miembros de la UIT y a los Miembros del Sector de Radiocomunicaciones</w:t>
            </w:r>
          </w:p>
        </w:tc>
      </w:tr>
      <w:tr w:rsidR="00E53DCE" w:rsidRPr="002D12DA" w14:paraId="180CDAFD" w14:textId="77777777" w:rsidTr="00306452">
        <w:trPr>
          <w:jc w:val="center"/>
        </w:trPr>
        <w:tc>
          <w:tcPr>
            <w:tcW w:w="9889" w:type="dxa"/>
            <w:gridSpan w:val="3"/>
          </w:tcPr>
          <w:p w14:paraId="04ADBBDE" w14:textId="77777777" w:rsidR="00E53DCE" w:rsidRPr="0033029C" w:rsidRDefault="00E53DCE" w:rsidP="003969C9">
            <w:pPr>
              <w:spacing w:before="0"/>
              <w:rPr>
                <w:lang w:val="es-ES"/>
              </w:rPr>
            </w:pPr>
          </w:p>
        </w:tc>
      </w:tr>
      <w:tr w:rsidR="00E53DCE" w:rsidRPr="002D12DA" w14:paraId="06E9A2B7" w14:textId="77777777" w:rsidTr="00306452">
        <w:trPr>
          <w:jc w:val="center"/>
        </w:trPr>
        <w:tc>
          <w:tcPr>
            <w:tcW w:w="9889" w:type="dxa"/>
            <w:gridSpan w:val="3"/>
          </w:tcPr>
          <w:p w14:paraId="4039DD3F" w14:textId="77777777" w:rsidR="00E53DCE" w:rsidRPr="0033029C" w:rsidRDefault="00E53DCE" w:rsidP="003969C9">
            <w:pPr>
              <w:spacing w:before="0"/>
              <w:rPr>
                <w:lang w:val="es-ES"/>
              </w:rPr>
            </w:pPr>
          </w:p>
        </w:tc>
      </w:tr>
      <w:tr w:rsidR="00E53DCE" w:rsidRPr="002D12DA" w14:paraId="021316CA" w14:textId="77777777" w:rsidTr="00306452">
        <w:trPr>
          <w:jc w:val="center"/>
        </w:trPr>
        <w:tc>
          <w:tcPr>
            <w:tcW w:w="1526" w:type="dxa"/>
          </w:tcPr>
          <w:p w14:paraId="4C13FE60" w14:textId="77777777" w:rsidR="00E53DCE" w:rsidRPr="00833DCF" w:rsidRDefault="00311970" w:rsidP="003969C9">
            <w:pPr>
              <w:spacing w:before="0"/>
              <w:rPr>
                <w:lang w:val="es-ES_tradnl"/>
              </w:rPr>
            </w:pPr>
            <w:r w:rsidRPr="00833DCF">
              <w:rPr>
                <w:lang w:val="es-ES_tradnl"/>
              </w:rPr>
              <w:t>Asunto:</w:t>
            </w:r>
          </w:p>
        </w:tc>
        <w:tc>
          <w:tcPr>
            <w:tcW w:w="8363" w:type="dxa"/>
            <w:gridSpan w:val="2"/>
            <w:vMerge w:val="restart"/>
          </w:tcPr>
          <w:p w14:paraId="0C674E80" w14:textId="7F7DECCF" w:rsidR="00D36E1D" w:rsidRPr="00D36E1D" w:rsidRDefault="00D36E1D" w:rsidP="00A16BE4">
            <w:pPr>
              <w:spacing w:before="0" w:after="120"/>
              <w:jc w:val="left"/>
              <w:rPr>
                <w:b/>
                <w:bCs/>
                <w:lang w:val="es-ES_tradnl"/>
              </w:rPr>
            </w:pPr>
            <w:r w:rsidRPr="00D36E1D">
              <w:rPr>
                <w:b/>
                <w:bCs/>
                <w:lang w:val="es-ES_tradnl"/>
              </w:rPr>
              <w:t>Nuevos recursos en línea relacionados con los sistemas de satélites no geoestacionarios sujetos a la Resolución</w:t>
            </w:r>
            <w:r w:rsidR="00965F3B">
              <w:rPr>
                <w:b/>
                <w:bCs/>
                <w:lang w:val="es-ES_tradnl"/>
              </w:rPr>
              <w:t> </w:t>
            </w:r>
            <w:r w:rsidRPr="00D36E1D">
              <w:rPr>
                <w:b/>
                <w:bCs/>
                <w:lang w:val="es-ES_tradnl"/>
              </w:rPr>
              <w:t>8 (CMR</w:t>
            </w:r>
            <w:r w:rsidR="00965F3B">
              <w:rPr>
                <w:b/>
                <w:bCs/>
                <w:lang w:val="es-ES_tradnl"/>
              </w:rPr>
              <w:noBreakHyphen/>
            </w:r>
            <w:r w:rsidRPr="00D36E1D">
              <w:rPr>
                <w:b/>
                <w:bCs/>
                <w:lang w:val="es-ES_tradnl"/>
              </w:rPr>
              <w:t>23)</w:t>
            </w:r>
          </w:p>
          <w:p w14:paraId="723B3FFE" w14:textId="25155F12" w:rsidR="00D36E1D" w:rsidRPr="00D36E1D" w:rsidRDefault="00D36E1D" w:rsidP="0044420A">
            <w:pPr>
              <w:spacing w:before="0"/>
              <w:ind w:left="794" w:hanging="794"/>
              <w:jc w:val="left"/>
              <w:rPr>
                <w:b/>
                <w:bCs/>
                <w:lang w:val="es-ES_tradnl"/>
              </w:rPr>
            </w:pPr>
            <w:r w:rsidRPr="00D36E1D">
              <w:rPr>
                <w:b/>
                <w:bCs/>
                <w:lang w:val="es-ES_tradnl"/>
              </w:rPr>
              <w:t>a)</w:t>
            </w:r>
            <w:r w:rsidRPr="00D36E1D">
              <w:rPr>
                <w:b/>
                <w:bCs/>
                <w:lang w:val="es-ES_tradnl"/>
              </w:rPr>
              <w:tab/>
              <w:t>Plataforma en línea Argus para visualizar el despliegue de sistemas de satélites no geoestacionarios notificados a la Oficina de Radiocomunicaciones de conformidad con la Resolución</w:t>
            </w:r>
            <w:r w:rsidR="00965F3B">
              <w:rPr>
                <w:b/>
                <w:bCs/>
                <w:lang w:val="es-ES_tradnl"/>
              </w:rPr>
              <w:t> </w:t>
            </w:r>
            <w:r w:rsidRPr="00D36E1D">
              <w:rPr>
                <w:b/>
                <w:bCs/>
                <w:lang w:val="es-ES_tradnl"/>
              </w:rPr>
              <w:t>8 (CMR</w:t>
            </w:r>
            <w:r w:rsidR="00965F3B">
              <w:rPr>
                <w:b/>
                <w:bCs/>
                <w:lang w:val="es-ES_tradnl"/>
              </w:rPr>
              <w:noBreakHyphen/>
            </w:r>
            <w:r w:rsidRPr="00D36E1D">
              <w:rPr>
                <w:b/>
                <w:bCs/>
                <w:lang w:val="es-ES_tradnl"/>
              </w:rPr>
              <w:t>23)</w:t>
            </w:r>
          </w:p>
          <w:p w14:paraId="3612960C" w14:textId="6612D5A7" w:rsidR="00E53DCE" w:rsidRPr="00833DCF" w:rsidRDefault="00D36E1D" w:rsidP="0044420A">
            <w:pPr>
              <w:spacing w:before="0"/>
              <w:ind w:left="794" w:hanging="794"/>
              <w:jc w:val="left"/>
              <w:rPr>
                <w:b/>
                <w:bCs/>
                <w:lang w:val="es-ES_tradnl"/>
              </w:rPr>
            </w:pPr>
            <w:r w:rsidRPr="00D36E1D">
              <w:rPr>
                <w:b/>
                <w:bCs/>
                <w:lang w:val="es-ES_tradnl"/>
              </w:rPr>
              <w:t>b)</w:t>
            </w:r>
            <w:r w:rsidRPr="00D36E1D">
              <w:rPr>
                <w:b/>
                <w:bCs/>
                <w:lang w:val="es-ES_tradnl"/>
              </w:rPr>
              <w:tab/>
              <w:t>Puntos de contacto asociados para la reducción de la interferencia en radiofrecuencia y las operaciones espaciales</w:t>
            </w:r>
          </w:p>
        </w:tc>
      </w:tr>
      <w:tr w:rsidR="00E53DCE" w:rsidRPr="002D12DA" w14:paraId="4081CB4E" w14:textId="77777777" w:rsidTr="00306452">
        <w:trPr>
          <w:jc w:val="center"/>
        </w:trPr>
        <w:tc>
          <w:tcPr>
            <w:tcW w:w="1526" w:type="dxa"/>
          </w:tcPr>
          <w:p w14:paraId="315E015A" w14:textId="77777777" w:rsidR="00E53DCE" w:rsidRPr="00833DCF" w:rsidRDefault="00E53DCE" w:rsidP="003969C9">
            <w:pPr>
              <w:spacing w:before="0"/>
              <w:rPr>
                <w:lang w:val="es-ES_tradnl"/>
              </w:rPr>
            </w:pPr>
          </w:p>
        </w:tc>
        <w:tc>
          <w:tcPr>
            <w:tcW w:w="8363" w:type="dxa"/>
            <w:gridSpan w:val="2"/>
            <w:vMerge/>
          </w:tcPr>
          <w:p w14:paraId="7E66957D" w14:textId="77777777" w:rsidR="00E53DCE" w:rsidRPr="00833DCF" w:rsidRDefault="00E53DCE" w:rsidP="006160CB">
            <w:pPr>
              <w:tabs>
                <w:tab w:val="clear" w:pos="1588"/>
                <w:tab w:val="left" w:pos="1560"/>
              </w:tabs>
              <w:spacing w:before="0"/>
              <w:rPr>
                <w:b/>
                <w:bCs/>
                <w:szCs w:val="24"/>
                <w:lang w:val="es-ES_tradnl"/>
              </w:rPr>
            </w:pPr>
          </w:p>
        </w:tc>
      </w:tr>
      <w:tr w:rsidR="00E53DCE" w:rsidRPr="002D12DA" w14:paraId="449BD3D4" w14:textId="77777777" w:rsidTr="00306452">
        <w:trPr>
          <w:jc w:val="center"/>
        </w:trPr>
        <w:tc>
          <w:tcPr>
            <w:tcW w:w="1526" w:type="dxa"/>
          </w:tcPr>
          <w:p w14:paraId="4E614295" w14:textId="77777777" w:rsidR="00E53DCE" w:rsidRPr="00833DCF" w:rsidRDefault="00E53DCE" w:rsidP="003969C9">
            <w:pPr>
              <w:spacing w:before="0"/>
              <w:rPr>
                <w:lang w:val="es-ES_tradnl"/>
              </w:rPr>
            </w:pPr>
          </w:p>
        </w:tc>
        <w:tc>
          <w:tcPr>
            <w:tcW w:w="8363" w:type="dxa"/>
            <w:gridSpan w:val="2"/>
            <w:vMerge/>
          </w:tcPr>
          <w:p w14:paraId="04442067" w14:textId="77777777" w:rsidR="00E53DCE" w:rsidRPr="00833DCF" w:rsidRDefault="00E53DCE" w:rsidP="006160CB">
            <w:pPr>
              <w:tabs>
                <w:tab w:val="clear" w:pos="1588"/>
                <w:tab w:val="left" w:pos="1560"/>
              </w:tabs>
              <w:spacing w:before="0"/>
              <w:rPr>
                <w:b/>
                <w:bCs/>
                <w:szCs w:val="24"/>
                <w:lang w:val="es-ES_tradnl"/>
              </w:rPr>
            </w:pPr>
          </w:p>
        </w:tc>
      </w:tr>
    </w:tbl>
    <w:p w14:paraId="24EEF4AD" w14:textId="5DCC0CE3" w:rsidR="00D36E1D" w:rsidRPr="00D36E1D" w:rsidRDefault="00D36E1D" w:rsidP="0044420A">
      <w:pPr>
        <w:pStyle w:val="Normalaftertitle"/>
        <w:spacing w:before="240"/>
        <w:rPr>
          <w:lang w:val="es-ES"/>
        </w:rPr>
      </w:pPr>
      <w:r w:rsidRPr="00D36E1D">
        <w:rPr>
          <w:lang w:val="es-ES"/>
        </w:rPr>
        <w:t>En la Resolución</w:t>
      </w:r>
      <w:r w:rsidR="00965F3B">
        <w:rPr>
          <w:lang w:val="es-ES"/>
        </w:rPr>
        <w:t> </w:t>
      </w:r>
      <w:r w:rsidRPr="00965F3B">
        <w:rPr>
          <w:b/>
          <w:bCs/>
          <w:lang w:val="es-ES"/>
        </w:rPr>
        <w:t>8 (CMR</w:t>
      </w:r>
      <w:r w:rsidR="00965F3B" w:rsidRPr="00965F3B">
        <w:rPr>
          <w:b/>
          <w:bCs/>
          <w:lang w:val="es-ES"/>
        </w:rPr>
        <w:noBreakHyphen/>
      </w:r>
      <w:r w:rsidRPr="00965F3B">
        <w:rPr>
          <w:b/>
          <w:bCs/>
          <w:lang w:val="es-ES"/>
        </w:rPr>
        <w:t>23)</w:t>
      </w:r>
      <w:r w:rsidRPr="00D36E1D">
        <w:rPr>
          <w:lang w:val="es-ES"/>
        </w:rPr>
        <w:t>, la Conferencia Mundial de Radiocomunicaciones de 2023 adoptó tolerancias para determinadas características orbitales de las estaciones espaciales desplegadas como parte de sistemas de satélites no geoestacionarios en el servicio fijo por satélite, el servicio de radiodifusión por satélite o el servicio móvil por satélite.</w:t>
      </w:r>
    </w:p>
    <w:p w14:paraId="7E2D4B10" w14:textId="4627610A" w:rsidR="00D36E1D" w:rsidRPr="00D36E1D" w:rsidRDefault="00D36E1D" w:rsidP="00D36E1D">
      <w:pPr>
        <w:rPr>
          <w:lang w:val="es-ES"/>
        </w:rPr>
      </w:pPr>
      <w:r w:rsidRPr="00D36E1D">
        <w:rPr>
          <w:lang w:val="es-ES"/>
        </w:rPr>
        <w:t>Esta Resolución contiene varios conjuntos de tolerancias correspondientes a diferentes etapas del proceso reglamentario de los sistemas de satélites no geoestacionarios, que pueden ser difíciles de comprender cuando se aplican a las diversas combinaciones posibles de características orbitales que pueden encontrarse en los sistemas de satélites no geoestacionarios presentados con arreglo a los Artículos</w:t>
      </w:r>
      <w:r w:rsidR="00965F3B">
        <w:rPr>
          <w:lang w:val="es-ES"/>
        </w:rPr>
        <w:t> </w:t>
      </w:r>
      <w:r w:rsidRPr="00965F3B">
        <w:rPr>
          <w:b/>
          <w:bCs/>
          <w:lang w:val="es-ES"/>
        </w:rPr>
        <w:t>9</w:t>
      </w:r>
      <w:r w:rsidRPr="00D36E1D">
        <w:rPr>
          <w:lang w:val="es-ES"/>
        </w:rPr>
        <w:t xml:space="preserve"> y </w:t>
      </w:r>
      <w:r w:rsidRPr="00965F3B">
        <w:rPr>
          <w:b/>
          <w:bCs/>
          <w:lang w:val="es-ES"/>
        </w:rPr>
        <w:t>11</w:t>
      </w:r>
      <w:r w:rsidRPr="00D36E1D">
        <w:rPr>
          <w:lang w:val="es-ES"/>
        </w:rPr>
        <w:t xml:space="preserve"> del Reglamento de Radiocomunicaciones.</w:t>
      </w:r>
    </w:p>
    <w:p w14:paraId="2AA5AA30" w14:textId="5DE45B48" w:rsidR="00D36E1D" w:rsidRPr="00D36E1D" w:rsidRDefault="00D36E1D" w:rsidP="00D36E1D">
      <w:pPr>
        <w:rPr>
          <w:lang w:val="es-ES"/>
        </w:rPr>
      </w:pPr>
      <w:r w:rsidRPr="00D36E1D">
        <w:rPr>
          <w:lang w:val="es-ES"/>
        </w:rPr>
        <w:t xml:space="preserve">Por consiguiente, de conformidad con el </w:t>
      </w:r>
      <w:r w:rsidRPr="00965F3B">
        <w:rPr>
          <w:i/>
          <w:iCs/>
          <w:lang w:val="es-ES"/>
        </w:rPr>
        <w:t>encarga a la Oficina de Radiocomunicaciones</w:t>
      </w:r>
      <w:r w:rsidR="00DE2079">
        <w:rPr>
          <w:lang w:val="es-ES"/>
        </w:rPr>
        <w:t> </w:t>
      </w:r>
      <w:r w:rsidRPr="00D36E1D">
        <w:rPr>
          <w:lang w:val="es-ES"/>
        </w:rPr>
        <w:t>3 de la Resolución</w:t>
      </w:r>
      <w:r w:rsidR="00965F3B">
        <w:rPr>
          <w:lang w:val="es-ES"/>
        </w:rPr>
        <w:t> </w:t>
      </w:r>
      <w:r w:rsidRPr="00965F3B">
        <w:rPr>
          <w:b/>
          <w:bCs/>
          <w:lang w:val="es-ES"/>
        </w:rPr>
        <w:t>8 (CMR</w:t>
      </w:r>
      <w:r w:rsidR="00965F3B" w:rsidRPr="00965F3B">
        <w:rPr>
          <w:b/>
          <w:bCs/>
          <w:lang w:val="es-ES"/>
        </w:rPr>
        <w:noBreakHyphen/>
      </w:r>
      <w:r w:rsidRPr="00965F3B">
        <w:rPr>
          <w:b/>
          <w:bCs/>
          <w:lang w:val="es-ES"/>
        </w:rPr>
        <w:t>23)</w:t>
      </w:r>
      <w:r w:rsidRPr="00D36E1D">
        <w:rPr>
          <w:lang w:val="es-ES"/>
        </w:rPr>
        <w:t>, la Oficina de Radiocomunicaciones ha desarrollado una herramienta en línea para visualizar y dar transparencia al despliegue de sistemas de satélites no geoestacionarios sujetos a la Resolución</w:t>
      </w:r>
      <w:r w:rsidR="00965F3B">
        <w:rPr>
          <w:lang w:val="es-ES"/>
        </w:rPr>
        <w:t> </w:t>
      </w:r>
      <w:r w:rsidRPr="00965F3B">
        <w:rPr>
          <w:b/>
          <w:bCs/>
          <w:lang w:val="es-ES"/>
        </w:rPr>
        <w:t>8 (CMR</w:t>
      </w:r>
      <w:r w:rsidR="00965F3B" w:rsidRPr="00965F3B">
        <w:rPr>
          <w:b/>
          <w:bCs/>
          <w:lang w:val="es-ES"/>
        </w:rPr>
        <w:noBreakHyphen/>
      </w:r>
      <w:r w:rsidRPr="00965F3B">
        <w:rPr>
          <w:b/>
          <w:bCs/>
          <w:lang w:val="es-ES"/>
        </w:rPr>
        <w:t>23)</w:t>
      </w:r>
      <w:r w:rsidRPr="00D36E1D">
        <w:rPr>
          <w:lang w:val="es-ES"/>
        </w:rPr>
        <w:t>, facilitando al mismo tiempo las comunicaciones directas entre los operadores de satélites responsables de esos sistemas.</w:t>
      </w:r>
    </w:p>
    <w:p w14:paraId="307EB334" w14:textId="77777777" w:rsidR="00D36E1D" w:rsidRPr="00D36E1D" w:rsidRDefault="00D36E1D" w:rsidP="00D36E1D">
      <w:pPr>
        <w:rPr>
          <w:lang w:val="es-ES"/>
        </w:rPr>
      </w:pPr>
      <w:r w:rsidRPr="00D36E1D">
        <w:rPr>
          <w:lang w:val="es-ES"/>
        </w:rPr>
        <w:t>Al usar Argus, podrá visualizar y recuperar la siguiente información:</w:t>
      </w:r>
    </w:p>
    <w:p w14:paraId="07AD9B79" w14:textId="49BAC6EE" w:rsidR="00D36E1D" w:rsidRPr="00D36E1D" w:rsidRDefault="00D36E1D" w:rsidP="00D36E1D">
      <w:pPr>
        <w:pStyle w:val="enumlev1"/>
        <w:rPr>
          <w:lang w:val="es-ES"/>
        </w:rPr>
      </w:pPr>
      <w:r w:rsidRPr="00D36E1D">
        <w:rPr>
          <w:lang w:val="es-ES"/>
        </w:rPr>
        <w:t>–</w:t>
      </w:r>
      <w:r w:rsidRPr="00D36E1D">
        <w:rPr>
          <w:lang w:val="es-ES"/>
        </w:rPr>
        <w:tab/>
        <w:t>parámetros orbitales de un sistema de satélites o vehículo espacial seleccionado notificados o declarados en virtud de la Resolución</w:t>
      </w:r>
      <w:r w:rsidR="00965F3B">
        <w:rPr>
          <w:lang w:val="es-ES"/>
        </w:rPr>
        <w:t> </w:t>
      </w:r>
      <w:r w:rsidRPr="00965F3B">
        <w:rPr>
          <w:b/>
          <w:bCs/>
          <w:lang w:val="es-ES"/>
        </w:rPr>
        <w:t>8 (CMR</w:t>
      </w:r>
      <w:r w:rsidR="00965F3B" w:rsidRPr="00965F3B">
        <w:rPr>
          <w:b/>
          <w:bCs/>
          <w:lang w:val="es-ES"/>
        </w:rPr>
        <w:noBreakHyphen/>
      </w:r>
      <w:r w:rsidRPr="00965F3B">
        <w:rPr>
          <w:b/>
          <w:bCs/>
          <w:lang w:val="es-ES"/>
        </w:rPr>
        <w:t>23)</w:t>
      </w:r>
      <w:r w:rsidRPr="00D36E1D">
        <w:rPr>
          <w:lang w:val="es-ES"/>
        </w:rPr>
        <w:t xml:space="preserve"> por una administración notificante</w:t>
      </w:r>
      <w:r w:rsidR="00965F3B">
        <w:rPr>
          <w:lang w:val="es-ES"/>
        </w:rPr>
        <w:t>;</w:t>
      </w:r>
    </w:p>
    <w:p w14:paraId="2A3232AC" w14:textId="4EDACECC" w:rsidR="00D36E1D" w:rsidRPr="00D36E1D" w:rsidRDefault="00D36E1D" w:rsidP="00D36E1D">
      <w:pPr>
        <w:pStyle w:val="enumlev1"/>
        <w:rPr>
          <w:lang w:val="es-ES"/>
        </w:rPr>
      </w:pPr>
      <w:r w:rsidRPr="00D36E1D">
        <w:rPr>
          <w:lang w:val="es-ES"/>
        </w:rPr>
        <w:t>–</w:t>
      </w:r>
      <w:r w:rsidRPr="00D36E1D">
        <w:rPr>
          <w:lang w:val="es-ES"/>
        </w:rPr>
        <w:tab/>
        <w:t>parámetros orbitales reales asociados obtenidos periódicamente de fuentes públicas fiables</w:t>
      </w:r>
      <w:r w:rsidR="00965F3B">
        <w:rPr>
          <w:lang w:val="es-ES"/>
        </w:rPr>
        <w:t>;</w:t>
      </w:r>
    </w:p>
    <w:p w14:paraId="62CEAF6C" w14:textId="731EB331" w:rsidR="00D36E1D" w:rsidRPr="00D36E1D" w:rsidRDefault="00D36E1D" w:rsidP="00D36E1D">
      <w:pPr>
        <w:pStyle w:val="enumlev1"/>
        <w:rPr>
          <w:lang w:val="es-ES"/>
        </w:rPr>
      </w:pPr>
      <w:r w:rsidRPr="00D36E1D">
        <w:rPr>
          <w:lang w:val="es-ES"/>
        </w:rPr>
        <w:t>–</w:t>
      </w:r>
      <w:r w:rsidRPr="00D36E1D">
        <w:rPr>
          <w:lang w:val="es-ES"/>
        </w:rPr>
        <w:tab/>
        <w:t>verificación de que los satélites se mantienen dentro de las tolerancias de altitud e inclinación definidas en la Resolución</w:t>
      </w:r>
      <w:r w:rsidR="00965F3B">
        <w:rPr>
          <w:lang w:val="es-ES"/>
        </w:rPr>
        <w:t> </w:t>
      </w:r>
      <w:r w:rsidRPr="00965F3B">
        <w:rPr>
          <w:b/>
          <w:bCs/>
          <w:lang w:val="es-ES"/>
        </w:rPr>
        <w:t>8 (CMR</w:t>
      </w:r>
      <w:r w:rsidR="00965F3B" w:rsidRPr="00965F3B">
        <w:rPr>
          <w:b/>
          <w:bCs/>
          <w:lang w:val="es-ES"/>
        </w:rPr>
        <w:noBreakHyphen/>
      </w:r>
      <w:r w:rsidRPr="00965F3B">
        <w:rPr>
          <w:b/>
          <w:bCs/>
          <w:lang w:val="es-ES"/>
        </w:rPr>
        <w:t>23)</w:t>
      </w:r>
      <w:r w:rsidR="00965F3B">
        <w:rPr>
          <w:lang w:val="es-ES"/>
        </w:rPr>
        <w:t>;</w:t>
      </w:r>
    </w:p>
    <w:p w14:paraId="2E2CB241" w14:textId="26A2A02D" w:rsidR="00D36E1D" w:rsidRPr="00D36E1D" w:rsidRDefault="00D36E1D" w:rsidP="00D36E1D">
      <w:pPr>
        <w:pStyle w:val="enumlev1"/>
        <w:rPr>
          <w:lang w:val="es-ES"/>
        </w:rPr>
      </w:pPr>
      <w:r w:rsidRPr="00D36E1D">
        <w:rPr>
          <w:lang w:val="es-ES"/>
        </w:rPr>
        <w:t>–</w:t>
      </w:r>
      <w:r w:rsidRPr="00D36E1D">
        <w:rPr>
          <w:lang w:val="es-ES"/>
        </w:rPr>
        <w:tab/>
        <w:t>filtrar por bandas de frecuencias, apogeo, perigeo, inclinación y ascensión recta del nodo ascendente (RAAN)</w:t>
      </w:r>
      <w:r w:rsidR="00965F3B">
        <w:rPr>
          <w:lang w:val="es-ES"/>
        </w:rPr>
        <w:t>;</w:t>
      </w:r>
    </w:p>
    <w:p w14:paraId="03BF304C" w14:textId="592DC161" w:rsidR="00D36E1D" w:rsidRPr="00D36E1D" w:rsidRDefault="00D36E1D" w:rsidP="00D36E1D">
      <w:pPr>
        <w:pStyle w:val="enumlev1"/>
        <w:rPr>
          <w:lang w:val="es-ES"/>
        </w:rPr>
      </w:pPr>
      <w:r w:rsidRPr="00D36E1D">
        <w:rPr>
          <w:lang w:val="es-ES"/>
        </w:rPr>
        <w:t>–</w:t>
      </w:r>
      <w:r w:rsidRPr="00D36E1D">
        <w:rPr>
          <w:lang w:val="es-ES"/>
        </w:rPr>
        <w:tab/>
        <w:t>detalles de las asignaciones de frecuencias asociadas inscritas en el Registro Internacional de Frecuencias para un sistema de satélites seleccionado</w:t>
      </w:r>
      <w:r w:rsidR="00965F3B">
        <w:rPr>
          <w:lang w:val="es-ES"/>
        </w:rPr>
        <w:t>;</w:t>
      </w:r>
    </w:p>
    <w:p w14:paraId="58AC8E6D" w14:textId="7DC441CC" w:rsidR="00D36E1D" w:rsidRPr="00D36E1D" w:rsidRDefault="00D36E1D" w:rsidP="00D36E1D">
      <w:pPr>
        <w:pStyle w:val="enumlev1"/>
        <w:rPr>
          <w:lang w:val="es-ES"/>
        </w:rPr>
      </w:pPr>
      <w:r w:rsidRPr="00D36E1D">
        <w:rPr>
          <w:lang w:val="es-ES"/>
        </w:rPr>
        <w:t>–</w:t>
      </w:r>
      <w:r w:rsidRPr="00D36E1D">
        <w:rPr>
          <w:lang w:val="es-ES"/>
        </w:rPr>
        <w:tab/>
        <w:t>enlace a las Secciones Especiales asociadas publicadas en virtud de la Resolución</w:t>
      </w:r>
      <w:r w:rsidR="00965F3B">
        <w:rPr>
          <w:lang w:val="es-ES"/>
        </w:rPr>
        <w:t> </w:t>
      </w:r>
      <w:r w:rsidRPr="00DE2079">
        <w:rPr>
          <w:b/>
          <w:bCs/>
          <w:lang w:val="es-ES"/>
        </w:rPr>
        <w:t>8 (CMR</w:t>
      </w:r>
      <w:r w:rsidR="00965F3B" w:rsidRPr="00DE2079">
        <w:rPr>
          <w:b/>
          <w:bCs/>
          <w:lang w:val="es-ES"/>
        </w:rPr>
        <w:noBreakHyphen/>
      </w:r>
      <w:r w:rsidRPr="00DE2079">
        <w:rPr>
          <w:b/>
          <w:bCs/>
          <w:lang w:val="es-ES"/>
        </w:rPr>
        <w:t>23)</w:t>
      </w:r>
      <w:r w:rsidRPr="00D36E1D">
        <w:rPr>
          <w:lang w:val="es-ES"/>
        </w:rPr>
        <w:t xml:space="preserve"> y situación de despliegue en virtud de la Resolución</w:t>
      </w:r>
      <w:r w:rsidR="00965F3B">
        <w:rPr>
          <w:lang w:val="es-ES"/>
        </w:rPr>
        <w:t> </w:t>
      </w:r>
      <w:r w:rsidRPr="00D36E1D">
        <w:rPr>
          <w:lang w:val="es-ES"/>
        </w:rPr>
        <w:t>35 (CMR</w:t>
      </w:r>
      <w:r w:rsidR="00965F3B">
        <w:rPr>
          <w:lang w:val="es-ES"/>
        </w:rPr>
        <w:noBreakHyphen/>
      </w:r>
      <w:r w:rsidRPr="00D36E1D">
        <w:rPr>
          <w:lang w:val="es-ES"/>
        </w:rPr>
        <w:t>23)</w:t>
      </w:r>
      <w:r w:rsidR="00965F3B">
        <w:rPr>
          <w:lang w:val="es-ES"/>
        </w:rPr>
        <w:t>;</w:t>
      </w:r>
    </w:p>
    <w:p w14:paraId="6EE0DBFD" w14:textId="4F480322" w:rsidR="00D36E1D" w:rsidRPr="00D36E1D" w:rsidRDefault="00D36E1D" w:rsidP="00D36E1D">
      <w:pPr>
        <w:pStyle w:val="enumlev1"/>
        <w:rPr>
          <w:lang w:val="es-ES"/>
        </w:rPr>
      </w:pPr>
      <w:r w:rsidRPr="00D36E1D">
        <w:rPr>
          <w:lang w:val="es-ES"/>
        </w:rPr>
        <w:lastRenderedPageBreak/>
        <w:t>–</w:t>
      </w:r>
      <w:r w:rsidRPr="00D36E1D">
        <w:rPr>
          <w:lang w:val="es-ES"/>
        </w:rPr>
        <w:tab/>
        <w:t>acceso a puntos de contacto directos para la mitigación de la interferencia de radiofrecuencia y las operaciones espaciales.</w:t>
      </w:r>
    </w:p>
    <w:p w14:paraId="4364646F" w14:textId="00E496E9" w:rsidR="00D36E1D" w:rsidRPr="00D36E1D" w:rsidRDefault="00D36E1D" w:rsidP="00D36E1D">
      <w:pPr>
        <w:rPr>
          <w:lang w:val="es-ES"/>
        </w:rPr>
      </w:pPr>
      <w:r w:rsidRPr="00D36E1D">
        <w:rPr>
          <w:lang w:val="es-ES"/>
        </w:rPr>
        <w:t>El sistema está vinculado al Registro Internacional de Frecuencias (MIFR) y su acceso está protegido por TIES y restringido a los Miembros de Sector del UIT</w:t>
      </w:r>
      <w:r w:rsidR="00965F3B">
        <w:rPr>
          <w:lang w:val="es-ES"/>
        </w:rPr>
        <w:noBreakHyphen/>
      </w:r>
      <w:r w:rsidRPr="00D36E1D">
        <w:rPr>
          <w:lang w:val="es-ES"/>
        </w:rPr>
        <w:t>R.</w:t>
      </w:r>
    </w:p>
    <w:p w14:paraId="7D6DC2F9" w14:textId="5C7E1DB1" w:rsidR="00D36E1D" w:rsidRPr="00D36E1D" w:rsidRDefault="00D36E1D" w:rsidP="00D36E1D">
      <w:pPr>
        <w:rPr>
          <w:lang w:val="es-ES"/>
        </w:rPr>
      </w:pPr>
      <w:r w:rsidRPr="00D36E1D">
        <w:rPr>
          <w:lang w:val="es-ES"/>
        </w:rPr>
        <w:t>Se ha creado una página web dedicada a Argus, que puede consultarse en:</w:t>
      </w:r>
    </w:p>
    <w:p w14:paraId="76DDC3B0" w14:textId="609C04B2" w:rsidR="00D36E1D" w:rsidRPr="00D36E1D" w:rsidRDefault="00965F3B" w:rsidP="00965F3B">
      <w:pPr>
        <w:jc w:val="center"/>
        <w:rPr>
          <w:lang w:val="es-ES"/>
        </w:rPr>
      </w:pPr>
      <w:hyperlink r:id="rId8" w:history="1">
        <w:r w:rsidRPr="00B5220D">
          <w:rPr>
            <w:rStyle w:val="Hyperlink"/>
            <w:lang w:val="es-ES"/>
          </w:rPr>
          <w:t>https://itu.int/space-argus/</w:t>
        </w:r>
      </w:hyperlink>
    </w:p>
    <w:p w14:paraId="34A9333F" w14:textId="77777777" w:rsidR="00D36E1D" w:rsidRPr="00D36E1D" w:rsidRDefault="00D36E1D" w:rsidP="00D36E1D">
      <w:pPr>
        <w:rPr>
          <w:lang w:val="es-ES"/>
        </w:rPr>
      </w:pPr>
      <w:r w:rsidRPr="00D36E1D">
        <w:rPr>
          <w:lang w:val="es-ES"/>
        </w:rPr>
        <w:t>Además, la Oficina ha constatado que el creciente número de sistemas de satélites no geoestacionarios en funcionamiento aumenta la posibilidad de que se produzcan casos de interferencia perjudicial y que la naturaleza variable en el tiempo de la interferencia producida por las estaciones espaciales a bordo de satélites no geoestacionarios hace más difícil identificar la fuente de la posible interferencia.</w:t>
      </w:r>
    </w:p>
    <w:p w14:paraId="5A1FB88C" w14:textId="77777777" w:rsidR="00D36E1D" w:rsidRPr="00D36E1D" w:rsidRDefault="00D36E1D" w:rsidP="00D36E1D">
      <w:pPr>
        <w:rPr>
          <w:lang w:val="es-ES"/>
        </w:rPr>
      </w:pPr>
      <w:r w:rsidRPr="00D36E1D">
        <w:rPr>
          <w:lang w:val="es-ES"/>
        </w:rPr>
        <w:t>Como resultado y con el fin de facilitar las comunicaciones entre las administraciones notificantes y las empresas de explotación de sistemas de satélites, la plataforma Argus ha incorporado una función que permite indicar un punto de contacto dentro del operador de satélites del sistema.</w:t>
      </w:r>
    </w:p>
    <w:p w14:paraId="0DF7C9B3" w14:textId="1D954C5E" w:rsidR="00D36E1D" w:rsidRPr="00D36E1D" w:rsidRDefault="00D36E1D" w:rsidP="00D36E1D">
      <w:pPr>
        <w:rPr>
          <w:lang w:val="es-ES"/>
        </w:rPr>
      </w:pPr>
      <w:r w:rsidRPr="00D36E1D">
        <w:rPr>
          <w:lang w:val="es-ES"/>
        </w:rPr>
        <w:t>Para completar esta característica, se invita a los operadores de satélites a presentar, a través de su administración notificante, la información que se indica a continuación para cada sistema de satélites ya notificado o, para futuros sistemas, cuando se notifique con arreglo al Artículo</w:t>
      </w:r>
      <w:r w:rsidR="00965F3B">
        <w:rPr>
          <w:lang w:val="es-ES"/>
        </w:rPr>
        <w:t> </w:t>
      </w:r>
      <w:r w:rsidRPr="00965F3B">
        <w:rPr>
          <w:b/>
          <w:bCs/>
          <w:lang w:val="es-ES"/>
        </w:rPr>
        <w:t>11</w:t>
      </w:r>
      <w:r w:rsidRPr="00D36E1D">
        <w:rPr>
          <w:lang w:val="es-ES"/>
        </w:rPr>
        <w:t xml:space="preserve"> del Reglamento de Radiocomunicaciones:</w:t>
      </w:r>
    </w:p>
    <w:p w14:paraId="76018EA6" w14:textId="151E9BE5" w:rsidR="00D36E1D" w:rsidRPr="00D36E1D" w:rsidRDefault="00D36E1D" w:rsidP="00D36E1D">
      <w:pPr>
        <w:pStyle w:val="enumlev1"/>
        <w:rPr>
          <w:lang w:val="es-ES"/>
        </w:rPr>
      </w:pPr>
      <w:r w:rsidRPr="00D36E1D">
        <w:rPr>
          <w:lang w:val="es-ES"/>
        </w:rPr>
        <w:t>1</w:t>
      </w:r>
      <w:r>
        <w:rPr>
          <w:lang w:val="es-ES"/>
        </w:rPr>
        <w:t>)</w:t>
      </w:r>
      <w:r w:rsidRPr="00D36E1D">
        <w:rPr>
          <w:lang w:val="es-ES"/>
        </w:rPr>
        <w:tab/>
        <w:t>Nombre del sistema de satélite notificado a la</w:t>
      </w:r>
      <w:r w:rsidR="00965F3B">
        <w:rPr>
          <w:lang w:val="es-ES"/>
        </w:rPr>
        <w:t> </w:t>
      </w:r>
      <w:r w:rsidRPr="00D36E1D">
        <w:rPr>
          <w:lang w:val="es-ES"/>
        </w:rPr>
        <w:t>UIT</w:t>
      </w:r>
    </w:p>
    <w:p w14:paraId="34CA601B" w14:textId="246616AE" w:rsidR="00D36E1D" w:rsidRPr="00D36E1D" w:rsidRDefault="00D36E1D" w:rsidP="00D36E1D">
      <w:pPr>
        <w:pStyle w:val="enumlev1"/>
        <w:rPr>
          <w:lang w:val="es-ES"/>
        </w:rPr>
      </w:pPr>
      <w:r w:rsidRPr="00D36E1D">
        <w:rPr>
          <w:lang w:val="es-ES"/>
        </w:rPr>
        <w:t>2</w:t>
      </w:r>
      <w:r>
        <w:rPr>
          <w:lang w:val="es-ES"/>
        </w:rPr>
        <w:t>)</w:t>
      </w:r>
      <w:r w:rsidRPr="00D36E1D">
        <w:rPr>
          <w:lang w:val="es-ES"/>
        </w:rPr>
        <w:tab/>
        <w:t>Nombre del operador de satélite</w:t>
      </w:r>
    </w:p>
    <w:p w14:paraId="52D5B191" w14:textId="7056DE39" w:rsidR="00D36E1D" w:rsidRPr="00D36E1D" w:rsidRDefault="00D36E1D" w:rsidP="00D36E1D">
      <w:pPr>
        <w:pStyle w:val="enumlev1"/>
        <w:rPr>
          <w:lang w:val="es-ES"/>
        </w:rPr>
      </w:pPr>
      <w:r w:rsidRPr="00D36E1D">
        <w:rPr>
          <w:lang w:val="es-ES"/>
        </w:rPr>
        <w:t>3</w:t>
      </w:r>
      <w:r>
        <w:rPr>
          <w:lang w:val="es-ES"/>
        </w:rPr>
        <w:t>)</w:t>
      </w:r>
      <w:r w:rsidRPr="00D36E1D">
        <w:rPr>
          <w:lang w:val="es-ES"/>
        </w:rPr>
        <w:tab/>
        <w:t>Persona de contacto directa:</w:t>
      </w:r>
    </w:p>
    <w:p w14:paraId="6B09E5A2" w14:textId="77777777" w:rsidR="00D36E1D" w:rsidRPr="00D36E1D" w:rsidRDefault="00D36E1D" w:rsidP="00D36E1D">
      <w:pPr>
        <w:pStyle w:val="enumlev2"/>
        <w:rPr>
          <w:lang w:val="es-ES"/>
        </w:rPr>
      </w:pPr>
      <w:r w:rsidRPr="00D36E1D">
        <w:rPr>
          <w:lang w:val="es-ES"/>
        </w:rPr>
        <w:t>a)</w:t>
      </w:r>
      <w:r w:rsidRPr="00D36E1D">
        <w:rPr>
          <w:lang w:val="es-ES"/>
        </w:rPr>
        <w:tab/>
        <w:t>Nombre completo</w:t>
      </w:r>
    </w:p>
    <w:p w14:paraId="75BB6F82" w14:textId="77777777" w:rsidR="00D36E1D" w:rsidRPr="00D36E1D" w:rsidRDefault="00D36E1D" w:rsidP="00D36E1D">
      <w:pPr>
        <w:pStyle w:val="enumlev2"/>
        <w:rPr>
          <w:lang w:val="es-ES"/>
        </w:rPr>
      </w:pPr>
      <w:r w:rsidRPr="00D36E1D">
        <w:rPr>
          <w:lang w:val="es-ES"/>
        </w:rPr>
        <w:t>b)</w:t>
      </w:r>
      <w:r w:rsidRPr="00D36E1D">
        <w:rPr>
          <w:lang w:val="es-ES"/>
        </w:rPr>
        <w:tab/>
        <w:t>Título</w:t>
      </w:r>
    </w:p>
    <w:p w14:paraId="32B1D194" w14:textId="77777777" w:rsidR="00D36E1D" w:rsidRPr="00D36E1D" w:rsidRDefault="00D36E1D" w:rsidP="00D36E1D">
      <w:pPr>
        <w:pStyle w:val="enumlev2"/>
        <w:rPr>
          <w:lang w:val="es-ES"/>
        </w:rPr>
      </w:pPr>
      <w:r w:rsidRPr="00D36E1D">
        <w:rPr>
          <w:lang w:val="es-ES"/>
        </w:rPr>
        <w:t>c)</w:t>
      </w:r>
      <w:r w:rsidRPr="00D36E1D">
        <w:rPr>
          <w:lang w:val="es-ES"/>
        </w:rPr>
        <w:tab/>
        <w:t>Dirección de correo electrónico</w:t>
      </w:r>
    </w:p>
    <w:p w14:paraId="6AC1DE46" w14:textId="77777777" w:rsidR="00D36E1D" w:rsidRPr="00D36E1D" w:rsidRDefault="00D36E1D" w:rsidP="00D36E1D">
      <w:pPr>
        <w:pStyle w:val="enumlev2"/>
        <w:rPr>
          <w:lang w:val="es-ES"/>
        </w:rPr>
      </w:pPr>
      <w:r w:rsidRPr="00D36E1D">
        <w:rPr>
          <w:lang w:val="es-ES"/>
        </w:rPr>
        <w:t>d)</w:t>
      </w:r>
      <w:r w:rsidRPr="00D36E1D">
        <w:rPr>
          <w:lang w:val="es-ES"/>
        </w:rPr>
        <w:tab/>
        <w:t>Teléfono</w:t>
      </w:r>
    </w:p>
    <w:p w14:paraId="2A791685" w14:textId="44A04D39" w:rsidR="00D36E1D" w:rsidRPr="00D36E1D" w:rsidRDefault="00D36E1D" w:rsidP="00D36E1D">
      <w:pPr>
        <w:pStyle w:val="Note"/>
        <w:rPr>
          <w:lang w:val="es-ES"/>
        </w:rPr>
      </w:pPr>
      <w:r w:rsidRPr="00D36E1D">
        <w:rPr>
          <w:lang w:val="es-ES"/>
        </w:rPr>
        <w:t>NOTA – Los apartados</w:t>
      </w:r>
      <w:r w:rsidR="00F36F7E">
        <w:rPr>
          <w:lang w:val="es-ES"/>
        </w:rPr>
        <w:t> </w:t>
      </w:r>
      <w:r w:rsidRPr="00D36E1D">
        <w:rPr>
          <w:lang w:val="es-ES"/>
        </w:rPr>
        <w:t xml:space="preserve">3a) y 3b) pueden sustituirse por un punto de contacto genérico si la dirección de correo electrónico es genérica. </w:t>
      </w:r>
    </w:p>
    <w:p w14:paraId="0261C629" w14:textId="77777777" w:rsidR="00D36E1D" w:rsidRPr="00D36E1D" w:rsidRDefault="00D36E1D" w:rsidP="00D36E1D">
      <w:pPr>
        <w:rPr>
          <w:lang w:val="es-ES"/>
        </w:rPr>
      </w:pPr>
      <w:r w:rsidRPr="00D36E1D">
        <w:rPr>
          <w:lang w:val="es-ES"/>
        </w:rPr>
        <w:t>A tal efecto, la administración notificante puede enviar una carta a la Oficina de Radiocomunicaciones a través de comunicaciones electrónicas.</w:t>
      </w:r>
    </w:p>
    <w:p w14:paraId="7BFBBE33" w14:textId="47D21842" w:rsidR="00D36E1D" w:rsidRPr="00D36E1D" w:rsidRDefault="00D36E1D" w:rsidP="00D36E1D">
      <w:pPr>
        <w:rPr>
          <w:lang w:val="es-ES"/>
        </w:rPr>
      </w:pPr>
      <w:r w:rsidRPr="00D36E1D">
        <w:rPr>
          <w:lang w:val="es-ES"/>
        </w:rPr>
        <w:t>Las administraciones notificantes y los operadores de satélites son responsables de mantener actualizada esta información cuando se produzca un cambio de datos.</w:t>
      </w:r>
    </w:p>
    <w:p w14:paraId="03BCAA49" w14:textId="473339DB" w:rsidR="00D36E1D" w:rsidRPr="00D36E1D" w:rsidRDefault="00D36E1D" w:rsidP="00D36E1D">
      <w:pPr>
        <w:rPr>
          <w:lang w:val="es-ES"/>
        </w:rPr>
      </w:pPr>
      <w:r w:rsidRPr="00D36E1D">
        <w:rPr>
          <w:lang w:val="es-ES"/>
        </w:rPr>
        <w:t>Si tiene alguna pregunta relacionada con la presente Carta Circular, puede ponerse en contacto con el Sr.</w:t>
      </w:r>
      <w:r w:rsidR="0044420A">
        <w:rPr>
          <w:lang w:val="es-ES"/>
        </w:rPr>
        <w:t> </w:t>
      </w:r>
      <w:r w:rsidRPr="00D36E1D">
        <w:rPr>
          <w:lang w:val="es-ES"/>
        </w:rPr>
        <w:t xml:space="preserve">Jorge Ciccorossi, </w:t>
      </w:r>
      <w:proofErr w:type="gramStart"/>
      <w:r w:rsidRPr="00D36E1D">
        <w:rPr>
          <w:lang w:val="es-ES"/>
        </w:rPr>
        <w:t>Jefe</w:t>
      </w:r>
      <w:proofErr w:type="gramEnd"/>
      <w:r w:rsidRPr="00D36E1D">
        <w:rPr>
          <w:lang w:val="es-ES"/>
        </w:rPr>
        <w:t xml:space="preserve"> de la División de Estrategia Espacial y Sostenibilidad de </w:t>
      </w:r>
      <w:hyperlink r:id="rId9" w:history="1">
        <w:r w:rsidR="00965F3B" w:rsidRPr="00B5220D">
          <w:rPr>
            <w:rStyle w:val="Hyperlink"/>
            <w:lang w:val="es-ES"/>
          </w:rPr>
          <w:t>jorge.ciccorossi@itu.int</w:t>
        </w:r>
      </w:hyperlink>
      <w:r w:rsidRPr="00D36E1D">
        <w:rPr>
          <w:lang w:val="es-ES"/>
        </w:rPr>
        <w:t>.</w:t>
      </w:r>
    </w:p>
    <w:p w14:paraId="27FF092B" w14:textId="0553A5A8" w:rsidR="003969C9" w:rsidRPr="00D36E1D" w:rsidRDefault="00D36E1D" w:rsidP="00D36E1D">
      <w:pPr>
        <w:rPr>
          <w:lang w:val="es-ES"/>
        </w:rPr>
      </w:pPr>
      <w:r w:rsidRPr="00D36E1D">
        <w:rPr>
          <w:lang w:val="es-ES"/>
        </w:rPr>
        <w:t>Confío en que su Administración haga uso de estos nuevos recursos y mantenga actualizada la información para contribuir de manera colaborativa a garantizar la sostenibilidad necesaria de los sistemas de radiocomunicaciones espaciales.</w:t>
      </w:r>
    </w:p>
    <w:p w14:paraId="6635E23D" w14:textId="7506C49E" w:rsidR="00D239B4" w:rsidRDefault="001B3D4D" w:rsidP="002D12DA">
      <w:pPr>
        <w:spacing w:before="840"/>
        <w:jc w:val="left"/>
        <w:rPr>
          <w:szCs w:val="24"/>
          <w:lang w:val="es-ES"/>
        </w:rPr>
      </w:pPr>
      <w:r w:rsidRPr="00A16BE4">
        <w:rPr>
          <w:lang w:val="es-ES"/>
        </w:rPr>
        <w:t>Mario Maniewicz</w:t>
      </w:r>
      <w:r w:rsidR="00E53DCE" w:rsidRPr="0033029C">
        <w:rPr>
          <w:szCs w:val="24"/>
          <w:lang w:val="es-ES"/>
        </w:rPr>
        <w:br/>
      </w:r>
      <w:proofErr w:type="gramStart"/>
      <w:r w:rsidR="00A96D3A" w:rsidRPr="0033029C">
        <w:rPr>
          <w:szCs w:val="24"/>
          <w:lang w:val="es-ES"/>
        </w:rPr>
        <w:t>Director</w:t>
      </w:r>
      <w:proofErr w:type="gramEnd"/>
    </w:p>
    <w:p w14:paraId="499E8324" w14:textId="77777777" w:rsidR="00D36E1D" w:rsidRPr="00965F3B" w:rsidRDefault="00D36E1D" w:rsidP="00F36F7E">
      <w:pPr>
        <w:spacing w:before="240"/>
        <w:rPr>
          <w:b/>
          <w:bCs/>
          <w:sz w:val="18"/>
          <w:szCs w:val="18"/>
          <w:lang w:val="es-ES"/>
        </w:rPr>
      </w:pPr>
      <w:r w:rsidRPr="00965F3B">
        <w:rPr>
          <w:b/>
          <w:bCs/>
          <w:sz w:val="18"/>
          <w:szCs w:val="18"/>
          <w:u w:val="single"/>
          <w:lang w:val="es-ES"/>
        </w:rPr>
        <w:t>Distribución</w:t>
      </w:r>
      <w:r w:rsidRPr="00965F3B">
        <w:rPr>
          <w:b/>
          <w:bCs/>
          <w:sz w:val="18"/>
          <w:szCs w:val="18"/>
          <w:lang w:val="es-ES"/>
        </w:rPr>
        <w:t>:</w:t>
      </w:r>
    </w:p>
    <w:p w14:paraId="6119E7AC" w14:textId="76C83DD3" w:rsidR="00D36E1D" w:rsidRPr="00D36E1D" w:rsidRDefault="00D36E1D" w:rsidP="00A16BE4">
      <w:pPr>
        <w:spacing w:before="0" w:line="240" w:lineRule="auto"/>
        <w:rPr>
          <w:sz w:val="18"/>
          <w:szCs w:val="18"/>
          <w:lang w:val="es-ES"/>
        </w:rPr>
      </w:pPr>
      <w:r w:rsidRPr="00D36E1D">
        <w:rPr>
          <w:sz w:val="18"/>
          <w:szCs w:val="18"/>
          <w:lang w:val="es-ES"/>
        </w:rPr>
        <w:t>–</w:t>
      </w:r>
      <w:r w:rsidRPr="00D36E1D">
        <w:rPr>
          <w:sz w:val="18"/>
          <w:szCs w:val="18"/>
          <w:lang w:val="es-ES"/>
        </w:rPr>
        <w:tab/>
        <w:t>Administraciones de los Estados Miembros de la UIT</w:t>
      </w:r>
    </w:p>
    <w:p w14:paraId="39D9AB65" w14:textId="2E25DDB5" w:rsidR="00D36E1D" w:rsidRPr="00D36E1D" w:rsidRDefault="00D36E1D" w:rsidP="00A16BE4">
      <w:pPr>
        <w:spacing w:before="0" w:line="240" w:lineRule="auto"/>
        <w:rPr>
          <w:sz w:val="18"/>
          <w:szCs w:val="18"/>
          <w:lang w:val="es-ES"/>
        </w:rPr>
      </w:pPr>
      <w:r w:rsidRPr="00D36E1D">
        <w:rPr>
          <w:sz w:val="18"/>
          <w:szCs w:val="18"/>
          <w:lang w:val="es-ES"/>
        </w:rPr>
        <w:t>–</w:t>
      </w:r>
      <w:r w:rsidRPr="00D36E1D">
        <w:rPr>
          <w:sz w:val="18"/>
          <w:szCs w:val="18"/>
          <w:lang w:val="es-ES"/>
        </w:rPr>
        <w:tab/>
        <w:t>Miembros del Sector UIT-R</w:t>
      </w:r>
    </w:p>
    <w:p w14:paraId="1FB1D025" w14:textId="085D3478" w:rsidR="00D36E1D" w:rsidRPr="00D36E1D" w:rsidRDefault="00D36E1D" w:rsidP="00A16BE4">
      <w:pPr>
        <w:spacing w:before="0" w:line="240" w:lineRule="auto"/>
        <w:rPr>
          <w:sz w:val="18"/>
          <w:szCs w:val="18"/>
          <w:lang w:val="es-ES"/>
        </w:rPr>
      </w:pPr>
      <w:r w:rsidRPr="00D36E1D">
        <w:rPr>
          <w:sz w:val="18"/>
          <w:szCs w:val="18"/>
          <w:lang w:val="es-ES"/>
        </w:rPr>
        <w:t>–</w:t>
      </w:r>
      <w:r w:rsidRPr="00D36E1D">
        <w:rPr>
          <w:sz w:val="18"/>
          <w:szCs w:val="18"/>
          <w:lang w:val="es-ES"/>
        </w:rPr>
        <w:tab/>
        <w:t>Miembros de la Junta del Reglamento de Radiocomunicaciones</w:t>
      </w:r>
    </w:p>
    <w:sectPr w:rsidR="00D36E1D" w:rsidRPr="00D36E1D" w:rsidSect="00A16BE4">
      <w:headerReference w:type="even" r:id="rId10"/>
      <w:headerReference w:type="default" r:id="rId11"/>
      <w:headerReference w:type="first" r:id="rId12"/>
      <w:footerReference w:type="first" r:id="rId13"/>
      <w:pgSz w:w="11907" w:h="16834" w:code="9"/>
      <w:pgMar w:top="1134" w:right="1134" w:bottom="993" w:left="1134" w:header="567" w:footer="34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ACD3" w14:textId="77777777" w:rsidR="00F914BD" w:rsidRDefault="00F914BD">
      <w:r>
        <w:separator/>
      </w:r>
    </w:p>
  </w:endnote>
  <w:endnote w:type="continuationSeparator" w:id="0">
    <w:p w14:paraId="159FBCF4" w14:textId="77777777" w:rsidR="00F914BD" w:rsidRDefault="00F9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B5DD" w14:textId="4C9FCA51" w:rsidR="005370F0" w:rsidRPr="00AA0773" w:rsidRDefault="00CF7B6D" w:rsidP="00132DD2">
    <w:pPr>
      <w:pStyle w:val="Footer"/>
      <w:spacing w:before="0" w:line="240" w:lineRule="auto"/>
      <w:jc w:val="center"/>
      <w:rPr>
        <w:sz w:val="19"/>
        <w:szCs w:val="19"/>
        <w:lang w:val="es-ES"/>
      </w:rPr>
    </w:pPr>
    <w:r w:rsidRPr="00353E34">
      <w:rPr>
        <w:color w:val="4F81BD" w:themeColor="accent1"/>
        <w:sz w:val="19"/>
        <w:szCs w:val="19"/>
        <w:lang w:val="es-ES"/>
      </w:rPr>
      <w:t>Unión Internacional de Telecomunicaciones • Place des Nations, CH-1211 Ginebra 20, Suiza</w:t>
    </w:r>
    <w:r w:rsidRPr="00353E34">
      <w:rPr>
        <w:color w:val="4F81BD" w:themeColor="accent1"/>
        <w:sz w:val="19"/>
        <w:szCs w:val="19"/>
        <w:lang w:val="es-ES"/>
      </w:rPr>
      <w:br/>
      <w:t xml:space="preserve">Tel.: +41 22 730 5111 • Correo-e: </w:t>
    </w:r>
    <w:hyperlink r:id="rId1" w:history="1">
      <w:r w:rsidR="00A16BE4" w:rsidRPr="00E67744">
        <w:rPr>
          <w:rStyle w:val="Hyperlink"/>
          <w:sz w:val="19"/>
          <w:szCs w:val="19"/>
          <w:lang w:val="es-ES"/>
        </w:rPr>
        <w:t>brmail@itu.int</w:t>
      </w:r>
    </w:hyperlink>
    <w:r w:rsidRPr="00353E34">
      <w:rPr>
        <w:color w:val="4F81BD" w:themeColor="accent1"/>
        <w:sz w:val="19"/>
        <w:szCs w:val="19"/>
        <w:lang w:val="es-ES"/>
      </w:rPr>
      <w:t xml:space="preserve"> </w:t>
    </w:r>
    <w:r w:rsidRPr="00353E34">
      <w:rPr>
        <w:color w:val="4F81BD"/>
        <w:sz w:val="19"/>
        <w:szCs w:val="19"/>
        <w:lang w:val="es-ES"/>
      </w:rPr>
      <w:t xml:space="preserve">• Fax: +41 22 733 7256 • </w:t>
    </w:r>
    <w:hyperlink r:id="rId2" w:history="1">
      <w:r w:rsidR="00AA0773" w:rsidRPr="00523E34">
        <w:rPr>
          <w:rStyle w:val="Hyperlink"/>
          <w:sz w:val="19"/>
          <w:szCs w:val="19"/>
          <w:lang w:val="es-E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FF5F9" w14:textId="77777777" w:rsidR="00F914BD" w:rsidRDefault="00F914BD">
      <w:r>
        <w:t>____________________</w:t>
      </w:r>
    </w:p>
  </w:footnote>
  <w:footnote w:type="continuationSeparator" w:id="0">
    <w:p w14:paraId="49148481" w14:textId="77777777" w:rsidR="00F914BD" w:rsidRDefault="00F9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AE91" w14:textId="0409C569" w:rsidR="00E915AF" w:rsidRPr="00D239B4" w:rsidRDefault="001B42C9" w:rsidP="00D316C8">
    <w:pPr>
      <w:pStyle w:val="Header"/>
      <w:jc w:val="center"/>
      <w:rPr>
        <w:sz w:val="18"/>
        <w:szCs w:val="16"/>
      </w:rPr>
    </w:pPr>
    <w:r w:rsidRPr="00D239B4">
      <w:rPr>
        <w:rStyle w:val="PageNumber"/>
        <w:sz w:val="18"/>
        <w:szCs w:val="16"/>
      </w:rPr>
      <w:fldChar w:fldCharType="begin"/>
    </w:r>
    <w:r w:rsidR="00E915AF" w:rsidRPr="00D239B4">
      <w:rPr>
        <w:rStyle w:val="PageNumber"/>
        <w:sz w:val="18"/>
        <w:szCs w:val="16"/>
      </w:rPr>
      <w:instrText xml:space="preserve"> PAGE </w:instrText>
    </w:r>
    <w:r w:rsidRPr="00D239B4">
      <w:rPr>
        <w:rStyle w:val="PageNumber"/>
        <w:sz w:val="18"/>
        <w:szCs w:val="16"/>
      </w:rPr>
      <w:fldChar w:fldCharType="separate"/>
    </w:r>
    <w:r w:rsidR="00535FEF">
      <w:rPr>
        <w:rStyle w:val="PageNumber"/>
        <w:noProof/>
        <w:sz w:val="18"/>
        <w:szCs w:val="16"/>
      </w:rPr>
      <w:t>2</w:t>
    </w:r>
    <w:r w:rsidRPr="00D239B4">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8C66" w14:textId="77777777" w:rsidR="00D316C8" w:rsidRPr="00D239B4" w:rsidRDefault="00D316C8" w:rsidP="00D316C8">
    <w:pPr>
      <w:pStyle w:val="Header"/>
      <w:jc w:val="center"/>
      <w:rPr>
        <w:sz w:val="18"/>
        <w:szCs w:val="16"/>
      </w:rPr>
    </w:pP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Pr>
        <w:rStyle w:val="PageNumber"/>
        <w:sz w:val="18"/>
        <w:szCs w:val="16"/>
      </w:rPr>
      <w:t>2</w:t>
    </w:r>
    <w:r w:rsidRPr="00D239B4">
      <w:rPr>
        <w:rStyle w:val="PageNumbe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2"/>
    </w:tblGrid>
    <w:tr w:rsidR="002A3F03" w14:paraId="17DCC20F" w14:textId="77777777" w:rsidTr="002A3F03">
      <w:tc>
        <w:tcPr>
          <w:tcW w:w="9862" w:type="dxa"/>
          <w:tcMar>
            <w:left w:w="0" w:type="dxa"/>
          </w:tcMar>
        </w:tcPr>
        <w:p w14:paraId="0EDA5A65" w14:textId="77777777" w:rsidR="002A3F03" w:rsidRDefault="002A3F03" w:rsidP="002B7EE0">
          <w:pPr>
            <w:pStyle w:val="FirstFooter"/>
            <w:spacing w:line="240" w:lineRule="auto"/>
            <w:ind w:left="-397" w:right="-397"/>
            <w:jc w:val="center"/>
          </w:pPr>
          <w:r>
            <w:rPr>
              <w:noProof/>
              <w:lang w:val="en-GB" w:eastAsia="en-GB"/>
            </w:rPr>
            <w:drawing>
              <wp:inline distT="0" distB="0" distL="0" distR="0" wp14:anchorId="654BBB77" wp14:editId="2563B30D">
                <wp:extent cx="765175" cy="765175"/>
                <wp:effectExtent l="0" t="0" r="0" b="0"/>
                <wp:docPr id="2114624129" name="Picture 2114624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0B0D68E2"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05180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789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2DD2"/>
    <w:rsid w:val="00134404"/>
    <w:rsid w:val="00144DFB"/>
    <w:rsid w:val="00187CA3"/>
    <w:rsid w:val="00195EB7"/>
    <w:rsid w:val="00196710"/>
    <w:rsid w:val="00196770"/>
    <w:rsid w:val="00197324"/>
    <w:rsid w:val="001B351B"/>
    <w:rsid w:val="001B3D4D"/>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7BE7"/>
    <w:rsid w:val="00266E74"/>
    <w:rsid w:val="00283C3B"/>
    <w:rsid w:val="002861E6"/>
    <w:rsid w:val="00287D18"/>
    <w:rsid w:val="002A2618"/>
    <w:rsid w:val="002A3F03"/>
    <w:rsid w:val="002A5DD7"/>
    <w:rsid w:val="002B0CAC"/>
    <w:rsid w:val="002B7EE0"/>
    <w:rsid w:val="002D12DA"/>
    <w:rsid w:val="002D5A15"/>
    <w:rsid w:val="002D5BDD"/>
    <w:rsid w:val="002E3D27"/>
    <w:rsid w:val="002F0890"/>
    <w:rsid w:val="002F2531"/>
    <w:rsid w:val="002F4967"/>
    <w:rsid w:val="00306452"/>
    <w:rsid w:val="00311970"/>
    <w:rsid w:val="00316935"/>
    <w:rsid w:val="003266ED"/>
    <w:rsid w:val="00326C68"/>
    <w:rsid w:val="0033029C"/>
    <w:rsid w:val="003370B8"/>
    <w:rsid w:val="00345D38"/>
    <w:rsid w:val="003519AB"/>
    <w:rsid w:val="00352097"/>
    <w:rsid w:val="00353E34"/>
    <w:rsid w:val="003666FF"/>
    <w:rsid w:val="0037309C"/>
    <w:rsid w:val="00380A6E"/>
    <w:rsid w:val="003836D4"/>
    <w:rsid w:val="003969C9"/>
    <w:rsid w:val="003974CD"/>
    <w:rsid w:val="003A1F49"/>
    <w:rsid w:val="003A5378"/>
    <w:rsid w:val="003A55ED"/>
    <w:rsid w:val="003A5D52"/>
    <w:rsid w:val="003B2BDA"/>
    <w:rsid w:val="003B370E"/>
    <w:rsid w:val="003B55EC"/>
    <w:rsid w:val="003C2EA7"/>
    <w:rsid w:val="003C4471"/>
    <w:rsid w:val="003C7D41"/>
    <w:rsid w:val="003D4A69"/>
    <w:rsid w:val="003E504F"/>
    <w:rsid w:val="003E78D6"/>
    <w:rsid w:val="003F0E9F"/>
    <w:rsid w:val="00400573"/>
    <w:rsid w:val="004007A3"/>
    <w:rsid w:val="00406D71"/>
    <w:rsid w:val="004326DB"/>
    <w:rsid w:val="0043682E"/>
    <w:rsid w:val="0044420A"/>
    <w:rsid w:val="00447ECB"/>
    <w:rsid w:val="004623F7"/>
    <w:rsid w:val="00480F51"/>
    <w:rsid w:val="00481124"/>
    <w:rsid w:val="004815EB"/>
    <w:rsid w:val="00487569"/>
    <w:rsid w:val="00496864"/>
    <w:rsid w:val="00496920"/>
    <w:rsid w:val="004A449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35FEF"/>
    <w:rsid w:val="005370F0"/>
    <w:rsid w:val="00543DF8"/>
    <w:rsid w:val="00546101"/>
    <w:rsid w:val="00553364"/>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75DB8"/>
    <w:rsid w:val="00782354"/>
    <w:rsid w:val="007921A7"/>
    <w:rsid w:val="007B3DB1"/>
    <w:rsid w:val="007D183E"/>
    <w:rsid w:val="007D43D0"/>
    <w:rsid w:val="007E1833"/>
    <w:rsid w:val="007E3F13"/>
    <w:rsid w:val="007F751A"/>
    <w:rsid w:val="00800012"/>
    <w:rsid w:val="0080261F"/>
    <w:rsid w:val="00805A02"/>
    <w:rsid w:val="00806160"/>
    <w:rsid w:val="008143A4"/>
    <w:rsid w:val="0081513E"/>
    <w:rsid w:val="008202F5"/>
    <w:rsid w:val="0082526C"/>
    <w:rsid w:val="00833DCF"/>
    <w:rsid w:val="00854131"/>
    <w:rsid w:val="0085652D"/>
    <w:rsid w:val="0087205E"/>
    <w:rsid w:val="0087694B"/>
    <w:rsid w:val="00880F4D"/>
    <w:rsid w:val="008B35A3"/>
    <w:rsid w:val="008B37E1"/>
    <w:rsid w:val="008B45F8"/>
    <w:rsid w:val="008C2E74"/>
    <w:rsid w:val="008D5409"/>
    <w:rsid w:val="008D6955"/>
    <w:rsid w:val="008E006D"/>
    <w:rsid w:val="008E38B4"/>
    <w:rsid w:val="008E6F33"/>
    <w:rsid w:val="008F4F21"/>
    <w:rsid w:val="00904D4A"/>
    <w:rsid w:val="009076D7"/>
    <w:rsid w:val="00912DAB"/>
    <w:rsid w:val="009151BA"/>
    <w:rsid w:val="00925023"/>
    <w:rsid w:val="009277BC"/>
    <w:rsid w:val="00927D57"/>
    <w:rsid w:val="00931A51"/>
    <w:rsid w:val="00947185"/>
    <w:rsid w:val="009518B3"/>
    <w:rsid w:val="00953A80"/>
    <w:rsid w:val="00963D9D"/>
    <w:rsid w:val="00965F3B"/>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16BE4"/>
    <w:rsid w:val="00A20FBC"/>
    <w:rsid w:val="00A31370"/>
    <w:rsid w:val="00A34D6F"/>
    <w:rsid w:val="00A41F91"/>
    <w:rsid w:val="00A63355"/>
    <w:rsid w:val="00A7596D"/>
    <w:rsid w:val="00A80EFE"/>
    <w:rsid w:val="00A963DF"/>
    <w:rsid w:val="00A96D3A"/>
    <w:rsid w:val="00AA0773"/>
    <w:rsid w:val="00AC0C22"/>
    <w:rsid w:val="00AC3896"/>
    <w:rsid w:val="00AD2CF2"/>
    <w:rsid w:val="00AE2D88"/>
    <w:rsid w:val="00AE6F6F"/>
    <w:rsid w:val="00AF3325"/>
    <w:rsid w:val="00AF34D9"/>
    <w:rsid w:val="00AF5B37"/>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CF7B6D"/>
    <w:rsid w:val="00D10BA0"/>
    <w:rsid w:val="00D21694"/>
    <w:rsid w:val="00D239B4"/>
    <w:rsid w:val="00D24EB5"/>
    <w:rsid w:val="00D316C8"/>
    <w:rsid w:val="00D35AB9"/>
    <w:rsid w:val="00D36E1D"/>
    <w:rsid w:val="00D41571"/>
    <w:rsid w:val="00D416A0"/>
    <w:rsid w:val="00D47672"/>
    <w:rsid w:val="00D5123C"/>
    <w:rsid w:val="00D55560"/>
    <w:rsid w:val="00D61C5A"/>
    <w:rsid w:val="00D63BFF"/>
    <w:rsid w:val="00D6790C"/>
    <w:rsid w:val="00D73277"/>
    <w:rsid w:val="00D76586"/>
    <w:rsid w:val="00D82657"/>
    <w:rsid w:val="00D87E20"/>
    <w:rsid w:val="00D97EF5"/>
    <w:rsid w:val="00DA4037"/>
    <w:rsid w:val="00DE2079"/>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36F7E"/>
    <w:rsid w:val="00F424BF"/>
    <w:rsid w:val="00F44FC3"/>
    <w:rsid w:val="00F46107"/>
    <w:rsid w:val="00F468C5"/>
    <w:rsid w:val="00F52F39"/>
    <w:rsid w:val="00F6184F"/>
    <w:rsid w:val="00F8310E"/>
    <w:rsid w:val="00F914BD"/>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0C465"/>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70E"/>
    <w:pPr>
      <w:tabs>
        <w:tab w:val="left" w:pos="794"/>
        <w:tab w:val="left" w:pos="1191"/>
        <w:tab w:val="left" w:pos="1588"/>
        <w:tab w:val="left" w:pos="1985"/>
      </w:tabs>
      <w:overflowPunct w:val="0"/>
      <w:autoSpaceDE w:val="0"/>
      <w:autoSpaceDN w:val="0"/>
      <w:adjustRightInd w:val="0"/>
      <w:spacing w:before="12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styleId="UnresolvedMention">
    <w:name w:val="Unresolved Mention"/>
    <w:basedOn w:val="DefaultParagraphFont"/>
    <w:uiPriority w:val="99"/>
    <w:semiHidden/>
    <w:unhideWhenUsed/>
    <w:rsid w:val="00353E34"/>
    <w:rPr>
      <w:color w:val="605E5C"/>
      <w:shd w:val="clear" w:color="auto" w:fill="E1DFDD"/>
    </w:rPr>
  </w:style>
  <w:style w:type="paragraph" w:styleId="Revision">
    <w:name w:val="Revision"/>
    <w:hidden/>
    <w:uiPriority w:val="99"/>
    <w:semiHidden/>
    <w:rsid w:val="003A5378"/>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u.int/space-argu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rge.ciccorossi@itu.i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br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387C-DC9E-461E-8AFA-8ECF22AA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787</Words>
  <Characters>4799</Characters>
  <Application>Microsoft Office Word</Application>
  <DocSecurity>0</DocSecurity>
  <Lines>95</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PS_BR Circulars</vt:lpstr>
      <vt:lpstr>ITU-T Rec. Book 1 Resolutions ITU-T Series A Recommendations:</vt:lpstr>
    </vt:vector>
  </TitlesOfParts>
  <Company>ITU</Company>
  <LinksUpToDate>false</LinksUpToDate>
  <CharactersWithSpaces>5535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PS_BR Circulars</dc:title>
  <dc:creator>Panoussopoulos, Sonia</dc:creator>
  <cp:lastModifiedBy>Panoussopoulos, Sonia</cp:lastModifiedBy>
  <cp:revision>6</cp:revision>
  <cp:lastPrinted>2026-01-27T09:15:00Z</cp:lastPrinted>
  <dcterms:created xsi:type="dcterms:W3CDTF">2026-01-26T08:54:00Z</dcterms:created>
  <dcterms:modified xsi:type="dcterms:W3CDTF">2026-01-27T09:44:00Z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