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A08F1" w14:paraId="3373B1DA" w14:textId="77777777" w:rsidTr="004228FA">
        <w:trPr>
          <w:jc w:val="center"/>
        </w:trPr>
        <w:tc>
          <w:tcPr>
            <w:tcW w:w="9889" w:type="dxa"/>
            <w:gridSpan w:val="3"/>
          </w:tcPr>
          <w:p w14:paraId="131D11D0" w14:textId="77777777" w:rsidR="00E53DCE" w:rsidRPr="00CA08F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CA08F1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5D410CA3" w14:textId="77777777" w:rsidR="00E53DCE" w:rsidRPr="00CA08F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238EAC46" w14:textId="77777777" w:rsidR="00E53DCE" w:rsidRPr="00CA08F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CA08F1" w14:paraId="32D03654" w14:textId="77777777" w:rsidTr="004228FA">
        <w:trPr>
          <w:jc w:val="center"/>
        </w:trPr>
        <w:tc>
          <w:tcPr>
            <w:tcW w:w="7054" w:type="dxa"/>
            <w:gridSpan w:val="2"/>
          </w:tcPr>
          <w:p w14:paraId="787AC96A" w14:textId="1B0E1F15" w:rsidR="00E53DCE" w:rsidRPr="00CA08F1" w:rsidRDefault="00175A48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CA08F1">
              <w:rPr>
                <w:szCs w:val="24"/>
                <w:lang w:val="fr-FR"/>
              </w:rPr>
              <w:t>Lettre circulaire</w:t>
            </w:r>
          </w:p>
          <w:p w14:paraId="198DE3D1" w14:textId="1FD5E7D6" w:rsidR="00E53DCE" w:rsidRPr="00CA08F1" w:rsidRDefault="00E53DCE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CA08F1">
              <w:rPr>
                <w:b/>
                <w:bCs/>
                <w:szCs w:val="24"/>
                <w:lang w:val="fr-FR"/>
              </w:rPr>
              <w:t>C</w:t>
            </w:r>
            <w:r w:rsidR="00924164">
              <w:rPr>
                <w:b/>
                <w:bCs/>
                <w:szCs w:val="24"/>
                <w:lang w:val="fr-FR"/>
              </w:rPr>
              <w:t>R</w:t>
            </w:r>
            <w:r w:rsidRPr="00CA08F1">
              <w:rPr>
                <w:b/>
                <w:bCs/>
                <w:szCs w:val="24"/>
                <w:lang w:val="fr-FR"/>
              </w:rPr>
              <w:t>/</w:t>
            </w:r>
            <w:r w:rsidR="00175A48" w:rsidRPr="00CA08F1">
              <w:rPr>
                <w:b/>
                <w:bCs/>
                <w:szCs w:val="24"/>
                <w:lang w:val="fr-FR"/>
              </w:rPr>
              <w:t>528</w:t>
            </w:r>
          </w:p>
        </w:tc>
        <w:tc>
          <w:tcPr>
            <w:tcW w:w="2835" w:type="dxa"/>
          </w:tcPr>
          <w:p w14:paraId="73698996" w14:textId="63956509" w:rsidR="00E53DCE" w:rsidRPr="00CA08F1" w:rsidRDefault="00AA781A" w:rsidP="00304636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 w:rsidRPr="00CA08F1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color w:val="000000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DE2366" w:rsidRPr="00CA08F1">
                  <w:rPr>
                    <w:color w:val="000000"/>
                    <w:lang w:val="fr-FR"/>
                  </w:rPr>
                  <w:t>2</w:t>
                </w:r>
                <w:r w:rsidR="00175A48" w:rsidRPr="00CA08F1">
                  <w:rPr>
                    <w:color w:val="000000"/>
                    <w:lang w:val="fr-FR"/>
                  </w:rPr>
                  <w:t>7</w:t>
                </w:r>
                <w:r w:rsidR="00DE2366" w:rsidRPr="00CA08F1">
                  <w:rPr>
                    <w:color w:val="000000"/>
                    <w:lang w:val="fr-FR"/>
                  </w:rPr>
                  <w:t xml:space="preserve"> janvier 2026</w:t>
                </w:r>
              </w:sdtContent>
            </w:sdt>
          </w:p>
        </w:tc>
      </w:tr>
      <w:tr w:rsidR="00E53DCE" w:rsidRPr="00CA08F1" w14:paraId="21CF050B" w14:textId="77777777" w:rsidTr="004228FA">
        <w:trPr>
          <w:jc w:val="center"/>
        </w:trPr>
        <w:tc>
          <w:tcPr>
            <w:tcW w:w="9889" w:type="dxa"/>
            <w:gridSpan w:val="3"/>
          </w:tcPr>
          <w:p w14:paraId="78C111A6" w14:textId="77777777" w:rsidR="00E53DCE" w:rsidRPr="00CA08F1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CA08F1" w14:paraId="2F4E240B" w14:textId="77777777" w:rsidTr="004228FA">
        <w:trPr>
          <w:jc w:val="center"/>
        </w:trPr>
        <w:tc>
          <w:tcPr>
            <w:tcW w:w="9889" w:type="dxa"/>
            <w:gridSpan w:val="3"/>
          </w:tcPr>
          <w:p w14:paraId="1E0134AA" w14:textId="77777777" w:rsidR="00E53DCE" w:rsidRPr="00CA08F1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924164" w14:paraId="007114AC" w14:textId="77777777" w:rsidTr="004228FA">
        <w:trPr>
          <w:jc w:val="center"/>
        </w:trPr>
        <w:tc>
          <w:tcPr>
            <w:tcW w:w="9889" w:type="dxa"/>
            <w:gridSpan w:val="3"/>
          </w:tcPr>
          <w:p w14:paraId="43A7338A" w14:textId="3A6C50C8" w:rsidR="00E53DCE" w:rsidRPr="00CA08F1" w:rsidRDefault="00DE2366" w:rsidP="008C0506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CA08F1">
              <w:rPr>
                <w:b/>
                <w:bCs/>
                <w:szCs w:val="24"/>
                <w:lang w:val="fr-FR"/>
              </w:rPr>
              <w:t>Aux Administrations des États Membres de l'UIT</w:t>
            </w:r>
            <w:r w:rsidR="008C0506">
              <w:rPr>
                <w:b/>
                <w:bCs/>
                <w:szCs w:val="24"/>
                <w:lang w:val="fr-FR"/>
              </w:rPr>
              <w:t xml:space="preserve"> et a</w:t>
            </w:r>
            <w:r w:rsidRPr="00CA08F1">
              <w:rPr>
                <w:b/>
                <w:bCs/>
                <w:szCs w:val="24"/>
                <w:lang w:val="fr-FR"/>
              </w:rPr>
              <w:t>ux Membres du Secteur des radiocommunications</w:t>
            </w:r>
          </w:p>
        </w:tc>
      </w:tr>
      <w:tr w:rsidR="00E53DCE" w:rsidRPr="00924164" w14:paraId="6C559311" w14:textId="77777777" w:rsidTr="004228FA">
        <w:trPr>
          <w:jc w:val="center"/>
        </w:trPr>
        <w:tc>
          <w:tcPr>
            <w:tcW w:w="9889" w:type="dxa"/>
            <w:gridSpan w:val="3"/>
          </w:tcPr>
          <w:p w14:paraId="0D32AE4E" w14:textId="77777777" w:rsidR="00E53DCE" w:rsidRPr="00CA08F1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924164" w14:paraId="26C0E337" w14:textId="77777777" w:rsidTr="004228FA">
        <w:trPr>
          <w:jc w:val="center"/>
        </w:trPr>
        <w:tc>
          <w:tcPr>
            <w:tcW w:w="9889" w:type="dxa"/>
            <w:gridSpan w:val="3"/>
          </w:tcPr>
          <w:p w14:paraId="29F7E960" w14:textId="77777777" w:rsidR="00E53DCE" w:rsidRPr="00CA08F1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924164" w14:paraId="2813E03B" w14:textId="77777777" w:rsidTr="004228FA">
        <w:trPr>
          <w:jc w:val="center"/>
        </w:trPr>
        <w:tc>
          <w:tcPr>
            <w:tcW w:w="1526" w:type="dxa"/>
          </w:tcPr>
          <w:p w14:paraId="50D97891" w14:textId="77777777" w:rsidR="00E53DCE" w:rsidRPr="00CA08F1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CA08F1">
              <w:rPr>
                <w:lang w:val="fr-FR"/>
              </w:rPr>
              <w:t>Objet</w:t>
            </w:r>
            <w:r w:rsidR="00E53DCE" w:rsidRPr="00CA08F1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2E61D625" w14:textId="77777777" w:rsidR="00175A48" w:rsidRPr="00CA08F1" w:rsidRDefault="00175A48" w:rsidP="008C4E0C">
            <w:pPr>
              <w:tabs>
                <w:tab w:val="clear" w:pos="1588"/>
                <w:tab w:val="left" w:pos="1560"/>
              </w:tabs>
              <w:spacing w:before="0" w:after="120"/>
              <w:jc w:val="left"/>
              <w:rPr>
                <w:b/>
                <w:bCs/>
                <w:szCs w:val="24"/>
                <w:lang w:val="fr-FR"/>
              </w:rPr>
            </w:pPr>
            <w:r w:rsidRPr="00CA08F1">
              <w:rPr>
                <w:b/>
                <w:bCs/>
                <w:szCs w:val="24"/>
                <w:lang w:val="fr-FR"/>
              </w:rPr>
              <w:t>Nouvelles ressources en ligne relatives aux systèmes à satellites non géostationnaires assujettis à la Résolution 8 (CMR-23)</w:t>
            </w:r>
          </w:p>
          <w:p w14:paraId="7A610B86" w14:textId="77777777" w:rsidR="00175A48" w:rsidRPr="00CA08F1" w:rsidRDefault="00175A48" w:rsidP="00175A48">
            <w:pPr>
              <w:tabs>
                <w:tab w:val="clear" w:pos="1588"/>
                <w:tab w:val="left" w:pos="1560"/>
              </w:tabs>
              <w:spacing w:before="0"/>
              <w:ind w:left="491" w:hanging="491"/>
              <w:jc w:val="left"/>
              <w:rPr>
                <w:b/>
                <w:bCs/>
                <w:szCs w:val="24"/>
                <w:lang w:val="fr-FR"/>
              </w:rPr>
            </w:pPr>
            <w:r w:rsidRPr="00CA08F1">
              <w:rPr>
                <w:b/>
                <w:bCs/>
                <w:szCs w:val="24"/>
                <w:lang w:val="fr-FR"/>
              </w:rPr>
              <w:t>a)</w:t>
            </w:r>
            <w:r w:rsidRPr="00CA08F1">
              <w:rPr>
                <w:b/>
                <w:bCs/>
                <w:szCs w:val="24"/>
                <w:lang w:val="fr-FR"/>
              </w:rPr>
              <w:tab/>
              <w:t>Plate-forme en ligne Argus pour visualiser le déploiement des systèmes à satellites non géostationnaires notifiés au Bureau des radiocommunications conformément à la Résolution 8 (CMR-23)</w:t>
            </w:r>
          </w:p>
          <w:p w14:paraId="41F3265F" w14:textId="787DD66E" w:rsidR="00E53DCE" w:rsidRPr="00CA08F1" w:rsidRDefault="00175A48" w:rsidP="00175A48">
            <w:pPr>
              <w:tabs>
                <w:tab w:val="clear" w:pos="1588"/>
                <w:tab w:val="left" w:pos="1560"/>
              </w:tabs>
              <w:spacing w:before="0"/>
              <w:ind w:left="491" w:hanging="491"/>
              <w:jc w:val="left"/>
              <w:rPr>
                <w:b/>
                <w:bCs/>
                <w:szCs w:val="24"/>
                <w:lang w:val="fr-FR"/>
              </w:rPr>
            </w:pPr>
            <w:r w:rsidRPr="00CA08F1">
              <w:rPr>
                <w:b/>
                <w:bCs/>
                <w:szCs w:val="24"/>
                <w:lang w:val="fr-FR"/>
              </w:rPr>
              <w:t>b)</w:t>
            </w:r>
            <w:r w:rsidRPr="00CA08F1">
              <w:rPr>
                <w:b/>
                <w:bCs/>
                <w:szCs w:val="24"/>
                <w:lang w:val="fr-FR"/>
              </w:rPr>
              <w:tab/>
              <w:t>Points de contact associés pour l'atténuation des brouillages radioélectriques et les opérations spatiales</w:t>
            </w:r>
          </w:p>
        </w:tc>
      </w:tr>
      <w:tr w:rsidR="00E53DCE" w:rsidRPr="00924164" w14:paraId="61BFC634" w14:textId="77777777" w:rsidTr="004228FA">
        <w:trPr>
          <w:jc w:val="center"/>
        </w:trPr>
        <w:tc>
          <w:tcPr>
            <w:tcW w:w="1526" w:type="dxa"/>
          </w:tcPr>
          <w:p w14:paraId="1D8E097C" w14:textId="77777777" w:rsidR="00E53DCE" w:rsidRPr="00CA08F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6D0E898D" w14:textId="77777777" w:rsidR="00E53DCE" w:rsidRPr="00CA08F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924164" w14:paraId="16E0966F" w14:textId="77777777" w:rsidTr="004228FA">
        <w:trPr>
          <w:jc w:val="center"/>
        </w:trPr>
        <w:tc>
          <w:tcPr>
            <w:tcW w:w="1526" w:type="dxa"/>
          </w:tcPr>
          <w:p w14:paraId="1523ACF5" w14:textId="77777777" w:rsidR="00E53DCE" w:rsidRPr="00CA08F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4AEF458" w14:textId="77777777" w:rsidR="00E53DCE" w:rsidRPr="00CA08F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</w:tbl>
    <w:p w14:paraId="0AE1F97A" w14:textId="332DE20B" w:rsidR="00175A48" w:rsidRPr="00CA08F1" w:rsidRDefault="00175A48" w:rsidP="008C4E0C">
      <w:pPr>
        <w:spacing w:before="240"/>
        <w:rPr>
          <w:lang w:val="fr-FR"/>
        </w:rPr>
      </w:pPr>
      <w:r w:rsidRPr="00CA08F1">
        <w:rPr>
          <w:lang w:val="fr-FR"/>
        </w:rPr>
        <w:t xml:space="preserve">Dans sa Résolution </w:t>
      </w:r>
      <w:r w:rsidRPr="00CA08F1">
        <w:rPr>
          <w:b/>
          <w:bCs/>
          <w:lang w:val="fr-FR"/>
        </w:rPr>
        <w:t>8 (CMR-23)</w:t>
      </w:r>
      <w:r w:rsidRPr="00CA08F1">
        <w:rPr>
          <w:lang w:val="fr-FR"/>
        </w:rPr>
        <w:t>, la Conférence mondiale des radiocommunications de 2023 a adopté des tolérances pour certaines caractéristiques orbitales des stations spatiales déployées dans le cadre de systèmes à satellites non géostationnaires du service fixe par satellite, du service de radiodiffusion par satellite ou du service mobile par satellite.</w:t>
      </w:r>
    </w:p>
    <w:p w14:paraId="1A2C8421" w14:textId="762B4224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 xml:space="preserve">Cette Résolution contient plusieurs ensembles de tolérances correspondant à différents stades de la procédure réglementaire applicable aux systèmes à satellites non géostationnaires, qui peuvent être difficiles à appréhender lorsqu'elles sont appliquées aux diverses combinaisons possibles de caractéristiques orbitales que l'on peut trouver dans les systèmes à satellites non géostationnaires soumis au titre des Articles </w:t>
      </w:r>
      <w:r w:rsidRPr="00CA08F1">
        <w:rPr>
          <w:b/>
          <w:bCs/>
          <w:szCs w:val="24"/>
          <w:lang w:val="fr-FR"/>
        </w:rPr>
        <w:t>9</w:t>
      </w:r>
      <w:r w:rsidRPr="00CA08F1">
        <w:rPr>
          <w:szCs w:val="24"/>
          <w:lang w:val="fr-FR"/>
        </w:rPr>
        <w:t xml:space="preserve"> et </w:t>
      </w:r>
      <w:r w:rsidRPr="00CA08F1">
        <w:rPr>
          <w:b/>
          <w:bCs/>
          <w:szCs w:val="24"/>
          <w:lang w:val="fr-FR"/>
        </w:rPr>
        <w:t>11</w:t>
      </w:r>
      <w:r w:rsidRPr="00CA08F1">
        <w:rPr>
          <w:szCs w:val="24"/>
          <w:lang w:val="fr-FR"/>
        </w:rPr>
        <w:t xml:space="preserve"> du Règlement des radiocommunications.</w:t>
      </w:r>
    </w:p>
    <w:p w14:paraId="38D5B26A" w14:textId="77777777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 xml:space="preserve">Par conséquent, conformément au point 3 du </w:t>
      </w:r>
      <w:r w:rsidRPr="00CA08F1">
        <w:rPr>
          <w:i/>
          <w:iCs/>
          <w:szCs w:val="24"/>
          <w:lang w:val="fr-FR"/>
        </w:rPr>
        <w:t>charge le Bureau des radiocommunications</w:t>
      </w:r>
      <w:r w:rsidRPr="00CA08F1">
        <w:rPr>
          <w:szCs w:val="24"/>
          <w:lang w:val="fr-FR"/>
        </w:rPr>
        <w:t xml:space="preserve"> de la Résolution </w:t>
      </w:r>
      <w:r w:rsidRPr="00CA08F1">
        <w:rPr>
          <w:b/>
          <w:bCs/>
          <w:szCs w:val="24"/>
          <w:lang w:val="fr-FR"/>
        </w:rPr>
        <w:t>8 (CMR-23)</w:t>
      </w:r>
      <w:r w:rsidRPr="00CA08F1">
        <w:rPr>
          <w:szCs w:val="24"/>
          <w:lang w:val="fr-FR"/>
        </w:rPr>
        <w:t xml:space="preserve">, le Bureau des radiocommunications a élaboré un outil en ligne pour visualiser le déploiement des systèmes à satellites non géostationnaires assujettis à la Résolution </w:t>
      </w:r>
      <w:r w:rsidRPr="00CA08F1">
        <w:rPr>
          <w:b/>
          <w:bCs/>
          <w:szCs w:val="24"/>
          <w:lang w:val="fr-FR"/>
        </w:rPr>
        <w:t xml:space="preserve">8 (CMR-23) </w:t>
      </w:r>
      <w:r w:rsidRPr="00CA08F1">
        <w:rPr>
          <w:szCs w:val="24"/>
          <w:lang w:val="fr-FR"/>
        </w:rPr>
        <w:t>et en assurer la transparence, tout en facilitant les communications directes entre les opérateurs de satellites responsables de ces systèmes.</w:t>
      </w:r>
    </w:p>
    <w:p w14:paraId="792A70D5" w14:textId="05EC808F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 xml:space="preserve">En utilisant Argus, vous pourrez visualiser et récupérer les informations </w:t>
      </w:r>
      <w:proofErr w:type="gramStart"/>
      <w:r w:rsidRPr="00CA08F1">
        <w:rPr>
          <w:szCs w:val="24"/>
          <w:lang w:val="fr-FR"/>
        </w:rPr>
        <w:t>suivantes:</w:t>
      </w:r>
      <w:proofErr w:type="gramEnd"/>
    </w:p>
    <w:p w14:paraId="6C37A3E5" w14:textId="66892657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  <w:t xml:space="preserve">Paramètres orbitaux d'un système à satellites ou d'un engin spatial donné, notifiés ou déclarés au titre de la Résolution </w:t>
      </w:r>
      <w:r w:rsidRPr="00CA08F1">
        <w:rPr>
          <w:b/>
          <w:bCs/>
          <w:lang w:val="fr-FR"/>
        </w:rPr>
        <w:t>8 (CMR-23)</w:t>
      </w:r>
      <w:r w:rsidRPr="00CA08F1">
        <w:rPr>
          <w:lang w:val="fr-FR"/>
        </w:rPr>
        <w:t xml:space="preserve"> par une administration notificatrice.</w:t>
      </w:r>
    </w:p>
    <w:p w14:paraId="2D978699" w14:textId="4A03CC2F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</w:r>
      <w:r w:rsidRPr="00CA08F1">
        <w:rPr>
          <w:szCs w:val="24"/>
          <w:lang w:val="fr-FR"/>
        </w:rPr>
        <w:t xml:space="preserve">Paramètres </w:t>
      </w:r>
      <w:r w:rsidRPr="00CA08F1">
        <w:rPr>
          <w:lang w:val="fr-FR"/>
        </w:rPr>
        <w:t>orbitaux réels associés obtenus régulièrement auprès de sources publiques fiables.</w:t>
      </w:r>
    </w:p>
    <w:p w14:paraId="29135F8B" w14:textId="6726D148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  <w:t xml:space="preserve">Vérification du maintien des satellites dans le respect des tolérances d'altitude et d'inclinaison définies dans la Résolution </w:t>
      </w:r>
      <w:r w:rsidRPr="00CA08F1">
        <w:rPr>
          <w:b/>
          <w:bCs/>
          <w:lang w:val="fr-FR"/>
        </w:rPr>
        <w:t>8 (CMR-23)</w:t>
      </w:r>
      <w:r w:rsidRPr="00CA08F1">
        <w:rPr>
          <w:lang w:val="fr-FR"/>
        </w:rPr>
        <w:t>.</w:t>
      </w:r>
    </w:p>
    <w:p w14:paraId="674527AB" w14:textId="029F90C8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  <w:t>Filtrage par bande de fréquences, apogée, périgée, inclinaison et RAAN.</w:t>
      </w:r>
    </w:p>
    <w:p w14:paraId="630FB298" w14:textId="3E81F085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  <w:t>Renseignements détaillés sur les assignations de fréquence associées inscrites dans le Fichier de référence pour un système à satellites sélectionné.</w:t>
      </w:r>
    </w:p>
    <w:p w14:paraId="6C436B80" w14:textId="19F4EA13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  <w:t xml:space="preserve">Lien vers les Sections spéciales associées publiées au titre de la Résolution </w:t>
      </w:r>
      <w:r w:rsidRPr="00CA08F1">
        <w:rPr>
          <w:b/>
          <w:bCs/>
          <w:lang w:val="fr-FR"/>
        </w:rPr>
        <w:t>8 (CMR-23)</w:t>
      </w:r>
      <w:r w:rsidRPr="00CA08F1">
        <w:rPr>
          <w:lang w:val="fr-FR"/>
        </w:rPr>
        <w:t xml:space="preserve"> et état du déploiement conformément à la Résolution </w:t>
      </w:r>
      <w:r w:rsidRPr="00CA08F1">
        <w:rPr>
          <w:b/>
          <w:bCs/>
          <w:lang w:val="fr-FR"/>
        </w:rPr>
        <w:t>35 (CMR-23)</w:t>
      </w:r>
      <w:r w:rsidRPr="00CA08F1">
        <w:rPr>
          <w:lang w:val="fr-FR"/>
        </w:rPr>
        <w:t>.</w:t>
      </w:r>
    </w:p>
    <w:p w14:paraId="717FF81F" w14:textId="04BD04F6" w:rsidR="00175A48" w:rsidRPr="00CA08F1" w:rsidRDefault="00175A48" w:rsidP="008C4E0C">
      <w:pPr>
        <w:pStyle w:val="enumlev1"/>
        <w:rPr>
          <w:szCs w:val="24"/>
          <w:lang w:val="fr-FR"/>
        </w:rPr>
      </w:pPr>
      <w:r w:rsidRPr="00CA08F1">
        <w:rPr>
          <w:lang w:val="fr-FR"/>
        </w:rPr>
        <w:lastRenderedPageBreak/>
        <w:t>–</w:t>
      </w:r>
      <w:r w:rsidRPr="00CA08F1">
        <w:rPr>
          <w:lang w:val="fr-FR"/>
        </w:rPr>
        <w:tab/>
        <w:t>Accès à des points de contact directs pour l'atténuation des brouillages radioélectriques et les opérations spatiales</w:t>
      </w:r>
      <w:r w:rsidRPr="00CA08F1">
        <w:rPr>
          <w:szCs w:val="24"/>
          <w:lang w:val="fr-FR"/>
        </w:rPr>
        <w:t>.</w:t>
      </w:r>
    </w:p>
    <w:p w14:paraId="555EA962" w14:textId="19FE6C38" w:rsidR="00175A48" w:rsidRPr="00CA08F1" w:rsidRDefault="00175A48" w:rsidP="008C4E0C">
      <w:pPr>
        <w:rPr>
          <w:szCs w:val="24"/>
          <w:lang w:val="fr-FR"/>
        </w:rPr>
      </w:pPr>
      <w:r w:rsidRPr="00CA08F1">
        <w:rPr>
          <w:szCs w:val="24"/>
          <w:lang w:val="fr-FR"/>
        </w:rPr>
        <w:t>Le système est relié au Fichier de référence international des fréquences (MIFR) et son accès limité aux Membres du Secteur de l'UIT-R titulaires d'un compte TIES.</w:t>
      </w:r>
    </w:p>
    <w:p w14:paraId="2B94F2A3" w14:textId="210E4F22" w:rsidR="00175A48" w:rsidRPr="00CA08F1" w:rsidRDefault="00175A48" w:rsidP="008C4E0C">
      <w:pPr>
        <w:rPr>
          <w:szCs w:val="24"/>
          <w:lang w:val="fr-FR"/>
        </w:rPr>
      </w:pPr>
      <w:r w:rsidRPr="00CA08F1">
        <w:rPr>
          <w:szCs w:val="24"/>
          <w:lang w:val="fr-FR"/>
        </w:rPr>
        <w:t xml:space="preserve">Une page web spéciale a été créée pour Argus et peut être consultée à </w:t>
      </w:r>
      <w:proofErr w:type="gramStart"/>
      <w:r w:rsidRPr="00CA08F1">
        <w:rPr>
          <w:szCs w:val="24"/>
          <w:lang w:val="fr-FR"/>
        </w:rPr>
        <w:t>l'adresse:</w:t>
      </w:r>
      <w:proofErr w:type="gramEnd"/>
    </w:p>
    <w:p w14:paraId="0C2D2F7C" w14:textId="6581F488" w:rsidR="00175A48" w:rsidRPr="00CA08F1" w:rsidRDefault="00175A48" w:rsidP="008C4E0C">
      <w:pPr>
        <w:spacing w:before="120"/>
        <w:jc w:val="center"/>
        <w:rPr>
          <w:szCs w:val="24"/>
          <w:lang w:val="fr-FR"/>
        </w:rPr>
      </w:pPr>
      <w:hyperlink r:id="rId8" w:anchor="/fr" w:history="1">
        <w:r w:rsidRPr="00CA08F1">
          <w:rPr>
            <w:rStyle w:val="Hyperlink"/>
            <w:szCs w:val="24"/>
            <w:lang w:val="fr-FR"/>
          </w:rPr>
          <w:t>https://itu.int/space-argus/</w:t>
        </w:r>
      </w:hyperlink>
    </w:p>
    <w:p w14:paraId="3C835A79" w14:textId="2B096AAB" w:rsidR="00175A48" w:rsidRPr="00CA08F1" w:rsidRDefault="00175A48" w:rsidP="008C4E0C">
      <w:pPr>
        <w:rPr>
          <w:szCs w:val="24"/>
          <w:lang w:val="fr-FR"/>
        </w:rPr>
      </w:pPr>
      <w:r w:rsidRPr="00CA08F1">
        <w:rPr>
          <w:szCs w:val="24"/>
          <w:lang w:val="fr-FR"/>
        </w:rPr>
        <w:t>En outre, le Bureau a noté que le nombre croissant de systèmes à satellites non géostationnaires en exploitation fait augmenter le risque de brouillages préjudiciables et que la nature variable dans le temps des brouillages causés par les stations spatiales placées à bord de satellites non géostationnaires rend plus difficile l'identification de la source des brouillages potentiels.</w:t>
      </w:r>
    </w:p>
    <w:p w14:paraId="1632B72A" w14:textId="7CC3B618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>En conséquence, et afin de faciliter les communications entre les administrations notificatrices et les exploitants de systèmes à satellites, la plate-forme Argus a intégré une fonction permettant d'indiquer un point de contact au sein de l'opérateur du système à satellites.</w:t>
      </w:r>
    </w:p>
    <w:p w14:paraId="32A98C9E" w14:textId="458EF43A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 xml:space="preserve">Afin d'alimenter cette fonction, les opérateurs de satellites sont invités à soumettre, par l'intermédiaire de leur administration notificatrice, les renseignements énumérés ci-dessous pour chaque système à satellites déjà notifié ou pour les systèmes futurs, lorsque ces systèmes sont notifiés au titre de l'Article </w:t>
      </w:r>
      <w:r w:rsidRPr="00CA08F1">
        <w:rPr>
          <w:b/>
          <w:bCs/>
          <w:szCs w:val="24"/>
          <w:lang w:val="fr-FR"/>
        </w:rPr>
        <w:t xml:space="preserve">11 </w:t>
      </w:r>
      <w:r w:rsidRPr="00CA08F1">
        <w:rPr>
          <w:szCs w:val="24"/>
          <w:lang w:val="fr-FR"/>
        </w:rPr>
        <w:t xml:space="preserve">du Règlement des </w:t>
      </w:r>
      <w:proofErr w:type="gramStart"/>
      <w:r w:rsidRPr="00CA08F1">
        <w:rPr>
          <w:szCs w:val="24"/>
          <w:lang w:val="fr-FR"/>
        </w:rPr>
        <w:t>radiocommunications:</w:t>
      </w:r>
      <w:proofErr w:type="gramEnd"/>
    </w:p>
    <w:p w14:paraId="2D845261" w14:textId="55D829B9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1)</w:t>
      </w:r>
      <w:r w:rsidRPr="00CA08F1">
        <w:rPr>
          <w:lang w:val="fr-FR"/>
        </w:rPr>
        <w:tab/>
        <w:t>Nom du système à satellites notifié à l'UIT</w:t>
      </w:r>
    </w:p>
    <w:p w14:paraId="485929EE" w14:textId="15167974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2)</w:t>
      </w:r>
      <w:r w:rsidRPr="00CA08F1">
        <w:rPr>
          <w:lang w:val="fr-FR"/>
        </w:rPr>
        <w:tab/>
        <w:t>Nom de l'opérateur du satellite</w:t>
      </w:r>
    </w:p>
    <w:p w14:paraId="1FAA6F5F" w14:textId="7532110A" w:rsidR="00175A48" w:rsidRPr="00CA08F1" w:rsidRDefault="00175A48" w:rsidP="008C4E0C">
      <w:pPr>
        <w:pStyle w:val="enumlev1"/>
        <w:rPr>
          <w:lang w:val="fr-FR"/>
        </w:rPr>
      </w:pPr>
      <w:r w:rsidRPr="00CA08F1">
        <w:rPr>
          <w:lang w:val="fr-FR"/>
        </w:rPr>
        <w:t>3)</w:t>
      </w:r>
      <w:r w:rsidRPr="00CA08F1">
        <w:rPr>
          <w:lang w:val="fr-FR"/>
        </w:rPr>
        <w:tab/>
        <w:t xml:space="preserve">Point de contact </w:t>
      </w:r>
      <w:proofErr w:type="gramStart"/>
      <w:r w:rsidRPr="00CA08F1">
        <w:rPr>
          <w:lang w:val="fr-FR"/>
        </w:rPr>
        <w:t>direct:</w:t>
      </w:r>
      <w:proofErr w:type="gramEnd"/>
    </w:p>
    <w:p w14:paraId="687F562B" w14:textId="77777777" w:rsidR="00175A48" w:rsidRPr="00CA08F1" w:rsidRDefault="00175A48" w:rsidP="008C4E0C">
      <w:pPr>
        <w:pStyle w:val="enumlev2"/>
        <w:rPr>
          <w:lang w:val="fr-FR"/>
        </w:rPr>
      </w:pPr>
      <w:r w:rsidRPr="00CA08F1">
        <w:rPr>
          <w:lang w:val="fr-FR"/>
        </w:rPr>
        <w:t>a)</w:t>
      </w:r>
      <w:r w:rsidRPr="00CA08F1">
        <w:rPr>
          <w:lang w:val="fr-FR"/>
        </w:rPr>
        <w:tab/>
        <w:t>Nom complet</w:t>
      </w:r>
    </w:p>
    <w:p w14:paraId="78199479" w14:textId="77777777" w:rsidR="00175A48" w:rsidRPr="00CA08F1" w:rsidRDefault="00175A48" w:rsidP="008C4E0C">
      <w:pPr>
        <w:pStyle w:val="enumlev2"/>
        <w:rPr>
          <w:lang w:val="fr-FR"/>
        </w:rPr>
      </w:pPr>
      <w:r w:rsidRPr="00CA08F1">
        <w:rPr>
          <w:lang w:val="fr-FR"/>
        </w:rPr>
        <w:t>b)</w:t>
      </w:r>
      <w:r w:rsidRPr="00CA08F1">
        <w:rPr>
          <w:lang w:val="fr-FR"/>
        </w:rPr>
        <w:tab/>
        <w:t>Titre</w:t>
      </w:r>
    </w:p>
    <w:p w14:paraId="0861D288" w14:textId="77777777" w:rsidR="00175A48" w:rsidRPr="00CA08F1" w:rsidRDefault="00175A48" w:rsidP="008C4E0C">
      <w:pPr>
        <w:pStyle w:val="enumlev2"/>
        <w:rPr>
          <w:lang w:val="fr-FR"/>
        </w:rPr>
      </w:pPr>
      <w:r w:rsidRPr="00CA08F1">
        <w:rPr>
          <w:lang w:val="fr-FR"/>
        </w:rPr>
        <w:t>c)</w:t>
      </w:r>
      <w:r w:rsidRPr="00CA08F1">
        <w:rPr>
          <w:lang w:val="fr-FR"/>
        </w:rPr>
        <w:tab/>
        <w:t>Adresse électronique</w:t>
      </w:r>
    </w:p>
    <w:p w14:paraId="2BD66687" w14:textId="77777777" w:rsidR="00175A48" w:rsidRPr="00CA08F1" w:rsidRDefault="00175A48" w:rsidP="008C4E0C">
      <w:pPr>
        <w:pStyle w:val="enumlev2"/>
        <w:rPr>
          <w:lang w:val="fr-FR"/>
        </w:rPr>
      </w:pPr>
      <w:r w:rsidRPr="00CA08F1">
        <w:rPr>
          <w:lang w:val="fr-FR"/>
        </w:rPr>
        <w:t>d)</w:t>
      </w:r>
      <w:r w:rsidRPr="00CA08F1">
        <w:rPr>
          <w:lang w:val="fr-FR"/>
        </w:rPr>
        <w:tab/>
        <w:t>Téléphone</w:t>
      </w:r>
    </w:p>
    <w:p w14:paraId="5B280895" w14:textId="38038AC7" w:rsidR="00175A48" w:rsidRPr="00CA08F1" w:rsidRDefault="00175A48" w:rsidP="008C4E0C">
      <w:pPr>
        <w:pStyle w:val="Note"/>
        <w:spacing w:before="120"/>
        <w:rPr>
          <w:lang w:val="fr-FR"/>
        </w:rPr>
      </w:pPr>
      <w:proofErr w:type="gramStart"/>
      <w:r w:rsidRPr="00CA08F1">
        <w:rPr>
          <w:sz w:val="24"/>
          <w:szCs w:val="28"/>
          <w:lang w:val="fr-FR"/>
        </w:rPr>
        <w:t>Note:</w:t>
      </w:r>
      <w:proofErr w:type="gramEnd"/>
      <w:r w:rsidRPr="00CA08F1">
        <w:rPr>
          <w:sz w:val="24"/>
          <w:szCs w:val="28"/>
          <w:lang w:val="fr-FR"/>
        </w:rPr>
        <w:t xml:space="preserve"> les points 3a) et 3b) peuvent être remplacés par un point de contact générique si l'adresse électronique est générique.</w:t>
      </w:r>
    </w:p>
    <w:p w14:paraId="29DE172B" w14:textId="633BD5AC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>À cette fin, l'administration notificatrice peut envoyer une lettre au Bureau des radiocommunications via le système de Communications électroniques.</w:t>
      </w:r>
    </w:p>
    <w:p w14:paraId="482B9AB2" w14:textId="7AEFC7AF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>Les administrations notificatrices et les opérateurs de satellites sont chargés de tenir ces informations à jour lorsqu'une modification des données se produit.</w:t>
      </w:r>
    </w:p>
    <w:p w14:paraId="4BDA82D8" w14:textId="7DDC92CC" w:rsidR="00175A48" w:rsidRPr="00CA08F1" w:rsidRDefault="00175A48" w:rsidP="008C4E0C">
      <w:pPr>
        <w:spacing w:before="120"/>
        <w:ind w:right="-118"/>
        <w:rPr>
          <w:szCs w:val="24"/>
          <w:lang w:val="fr-FR"/>
        </w:rPr>
      </w:pPr>
      <w:r w:rsidRPr="00CA08F1">
        <w:rPr>
          <w:szCs w:val="24"/>
          <w:lang w:val="fr-FR"/>
        </w:rPr>
        <w:t xml:space="preserve">Pour toute question concernant la présente Lettre circulaire, vous pouvez vous mettre en rapport avec M. Jorge Ciccorossi, Chef de la Division Stratégie spatiale et durabilité, </w:t>
      </w:r>
      <w:hyperlink r:id="rId9" w:history="1">
        <w:r w:rsidRPr="00CA08F1">
          <w:rPr>
            <w:rStyle w:val="Hyperlink"/>
            <w:szCs w:val="24"/>
            <w:lang w:val="fr-FR"/>
          </w:rPr>
          <w:t>jorge.ciccorossi@itu.int</w:t>
        </w:r>
      </w:hyperlink>
      <w:r w:rsidRPr="00CA08F1">
        <w:rPr>
          <w:szCs w:val="24"/>
          <w:lang w:val="fr-FR"/>
        </w:rPr>
        <w:t>.</w:t>
      </w:r>
    </w:p>
    <w:p w14:paraId="18DA6CB1" w14:textId="0B565DCE" w:rsidR="00175A48" w:rsidRPr="00CA08F1" w:rsidRDefault="00175A48" w:rsidP="008C4E0C">
      <w:pPr>
        <w:spacing w:before="120"/>
        <w:rPr>
          <w:szCs w:val="24"/>
          <w:lang w:val="fr-FR"/>
        </w:rPr>
      </w:pPr>
      <w:r w:rsidRPr="00CA08F1">
        <w:rPr>
          <w:szCs w:val="24"/>
          <w:lang w:val="fr-FR"/>
        </w:rPr>
        <w:t>J'espère que votre Administration utilisera ces nouvelles ressources et tiendra à jour les informations afin de contribuer de manière collaborative à assurer la durabilité requise des systèmes de radiocommunication spatiale.</w:t>
      </w:r>
    </w:p>
    <w:p w14:paraId="36EA5185" w14:textId="0860C886" w:rsidR="00175A48" w:rsidRPr="00CA08F1" w:rsidRDefault="00175A48" w:rsidP="00175A48">
      <w:pPr>
        <w:spacing w:before="840"/>
        <w:jc w:val="left"/>
        <w:rPr>
          <w:szCs w:val="24"/>
          <w:lang w:val="fr-FR"/>
        </w:rPr>
      </w:pPr>
      <w:r w:rsidRPr="00CA08F1">
        <w:rPr>
          <w:szCs w:val="24"/>
          <w:lang w:val="fr-FR"/>
        </w:rPr>
        <w:t>Mario Maniewicz</w:t>
      </w:r>
      <w:r w:rsidRPr="00CA08F1">
        <w:rPr>
          <w:szCs w:val="24"/>
          <w:lang w:val="fr-FR"/>
        </w:rPr>
        <w:br/>
        <w:t>Directeur</w:t>
      </w:r>
    </w:p>
    <w:p w14:paraId="4B95D3AF" w14:textId="77777777" w:rsidR="008C4E0C" w:rsidRDefault="00175A48" w:rsidP="008C4E0C">
      <w:pPr>
        <w:pStyle w:val="Figurelegend"/>
        <w:keepNext w:val="0"/>
        <w:keepLines w:val="0"/>
        <w:widowControl w:val="0"/>
        <w:spacing w:before="360" w:after="120" w:line="240" w:lineRule="auto"/>
        <w:rPr>
          <w:b/>
          <w:bCs/>
          <w:u w:val="single"/>
          <w:lang w:val="fr-FR"/>
        </w:rPr>
      </w:pPr>
      <w:proofErr w:type="gramStart"/>
      <w:r w:rsidRPr="00CA08F1">
        <w:rPr>
          <w:b/>
          <w:bCs/>
          <w:u w:val="single"/>
          <w:lang w:val="fr-FR"/>
        </w:rPr>
        <w:t>Distribution:</w:t>
      </w:r>
      <w:proofErr w:type="gramEnd"/>
    </w:p>
    <w:p w14:paraId="4616E0C8" w14:textId="4DE6AB94" w:rsidR="00DE2366" w:rsidRPr="00CA08F1" w:rsidRDefault="00175A48" w:rsidP="008C4E0C">
      <w:pPr>
        <w:pStyle w:val="Figurelegend"/>
        <w:keepNext w:val="0"/>
        <w:keepLines w:val="0"/>
        <w:widowControl w:val="0"/>
        <w:spacing w:before="0" w:after="0" w:line="240" w:lineRule="auto"/>
        <w:rPr>
          <w:lang w:val="fr-FR"/>
        </w:rPr>
      </w:pPr>
      <w:r w:rsidRPr="00CA08F1">
        <w:rPr>
          <w:lang w:val="fr-FR"/>
        </w:rPr>
        <w:t>–</w:t>
      </w:r>
      <w:r w:rsidRPr="00CA08F1">
        <w:rPr>
          <w:lang w:val="fr-FR"/>
        </w:rPr>
        <w:tab/>
        <w:t>Aux Administrations des États Membres de l'UIT</w:t>
      </w:r>
      <w:r w:rsidRPr="00CA08F1">
        <w:rPr>
          <w:lang w:val="fr-FR"/>
        </w:rPr>
        <w:br/>
        <w:t>–</w:t>
      </w:r>
      <w:r w:rsidRPr="00CA08F1">
        <w:rPr>
          <w:lang w:val="fr-FR"/>
        </w:rPr>
        <w:tab/>
        <w:t>Aux Membres du Secteur de l'UIT-R</w:t>
      </w:r>
      <w:r w:rsidRPr="00CA08F1">
        <w:rPr>
          <w:lang w:val="fr-FR"/>
        </w:rPr>
        <w:br/>
        <w:t>–</w:t>
      </w:r>
      <w:r w:rsidRPr="00CA08F1">
        <w:rPr>
          <w:lang w:val="fr-FR"/>
        </w:rPr>
        <w:tab/>
        <w:t>Aux Membres du Comité du Règlement des radiocommunications</w:t>
      </w:r>
    </w:p>
    <w:sectPr w:rsidR="00DE2366" w:rsidRPr="00CA08F1" w:rsidSect="003F2F3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DAF" w14:textId="44E8198C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018" w14:textId="1F799A44" w:rsidR="00305156" w:rsidRPr="000F0E0A" w:rsidRDefault="00305156" w:rsidP="0030515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Tél.: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22 730 5111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Courriel: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</w:t>
    </w:r>
    <w:hyperlink r:id="rId1" w:history="1">
      <w:r w:rsidR="00175A48" w:rsidRPr="00EB1FBF">
        <w:rPr>
          <w:rStyle w:val="Hyperlink"/>
          <w:rFonts w:asciiTheme="minorHAnsi" w:hAnsiTheme="minorHAnsi"/>
          <w:sz w:val="19"/>
          <w:szCs w:val="19"/>
          <w:lang w:val="fr-CH"/>
        </w:rPr>
        <w:t>brmail@itu.int</w:t>
      </w:r>
    </w:hyperlink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</w:t>
    </w:r>
    <w:proofErr w:type="gramStart"/>
    <w:r w:rsidR="00175A48">
      <w:rPr>
        <w:rFonts w:asciiTheme="minorHAnsi" w:hAnsiTheme="minorHAnsi"/>
        <w:color w:val="0070C0"/>
        <w:sz w:val="19"/>
        <w:szCs w:val="19"/>
        <w:lang w:val="fr-CH"/>
      </w:rPr>
      <w:t>Télécopie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t>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22 733 7256 • </w:t>
    </w:r>
    <w:hyperlink r:id="rId2" w:history="1">
      <w:r w:rsidRPr="000F0E0A">
        <w:rPr>
          <w:rStyle w:val="Hyperlink"/>
          <w:color w:val="0070C0"/>
          <w:sz w:val="19"/>
          <w:szCs w:val="19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0F0E0A" w14:paraId="481783A9" w14:textId="77777777" w:rsidTr="000F0E0A">
      <w:tc>
        <w:tcPr>
          <w:tcW w:w="10042" w:type="dxa"/>
          <w:tcMar>
            <w:left w:w="0" w:type="dxa"/>
          </w:tcMar>
        </w:tcPr>
        <w:p w14:paraId="2C832B73" w14:textId="77777777" w:rsidR="000F0E0A" w:rsidRDefault="000F0E0A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71477D" wp14:editId="1BD04A86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2C67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9412F9"/>
    <w:multiLevelType w:val="hybridMultilevel"/>
    <w:tmpl w:val="40C2A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777C30D1"/>
    <w:multiLevelType w:val="hybridMultilevel"/>
    <w:tmpl w:val="FBB4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382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197124">
    <w:abstractNumId w:val="6"/>
  </w:num>
  <w:num w:numId="3" w16cid:durableId="12851891">
    <w:abstractNumId w:val="7"/>
  </w:num>
  <w:num w:numId="4" w16cid:durableId="32929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95C"/>
    <w:rsid w:val="000E3DEE"/>
    <w:rsid w:val="000E443D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45CF0"/>
    <w:rsid w:val="0016521C"/>
    <w:rsid w:val="00175A4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4F24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0515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B88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12B7"/>
    <w:rsid w:val="005D3669"/>
    <w:rsid w:val="005E42F8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3795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0506"/>
    <w:rsid w:val="008C2E74"/>
    <w:rsid w:val="008C4E0C"/>
    <w:rsid w:val="008D5409"/>
    <w:rsid w:val="008E006D"/>
    <w:rsid w:val="008E38B4"/>
    <w:rsid w:val="008F4F21"/>
    <w:rsid w:val="00904D4A"/>
    <w:rsid w:val="009076D7"/>
    <w:rsid w:val="009151BA"/>
    <w:rsid w:val="00924164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92B0A"/>
    <w:rsid w:val="00CA08F1"/>
    <w:rsid w:val="00CA3F44"/>
    <w:rsid w:val="00CA4E58"/>
    <w:rsid w:val="00CB3771"/>
    <w:rsid w:val="00CB44BF"/>
    <w:rsid w:val="00CB5153"/>
    <w:rsid w:val="00CE076A"/>
    <w:rsid w:val="00CE463D"/>
    <w:rsid w:val="00D10BA0"/>
    <w:rsid w:val="00D14875"/>
    <w:rsid w:val="00D21694"/>
    <w:rsid w:val="00D24EB5"/>
    <w:rsid w:val="00D30F8C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D190B"/>
    <w:rsid w:val="00DE2366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497A"/>
    <w:rsid w:val="00E35E8F"/>
    <w:rsid w:val="00E428AB"/>
    <w:rsid w:val="00E438E8"/>
    <w:rsid w:val="00E44913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56B0E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23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space-argu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rge.ciccorossi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F815C9" w:rsidRDefault="00F815C9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C9"/>
    <w:rsid w:val="000D395C"/>
    <w:rsid w:val="0016521C"/>
    <w:rsid w:val="00C92B0A"/>
    <w:rsid w:val="00F56B0E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753</Words>
  <Characters>4755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5498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Marchetti, Caroline</cp:lastModifiedBy>
  <cp:revision>4</cp:revision>
  <cp:lastPrinted>2026-01-27T09:15:00Z</cp:lastPrinted>
  <dcterms:created xsi:type="dcterms:W3CDTF">2026-01-27T09:06:00Z</dcterms:created>
  <dcterms:modified xsi:type="dcterms:W3CDTF">2026-01-27T09:17:00Z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