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4711"/>
        <w:gridCol w:w="3652"/>
      </w:tblGrid>
      <w:tr w:rsidR="00E53DCE" w:rsidRPr="00B33A00" w14:paraId="43DC2555" w14:textId="77777777" w:rsidTr="00306452">
        <w:trPr>
          <w:jc w:val="center"/>
        </w:trPr>
        <w:tc>
          <w:tcPr>
            <w:tcW w:w="9889" w:type="dxa"/>
            <w:gridSpan w:val="3"/>
          </w:tcPr>
          <w:p w14:paraId="5ECC259E" w14:textId="77777777" w:rsidR="00E53DCE" w:rsidRPr="00B33A00" w:rsidRDefault="00A96D3A" w:rsidP="006160CB">
            <w:pPr>
              <w:spacing w:before="0"/>
              <w:jc w:val="left"/>
              <w:rPr>
                <w:rFonts w:cstheme="minorHAnsi"/>
                <w:b/>
                <w:bCs/>
                <w:color w:val="808080"/>
                <w:sz w:val="28"/>
                <w:szCs w:val="28"/>
                <w:lang w:val="es-ES_tradnl"/>
              </w:rPr>
            </w:pPr>
            <w:r w:rsidRPr="00B33A00">
              <w:rPr>
                <w:rFonts w:cstheme="minorHAnsi"/>
                <w:b/>
                <w:bCs/>
                <w:color w:val="808080"/>
                <w:sz w:val="28"/>
                <w:szCs w:val="28"/>
                <w:lang w:val="es-ES_tradnl"/>
              </w:rPr>
              <w:t>Oficina de Radiocomunicaciones (BR)</w:t>
            </w:r>
          </w:p>
          <w:p w14:paraId="58CBF889" w14:textId="77777777" w:rsidR="00E53DCE" w:rsidRPr="00B33A00" w:rsidRDefault="00E53DCE" w:rsidP="006160CB">
            <w:pPr>
              <w:spacing w:before="0"/>
              <w:jc w:val="left"/>
              <w:rPr>
                <w:rFonts w:cstheme="minorHAnsi"/>
                <w:b/>
                <w:bCs/>
                <w:color w:val="808080"/>
                <w:sz w:val="28"/>
                <w:szCs w:val="28"/>
                <w:lang w:val="es-ES_tradnl"/>
              </w:rPr>
            </w:pPr>
          </w:p>
          <w:p w14:paraId="240A8D51" w14:textId="77777777" w:rsidR="00E53DCE" w:rsidRPr="00B33A00" w:rsidRDefault="00E53DCE" w:rsidP="006160CB">
            <w:pPr>
              <w:spacing w:before="0"/>
              <w:jc w:val="left"/>
              <w:rPr>
                <w:rFonts w:cs="Times New Roman Bold"/>
                <w:b/>
                <w:bCs/>
                <w:color w:val="808080"/>
                <w:sz w:val="28"/>
                <w:szCs w:val="28"/>
                <w:lang w:val="es-ES_tradnl"/>
              </w:rPr>
            </w:pPr>
          </w:p>
        </w:tc>
      </w:tr>
      <w:tr w:rsidR="00E53DCE" w:rsidRPr="00B33A00" w14:paraId="1176B6B2" w14:textId="77777777" w:rsidTr="00F61E23">
        <w:trPr>
          <w:jc w:val="center"/>
        </w:trPr>
        <w:tc>
          <w:tcPr>
            <w:tcW w:w="6237" w:type="dxa"/>
            <w:gridSpan w:val="2"/>
          </w:tcPr>
          <w:p w14:paraId="6F90FD9A" w14:textId="1B4AB4EC" w:rsidR="00E53DCE" w:rsidRPr="00B33A00" w:rsidRDefault="001B3D4D" w:rsidP="006160CB">
            <w:pPr>
              <w:spacing w:before="0"/>
              <w:jc w:val="left"/>
              <w:rPr>
                <w:szCs w:val="24"/>
                <w:lang w:val="es-ES_tradnl"/>
              </w:rPr>
            </w:pPr>
            <w:r w:rsidRPr="00B33A00">
              <w:rPr>
                <w:lang w:val="es-ES_tradnl"/>
              </w:rPr>
              <w:t>Carta Circular</w:t>
            </w:r>
          </w:p>
          <w:p w14:paraId="285DE0FA" w14:textId="7942A66F" w:rsidR="00E53DCE" w:rsidRPr="00B33A00" w:rsidRDefault="001B3D4D" w:rsidP="006160CB">
            <w:pPr>
              <w:spacing w:before="0"/>
              <w:jc w:val="left"/>
              <w:rPr>
                <w:b/>
                <w:bCs/>
                <w:szCs w:val="24"/>
                <w:lang w:val="es-ES_tradnl"/>
              </w:rPr>
            </w:pPr>
            <w:r w:rsidRPr="00B33A00">
              <w:rPr>
                <w:b/>
                <w:bCs/>
                <w:szCs w:val="24"/>
                <w:lang w:val="es-ES_tradnl"/>
              </w:rPr>
              <w:t>CR</w:t>
            </w:r>
            <w:r w:rsidR="00F61E23" w:rsidRPr="00B33A00">
              <w:rPr>
                <w:b/>
                <w:bCs/>
                <w:szCs w:val="24"/>
                <w:lang w:val="es-ES_tradnl"/>
              </w:rPr>
              <w:t>/5</w:t>
            </w:r>
            <w:r w:rsidR="00693734" w:rsidRPr="00B33A00">
              <w:rPr>
                <w:b/>
                <w:bCs/>
                <w:szCs w:val="24"/>
                <w:lang w:val="es-ES_tradnl"/>
              </w:rPr>
              <w:t>2</w:t>
            </w:r>
            <w:r w:rsidR="0083718B">
              <w:rPr>
                <w:b/>
                <w:bCs/>
                <w:szCs w:val="24"/>
                <w:lang w:val="es-ES_tradnl"/>
              </w:rPr>
              <w:t>5</w:t>
            </w:r>
          </w:p>
        </w:tc>
        <w:tc>
          <w:tcPr>
            <w:tcW w:w="3652" w:type="dxa"/>
          </w:tcPr>
          <w:p w14:paraId="348C9D2E" w14:textId="23BF933C" w:rsidR="00E53DCE" w:rsidRPr="00B33A00" w:rsidRDefault="00F61E23" w:rsidP="006160CB">
            <w:pPr>
              <w:spacing w:before="0"/>
              <w:jc w:val="right"/>
              <w:rPr>
                <w:szCs w:val="24"/>
                <w:lang w:val="es-ES_tradnl"/>
              </w:rPr>
            </w:pPr>
            <w:r w:rsidRPr="00B33A00">
              <w:rPr>
                <w:bCs/>
                <w:szCs w:val="24"/>
                <w:lang w:val="es-ES_tradnl"/>
              </w:rPr>
              <w:t xml:space="preserve">Ginebra, </w:t>
            </w:r>
            <w:r w:rsidR="009B60F4">
              <w:rPr>
                <w:bCs/>
                <w:szCs w:val="24"/>
                <w:lang w:val="es-ES_tradnl"/>
              </w:rPr>
              <w:t>1</w:t>
            </w:r>
            <w:r w:rsidR="008141A0">
              <w:rPr>
                <w:bCs/>
                <w:szCs w:val="24"/>
                <w:lang w:val="es-ES_tradnl"/>
              </w:rPr>
              <w:t>0</w:t>
            </w:r>
            <w:r w:rsidR="009B60F4">
              <w:rPr>
                <w:bCs/>
                <w:szCs w:val="24"/>
                <w:lang w:val="es-ES_tradnl"/>
              </w:rPr>
              <w:t xml:space="preserve"> </w:t>
            </w:r>
            <w:r w:rsidR="00A96D3A" w:rsidRPr="00B33A00">
              <w:rPr>
                <w:bCs/>
                <w:szCs w:val="24"/>
                <w:lang w:val="es-ES_tradnl"/>
              </w:rPr>
              <w:t xml:space="preserve">de </w:t>
            </w:r>
            <w:r w:rsidRPr="00B33A00">
              <w:rPr>
                <w:bCs/>
                <w:szCs w:val="24"/>
                <w:lang w:val="es-ES_tradnl"/>
              </w:rPr>
              <w:t>diciembre</w:t>
            </w:r>
            <w:r w:rsidR="00A96D3A" w:rsidRPr="00B33A00">
              <w:rPr>
                <w:bCs/>
                <w:szCs w:val="24"/>
                <w:lang w:val="es-ES_tradnl"/>
              </w:rPr>
              <w:t xml:space="preserve"> de 20</w:t>
            </w:r>
            <w:r w:rsidR="002B7EE0" w:rsidRPr="00B33A00">
              <w:rPr>
                <w:bCs/>
                <w:szCs w:val="24"/>
                <w:lang w:val="es-ES_tradnl"/>
              </w:rPr>
              <w:t>2</w:t>
            </w:r>
            <w:r w:rsidR="00693734" w:rsidRPr="00B33A00">
              <w:rPr>
                <w:bCs/>
                <w:szCs w:val="24"/>
                <w:lang w:val="es-ES_tradnl"/>
              </w:rPr>
              <w:t>5</w:t>
            </w:r>
          </w:p>
        </w:tc>
      </w:tr>
      <w:tr w:rsidR="00E53DCE" w:rsidRPr="00B33A00" w14:paraId="74BA422E" w14:textId="77777777" w:rsidTr="00306452">
        <w:trPr>
          <w:jc w:val="center"/>
        </w:trPr>
        <w:tc>
          <w:tcPr>
            <w:tcW w:w="9889" w:type="dxa"/>
            <w:gridSpan w:val="3"/>
          </w:tcPr>
          <w:p w14:paraId="124B7AFF" w14:textId="77777777" w:rsidR="00E53DCE" w:rsidRPr="00B33A00" w:rsidRDefault="00E53DCE" w:rsidP="006160CB">
            <w:pPr>
              <w:spacing w:before="0"/>
              <w:jc w:val="left"/>
              <w:rPr>
                <w:rFonts w:cs="Arial"/>
                <w:szCs w:val="24"/>
                <w:lang w:val="es-ES_tradnl"/>
              </w:rPr>
            </w:pPr>
          </w:p>
        </w:tc>
      </w:tr>
      <w:tr w:rsidR="00E53DCE" w:rsidRPr="00B33A00" w14:paraId="4959A9DD" w14:textId="77777777" w:rsidTr="00306452">
        <w:trPr>
          <w:jc w:val="center"/>
        </w:trPr>
        <w:tc>
          <w:tcPr>
            <w:tcW w:w="9889" w:type="dxa"/>
            <w:gridSpan w:val="3"/>
          </w:tcPr>
          <w:p w14:paraId="2889CBBC" w14:textId="77777777" w:rsidR="00E53DCE" w:rsidRPr="00B33A00" w:rsidRDefault="00E53DCE" w:rsidP="006160CB">
            <w:pPr>
              <w:spacing w:before="0"/>
              <w:jc w:val="left"/>
              <w:rPr>
                <w:szCs w:val="24"/>
                <w:lang w:val="es-ES_tradnl"/>
              </w:rPr>
            </w:pPr>
          </w:p>
        </w:tc>
      </w:tr>
      <w:tr w:rsidR="00E53DCE" w:rsidRPr="008141A0" w14:paraId="5648637A" w14:textId="77777777" w:rsidTr="00306452">
        <w:trPr>
          <w:jc w:val="center"/>
        </w:trPr>
        <w:tc>
          <w:tcPr>
            <w:tcW w:w="9889" w:type="dxa"/>
            <w:gridSpan w:val="3"/>
          </w:tcPr>
          <w:p w14:paraId="0FD65077" w14:textId="77777777" w:rsidR="00E53DCE" w:rsidRPr="00B33A00" w:rsidRDefault="00FE4822" w:rsidP="006160CB">
            <w:pPr>
              <w:spacing w:before="0"/>
              <w:jc w:val="left"/>
              <w:rPr>
                <w:b/>
                <w:bCs/>
                <w:szCs w:val="24"/>
                <w:lang w:val="es-ES_tradnl"/>
              </w:rPr>
            </w:pPr>
            <w:r w:rsidRPr="00B33A00">
              <w:rPr>
                <w:b/>
                <w:szCs w:val="24"/>
                <w:lang w:val="es-ES_tradnl"/>
              </w:rPr>
              <w:t>A las Administraciones de los Estados Miembros de la UIT</w:t>
            </w:r>
          </w:p>
          <w:p w14:paraId="2BD99C28" w14:textId="77777777" w:rsidR="00E53DCE" w:rsidRPr="00B33A00" w:rsidRDefault="00E53DCE" w:rsidP="006160CB">
            <w:pPr>
              <w:spacing w:before="0"/>
              <w:jc w:val="left"/>
              <w:rPr>
                <w:b/>
                <w:bCs/>
                <w:szCs w:val="24"/>
                <w:lang w:val="es-ES_tradnl"/>
              </w:rPr>
            </w:pPr>
          </w:p>
        </w:tc>
      </w:tr>
      <w:tr w:rsidR="00E53DCE" w:rsidRPr="008141A0" w14:paraId="21A00877" w14:textId="77777777" w:rsidTr="00306452">
        <w:trPr>
          <w:jc w:val="center"/>
        </w:trPr>
        <w:tc>
          <w:tcPr>
            <w:tcW w:w="9889" w:type="dxa"/>
            <w:gridSpan w:val="3"/>
          </w:tcPr>
          <w:p w14:paraId="321D1AF5" w14:textId="77777777" w:rsidR="00E53DCE" w:rsidRPr="00B33A00" w:rsidRDefault="00E53DCE" w:rsidP="006160CB">
            <w:pPr>
              <w:spacing w:before="0"/>
              <w:jc w:val="left"/>
              <w:rPr>
                <w:szCs w:val="24"/>
                <w:lang w:val="es-ES_tradnl"/>
              </w:rPr>
            </w:pPr>
          </w:p>
        </w:tc>
      </w:tr>
      <w:tr w:rsidR="00E53DCE" w:rsidRPr="008141A0" w14:paraId="04594645" w14:textId="77777777" w:rsidTr="00306452">
        <w:trPr>
          <w:jc w:val="center"/>
        </w:trPr>
        <w:tc>
          <w:tcPr>
            <w:tcW w:w="9889" w:type="dxa"/>
            <w:gridSpan w:val="3"/>
          </w:tcPr>
          <w:p w14:paraId="13718072" w14:textId="77777777" w:rsidR="00E53DCE" w:rsidRPr="00B33A00" w:rsidRDefault="00E53DCE" w:rsidP="006160CB">
            <w:pPr>
              <w:spacing w:before="0"/>
              <w:jc w:val="left"/>
              <w:rPr>
                <w:szCs w:val="24"/>
                <w:lang w:val="es-ES_tradnl"/>
              </w:rPr>
            </w:pPr>
          </w:p>
        </w:tc>
      </w:tr>
      <w:tr w:rsidR="00E53DCE" w:rsidRPr="008141A0" w14:paraId="7D5AD11A" w14:textId="77777777" w:rsidTr="00306452">
        <w:trPr>
          <w:jc w:val="center"/>
        </w:trPr>
        <w:tc>
          <w:tcPr>
            <w:tcW w:w="1526" w:type="dxa"/>
          </w:tcPr>
          <w:p w14:paraId="6FE98906" w14:textId="77777777" w:rsidR="00E53DCE" w:rsidRPr="00B33A00" w:rsidRDefault="00311970" w:rsidP="006160CB">
            <w:pPr>
              <w:tabs>
                <w:tab w:val="clear" w:pos="1588"/>
                <w:tab w:val="left" w:pos="1560"/>
              </w:tabs>
              <w:spacing w:before="0"/>
              <w:jc w:val="left"/>
              <w:rPr>
                <w:szCs w:val="24"/>
                <w:lang w:val="es-ES_tradnl"/>
              </w:rPr>
            </w:pPr>
            <w:r w:rsidRPr="00B33A00">
              <w:rPr>
                <w:szCs w:val="24"/>
                <w:lang w:val="es-ES_tradnl"/>
              </w:rPr>
              <w:t>Asunto:</w:t>
            </w:r>
          </w:p>
        </w:tc>
        <w:tc>
          <w:tcPr>
            <w:tcW w:w="8363" w:type="dxa"/>
            <w:gridSpan w:val="2"/>
            <w:vMerge w:val="restart"/>
          </w:tcPr>
          <w:p w14:paraId="729D9408" w14:textId="77777777" w:rsidR="00F61E23" w:rsidRPr="00B33A00" w:rsidRDefault="00F61E23" w:rsidP="00F61E23">
            <w:pPr>
              <w:spacing w:before="0" w:after="120" w:line="240" w:lineRule="auto"/>
              <w:rPr>
                <w:b/>
                <w:bCs/>
                <w:lang w:val="es-ES_tradnl"/>
              </w:rPr>
            </w:pPr>
            <w:r w:rsidRPr="00B33A00">
              <w:rPr>
                <w:b/>
                <w:bCs/>
                <w:lang w:val="es-ES_tradnl"/>
              </w:rPr>
              <w:t>Aplicación del Artículo 12 del Reglamento de Radiocomunicaciones:</w:t>
            </w:r>
          </w:p>
          <w:p w14:paraId="2244FC0E" w14:textId="4D200D05" w:rsidR="00F61E23" w:rsidRPr="00B33A00" w:rsidRDefault="00F61E23" w:rsidP="00F61E23">
            <w:pPr>
              <w:tabs>
                <w:tab w:val="clear" w:pos="794"/>
                <w:tab w:val="left" w:pos="499"/>
              </w:tabs>
              <w:spacing w:before="0" w:line="240" w:lineRule="auto"/>
              <w:ind w:left="504" w:hanging="504"/>
              <w:rPr>
                <w:b/>
                <w:bCs/>
                <w:lang w:val="es-ES_tradnl"/>
              </w:rPr>
            </w:pPr>
            <w:r w:rsidRPr="00B33A00">
              <w:rPr>
                <w:b/>
                <w:bCs/>
                <w:lang w:val="es-ES_tradnl"/>
              </w:rPr>
              <w:t>1)</w:t>
            </w:r>
            <w:r w:rsidRPr="00B33A00">
              <w:rPr>
                <w:b/>
                <w:bCs/>
                <w:lang w:val="es-ES_tradnl"/>
              </w:rPr>
              <w:tab/>
              <w:t xml:space="preserve">Fechas límite para la presentación del horario estacional de radiodifusión por ondas </w:t>
            </w:r>
            <w:proofErr w:type="spellStart"/>
            <w:r w:rsidRPr="00B33A00">
              <w:rPr>
                <w:b/>
                <w:bCs/>
                <w:lang w:val="es-ES_tradnl"/>
              </w:rPr>
              <w:t>decamétricas</w:t>
            </w:r>
            <w:proofErr w:type="spellEnd"/>
            <w:r w:rsidRPr="00B33A00">
              <w:rPr>
                <w:b/>
                <w:bCs/>
                <w:lang w:val="es-ES_tradnl"/>
              </w:rPr>
              <w:t xml:space="preserve"> para los periodos </w:t>
            </w:r>
            <w:r w:rsidRPr="00B33A00">
              <w:rPr>
                <w:b/>
                <w:bCs/>
                <w:szCs w:val="24"/>
                <w:lang w:val="es-ES_tradnl"/>
              </w:rPr>
              <w:t>A2</w:t>
            </w:r>
            <w:r w:rsidR="00693734" w:rsidRPr="00B33A00">
              <w:rPr>
                <w:b/>
                <w:bCs/>
                <w:szCs w:val="24"/>
                <w:lang w:val="es-ES_tradnl"/>
              </w:rPr>
              <w:t>6</w:t>
            </w:r>
            <w:r w:rsidRPr="00B33A00">
              <w:rPr>
                <w:b/>
                <w:bCs/>
                <w:szCs w:val="24"/>
                <w:lang w:val="es-ES_tradnl"/>
              </w:rPr>
              <w:t xml:space="preserve"> (</w:t>
            </w:r>
            <w:r w:rsidR="00693734" w:rsidRPr="00B33A00">
              <w:rPr>
                <w:b/>
                <w:bCs/>
                <w:szCs w:val="24"/>
                <w:lang w:val="es-ES_tradnl"/>
              </w:rPr>
              <w:t>29</w:t>
            </w:r>
            <w:r w:rsidRPr="00B33A00">
              <w:rPr>
                <w:b/>
                <w:bCs/>
                <w:szCs w:val="24"/>
                <w:lang w:val="es-ES_tradnl"/>
              </w:rPr>
              <w:t xml:space="preserve"> de marzo de 202</w:t>
            </w:r>
            <w:r w:rsidR="00693734" w:rsidRPr="00B33A00">
              <w:rPr>
                <w:b/>
                <w:bCs/>
                <w:szCs w:val="24"/>
                <w:lang w:val="es-ES_tradnl"/>
              </w:rPr>
              <w:t>6</w:t>
            </w:r>
            <w:r w:rsidRPr="00B33A00">
              <w:rPr>
                <w:b/>
                <w:bCs/>
                <w:szCs w:val="24"/>
                <w:lang w:val="es-ES_tradnl"/>
              </w:rPr>
              <w:t>–2</w:t>
            </w:r>
            <w:r w:rsidR="00693734" w:rsidRPr="00B33A00">
              <w:rPr>
                <w:b/>
                <w:bCs/>
                <w:szCs w:val="24"/>
                <w:lang w:val="es-ES_tradnl"/>
              </w:rPr>
              <w:t>5</w:t>
            </w:r>
            <w:r w:rsidRPr="00B33A00">
              <w:rPr>
                <w:b/>
                <w:bCs/>
                <w:szCs w:val="24"/>
                <w:lang w:val="es-ES_tradnl"/>
              </w:rPr>
              <w:t xml:space="preserve"> de octubre de 202</w:t>
            </w:r>
            <w:r w:rsidR="00693734" w:rsidRPr="00B33A00">
              <w:rPr>
                <w:b/>
                <w:bCs/>
                <w:szCs w:val="24"/>
                <w:lang w:val="es-ES_tradnl"/>
              </w:rPr>
              <w:t>6</w:t>
            </w:r>
            <w:r w:rsidRPr="00B33A00">
              <w:rPr>
                <w:b/>
                <w:bCs/>
                <w:szCs w:val="24"/>
                <w:lang w:val="es-ES_tradnl"/>
              </w:rPr>
              <w:t>) y B2</w:t>
            </w:r>
            <w:r w:rsidR="00693734" w:rsidRPr="00B33A00">
              <w:rPr>
                <w:b/>
                <w:bCs/>
                <w:szCs w:val="24"/>
                <w:lang w:val="es-ES_tradnl"/>
              </w:rPr>
              <w:t>6</w:t>
            </w:r>
            <w:r w:rsidRPr="00B33A00">
              <w:rPr>
                <w:b/>
                <w:bCs/>
                <w:szCs w:val="24"/>
                <w:lang w:val="es-ES_tradnl"/>
              </w:rPr>
              <w:t xml:space="preserve"> (2</w:t>
            </w:r>
            <w:r w:rsidR="00693734" w:rsidRPr="00B33A00">
              <w:rPr>
                <w:b/>
                <w:bCs/>
                <w:szCs w:val="24"/>
                <w:lang w:val="es-ES_tradnl"/>
              </w:rPr>
              <w:t>5</w:t>
            </w:r>
            <w:r w:rsidRPr="00B33A00">
              <w:rPr>
                <w:b/>
                <w:bCs/>
                <w:szCs w:val="24"/>
                <w:lang w:val="es-ES_tradnl"/>
              </w:rPr>
              <w:t xml:space="preserve"> de octubre de 202</w:t>
            </w:r>
            <w:r w:rsidR="00693734" w:rsidRPr="00B33A00">
              <w:rPr>
                <w:b/>
                <w:bCs/>
                <w:szCs w:val="24"/>
                <w:lang w:val="es-ES_tradnl"/>
              </w:rPr>
              <w:t>6</w:t>
            </w:r>
            <w:r w:rsidRPr="00B33A00">
              <w:rPr>
                <w:b/>
                <w:bCs/>
                <w:szCs w:val="24"/>
                <w:lang w:val="es-ES_tradnl"/>
              </w:rPr>
              <w:t>–2</w:t>
            </w:r>
            <w:r w:rsidR="00693734" w:rsidRPr="00B33A00">
              <w:rPr>
                <w:b/>
                <w:bCs/>
                <w:szCs w:val="24"/>
                <w:lang w:val="es-ES_tradnl"/>
              </w:rPr>
              <w:t>8</w:t>
            </w:r>
            <w:r w:rsidRPr="00B33A00">
              <w:rPr>
                <w:b/>
                <w:bCs/>
                <w:szCs w:val="24"/>
                <w:lang w:val="es-ES_tradnl"/>
              </w:rPr>
              <w:t xml:space="preserve"> de marzo de 202</w:t>
            </w:r>
            <w:r w:rsidR="00693734" w:rsidRPr="00B33A00">
              <w:rPr>
                <w:b/>
                <w:bCs/>
                <w:szCs w:val="24"/>
                <w:lang w:val="es-ES_tradnl"/>
              </w:rPr>
              <w:t>7</w:t>
            </w:r>
            <w:r w:rsidRPr="00B33A00">
              <w:rPr>
                <w:b/>
                <w:bCs/>
                <w:szCs w:val="24"/>
                <w:lang w:val="es-ES_tradnl"/>
              </w:rPr>
              <w:t>)</w:t>
            </w:r>
          </w:p>
          <w:p w14:paraId="4B867662" w14:textId="3AE522FD" w:rsidR="00F61E23" w:rsidRPr="00B33A00" w:rsidRDefault="00F61E23" w:rsidP="00F61E23">
            <w:pPr>
              <w:tabs>
                <w:tab w:val="clear" w:pos="794"/>
                <w:tab w:val="left" w:pos="499"/>
              </w:tabs>
              <w:spacing w:before="0" w:line="240" w:lineRule="auto"/>
              <w:ind w:left="499" w:hanging="499"/>
              <w:rPr>
                <w:b/>
                <w:bCs/>
                <w:lang w:val="es-ES_tradnl"/>
              </w:rPr>
            </w:pPr>
            <w:r w:rsidRPr="00B33A00">
              <w:rPr>
                <w:b/>
                <w:bCs/>
                <w:lang w:val="es-ES_tradnl"/>
              </w:rPr>
              <w:t>2)</w:t>
            </w:r>
            <w:r w:rsidRPr="00B33A00">
              <w:rPr>
                <w:b/>
                <w:bCs/>
                <w:lang w:val="es-ES_tradnl"/>
              </w:rPr>
              <w:tab/>
              <w:t>Reuniones regionales de coordinación</w:t>
            </w:r>
          </w:p>
          <w:p w14:paraId="00786A84" w14:textId="77777777" w:rsidR="00F61E23" w:rsidRPr="00B33A00" w:rsidRDefault="00F61E23" w:rsidP="00F61E23">
            <w:pPr>
              <w:tabs>
                <w:tab w:val="clear" w:pos="794"/>
                <w:tab w:val="left" w:pos="499"/>
              </w:tabs>
              <w:spacing w:before="0" w:line="240" w:lineRule="auto"/>
              <w:ind w:left="499" w:hanging="499"/>
              <w:rPr>
                <w:b/>
                <w:bCs/>
                <w:lang w:val="es-ES_tradnl"/>
              </w:rPr>
            </w:pPr>
            <w:r w:rsidRPr="00B33A00">
              <w:rPr>
                <w:b/>
                <w:bCs/>
                <w:szCs w:val="24"/>
                <w:lang w:val="es-ES_tradnl"/>
              </w:rPr>
              <w:t>3)</w:t>
            </w:r>
            <w:r w:rsidRPr="00B33A00">
              <w:rPr>
                <w:b/>
                <w:bCs/>
                <w:lang w:val="es-ES_tradnl"/>
              </w:rPr>
              <w:tab/>
              <w:t>Radiocomunicaciones Internacionales para Operaciones de Socorro (IRDR)</w:t>
            </w:r>
          </w:p>
          <w:p w14:paraId="401D81B8" w14:textId="77777777" w:rsidR="00F61E23" w:rsidRPr="00B33A00" w:rsidRDefault="00F61E23" w:rsidP="00F61E23">
            <w:pPr>
              <w:tabs>
                <w:tab w:val="clear" w:pos="794"/>
                <w:tab w:val="left" w:pos="499"/>
              </w:tabs>
              <w:spacing w:before="0" w:line="240" w:lineRule="auto"/>
              <w:ind w:left="499" w:hanging="499"/>
              <w:rPr>
                <w:b/>
                <w:bCs/>
                <w:lang w:val="es-ES_tradnl"/>
              </w:rPr>
            </w:pPr>
            <w:r w:rsidRPr="00B33A00">
              <w:rPr>
                <w:b/>
                <w:bCs/>
                <w:lang w:val="es-ES_tradnl"/>
              </w:rPr>
              <w:t>4)</w:t>
            </w:r>
            <w:r w:rsidRPr="00B33A00">
              <w:rPr>
                <w:b/>
                <w:bCs/>
                <w:lang w:val="es-ES_tradnl"/>
              </w:rPr>
              <w:tab/>
              <w:t xml:space="preserve">Publicación en línea y herramientas sobre el </w:t>
            </w:r>
            <w:proofErr w:type="spellStart"/>
            <w:r w:rsidRPr="00B33A00">
              <w:rPr>
                <w:b/>
                <w:bCs/>
                <w:lang w:val="es-ES_tradnl"/>
              </w:rPr>
              <w:t>eHFBC</w:t>
            </w:r>
            <w:proofErr w:type="spellEnd"/>
          </w:p>
          <w:p w14:paraId="6FFC98B5" w14:textId="77777777" w:rsidR="00E53DCE" w:rsidRPr="00B33A00" w:rsidRDefault="00F61E23" w:rsidP="00F61E23">
            <w:pPr>
              <w:tabs>
                <w:tab w:val="clear" w:pos="794"/>
                <w:tab w:val="left" w:pos="499"/>
              </w:tabs>
              <w:spacing w:before="0" w:line="240" w:lineRule="auto"/>
              <w:ind w:left="499" w:hanging="499"/>
              <w:rPr>
                <w:b/>
                <w:bCs/>
                <w:szCs w:val="24"/>
                <w:lang w:val="es-ES_tradnl"/>
              </w:rPr>
            </w:pPr>
            <w:r w:rsidRPr="00B33A00">
              <w:rPr>
                <w:b/>
                <w:bCs/>
                <w:szCs w:val="24"/>
                <w:lang w:val="es-ES_tradnl"/>
              </w:rPr>
              <w:t>5)</w:t>
            </w:r>
            <w:r w:rsidRPr="00B33A00">
              <w:rPr>
                <w:b/>
                <w:bCs/>
                <w:lang w:val="es-ES_tradnl"/>
              </w:rPr>
              <w:tab/>
            </w:r>
            <w:r w:rsidRPr="00B33A00">
              <w:rPr>
                <w:b/>
                <w:bCs/>
                <w:szCs w:val="24"/>
                <w:lang w:val="es-ES_tradnl"/>
              </w:rPr>
              <w:t>Cumplimiento de lo dispuesto en el RR con respecto al ancho de banda necesario y las horas de inicio/fin</w:t>
            </w:r>
          </w:p>
          <w:p w14:paraId="6D3AA1B7" w14:textId="72B3856D" w:rsidR="00693734" w:rsidRPr="00B33A00" w:rsidRDefault="00693734" w:rsidP="00F61E23">
            <w:pPr>
              <w:tabs>
                <w:tab w:val="clear" w:pos="794"/>
                <w:tab w:val="left" w:pos="499"/>
              </w:tabs>
              <w:spacing w:before="0" w:line="240" w:lineRule="auto"/>
              <w:ind w:left="499" w:hanging="499"/>
              <w:rPr>
                <w:b/>
                <w:bCs/>
                <w:szCs w:val="24"/>
                <w:lang w:val="es-ES_tradnl"/>
              </w:rPr>
            </w:pPr>
            <w:r w:rsidRPr="00B33A00">
              <w:rPr>
                <w:b/>
                <w:bCs/>
                <w:szCs w:val="24"/>
                <w:lang w:val="es-ES_tradnl"/>
              </w:rPr>
              <w:t>6)</w:t>
            </w:r>
            <w:r w:rsidR="00515F59" w:rsidRPr="00B33A00">
              <w:rPr>
                <w:b/>
                <w:bCs/>
                <w:szCs w:val="24"/>
                <w:lang w:val="es-ES_tradnl"/>
              </w:rPr>
              <w:tab/>
            </w:r>
            <w:r w:rsidRPr="00B33A00">
              <w:rPr>
                <w:b/>
                <w:bCs/>
                <w:szCs w:val="24"/>
                <w:lang w:val="es-ES_tradnl"/>
              </w:rPr>
              <w:t>Recordatorio sobre la presentación de las necesidades de radiodifusión</w:t>
            </w:r>
          </w:p>
        </w:tc>
      </w:tr>
      <w:tr w:rsidR="00E53DCE" w:rsidRPr="008141A0" w14:paraId="53440B45" w14:textId="77777777" w:rsidTr="00306452">
        <w:trPr>
          <w:jc w:val="center"/>
        </w:trPr>
        <w:tc>
          <w:tcPr>
            <w:tcW w:w="1526" w:type="dxa"/>
          </w:tcPr>
          <w:p w14:paraId="2014DABE" w14:textId="77777777" w:rsidR="00E53DCE" w:rsidRPr="00B33A00" w:rsidRDefault="00E53DCE" w:rsidP="006160CB">
            <w:pPr>
              <w:tabs>
                <w:tab w:val="clear" w:pos="1588"/>
                <w:tab w:val="left" w:pos="1560"/>
              </w:tabs>
              <w:spacing w:before="0"/>
              <w:jc w:val="left"/>
              <w:rPr>
                <w:b/>
                <w:bCs/>
                <w:szCs w:val="24"/>
                <w:lang w:val="es-ES_tradnl"/>
              </w:rPr>
            </w:pPr>
          </w:p>
        </w:tc>
        <w:tc>
          <w:tcPr>
            <w:tcW w:w="8363" w:type="dxa"/>
            <w:gridSpan w:val="2"/>
            <w:vMerge/>
          </w:tcPr>
          <w:p w14:paraId="5B186E15" w14:textId="77777777" w:rsidR="00E53DCE" w:rsidRPr="00B33A00" w:rsidRDefault="00E53DCE" w:rsidP="006160CB">
            <w:pPr>
              <w:tabs>
                <w:tab w:val="clear" w:pos="1588"/>
                <w:tab w:val="left" w:pos="1560"/>
              </w:tabs>
              <w:spacing w:before="0"/>
              <w:rPr>
                <w:b/>
                <w:bCs/>
                <w:szCs w:val="24"/>
                <w:lang w:val="es-ES_tradnl"/>
              </w:rPr>
            </w:pPr>
          </w:p>
        </w:tc>
      </w:tr>
      <w:tr w:rsidR="00E53DCE" w:rsidRPr="008141A0" w14:paraId="3FEDF1F3" w14:textId="77777777" w:rsidTr="00306452">
        <w:trPr>
          <w:jc w:val="center"/>
        </w:trPr>
        <w:tc>
          <w:tcPr>
            <w:tcW w:w="1526" w:type="dxa"/>
          </w:tcPr>
          <w:p w14:paraId="747148A1" w14:textId="77777777" w:rsidR="00E53DCE" w:rsidRPr="00B33A00" w:rsidRDefault="00E53DCE" w:rsidP="006160CB">
            <w:pPr>
              <w:tabs>
                <w:tab w:val="clear" w:pos="1588"/>
                <w:tab w:val="left" w:pos="1560"/>
              </w:tabs>
              <w:spacing w:before="0"/>
              <w:jc w:val="left"/>
              <w:rPr>
                <w:b/>
                <w:bCs/>
                <w:szCs w:val="24"/>
                <w:lang w:val="es-ES_tradnl"/>
              </w:rPr>
            </w:pPr>
          </w:p>
        </w:tc>
        <w:tc>
          <w:tcPr>
            <w:tcW w:w="8363" w:type="dxa"/>
            <w:gridSpan w:val="2"/>
            <w:vMerge/>
          </w:tcPr>
          <w:p w14:paraId="38FC3E47" w14:textId="77777777" w:rsidR="00E53DCE" w:rsidRPr="00B33A00" w:rsidRDefault="00E53DCE" w:rsidP="006160CB">
            <w:pPr>
              <w:tabs>
                <w:tab w:val="clear" w:pos="1588"/>
                <w:tab w:val="left" w:pos="1560"/>
              </w:tabs>
              <w:spacing w:before="0"/>
              <w:rPr>
                <w:b/>
                <w:bCs/>
                <w:szCs w:val="24"/>
                <w:lang w:val="es-ES_tradnl"/>
              </w:rPr>
            </w:pPr>
          </w:p>
        </w:tc>
      </w:tr>
      <w:tr w:rsidR="00E53DCE" w:rsidRPr="008141A0" w14:paraId="775862DF" w14:textId="77777777" w:rsidTr="00306452">
        <w:trPr>
          <w:jc w:val="center"/>
        </w:trPr>
        <w:tc>
          <w:tcPr>
            <w:tcW w:w="9889" w:type="dxa"/>
            <w:gridSpan w:val="3"/>
          </w:tcPr>
          <w:p w14:paraId="2667CE0C" w14:textId="77777777" w:rsidR="00E53DCE" w:rsidRPr="00B33A00" w:rsidRDefault="00E53DCE" w:rsidP="00E53DCE">
            <w:pPr>
              <w:tabs>
                <w:tab w:val="clear" w:pos="1588"/>
                <w:tab w:val="left" w:pos="1560"/>
              </w:tabs>
              <w:spacing w:before="0"/>
              <w:jc w:val="left"/>
              <w:rPr>
                <w:szCs w:val="24"/>
                <w:lang w:val="es-ES_tradnl"/>
              </w:rPr>
            </w:pPr>
          </w:p>
        </w:tc>
      </w:tr>
      <w:tr w:rsidR="00E53DCE" w:rsidRPr="008141A0" w14:paraId="6E14E8DF" w14:textId="77777777" w:rsidTr="00306452">
        <w:trPr>
          <w:jc w:val="center"/>
        </w:trPr>
        <w:tc>
          <w:tcPr>
            <w:tcW w:w="9889" w:type="dxa"/>
            <w:gridSpan w:val="3"/>
          </w:tcPr>
          <w:p w14:paraId="14D5EDEA" w14:textId="77777777" w:rsidR="00E53DCE" w:rsidRPr="00B33A00" w:rsidRDefault="00E53DCE" w:rsidP="006160CB">
            <w:pPr>
              <w:spacing w:before="0"/>
              <w:jc w:val="left"/>
              <w:rPr>
                <w:b/>
                <w:bCs/>
                <w:szCs w:val="24"/>
                <w:lang w:val="es-ES_tradnl"/>
              </w:rPr>
            </w:pPr>
          </w:p>
        </w:tc>
      </w:tr>
    </w:tbl>
    <w:p w14:paraId="1C27CD96" w14:textId="31FCFC27" w:rsidR="00D21694" w:rsidRPr="00B33A00" w:rsidRDefault="00F61E23" w:rsidP="004D494F">
      <w:pPr>
        <w:pStyle w:val="Titre1"/>
        <w:spacing w:line="240" w:lineRule="auto"/>
        <w:rPr>
          <w:rFonts w:asciiTheme="minorHAnsi" w:hAnsiTheme="minorHAnsi" w:cstheme="minorHAnsi"/>
          <w:szCs w:val="24"/>
          <w:lang w:val="es-ES_tradnl"/>
        </w:rPr>
      </w:pPr>
      <w:r w:rsidRPr="00B33A00">
        <w:rPr>
          <w:lang w:val="es-ES_tradnl"/>
        </w:rPr>
        <w:t>1</w:t>
      </w:r>
      <w:r w:rsidRPr="00B33A00">
        <w:rPr>
          <w:lang w:val="es-ES_tradnl"/>
        </w:rPr>
        <w:tab/>
      </w:r>
      <w:proofErr w:type="gramStart"/>
      <w:r w:rsidRPr="00B33A00">
        <w:rPr>
          <w:lang w:val="es-ES_tradnl"/>
        </w:rPr>
        <w:t>Plazos</w:t>
      </w:r>
      <w:proofErr w:type="gramEnd"/>
      <w:r w:rsidRPr="00B33A00">
        <w:rPr>
          <w:lang w:val="es-ES_tradnl"/>
        </w:rPr>
        <w:t xml:space="preserve"> para la presentación del horario estacional de radiodifusión por ondas </w:t>
      </w:r>
      <w:proofErr w:type="spellStart"/>
      <w:r w:rsidRPr="00B33A00">
        <w:rPr>
          <w:lang w:val="es-ES_tradnl"/>
        </w:rPr>
        <w:t>decamétricas</w:t>
      </w:r>
      <w:proofErr w:type="spellEnd"/>
      <w:r w:rsidRPr="00B33A00">
        <w:rPr>
          <w:lang w:val="es-ES_tradnl"/>
        </w:rPr>
        <w:t xml:space="preserve"> para los próximos periodos</w:t>
      </w:r>
    </w:p>
    <w:p w14:paraId="3E06B8CD" w14:textId="6BC6751E" w:rsidR="002A5DD7" w:rsidRPr="00B33A00" w:rsidRDefault="00F61E23" w:rsidP="004D494F">
      <w:pPr>
        <w:spacing w:line="240" w:lineRule="auto"/>
        <w:rPr>
          <w:rFonts w:asciiTheme="minorHAnsi" w:hAnsiTheme="minorHAnsi" w:cstheme="minorHAnsi"/>
          <w:szCs w:val="24"/>
          <w:lang w:val="es-ES_tradnl"/>
        </w:rPr>
      </w:pPr>
      <w:r w:rsidRPr="00B33A00">
        <w:rPr>
          <w:lang w:val="es-ES_tradnl"/>
        </w:rPr>
        <w:t>De conformidad con las disposiciones del número </w:t>
      </w:r>
      <w:r w:rsidRPr="00B33A00">
        <w:rPr>
          <w:b/>
          <w:bCs/>
          <w:lang w:val="es-ES_tradnl"/>
        </w:rPr>
        <w:t>12.31</w:t>
      </w:r>
      <w:r w:rsidRPr="00B33A00">
        <w:rPr>
          <w:lang w:val="es-ES_tradnl"/>
        </w:rPr>
        <w:t xml:space="preserve"> del Reglamento de Radiocomunicaciones (RR), deseo informarle que la Oficina de Radiocomunicaciones ha fijado las fechas límite para la recepción de los mencionados horarios estacionales de radiodifusión para los próximos periodos, que se indican en los Cuadros 1 y 2 del Anexo 1 a la presente Circular.</w:t>
      </w:r>
    </w:p>
    <w:p w14:paraId="22EC6AFD" w14:textId="304A1B0E" w:rsidR="00FE4822" w:rsidRPr="00B33A00" w:rsidRDefault="00F61E23" w:rsidP="004D494F">
      <w:pPr>
        <w:spacing w:line="240" w:lineRule="auto"/>
        <w:rPr>
          <w:rFonts w:asciiTheme="minorHAnsi" w:hAnsiTheme="minorHAnsi" w:cstheme="minorHAnsi"/>
          <w:szCs w:val="24"/>
          <w:lang w:val="es-ES_tradnl"/>
        </w:rPr>
      </w:pPr>
      <w:r w:rsidRPr="00B33A00">
        <w:rPr>
          <w:lang w:val="es-ES_tradnl"/>
        </w:rPr>
        <w:t>Las necesidades deben ser presentadas por las administraciones o por los organismos autorizados para ello por las mismas, tales como organismos de radiodifusión. En este último caso, se solicita a las administraciones que no lo hayan hecho aún que informen a la Oficina por escrito y por adelantado sobre el nombre de las organizaciones autorizadas, su código de tres letras para facilitar la identificación y el ámbito de las autorizaciones (véase el número </w:t>
      </w:r>
      <w:r w:rsidRPr="00B33A00">
        <w:rPr>
          <w:b/>
          <w:bCs/>
          <w:lang w:val="es-ES_tradnl"/>
        </w:rPr>
        <w:t>12.1</w:t>
      </w:r>
      <w:r w:rsidRPr="00B33A00">
        <w:rPr>
          <w:lang w:val="es-ES_tradnl"/>
        </w:rPr>
        <w:t xml:space="preserve"> del RR); de no hacerlo, la necesidad no podrá ser aceptada por la Oficina.</w:t>
      </w:r>
    </w:p>
    <w:p w14:paraId="62D12F92" w14:textId="053AAD90" w:rsidR="00FE4822" w:rsidRPr="00B33A00" w:rsidRDefault="00F61E23" w:rsidP="004D494F">
      <w:pPr>
        <w:spacing w:line="240" w:lineRule="auto"/>
        <w:rPr>
          <w:rFonts w:asciiTheme="minorHAnsi" w:hAnsiTheme="minorHAnsi" w:cstheme="minorHAnsi"/>
          <w:szCs w:val="24"/>
          <w:lang w:val="es-ES_tradnl"/>
        </w:rPr>
      </w:pPr>
      <w:r w:rsidRPr="00B33A00">
        <w:rPr>
          <w:lang w:val="es-ES_tradnl"/>
        </w:rPr>
        <w:t xml:space="preserve">Las necesidades deben presentarse </w:t>
      </w:r>
      <w:r w:rsidRPr="00B33A00">
        <w:rPr>
          <w:b/>
          <w:bCs/>
          <w:lang w:val="es-ES_tradnl"/>
        </w:rPr>
        <w:t>únicamente en formato electrónico</w:t>
      </w:r>
      <w:r w:rsidRPr="00B33A00">
        <w:rPr>
          <w:lang w:val="es-ES_tradnl"/>
        </w:rPr>
        <w:t xml:space="preserve"> utilizando WISFAT (</w:t>
      </w:r>
      <w:hyperlink r:id="rId8" w:history="1">
        <w:r w:rsidRPr="00B33A00">
          <w:rPr>
            <w:rStyle w:val="Lienhypertexte"/>
            <w:lang w:val="es-ES_tradnl"/>
          </w:rPr>
          <w:t>https://www.itu.int/es/ITU-R/terrestrial/tpr/Pages/Submission.aspx</w:t>
        </w:r>
      </w:hyperlink>
      <w:r w:rsidRPr="00B33A00">
        <w:rPr>
          <w:lang w:val="es-ES_tradnl"/>
        </w:rPr>
        <w:t xml:space="preserve">), la interfaz web para la notificación de asignaciones/adjudicaciones de frecuencias a servicios terrenales de conformidad con las Cartas Circulares </w:t>
      </w:r>
      <w:hyperlink r:id="rId9" w:history="1">
        <w:r w:rsidRPr="00B33A00">
          <w:rPr>
            <w:rStyle w:val="Lienhypertexte"/>
            <w:lang w:val="es-ES_tradnl"/>
          </w:rPr>
          <w:t>CR/297</w:t>
        </w:r>
      </w:hyperlink>
      <w:r w:rsidRPr="00B33A00">
        <w:rPr>
          <w:lang w:val="es-ES_tradnl"/>
        </w:rPr>
        <w:t xml:space="preserve"> y </w:t>
      </w:r>
      <w:hyperlink r:id="rId10" w:history="1">
        <w:r w:rsidRPr="00B33A00">
          <w:rPr>
            <w:rStyle w:val="Lienhypertexte"/>
            <w:lang w:val="es-ES_tradnl"/>
          </w:rPr>
          <w:t>CR/308</w:t>
        </w:r>
      </w:hyperlink>
      <w:r w:rsidRPr="00B33A00">
        <w:rPr>
          <w:lang w:val="es-ES_tradnl"/>
        </w:rPr>
        <w:t>.</w:t>
      </w:r>
    </w:p>
    <w:p w14:paraId="0E1ACEB5" w14:textId="4401DCD1" w:rsidR="00FE4822" w:rsidRPr="00B33A00" w:rsidRDefault="00F61E23" w:rsidP="004D494F">
      <w:pPr>
        <w:spacing w:line="240" w:lineRule="auto"/>
        <w:rPr>
          <w:rFonts w:asciiTheme="minorHAnsi" w:hAnsiTheme="minorHAnsi" w:cstheme="minorHAnsi"/>
          <w:szCs w:val="24"/>
          <w:lang w:val="es-ES_tradnl"/>
        </w:rPr>
      </w:pPr>
      <w:r w:rsidRPr="00B33A00">
        <w:rPr>
          <w:lang w:val="es-ES_tradnl"/>
        </w:rPr>
        <w:t xml:space="preserve">En la página web </w:t>
      </w:r>
      <w:hyperlink r:id="rId11" w:anchor="/about" w:history="1">
        <w:r w:rsidRPr="00B33A00">
          <w:rPr>
            <w:rStyle w:val="Lienhypertexte"/>
            <w:lang w:val="es-ES_tradnl"/>
          </w:rPr>
          <w:t>https://www.itu.int/ITU-R/eTerrestrial/eBroadcasting/eHFBC#/about</w:t>
        </w:r>
      </w:hyperlink>
      <w:r w:rsidRPr="00B33A00">
        <w:rPr>
          <w:lang w:val="es-ES_tradnl"/>
        </w:rPr>
        <w:t xml:space="preserve"> (sección de notificaciones) está disponible para su descarga un documento que describe el </w:t>
      </w:r>
      <w:r w:rsidRPr="00B33A00">
        <w:rPr>
          <w:b/>
          <w:bCs/>
          <w:lang w:val="es-ES_tradnl"/>
        </w:rPr>
        <w:t xml:space="preserve">formato de fichero </w:t>
      </w:r>
      <w:r w:rsidRPr="00B33A00">
        <w:rPr>
          <w:b/>
          <w:bCs/>
          <w:lang w:val="es-ES_tradnl"/>
        </w:rPr>
        <w:lastRenderedPageBreak/>
        <w:t xml:space="preserve">para la presentación de las necesidades de radiodifusión en ondas </w:t>
      </w:r>
      <w:proofErr w:type="spellStart"/>
      <w:r w:rsidRPr="00B33A00">
        <w:rPr>
          <w:b/>
          <w:bCs/>
          <w:lang w:val="es-ES_tradnl"/>
        </w:rPr>
        <w:t>decamétricas</w:t>
      </w:r>
      <w:proofErr w:type="spellEnd"/>
      <w:r w:rsidRPr="00B33A00">
        <w:rPr>
          <w:lang w:val="es-ES_tradnl"/>
        </w:rPr>
        <w:t xml:space="preserve"> de conformidad con el Artículo</w:t>
      </w:r>
      <w:r w:rsidRPr="00B33A00">
        <w:rPr>
          <w:b/>
          <w:bCs/>
          <w:lang w:val="es-ES_tradnl"/>
        </w:rPr>
        <w:t> 12</w:t>
      </w:r>
      <w:r w:rsidRPr="00B33A00">
        <w:rPr>
          <w:lang w:val="es-ES_tradnl"/>
        </w:rPr>
        <w:t xml:space="preserve"> del RR.</w:t>
      </w:r>
    </w:p>
    <w:p w14:paraId="3578A0FD" w14:textId="3BBB6B16" w:rsidR="00FE4822" w:rsidRPr="00B33A00" w:rsidRDefault="00F61E23" w:rsidP="004D494F">
      <w:pPr>
        <w:spacing w:line="240" w:lineRule="auto"/>
        <w:rPr>
          <w:rFonts w:asciiTheme="minorHAnsi" w:hAnsiTheme="minorHAnsi" w:cstheme="minorHAnsi"/>
          <w:szCs w:val="24"/>
          <w:lang w:val="es-ES_tradnl"/>
        </w:rPr>
      </w:pPr>
      <w:r w:rsidRPr="00B33A00">
        <w:rPr>
          <w:lang w:val="es-ES_tradnl"/>
        </w:rPr>
        <w:t>En el Anexo 1 figuran las fechas previstas de las publicaciones en línea que contienen los horarios actualizados, junto con las fechas en las que se deberán presentar a la Oficina los horarios actualizados para su incorporación.</w:t>
      </w:r>
    </w:p>
    <w:p w14:paraId="6FC4DC54" w14:textId="5F6454B4" w:rsidR="00FE4822" w:rsidRPr="00B33A00" w:rsidRDefault="00F61E23" w:rsidP="004D494F">
      <w:pPr>
        <w:spacing w:line="240" w:lineRule="auto"/>
        <w:rPr>
          <w:lang w:val="es-ES_tradnl"/>
        </w:rPr>
      </w:pPr>
      <w:r w:rsidRPr="00B33A00">
        <w:rPr>
          <w:lang w:val="es-ES_tradnl"/>
        </w:rPr>
        <w:t>La Oficina desea hacer hincapié en que es necesario enviar las necesidades antes de la fecha límite, a fin de permitir la preparación de un horario provisional completo y correcto, junto con el análisis de compatibilidad para el proceso efectivo de coordinación.</w:t>
      </w:r>
    </w:p>
    <w:p w14:paraId="27126551" w14:textId="03F59CBD" w:rsidR="00F61E23" w:rsidRPr="00B33A00" w:rsidRDefault="00F61E23" w:rsidP="004D494F">
      <w:pPr>
        <w:pStyle w:val="Titre1"/>
        <w:spacing w:line="240" w:lineRule="auto"/>
        <w:rPr>
          <w:lang w:val="es-ES_tradnl"/>
        </w:rPr>
      </w:pPr>
      <w:r w:rsidRPr="00B33A00">
        <w:rPr>
          <w:lang w:val="es-ES_tradnl"/>
        </w:rPr>
        <w:t>2</w:t>
      </w:r>
      <w:r w:rsidRPr="00B33A00">
        <w:rPr>
          <w:lang w:val="es-ES_tradnl"/>
        </w:rPr>
        <w:tab/>
        <w:t>Reuniones regionales de coordinación</w:t>
      </w:r>
    </w:p>
    <w:p w14:paraId="455C5CA5" w14:textId="482A98DF" w:rsidR="00F61E23" w:rsidRPr="00B33A00" w:rsidRDefault="00F61E23" w:rsidP="004D494F">
      <w:pPr>
        <w:spacing w:line="240" w:lineRule="auto"/>
        <w:rPr>
          <w:lang w:val="es-ES_tradnl"/>
        </w:rPr>
      </w:pPr>
      <w:r w:rsidRPr="00B33A00">
        <w:rPr>
          <w:lang w:val="es-ES_tradnl"/>
        </w:rPr>
        <w:t xml:space="preserve">En la página web </w:t>
      </w:r>
      <w:hyperlink r:id="rId12" w:history="1">
        <w:r w:rsidRPr="00B33A00">
          <w:rPr>
            <w:rStyle w:val="Lienhypertexte"/>
            <w:lang w:val="es-ES_tradnl"/>
          </w:rPr>
          <w:t>http://www.itu.int/en/ITU-R/terrestrial/broadcast/HFBC/Pages/default.aspx</w:t>
        </w:r>
      </w:hyperlink>
      <w:r w:rsidRPr="00B33A00">
        <w:rPr>
          <w:lang w:val="es-ES_tradnl"/>
        </w:rPr>
        <w:t xml:space="preserve"> hay disponible información sobre las próximas reuniones de los Grupos de Coordinación Regionales.</w:t>
      </w:r>
    </w:p>
    <w:p w14:paraId="52646C3C" w14:textId="14A50AF4" w:rsidR="00F61E23" w:rsidRPr="00B33A00" w:rsidRDefault="00F61E23" w:rsidP="004D494F">
      <w:pPr>
        <w:spacing w:line="240" w:lineRule="auto"/>
        <w:rPr>
          <w:lang w:val="es-ES_tradnl"/>
        </w:rPr>
      </w:pPr>
      <w:r w:rsidRPr="00B33A00">
        <w:rPr>
          <w:lang w:val="es-ES_tradnl"/>
        </w:rPr>
        <w:t xml:space="preserve">A este respecto, llamamos su atención sobre la importancia de la participación en los </w:t>
      </w:r>
      <w:bookmarkStart w:id="0" w:name="_Hlk86755870"/>
      <w:r w:rsidRPr="00B33A00">
        <w:rPr>
          <w:lang w:val="es-ES_tradnl"/>
        </w:rPr>
        <w:t>Grupos de Coordinación Regionales</w:t>
      </w:r>
      <w:bookmarkEnd w:id="0"/>
      <w:r w:rsidRPr="00B33A00">
        <w:rPr>
          <w:lang w:val="es-ES_tradnl"/>
        </w:rPr>
        <w:t xml:space="preserve">, que facilitan la coordinación bilateral y multilateral entre administraciones y radiodifusores de distintas regiones, en el marco del Artículo </w:t>
      </w:r>
      <w:r w:rsidRPr="00B33A00">
        <w:rPr>
          <w:b/>
          <w:bCs/>
          <w:lang w:val="es-ES_tradnl"/>
        </w:rPr>
        <w:t>12</w:t>
      </w:r>
      <w:r w:rsidRPr="00B33A00">
        <w:rPr>
          <w:lang w:val="es-ES_tradnl"/>
        </w:rPr>
        <w:t xml:space="preserve"> del RR.</w:t>
      </w:r>
    </w:p>
    <w:p w14:paraId="1C619A0C" w14:textId="26C13358" w:rsidR="00F61E23" w:rsidRPr="00B33A00" w:rsidRDefault="00F61E23" w:rsidP="004D494F">
      <w:pPr>
        <w:spacing w:line="240" w:lineRule="auto"/>
        <w:rPr>
          <w:lang w:val="es-ES_tradnl"/>
        </w:rPr>
      </w:pPr>
      <w:r w:rsidRPr="00B33A00">
        <w:rPr>
          <w:lang w:val="es-ES_tradnl"/>
        </w:rPr>
        <w:t xml:space="preserve">Por consiguiente, la Oficina alienta a su Administración a seguir participando en dichas reuniones de coordinación, que demuestran ser un mecanismo eficaz para resolver la superposición de los requisitos de radiodifusión en ondas </w:t>
      </w:r>
      <w:proofErr w:type="spellStart"/>
      <w:r w:rsidRPr="00B33A00">
        <w:rPr>
          <w:lang w:val="es-ES_tradnl"/>
        </w:rPr>
        <w:t>decamétricas</w:t>
      </w:r>
      <w:proofErr w:type="spellEnd"/>
      <w:r w:rsidRPr="00B33A00">
        <w:rPr>
          <w:lang w:val="es-ES_tradnl"/>
        </w:rPr>
        <w:t xml:space="preserve"> de distintos países y así garantizar el funcionamiento compatible de las estaciones de radiodifusión en ondas </w:t>
      </w:r>
      <w:proofErr w:type="spellStart"/>
      <w:r w:rsidRPr="00B33A00">
        <w:rPr>
          <w:lang w:val="es-ES_tradnl"/>
        </w:rPr>
        <w:t>decamétricas</w:t>
      </w:r>
      <w:proofErr w:type="spellEnd"/>
      <w:r w:rsidRPr="00B33A00">
        <w:rPr>
          <w:lang w:val="es-ES_tradnl"/>
        </w:rPr>
        <w:t>.</w:t>
      </w:r>
    </w:p>
    <w:p w14:paraId="56EC0A64" w14:textId="40F1256D" w:rsidR="00F61E23" w:rsidRPr="00B33A00" w:rsidRDefault="00F61E23" w:rsidP="004D494F">
      <w:pPr>
        <w:spacing w:line="240" w:lineRule="auto"/>
        <w:rPr>
          <w:lang w:val="es-ES_tradnl"/>
        </w:rPr>
      </w:pPr>
      <w:r w:rsidRPr="00B33A00">
        <w:rPr>
          <w:lang w:val="es-ES_tradnl"/>
        </w:rPr>
        <w:t>Para más información, póngase en contacto con los Grupos de Coordinación Regionales:</w:t>
      </w:r>
    </w:p>
    <w:p w14:paraId="10FFC065" w14:textId="6D79F8E5" w:rsidR="00F61E23" w:rsidRPr="00B33A00" w:rsidRDefault="00F61E23" w:rsidP="004D494F">
      <w:pPr>
        <w:pStyle w:val="enumlev1"/>
        <w:spacing w:line="240" w:lineRule="auto"/>
        <w:rPr>
          <w:lang w:val="es-ES_tradnl"/>
        </w:rPr>
      </w:pPr>
      <w:r w:rsidRPr="00B33A00">
        <w:rPr>
          <w:lang w:val="es-ES_tradnl"/>
        </w:rPr>
        <w:t>•</w:t>
      </w:r>
      <w:r w:rsidRPr="00B33A00">
        <w:rPr>
          <w:lang w:val="es-ES_tradnl"/>
        </w:rPr>
        <w:tab/>
        <w:t xml:space="preserve">Unión de Radiodifusión de los Estados Árabes (ASBU): </w:t>
      </w:r>
      <w:hyperlink r:id="rId13" w:history="1">
        <w:r w:rsidRPr="00B33A00">
          <w:rPr>
            <w:rStyle w:val="Lienhypertexte"/>
            <w:lang w:val="es-ES_tradnl"/>
          </w:rPr>
          <w:t>http://www.asbu.net</w:t>
        </w:r>
      </w:hyperlink>
      <w:r w:rsidRPr="00B33A00">
        <w:rPr>
          <w:lang w:val="es-ES_tradnl"/>
        </w:rPr>
        <w:t>.</w:t>
      </w:r>
    </w:p>
    <w:p w14:paraId="0336569F" w14:textId="3D3DD3AD" w:rsidR="00F61E23" w:rsidRPr="00B33A00" w:rsidRDefault="00F61E23" w:rsidP="004D494F">
      <w:pPr>
        <w:pStyle w:val="enumlev1"/>
        <w:spacing w:line="240" w:lineRule="auto"/>
        <w:rPr>
          <w:lang w:val="es-ES_tradnl"/>
        </w:rPr>
      </w:pPr>
      <w:r w:rsidRPr="00B33A00">
        <w:rPr>
          <w:lang w:val="es-ES_tradnl"/>
        </w:rPr>
        <w:t>•</w:t>
      </w:r>
      <w:r w:rsidRPr="00B33A00">
        <w:rPr>
          <w:lang w:val="es-ES_tradnl"/>
        </w:rPr>
        <w:tab/>
        <w:t xml:space="preserve">Unión de Radiodifusión Asia-Pacífico – Conferencia de Radiodifusión en ondas </w:t>
      </w:r>
      <w:proofErr w:type="spellStart"/>
      <w:r w:rsidRPr="00B33A00">
        <w:rPr>
          <w:lang w:val="es-ES_tradnl"/>
        </w:rPr>
        <w:t>decamétricas</w:t>
      </w:r>
      <w:proofErr w:type="spellEnd"/>
      <w:r w:rsidRPr="00B33A00">
        <w:rPr>
          <w:lang w:val="es-ES_tradnl"/>
        </w:rPr>
        <w:t xml:space="preserve"> (ABU-HFC): </w:t>
      </w:r>
      <w:hyperlink r:id="rId14" w:history="1">
        <w:r w:rsidRPr="00B33A00">
          <w:rPr>
            <w:rStyle w:val="Lienhypertexte"/>
            <w:lang w:val="es-ES_tradnl"/>
          </w:rPr>
          <w:t>http://www.abu.org.my</w:t>
        </w:r>
      </w:hyperlink>
      <w:r w:rsidRPr="00B33A00">
        <w:rPr>
          <w:lang w:val="es-ES_tradnl"/>
        </w:rPr>
        <w:t>.</w:t>
      </w:r>
    </w:p>
    <w:p w14:paraId="2DE6255B" w14:textId="7BB4FFA9" w:rsidR="00F61E23" w:rsidRPr="00B33A00" w:rsidRDefault="00F61E23" w:rsidP="00515F59">
      <w:pPr>
        <w:pStyle w:val="enumlev1"/>
        <w:spacing w:line="240" w:lineRule="auto"/>
        <w:jc w:val="left"/>
        <w:rPr>
          <w:lang w:val="es-ES_tradnl"/>
        </w:rPr>
      </w:pPr>
      <w:r w:rsidRPr="00B33A00">
        <w:rPr>
          <w:lang w:val="es-ES_tradnl"/>
        </w:rPr>
        <w:t>•</w:t>
      </w:r>
      <w:r w:rsidRPr="00B33A00">
        <w:rPr>
          <w:lang w:val="es-ES_tradnl"/>
        </w:rPr>
        <w:tab/>
        <w:t xml:space="preserve">Conferencia de Coordinación en ondas </w:t>
      </w:r>
      <w:proofErr w:type="spellStart"/>
      <w:r w:rsidRPr="00B33A00">
        <w:rPr>
          <w:lang w:val="es-ES_tradnl"/>
        </w:rPr>
        <w:t>decamétricas</w:t>
      </w:r>
      <w:proofErr w:type="spellEnd"/>
      <w:r w:rsidRPr="00B33A00">
        <w:rPr>
          <w:lang w:val="es-ES_tradnl"/>
        </w:rPr>
        <w:t xml:space="preserve"> (HFCC): </w:t>
      </w:r>
      <w:hyperlink r:id="rId15" w:history="1">
        <w:r w:rsidR="00693734" w:rsidRPr="00B33A00">
          <w:rPr>
            <w:rStyle w:val="Lienhypertexte"/>
            <w:lang w:val="es-ES_tradnl"/>
          </w:rPr>
          <w:t>https://new.hfcc.org/index.php</w:t>
        </w:r>
      </w:hyperlink>
      <w:r w:rsidRPr="00B33A00">
        <w:rPr>
          <w:lang w:val="es-ES_tradnl"/>
        </w:rPr>
        <w:t>.</w:t>
      </w:r>
    </w:p>
    <w:p w14:paraId="6FE1463C" w14:textId="1ECF8D47" w:rsidR="00F61E23" w:rsidRPr="00B33A00" w:rsidRDefault="00F61E23" w:rsidP="004D494F">
      <w:pPr>
        <w:pStyle w:val="Titre1"/>
        <w:spacing w:line="240" w:lineRule="auto"/>
        <w:rPr>
          <w:lang w:val="es-ES_tradnl"/>
        </w:rPr>
      </w:pPr>
      <w:r w:rsidRPr="00B33A00">
        <w:rPr>
          <w:rFonts w:eastAsia="SimSun"/>
          <w:lang w:val="es-ES_tradnl"/>
        </w:rPr>
        <w:t>3</w:t>
      </w:r>
      <w:r w:rsidRPr="00B33A00">
        <w:rPr>
          <w:rFonts w:eastAsia="SimSun"/>
          <w:lang w:val="es-ES_tradnl"/>
        </w:rPr>
        <w:tab/>
      </w:r>
      <w:r w:rsidRPr="00B33A00">
        <w:rPr>
          <w:lang w:val="es-ES_tradnl"/>
        </w:rPr>
        <w:t>Radiocomunicaciones Internacionales para Operaciones de Socorro (IRDR)</w:t>
      </w:r>
    </w:p>
    <w:p w14:paraId="1463BAC1" w14:textId="4DFBBE62" w:rsidR="00F61E23" w:rsidRPr="00B33A00" w:rsidRDefault="00F61E23" w:rsidP="004D494F">
      <w:pPr>
        <w:spacing w:line="240" w:lineRule="auto"/>
        <w:rPr>
          <w:lang w:val="es-ES_tradnl"/>
        </w:rPr>
      </w:pPr>
      <w:r w:rsidRPr="00B33A00">
        <w:rPr>
          <w:rFonts w:eastAsia="SimSun"/>
          <w:lang w:val="es-ES_tradnl"/>
        </w:rPr>
        <w:t xml:space="preserve">De conformidad con la Recomendación UIT-R BS.2107-1, en la que </w:t>
      </w:r>
      <w:r w:rsidRPr="00B33A00">
        <w:rPr>
          <w:lang w:val="es-ES_tradnl"/>
        </w:rPr>
        <w:t xml:space="preserve">se definen las frecuencias de Radiocomunicaciones Internacionales para Operaciones de Socorro (IRDR) que pueden emplearse para la radiodifusión de emergencias en ondas </w:t>
      </w:r>
      <w:proofErr w:type="spellStart"/>
      <w:r w:rsidRPr="00B33A00">
        <w:rPr>
          <w:lang w:val="es-ES_tradnl"/>
        </w:rPr>
        <w:t>decamétricas</w:t>
      </w:r>
      <w:proofErr w:type="spellEnd"/>
      <w:r w:rsidRPr="00B33A00">
        <w:rPr>
          <w:lang w:val="es-ES_tradnl"/>
        </w:rPr>
        <w:t xml:space="preserve">, la Oficina recomienda </w:t>
      </w:r>
      <w:r w:rsidRPr="00B33A00">
        <w:rPr>
          <w:bCs/>
          <w:lang w:val="es-ES_tradnl"/>
        </w:rPr>
        <w:t xml:space="preserve">que las frecuencias IRDR </w:t>
      </w:r>
      <w:r w:rsidRPr="00B33A00">
        <w:rPr>
          <w:lang w:val="es-ES_tradnl"/>
        </w:rPr>
        <w:t xml:space="preserve">enumeradas en el Anexo 2 de la presente Circular se reserven durante las 24 horas del día, los 365 días del año, para radiocomunicaciones de emergencia en las bandas de ondas </w:t>
      </w:r>
      <w:proofErr w:type="spellStart"/>
      <w:r w:rsidRPr="00B33A00">
        <w:rPr>
          <w:lang w:val="es-ES_tradnl"/>
        </w:rPr>
        <w:t>decamétricas</w:t>
      </w:r>
      <w:proofErr w:type="spellEnd"/>
      <w:r w:rsidRPr="00B33A00">
        <w:rPr>
          <w:bCs/>
          <w:lang w:val="es-ES_tradnl"/>
        </w:rPr>
        <w:t>.</w:t>
      </w:r>
    </w:p>
    <w:p w14:paraId="12A8BAEE" w14:textId="312264FF" w:rsidR="00F61E23" w:rsidRPr="00B33A00" w:rsidRDefault="00F61E23" w:rsidP="004D494F">
      <w:pPr>
        <w:pStyle w:val="Titre1"/>
        <w:spacing w:line="240" w:lineRule="auto"/>
        <w:rPr>
          <w:rFonts w:asciiTheme="minorHAnsi" w:hAnsiTheme="minorHAnsi" w:cstheme="minorHAnsi"/>
          <w:szCs w:val="24"/>
          <w:lang w:val="es-ES_tradnl"/>
        </w:rPr>
      </w:pPr>
      <w:r w:rsidRPr="00B33A00">
        <w:rPr>
          <w:lang w:val="es-ES_tradnl"/>
        </w:rPr>
        <w:t>4</w:t>
      </w:r>
      <w:r w:rsidRPr="00B33A00">
        <w:rPr>
          <w:lang w:val="es-ES_tradnl"/>
        </w:rPr>
        <w:tab/>
        <w:t xml:space="preserve">Nueva publicación en línea y herramientas sobre el </w:t>
      </w:r>
      <w:proofErr w:type="spellStart"/>
      <w:r w:rsidRPr="00B33A00">
        <w:rPr>
          <w:lang w:val="es-ES_tradnl"/>
        </w:rPr>
        <w:t>eHFBC</w:t>
      </w:r>
      <w:proofErr w:type="spellEnd"/>
    </w:p>
    <w:p w14:paraId="6E457B39" w14:textId="2D26393C" w:rsidR="00FE4822" w:rsidRPr="00B33A00" w:rsidRDefault="00F61E23" w:rsidP="004D494F">
      <w:pPr>
        <w:spacing w:line="240" w:lineRule="auto"/>
        <w:rPr>
          <w:rFonts w:asciiTheme="minorHAnsi" w:hAnsiTheme="minorHAnsi" w:cstheme="minorHAnsi"/>
          <w:szCs w:val="24"/>
          <w:lang w:val="es-ES_tradnl"/>
        </w:rPr>
      </w:pPr>
      <w:r w:rsidRPr="00B33A00">
        <w:rPr>
          <w:lang w:val="es-ES_tradnl"/>
        </w:rPr>
        <w:t xml:space="preserve">El acceso a los horarios estacionales de radiodifusión por ondas </w:t>
      </w:r>
      <w:proofErr w:type="spellStart"/>
      <w:r w:rsidRPr="00B33A00">
        <w:rPr>
          <w:lang w:val="es-ES_tradnl"/>
        </w:rPr>
        <w:t>decamétricas</w:t>
      </w:r>
      <w:proofErr w:type="spellEnd"/>
      <w:r w:rsidRPr="00B33A00">
        <w:rPr>
          <w:lang w:val="es-ES_tradnl"/>
        </w:rPr>
        <w:t xml:space="preserve"> y los resultados de los estudios son publicaciones en línea gratuitas </w:t>
      </w:r>
      <w:r w:rsidR="00693734" w:rsidRPr="00B33A00">
        <w:rPr>
          <w:lang w:val="es-ES_tradnl"/>
        </w:rPr>
        <w:t>integradas</w:t>
      </w:r>
      <w:r w:rsidRPr="00B33A00">
        <w:rPr>
          <w:lang w:val="es-ES_tradnl"/>
        </w:rPr>
        <w:t xml:space="preserve"> en el portal </w:t>
      </w:r>
      <w:proofErr w:type="spellStart"/>
      <w:r w:rsidRPr="00B33A00">
        <w:rPr>
          <w:szCs w:val="24"/>
          <w:lang w:val="es-ES_tradnl"/>
        </w:rPr>
        <w:t>eTerrestrial</w:t>
      </w:r>
      <w:proofErr w:type="spellEnd"/>
      <w:r w:rsidRPr="00B33A00">
        <w:rPr>
          <w:szCs w:val="24"/>
          <w:lang w:val="es-ES_tradnl"/>
        </w:rPr>
        <w:t xml:space="preserve"> y se encuentran d</w:t>
      </w:r>
      <w:r w:rsidRPr="00B33A00">
        <w:rPr>
          <w:lang w:val="es-ES_tradnl"/>
        </w:rPr>
        <w:t xml:space="preserve">isponibles en la dirección </w:t>
      </w:r>
      <w:hyperlink r:id="rId16" w:anchor="/" w:history="1">
        <w:r w:rsidR="009A7634" w:rsidRPr="00B33A00">
          <w:rPr>
            <w:rStyle w:val="Lienhypertexte"/>
            <w:szCs w:val="24"/>
            <w:lang w:val="es-ES_tradnl"/>
          </w:rPr>
          <w:t>https://www.itu.int/ITU-R/eTerrestrial/eBroadcasting/eHFBC#/</w:t>
        </w:r>
      </w:hyperlink>
      <w:r w:rsidRPr="00B33A00">
        <w:rPr>
          <w:lang w:val="es-ES_tradnl"/>
        </w:rPr>
        <w:t xml:space="preserve"> (véase la Carta Circular </w:t>
      </w:r>
      <w:hyperlink r:id="rId17" w:history="1">
        <w:r w:rsidRPr="00B33A00">
          <w:rPr>
            <w:rStyle w:val="Lienhypertexte"/>
            <w:lang w:val="es-ES_tradnl"/>
          </w:rPr>
          <w:t>CR/432</w:t>
        </w:r>
      </w:hyperlink>
      <w:r w:rsidRPr="00B33A00">
        <w:rPr>
          <w:lang w:val="es-ES_tradnl"/>
        </w:rPr>
        <w:t>).</w:t>
      </w:r>
    </w:p>
    <w:p w14:paraId="7A952B85" w14:textId="103595B9" w:rsidR="00FE4822" w:rsidRPr="00B33A00" w:rsidRDefault="00693734" w:rsidP="004D494F">
      <w:pPr>
        <w:spacing w:line="240" w:lineRule="auto"/>
        <w:rPr>
          <w:szCs w:val="24"/>
          <w:lang w:val="es-ES_tradnl"/>
        </w:rPr>
      </w:pPr>
      <w:r w:rsidRPr="00B33A00">
        <w:rPr>
          <w:szCs w:val="24"/>
          <w:lang w:val="es-ES_tradnl"/>
        </w:rPr>
        <w:t>Desde el</w:t>
      </w:r>
      <w:r w:rsidR="00F61E23" w:rsidRPr="00B33A00">
        <w:rPr>
          <w:szCs w:val="24"/>
          <w:lang w:val="es-ES_tradnl"/>
        </w:rPr>
        <w:t xml:space="preserve"> 1 de marzo de 2025, para acceder a la plataforma </w:t>
      </w:r>
      <w:proofErr w:type="spellStart"/>
      <w:r w:rsidR="00F61E23" w:rsidRPr="00B33A00">
        <w:rPr>
          <w:szCs w:val="24"/>
          <w:lang w:val="es-ES_tradnl"/>
        </w:rPr>
        <w:t>eHFBC</w:t>
      </w:r>
      <w:proofErr w:type="spellEnd"/>
      <w:r w:rsidR="00F61E23" w:rsidRPr="00B33A00">
        <w:rPr>
          <w:szCs w:val="24"/>
          <w:lang w:val="es-ES_tradnl"/>
        </w:rPr>
        <w:t xml:space="preserve">, los usuarios </w:t>
      </w:r>
      <w:r w:rsidRPr="00B33A00">
        <w:rPr>
          <w:szCs w:val="24"/>
          <w:lang w:val="es-ES_tradnl"/>
        </w:rPr>
        <w:t>deben</w:t>
      </w:r>
      <w:r w:rsidR="00F61E23" w:rsidRPr="00B33A00">
        <w:rPr>
          <w:szCs w:val="24"/>
          <w:lang w:val="es-ES_tradnl"/>
        </w:rPr>
        <w:t xml:space="preserve"> atenerse a la política de acceso de la UIT, en virtud de la cual deberán inscribirse como usuarios TIES. Toda la información relativa al proceso de inscripción está disponible en la </w:t>
      </w:r>
      <w:hyperlink r:id="rId18" w:history="1">
        <w:r w:rsidR="00F61E23" w:rsidRPr="00B33A00">
          <w:rPr>
            <w:rStyle w:val="Lienhypertexte"/>
            <w:lang w:val="es-ES_tradnl"/>
          </w:rPr>
          <w:t>página web de los servicios TIES</w:t>
        </w:r>
      </w:hyperlink>
      <w:r w:rsidR="00F61E23" w:rsidRPr="00B33A00">
        <w:rPr>
          <w:szCs w:val="24"/>
          <w:lang w:val="es-ES_tradnl"/>
        </w:rPr>
        <w:t>.</w:t>
      </w:r>
    </w:p>
    <w:p w14:paraId="4520BDB3" w14:textId="298D0634" w:rsidR="00F61E23" w:rsidRPr="00B33A00" w:rsidRDefault="00F61E23" w:rsidP="004D494F">
      <w:pPr>
        <w:pStyle w:val="Titre1"/>
        <w:spacing w:line="240" w:lineRule="auto"/>
        <w:rPr>
          <w:lang w:val="es-ES_tradnl"/>
        </w:rPr>
      </w:pPr>
      <w:r w:rsidRPr="00B33A00">
        <w:rPr>
          <w:lang w:val="es-ES_tradnl"/>
        </w:rPr>
        <w:lastRenderedPageBreak/>
        <w:t>5</w:t>
      </w:r>
      <w:r w:rsidRPr="00B33A00">
        <w:rPr>
          <w:lang w:val="es-ES_tradnl"/>
        </w:rPr>
        <w:tab/>
        <w:t>Cumplimiento de lo dispuesto en el RR con respecto al ancho de banda necesario y las horas de inicio/fin</w:t>
      </w:r>
    </w:p>
    <w:p w14:paraId="5096A03E" w14:textId="0110E22B" w:rsidR="00F61E23" w:rsidRPr="00B33A00" w:rsidRDefault="00F61E23" w:rsidP="004D494F">
      <w:pPr>
        <w:spacing w:line="240" w:lineRule="auto"/>
        <w:rPr>
          <w:szCs w:val="24"/>
          <w:lang w:val="es-ES_tradnl"/>
        </w:rPr>
      </w:pPr>
      <w:r w:rsidRPr="00B33A00">
        <w:rPr>
          <w:rFonts w:asciiTheme="minorHAnsi" w:hAnsiTheme="minorHAnsi" w:cstheme="minorHAnsi"/>
          <w:color w:val="000000"/>
          <w:bdr w:val="none" w:sz="0" w:space="0" w:color="auto" w:frame="1"/>
          <w:lang w:val="es-ES_tradnl"/>
        </w:rPr>
        <w:t xml:space="preserve">Se recomienda encarecidamente su cooperación para garantizar el cumplimiento de lo dispuesto en los siguientes puntos y contribuir así al funcionamiento eficaz de las transmisiones de radiodifusión en ondas </w:t>
      </w:r>
      <w:proofErr w:type="spellStart"/>
      <w:r w:rsidRPr="00B33A00">
        <w:rPr>
          <w:rFonts w:asciiTheme="minorHAnsi" w:hAnsiTheme="minorHAnsi" w:cstheme="minorHAnsi"/>
          <w:color w:val="000000"/>
          <w:bdr w:val="none" w:sz="0" w:space="0" w:color="auto" w:frame="1"/>
          <w:lang w:val="es-ES_tradnl"/>
        </w:rPr>
        <w:t>decamétricas</w:t>
      </w:r>
      <w:proofErr w:type="spellEnd"/>
      <w:r w:rsidRPr="00B33A00">
        <w:rPr>
          <w:rFonts w:asciiTheme="minorHAnsi" w:hAnsiTheme="minorHAnsi" w:cstheme="minorHAnsi"/>
          <w:color w:val="000000"/>
          <w:bdr w:val="none" w:sz="0" w:space="0" w:color="auto" w:frame="1"/>
          <w:lang w:val="es-ES_tradnl"/>
        </w:rPr>
        <w:t>.</w:t>
      </w:r>
    </w:p>
    <w:p w14:paraId="182EBAF3" w14:textId="2FB27F16" w:rsidR="00F61E23" w:rsidRPr="00B33A00" w:rsidRDefault="00F61E23" w:rsidP="004D494F">
      <w:pPr>
        <w:pStyle w:val="Titre2"/>
        <w:spacing w:line="240" w:lineRule="auto"/>
        <w:rPr>
          <w:lang w:val="es-ES_tradnl"/>
        </w:rPr>
      </w:pPr>
      <w:r w:rsidRPr="00B33A00">
        <w:rPr>
          <w:lang w:val="es-ES_tradnl"/>
        </w:rPr>
        <w:t>5.1</w:t>
      </w:r>
      <w:r w:rsidRPr="00B33A00">
        <w:rPr>
          <w:lang w:val="es-ES_tradnl"/>
        </w:rPr>
        <w:tab/>
        <w:t>Ancho de banda de emisión necesario</w:t>
      </w:r>
    </w:p>
    <w:p w14:paraId="082072FD" w14:textId="6B352BAE" w:rsidR="00F61E23" w:rsidRPr="00B33A00" w:rsidRDefault="00F61E23" w:rsidP="004D494F">
      <w:pPr>
        <w:spacing w:line="240" w:lineRule="auto"/>
        <w:rPr>
          <w:szCs w:val="24"/>
          <w:lang w:val="es-ES_tradnl"/>
        </w:rPr>
      </w:pPr>
      <w:r w:rsidRPr="00B33A00">
        <w:rPr>
          <w:rFonts w:asciiTheme="minorHAnsi" w:hAnsiTheme="minorHAnsi" w:cstheme="minorHAnsi"/>
          <w:color w:val="000000"/>
          <w:szCs w:val="24"/>
          <w:bdr w:val="none" w:sz="0" w:space="0" w:color="auto" w:frame="1"/>
          <w:lang w:val="es-ES_tradnl" w:eastAsia="en-GB"/>
        </w:rPr>
        <w:t xml:space="preserve">Se insta a los Miembros a cumplir rigurosamente las disposiciones del Apéndice </w:t>
      </w:r>
      <w:r w:rsidRPr="00B33A00">
        <w:rPr>
          <w:rFonts w:asciiTheme="minorHAnsi" w:hAnsiTheme="minorHAnsi" w:cstheme="minorHAnsi"/>
          <w:b/>
          <w:bCs/>
          <w:color w:val="000000"/>
          <w:szCs w:val="24"/>
          <w:bdr w:val="none" w:sz="0" w:space="0" w:color="auto" w:frame="1"/>
          <w:lang w:val="es-ES_tradnl" w:eastAsia="en-GB"/>
        </w:rPr>
        <w:t>11</w:t>
      </w:r>
      <w:r w:rsidRPr="00B33A00">
        <w:rPr>
          <w:rFonts w:asciiTheme="minorHAnsi" w:hAnsiTheme="minorHAnsi" w:cstheme="minorHAnsi"/>
          <w:color w:val="000000"/>
          <w:szCs w:val="24"/>
          <w:bdr w:val="none" w:sz="0" w:space="0" w:color="auto" w:frame="1"/>
          <w:lang w:val="es-ES_tradnl" w:eastAsia="en-GB"/>
        </w:rPr>
        <w:t xml:space="preserve"> del RR relativas al ancho de banda de emisión necesario, que se resumen a continuación:</w:t>
      </w:r>
    </w:p>
    <w:p w14:paraId="4D88C258" w14:textId="010FBD0C" w:rsidR="00F61E23" w:rsidRPr="00B33A00" w:rsidRDefault="00F61E23" w:rsidP="004D494F">
      <w:pPr>
        <w:pStyle w:val="enumlev1"/>
        <w:spacing w:line="240" w:lineRule="auto"/>
        <w:rPr>
          <w:bdr w:val="none" w:sz="0" w:space="0" w:color="auto" w:frame="1"/>
          <w:lang w:val="es-ES_tradnl" w:eastAsia="en-GB"/>
        </w:rPr>
      </w:pPr>
      <w:r w:rsidRPr="00B33A00">
        <w:rPr>
          <w:lang w:val="es-ES_tradnl"/>
        </w:rPr>
        <w:t>•</w:t>
      </w:r>
      <w:r w:rsidRPr="00B33A00">
        <w:rPr>
          <w:lang w:val="es-ES_tradnl"/>
        </w:rPr>
        <w:tab/>
      </w:r>
      <w:r w:rsidRPr="00B33A00">
        <w:rPr>
          <w:bdr w:val="none" w:sz="0" w:space="0" w:color="auto" w:frame="1"/>
          <w:lang w:val="es-ES_tradnl" w:eastAsia="en-GB"/>
        </w:rPr>
        <w:t>Para los sistemas de doble banda lateral (DBL), el ancho de banda no excederá de 9 kHz.</w:t>
      </w:r>
    </w:p>
    <w:p w14:paraId="1294860F" w14:textId="14B0D984" w:rsidR="00F61E23" w:rsidRPr="00B33A00" w:rsidRDefault="00F61E23" w:rsidP="004D494F">
      <w:pPr>
        <w:pStyle w:val="enumlev1"/>
        <w:spacing w:line="240" w:lineRule="auto"/>
        <w:rPr>
          <w:bdr w:val="none" w:sz="0" w:space="0" w:color="auto" w:frame="1"/>
          <w:lang w:val="es-ES_tradnl" w:eastAsia="en-GB"/>
        </w:rPr>
      </w:pPr>
      <w:r w:rsidRPr="00B33A00">
        <w:rPr>
          <w:bdr w:val="none" w:sz="0" w:space="0" w:color="auto" w:frame="1"/>
          <w:lang w:val="es-ES_tradnl" w:eastAsia="en-GB"/>
        </w:rPr>
        <w:t>•</w:t>
      </w:r>
      <w:r w:rsidRPr="00B33A00">
        <w:rPr>
          <w:bdr w:val="none" w:sz="0" w:space="0" w:color="auto" w:frame="1"/>
          <w:lang w:val="es-ES_tradnl" w:eastAsia="en-GB"/>
        </w:rPr>
        <w:tab/>
        <w:t>Para los sistemas de banda lateral única (BLU), el ancho de banda no excederá de 4,5 kHz.</w:t>
      </w:r>
    </w:p>
    <w:p w14:paraId="625F1EEC" w14:textId="226F8E59" w:rsidR="00F61E23" w:rsidRPr="00B33A00" w:rsidRDefault="00F61E23" w:rsidP="004D494F">
      <w:pPr>
        <w:pStyle w:val="enumlev1"/>
        <w:spacing w:line="240" w:lineRule="auto"/>
        <w:rPr>
          <w:lang w:val="es-ES_tradnl"/>
        </w:rPr>
      </w:pPr>
      <w:r w:rsidRPr="00B33A00">
        <w:rPr>
          <w:bdr w:val="none" w:sz="0" w:space="0" w:color="auto" w:frame="1"/>
          <w:lang w:val="es-ES_tradnl" w:eastAsia="en-GB"/>
        </w:rPr>
        <w:t>•</w:t>
      </w:r>
      <w:r w:rsidRPr="00B33A00">
        <w:rPr>
          <w:bdr w:val="none" w:sz="0" w:space="0" w:color="auto" w:frame="1"/>
          <w:lang w:val="es-ES_tradnl" w:eastAsia="en-GB"/>
        </w:rPr>
        <w:tab/>
        <w:t>Una emisión modulada digitalmente en su totalidad debería mantener un ancho de banda de 10</w:t>
      </w:r>
      <w:r w:rsidR="009A7634" w:rsidRPr="00B33A00">
        <w:rPr>
          <w:bdr w:val="none" w:sz="0" w:space="0" w:color="auto" w:frame="1"/>
          <w:lang w:val="es-ES_tradnl" w:eastAsia="en-GB"/>
        </w:rPr>
        <w:t> </w:t>
      </w:r>
      <w:r w:rsidRPr="00B33A00">
        <w:rPr>
          <w:bdr w:val="none" w:sz="0" w:space="0" w:color="auto" w:frame="1"/>
          <w:lang w:val="es-ES_tradnl" w:eastAsia="en-GB"/>
        </w:rPr>
        <w:t>kHz con su frecuencia central en cualquiera de las ubicaciones de frecuencia central de 5</w:t>
      </w:r>
      <w:r w:rsidR="009A7634" w:rsidRPr="00B33A00">
        <w:rPr>
          <w:bdr w:val="none" w:sz="0" w:space="0" w:color="auto" w:frame="1"/>
          <w:lang w:val="es-ES_tradnl" w:eastAsia="en-GB"/>
        </w:rPr>
        <w:t> </w:t>
      </w:r>
      <w:r w:rsidRPr="00B33A00">
        <w:rPr>
          <w:bdr w:val="none" w:sz="0" w:space="0" w:color="auto" w:frame="1"/>
          <w:lang w:val="es-ES_tradnl" w:eastAsia="en-GB"/>
        </w:rPr>
        <w:t>kHz en la trama de canales utilizada actualmente dentro de las bandas HFBC.</w:t>
      </w:r>
    </w:p>
    <w:p w14:paraId="7CC1F544" w14:textId="6FA3C5AF" w:rsidR="00F61E23" w:rsidRPr="00B33A00" w:rsidRDefault="00F61E23" w:rsidP="004D494F">
      <w:pPr>
        <w:spacing w:line="240" w:lineRule="auto"/>
        <w:rPr>
          <w:szCs w:val="24"/>
          <w:lang w:val="es-ES_tradnl"/>
        </w:rPr>
      </w:pPr>
      <w:r w:rsidRPr="00B33A00">
        <w:rPr>
          <w:szCs w:val="24"/>
          <w:lang w:val="es-ES_tradnl" w:eastAsia="en-GB"/>
        </w:rPr>
        <w:t>Para consultar especificaciones detalladas de los sistemas, véase el Apéndice</w:t>
      </w:r>
      <w:r w:rsidR="009A7634" w:rsidRPr="00B33A00">
        <w:rPr>
          <w:szCs w:val="24"/>
          <w:lang w:val="es-ES_tradnl" w:eastAsia="en-GB"/>
        </w:rPr>
        <w:t> </w:t>
      </w:r>
      <w:r w:rsidRPr="00B33A00">
        <w:rPr>
          <w:b/>
          <w:bCs/>
          <w:szCs w:val="24"/>
          <w:lang w:val="es-ES_tradnl" w:eastAsia="en-GB"/>
        </w:rPr>
        <w:t>11</w:t>
      </w:r>
      <w:r w:rsidRPr="00B33A00">
        <w:rPr>
          <w:szCs w:val="24"/>
          <w:lang w:val="es-ES_tradnl" w:eastAsia="en-GB"/>
        </w:rPr>
        <w:t xml:space="preserve"> del RR (REV.CMR</w:t>
      </w:r>
      <w:r w:rsidRPr="00B33A00">
        <w:rPr>
          <w:szCs w:val="24"/>
          <w:lang w:val="es-ES_tradnl" w:eastAsia="en-GB"/>
        </w:rPr>
        <w:noBreakHyphen/>
        <w:t>19) y las Recomendaciones UIT-R BS.639 y UIT-R BS.1514.</w:t>
      </w:r>
    </w:p>
    <w:p w14:paraId="56F18B7D" w14:textId="40A0161D" w:rsidR="00F61E23" w:rsidRPr="00B33A00" w:rsidRDefault="00F61E23" w:rsidP="004D494F">
      <w:pPr>
        <w:pStyle w:val="Titre2"/>
        <w:spacing w:line="240" w:lineRule="auto"/>
        <w:rPr>
          <w:lang w:val="es-ES_tradnl"/>
        </w:rPr>
      </w:pPr>
      <w:r w:rsidRPr="00B33A00">
        <w:rPr>
          <w:lang w:val="es-ES_tradnl"/>
        </w:rPr>
        <w:t>5.2</w:t>
      </w:r>
      <w:r w:rsidRPr="00B33A00">
        <w:rPr>
          <w:lang w:val="es-ES_tradnl"/>
        </w:rPr>
        <w:tab/>
        <w:t>Horas de inicio/fin</w:t>
      </w:r>
    </w:p>
    <w:p w14:paraId="7581E3EC" w14:textId="47B29245" w:rsidR="00F61E23" w:rsidRPr="00B33A00" w:rsidRDefault="00F61E23" w:rsidP="00515F59">
      <w:pPr>
        <w:rPr>
          <w:szCs w:val="24"/>
          <w:lang w:val="es-ES_tradnl"/>
        </w:rPr>
      </w:pPr>
      <w:r w:rsidRPr="00B33A00">
        <w:rPr>
          <w:bdr w:val="none" w:sz="0" w:space="0" w:color="auto" w:frame="1"/>
          <w:lang w:val="es-ES_tradnl"/>
        </w:rPr>
        <w:t>Se insta a los Miembros a llevar a cabo sus transmisiones en estricta conformidad con los requisitos presentados, o a notificar los horarios de radiodifusión correctos, habida cuenta de los periodos de calentamiento y enfriamiento, ya que pueden producirse interferencias inesperadas si las emisiones comienzan antes o se prolongan más allá de las horas de inicio-fin indicadas.</w:t>
      </w:r>
    </w:p>
    <w:p w14:paraId="2DC3F147" w14:textId="6D9F43FD" w:rsidR="00F61E23" w:rsidRPr="00B33A00" w:rsidRDefault="00F61E23" w:rsidP="00515F59">
      <w:pPr>
        <w:rPr>
          <w:bdr w:val="none" w:sz="0" w:space="0" w:color="auto" w:frame="1"/>
          <w:lang w:val="es-ES_tradnl"/>
        </w:rPr>
      </w:pPr>
      <w:r w:rsidRPr="00B33A00">
        <w:rPr>
          <w:bdr w:val="none" w:sz="0" w:space="0" w:color="auto" w:frame="1"/>
          <w:lang w:val="es-ES_tradnl"/>
        </w:rPr>
        <w:t xml:space="preserve">La </w:t>
      </w:r>
      <w:r w:rsidRPr="00B33A00">
        <w:rPr>
          <w:szCs w:val="24"/>
          <w:lang w:val="es-ES_tradnl"/>
        </w:rPr>
        <w:t>Oficina</w:t>
      </w:r>
      <w:r w:rsidRPr="00B33A00">
        <w:rPr>
          <w:bdr w:val="none" w:sz="0" w:space="0" w:color="auto" w:frame="1"/>
          <w:lang w:val="es-ES_tradnl"/>
        </w:rPr>
        <w:t xml:space="preserve"> queda a disposición de su Administración para cualquier aclaración que pudiera necesitar en relación con el tema objeto de la presente Circular. Para cualquier cuestión, le rogamos contacte con </w:t>
      </w:r>
      <w:hyperlink r:id="rId19" w:history="1">
        <w:r w:rsidRPr="00B33A00">
          <w:rPr>
            <w:rStyle w:val="Lienhypertexte"/>
            <w:rFonts w:asciiTheme="minorHAnsi" w:hAnsiTheme="minorHAnsi" w:cstheme="minorHAnsi"/>
            <w:bdr w:val="none" w:sz="0" w:space="0" w:color="auto" w:frame="1"/>
            <w:lang w:val="es-ES_tradnl"/>
          </w:rPr>
          <w:t>BRMAIL@itu.int</w:t>
        </w:r>
      </w:hyperlink>
      <w:r w:rsidRPr="00B33A00">
        <w:rPr>
          <w:bdr w:val="none" w:sz="0" w:space="0" w:color="auto" w:frame="1"/>
          <w:lang w:val="es-ES_tradnl"/>
        </w:rPr>
        <w:t>.</w:t>
      </w:r>
    </w:p>
    <w:p w14:paraId="1200447D" w14:textId="2AAC3E2E" w:rsidR="00693734" w:rsidRPr="00B33A00" w:rsidRDefault="00693734" w:rsidP="00515F59">
      <w:pPr>
        <w:pStyle w:val="Titre1"/>
        <w:spacing w:line="240" w:lineRule="auto"/>
        <w:rPr>
          <w:bdr w:val="none" w:sz="0" w:space="0" w:color="auto" w:frame="1"/>
          <w:lang w:val="es-ES_tradnl"/>
        </w:rPr>
      </w:pPr>
      <w:r w:rsidRPr="00B33A00">
        <w:rPr>
          <w:bdr w:val="none" w:sz="0" w:space="0" w:color="auto" w:frame="1"/>
          <w:lang w:val="es-ES_tradnl"/>
        </w:rPr>
        <w:t>6</w:t>
      </w:r>
      <w:r w:rsidRPr="00B33A00">
        <w:rPr>
          <w:bdr w:val="none" w:sz="0" w:space="0" w:color="auto" w:frame="1"/>
          <w:lang w:val="es-ES_tradnl"/>
        </w:rPr>
        <w:tab/>
        <w:t>Recordatorio sobre la presentación de las necesidades de radiodifusión</w:t>
      </w:r>
    </w:p>
    <w:p w14:paraId="19697B6E" w14:textId="22C476FC" w:rsidR="00693734" w:rsidRPr="00B33A00" w:rsidRDefault="00693734" w:rsidP="00515F59">
      <w:pPr>
        <w:rPr>
          <w:bdr w:val="none" w:sz="0" w:space="0" w:color="auto" w:frame="1"/>
          <w:lang w:val="es-ES_tradnl"/>
        </w:rPr>
      </w:pPr>
      <w:r w:rsidRPr="00B33A00">
        <w:rPr>
          <w:bdr w:val="none" w:sz="0" w:space="0" w:color="auto" w:frame="1"/>
          <w:lang w:val="es-ES_tradnl"/>
        </w:rPr>
        <w:t>De conformidad con lo dispuesto en el número 12.4 del Artículo 12 del Reglamento de Radiocomunicaciones, se recuerda a las administraciones y radiodifusores que sólo deben presentarse las necesidades de radiodifusión cuya puesta en servicio se prevea durante el periodo que abarque el horario.</w:t>
      </w:r>
    </w:p>
    <w:p w14:paraId="66155DB6" w14:textId="665FF368" w:rsidR="00693734" w:rsidRPr="00B33A00" w:rsidRDefault="00693734" w:rsidP="00515F59">
      <w:pPr>
        <w:rPr>
          <w:bdr w:val="none" w:sz="0" w:space="0" w:color="auto" w:frame="1"/>
          <w:lang w:val="es-ES_tradnl"/>
        </w:rPr>
      </w:pPr>
      <w:r w:rsidRPr="00B33A00">
        <w:rPr>
          <w:bdr w:val="none" w:sz="0" w:space="0" w:color="auto" w:frame="1"/>
          <w:lang w:val="es-ES_tradnl"/>
        </w:rPr>
        <w:t>La inclusión de necesidades cuya puesta en servicio real no esté prevista mina la utilización eficaz del espectro y aumenta el riesgo de incompatibilidades. Por consiguiente, se insta a las administraciones a revisar sus horarios antes de presentarlos para garantizar que todas las entradas corresponden a necesidades operativas reales. Esta medida es fundamental para mantener efectivo y fiable el proceso de planificación estacional.</w:t>
      </w:r>
    </w:p>
    <w:p w14:paraId="32A2A753" w14:textId="22CB9A26" w:rsidR="00031E64" w:rsidRPr="00B33A00" w:rsidRDefault="001B3D4D" w:rsidP="00D762F7">
      <w:pPr>
        <w:spacing w:before="600" w:line="240" w:lineRule="auto"/>
        <w:jc w:val="left"/>
        <w:rPr>
          <w:szCs w:val="24"/>
          <w:lang w:val="es-ES_tradnl"/>
        </w:rPr>
      </w:pPr>
      <w:r w:rsidRPr="00B33A00">
        <w:rPr>
          <w:rFonts w:asciiTheme="minorHAnsi" w:hAnsiTheme="minorHAnsi" w:cstheme="minorHAnsi"/>
          <w:lang w:val="es-ES_tradnl"/>
        </w:rPr>
        <w:t>Mario Maniewicz</w:t>
      </w:r>
      <w:r w:rsidR="00E53DCE" w:rsidRPr="00B33A00">
        <w:rPr>
          <w:szCs w:val="24"/>
          <w:lang w:val="es-ES_tradnl"/>
        </w:rPr>
        <w:br/>
      </w:r>
      <w:r w:rsidR="00A96D3A" w:rsidRPr="00B33A00">
        <w:rPr>
          <w:szCs w:val="24"/>
          <w:lang w:val="es-ES_tradnl"/>
        </w:rPr>
        <w:t>Director</w:t>
      </w:r>
    </w:p>
    <w:p w14:paraId="4BBA854E" w14:textId="77777777" w:rsidR="00F61E23" w:rsidRPr="00B33A00" w:rsidRDefault="00F61E23" w:rsidP="00515F59">
      <w:pPr>
        <w:spacing w:before="600" w:line="240" w:lineRule="auto"/>
        <w:jc w:val="left"/>
        <w:rPr>
          <w:lang w:val="es-ES_tradnl"/>
        </w:rPr>
      </w:pPr>
      <w:r w:rsidRPr="00B33A00">
        <w:rPr>
          <w:b/>
          <w:bCs/>
          <w:sz w:val="18"/>
          <w:szCs w:val="18"/>
          <w:u w:val="single"/>
          <w:lang w:val="es-ES_tradnl"/>
        </w:rPr>
        <w:t>Distribución</w:t>
      </w:r>
      <w:r w:rsidRPr="00B33A00">
        <w:rPr>
          <w:b/>
          <w:bCs/>
          <w:sz w:val="18"/>
          <w:szCs w:val="18"/>
          <w:lang w:val="es-ES_tradnl"/>
        </w:rPr>
        <w:t>:</w:t>
      </w:r>
    </w:p>
    <w:p w14:paraId="4D98E12B" w14:textId="77777777" w:rsidR="00F61E23" w:rsidRPr="00B33A00" w:rsidRDefault="00F61E23" w:rsidP="00F61E23">
      <w:pPr>
        <w:spacing w:before="0" w:line="240" w:lineRule="auto"/>
        <w:jc w:val="left"/>
        <w:rPr>
          <w:sz w:val="18"/>
          <w:szCs w:val="18"/>
          <w:lang w:val="es-ES_tradnl"/>
        </w:rPr>
      </w:pPr>
      <w:r w:rsidRPr="00B33A00">
        <w:rPr>
          <w:sz w:val="18"/>
          <w:szCs w:val="18"/>
          <w:lang w:val="es-ES_tradnl"/>
        </w:rPr>
        <w:t>–</w:t>
      </w:r>
      <w:r w:rsidRPr="00B33A00">
        <w:rPr>
          <w:sz w:val="18"/>
          <w:szCs w:val="18"/>
          <w:lang w:val="es-ES_tradnl"/>
        </w:rPr>
        <w:tab/>
        <w:t>Administraciones de los Estados Miembros de la UIT</w:t>
      </w:r>
    </w:p>
    <w:p w14:paraId="24F9DC7E" w14:textId="12191501" w:rsidR="00F61E23" w:rsidRPr="00B33A00" w:rsidRDefault="00F61E23" w:rsidP="00F61E23">
      <w:pPr>
        <w:spacing w:before="0" w:line="240" w:lineRule="auto"/>
        <w:jc w:val="left"/>
        <w:rPr>
          <w:sz w:val="18"/>
          <w:szCs w:val="18"/>
          <w:lang w:val="es-ES_tradnl"/>
        </w:rPr>
      </w:pPr>
      <w:r w:rsidRPr="00B33A00">
        <w:rPr>
          <w:sz w:val="18"/>
          <w:szCs w:val="18"/>
          <w:lang w:val="es-ES_tradnl"/>
        </w:rPr>
        <w:t>–</w:t>
      </w:r>
      <w:r w:rsidRPr="00B33A00">
        <w:rPr>
          <w:sz w:val="18"/>
          <w:szCs w:val="18"/>
          <w:lang w:val="es-ES_tradnl"/>
        </w:rPr>
        <w:tab/>
        <w:t>Miembros de la Junta del Reglamento de Radiocomunicaciones</w:t>
      </w:r>
    </w:p>
    <w:p w14:paraId="745F9662" w14:textId="2DE26090" w:rsidR="00F61E23" w:rsidRPr="00B33A00" w:rsidRDefault="00F61E23">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es-ES_tradnl"/>
        </w:rPr>
      </w:pPr>
      <w:r w:rsidRPr="00B33A00">
        <w:rPr>
          <w:rFonts w:asciiTheme="minorHAnsi" w:hAnsiTheme="minorHAnsi" w:cstheme="minorHAnsi"/>
          <w:szCs w:val="24"/>
          <w:lang w:val="es-ES_tradnl"/>
        </w:rPr>
        <w:br w:type="page"/>
      </w:r>
    </w:p>
    <w:p w14:paraId="7F888FC6" w14:textId="77777777" w:rsidR="00F61E23" w:rsidRPr="00B33A00" w:rsidRDefault="00F61E23" w:rsidP="00F61E23">
      <w:pPr>
        <w:pStyle w:val="AnnexNoTitle"/>
        <w:rPr>
          <w:lang w:val="es-ES_tradnl"/>
        </w:rPr>
      </w:pPr>
      <w:r w:rsidRPr="00B33A00">
        <w:rPr>
          <w:lang w:val="es-ES_tradnl"/>
        </w:rPr>
        <w:lastRenderedPageBreak/>
        <w:t>Anexo 1</w:t>
      </w:r>
    </w:p>
    <w:p w14:paraId="3500A281" w14:textId="2B6EB3F7" w:rsidR="00F61E23" w:rsidRPr="00B33A00" w:rsidRDefault="00F61E23" w:rsidP="00F61E23">
      <w:pPr>
        <w:pStyle w:val="TableNoTitle"/>
        <w:rPr>
          <w:sz w:val="24"/>
          <w:szCs w:val="24"/>
          <w:lang w:val="es-ES_tradnl"/>
        </w:rPr>
      </w:pPr>
      <w:r w:rsidRPr="00B33A00">
        <w:rPr>
          <w:sz w:val="24"/>
          <w:szCs w:val="24"/>
          <w:lang w:val="es-ES_tradnl"/>
        </w:rPr>
        <w:t>Cuadro 1 – Lista de horarios y fechas límite para notificaciones</w:t>
      </w:r>
      <w:r w:rsidRPr="00B33A00">
        <w:rPr>
          <w:sz w:val="24"/>
          <w:szCs w:val="24"/>
          <w:lang w:val="es-ES_tradnl"/>
        </w:rPr>
        <w:br/>
        <w:t>Horarios del periodo estacional A2</w:t>
      </w:r>
      <w:r w:rsidR="00693734" w:rsidRPr="00B33A00">
        <w:rPr>
          <w:sz w:val="24"/>
          <w:szCs w:val="24"/>
          <w:lang w:val="es-ES_tradnl"/>
        </w:rPr>
        <w:t>6</w:t>
      </w:r>
      <w:r w:rsidRPr="00B33A00">
        <w:rPr>
          <w:sz w:val="24"/>
          <w:szCs w:val="24"/>
          <w:lang w:val="es-ES_tradnl"/>
        </w:rPr>
        <w:br/>
        <w:t>(</w:t>
      </w:r>
      <w:r w:rsidR="00693734" w:rsidRPr="00B33A00">
        <w:rPr>
          <w:sz w:val="24"/>
          <w:szCs w:val="24"/>
          <w:lang w:val="es-ES_tradnl"/>
        </w:rPr>
        <w:t xml:space="preserve">29 </w:t>
      </w:r>
      <w:r w:rsidRPr="00B33A00">
        <w:rPr>
          <w:sz w:val="24"/>
          <w:szCs w:val="24"/>
          <w:lang w:val="es-ES_tradnl"/>
        </w:rPr>
        <w:t>de marzo de 202</w:t>
      </w:r>
      <w:r w:rsidR="00693734" w:rsidRPr="00B33A00">
        <w:rPr>
          <w:sz w:val="24"/>
          <w:szCs w:val="24"/>
          <w:lang w:val="es-ES_tradnl"/>
        </w:rPr>
        <w:t>6</w:t>
      </w:r>
      <w:r w:rsidRPr="00B33A00">
        <w:rPr>
          <w:sz w:val="24"/>
          <w:szCs w:val="24"/>
          <w:lang w:val="es-ES_tradnl"/>
        </w:rPr>
        <w:t>–2</w:t>
      </w:r>
      <w:r w:rsidR="00693734" w:rsidRPr="00B33A00">
        <w:rPr>
          <w:sz w:val="24"/>
          <w:szCs w:val="24"/>
          <w:lang w:val="es-ES_tradnl"/>
        </w:rPr>
        <w:t>5</w:t>
      </w:r>
      <w:r w:rsidRPr="00B33A00">
        <w:rPr>
          <w:sz w:val="24"/>
          <w:szCs w:val="24"/>
          <w:lang w:val="es-ES_tradnl"/>
        </w:rPr>
        <w:t xml:space="preserve"> de octubre de 202</w:t>
      </w:r>
      <w:r w:rsidR="00693734" w:rsidRPr="00B33A00">
        <w:rPr>
          <w:sz w:val="24"/>
          <w:szCs w:val="24"/>
          <w:lang w:val="es-ES_tradnl"/>
        </w:rPr>
        <w:t>6</w:t>
      </w:r>
      <w:r w:rsidRPr="00B33A00">
        <w:rPr>
          <w:sz w:val="24"/>
          <w:szCs w:val="24"/>
          <w:lang w:val="es-ES_tradnl"/>
        </w:rPr>
        <w:t>)</w:t>
      </w:r>
    </w:p>
    <w:tbl>
      <w:tblPr>
        <w:tblStyle w:val="Grilledutableau"/>
        <w:tblW w:w="5000" w:type="pct"/>
        <w:jc w:val="center"/>
        <w:tblLook w:val="04A0" w:firstRow="1" w:lastRow="0" w:firstColumn="1" w:lastColumn="0" w:noHBand="0" w:noVBand="1"/>
      </w:tblPr>
      <w:tblGrid>
        <w:gridCol w:w="704"/>
        <w:gridCol w:w="3260"/>
        <w:gridCol w:w="3237"/>
        <w:gridCol w:w="2428"/>
      </w:tblGrid>
      <w:tr w:rsidR="00F61E23" w:rsidRPr="008141A0" w14:paraId="481699FF" w14:textId="77777777" w:rsidTr="00733F0C">
        <w:trPr>
          <w:jc w:val="center"/>
        </w:trPr>
        <w:tc>
          <w:tcPr>
            <w:tcW w:w="704" w:type="dxa"/>
          </w:tcPr>
          <w:p w14:paraId="2F8C35A6" w14:textId="77777777" w:rsidR="00F61E23" w:rsidRPr="00B33A00" w:rsidRDefault="00F61E23" w:rsidP="00733F0C">
            <w:pPr>
              <w:pStyle w:val="Tablehead"/>
              <w:rPr>
                <w:sz w:val="24"/>
                <w:szCs w:val="24"/>
                <w:lang w:val="es-ES_tradnl"/>
              </w:rPr>
            </w:pPr>
          </w:p>
        </w:tc>
        <w:tc>
          <w:tcPr>
            <w:tcW w:w="3260" w:type="dxa"/>
          </w:tcPr>
          <w:p w14:paraId="30F3008A" w14:textId="77777777" w:rsidR="00F61E23" w:rsidRPr="00B33A00" w:rsidRDefault="00F61E23" w:rsidP="00733F0C">
            <w:pPr>
              <w:pStyle w:val="Tablehead"/>
              <w:rPr>
                <w:sz w:val="24"/>
                <w:szCs w:val="24"/>
                <w:lang w:val="es-ES_tradnl"/>
              </w:rPr>
            </w:pPr>
            <w:r w:rsidRPr="00B33A00">
              <w:rPr>
                <w:sz w:val="24"/>
                <w:szCs w:val="24"/>
                <w:lang w:val="es-ES_tradnl"/>
              </w:rPr>
              <w:t>Título del horario</w:t>
            </w:r>
          </w:p>
        </w:tc>
        <w:tc>
          <w:tcPr>
            <w:tcW w:w="3237" w:type="dxa"/>
          </w:tcPr>
          <w:p w14:paraId="756882CD" w14:textId="77777777" w:rsidR="00F61E23" w:rsidRPr="00B33A00" w:rsidRDefault="00F61E23" w:rsidP="00733F0C">
            <w:pPr>
              <w:pStyle w:val="Tablehead"/>
              <w:rPr>
                <w:sz w:val="24"/>
                <w:szCs w:val="24"/>
                <w:lang w:val="es-ES_tradnl"/>
              </w:rPr>
            </w:pPr>
            <w:r w:rsidRPr="00B33A00">
              <w:rPr>
                <w:sz w:val="24"/>
                <w:szCs w:val="24"/>
                <w:lang w:val="es-ES_tradnl"/>
              </w:rPr>
              <w:t>Fecha de publicación</w:t>
            </w:r>
          </w:p>
        </w:tc>
        <w:tc>
          <w:tcPr>
            <w:tcW w:w="2428" w:type="dxa"/>
          </w:tcPr>
          <w:p w14:paraId="456ED60D" w14:textId="77777777" w:rsidR="00F61E23" w:rsidRPr="00B33A00" w:rsidRDefault="00F61E23" w:rsidP="00733F0C">
            <w:pPr>
              <w:pStyle w:val="Tablehead"/>
              <w:rPr>
                <w:sz w:val="24"/>
                <w:szCs w:val="24"/>
                <w:lang w:val="es-ES_tradnl"/>
              </w:rPr>
            </w:pPr>
            <w:r w:rsidRPr="00B33A00">
              <w:rPr>
                <w:sz w:val="24"/>
                <w:szCs w:val="24"/>
                <w:lang w:val="es-ES_tradnl"/>
              </w:rPr>
              <w:t>Fecha límite para la notificación</w:t>
            </w:r>
          </w:p>
        </w:tc>
      </w:tr>
      <w:tr w:rsidR="00F61E23" w:rsidRPr="00B33A00" w14:paraId="5190A87F" w14:textId="77777777" w:rsidTr="00733F0C">
        <w:trPr>
          <w:jc w:val="center"/>
        </w:trPr>
        <w:tc>
          <w:tcPr>
            <w:tcW w:w="704" w:type="dxa"/>
          </w:tcPr>
          <w:p w14:paraId="261EAD58" w14:textId="77777777" w:rsidR="00F61E23" w:rsidRPr="00B33A00" w:rsidRDefault="00F61E23" w:rsidP="00733F0C">
            <w:pPr>
              <w:pStyle w:val="Tabletext"/>
              <w:rPr>
                <w:sz w:val="24"/>
                <w:szCs w:val="24"/>
                <w:lang w:val="es-ES_tradnl"/>
              </w:rPr>
            </w:pPr>
            <w:r w:rsidRPr="00B33A00">
              <w:rPr>
                <w:sz w:val="24"/>
                <w:szCs w:val="24"/>
                <w:lang w:val="es-ES_tradnl"/>
              </w:rPr>
              <w:t>1.1</w:t>
            </w:r>
          </w:p>
        </w:tc>
        <w:tc>
          <w:tcPr>
            <w:tcW w:w="3260" w:type="dxa"/>
            <w:vAlign w:val="center"/>
          </w:tcPr>
          <w:p w14:paraId="01ECDD6B" w14:textId="787A4F16" w:rsidR="00F61E23" w:rsidRPr="00B33A00" w:rsidRDefault="00F61E23" w:rsidP="00733F0C">
            <w:pPr>
              <w:pStyle w:val="Tabletext"/>
              <w:rPr>
                <w:sz w:val="24"/>
                <w:szCs w:val="24"/>
                <w:lang w:val="es-ES_tradnl"/>
              </w:rPr>
            </w:pPr>
            <w:bookmarkStart w:id="1" w:name="lt_pId063"/>
            <w:r w:rsidRPr="00B33A00">
              <w:rPr>
                <w:sz w:val="24"/>
                <w:szCs w:val="24"/>
                <w:lang w:val="es-ES_tradnl"/>
              </w:rPr>
              <w:t>A2</w:t>
            </w:r>
            <w:r w:rsidR="00693734" w:rsidRPr="00B33A00">
              <w:rPr>
                <w:sz w:val="24"/>
                <w:szCs w:val="24"/>
                <w:lang w:val="es-ES_tradnl"/>
              </w:rPr>
              <w:t>6</w:t>
            </w:r>
            <w:r w:rsidRPr="00B33A00">
              <w:rPr>
                <w:sz w:val="24"/>
                <w:szCs w:val="24"/>
                <w:lang w:val="es-ES_tradnl"/>
              </w:rPr>
              <w:t xml:space="preserve"> Horario provisional 1</w:t>
            </w:r>
            <w:bookmarkStart w:id="2" w:name="lt_pId064"/>
            <w:bookmarkEnd w:id="1"/>
            <w:r w:rsidRPr="00B33A00">
              <w:rPr>
                <w:sz w:val="24"/>
                <w:szCs w:val="24"/>
                <w:lang w:val="es-ES_tradnl"/>
              </w:rPr>
              <w:t xml:space="preserve"> (A2</w:t>
            </w:r>
            <w:r w:rsidR="00693734" w:rsidRPr="00B33A00">
              <w:rPr>
                <w:sz w:val="24"/>
                <w:szCs w:val="24"/>
                <w:lang w:val="es-ES_tradnl"/>
              </w:rPr>
              <w:t>6</w:t>
            </w:r>
            <w:r w:rsidRPr="00B33A00">
              <w:rPr>
                <w:sz w:val="24"/>
                <w:szCs w:val="24"/>
                <w:lang w:val="es-ES_tradnl"/>
              </w:rPr>
              <w:t>T1)</w:t>
            </w:r>
            <w:bookmarkEnd w:id="2"/>
          </w:p>
        </w:tc>
        <w:tc>
          <w:tcPr>
            <w:tcW w:w="3237" w:type="dxa"/>
            <w:vAlign w:val="center"/>
          </w:tcPr>
          <w:p w14:paraId="76F6FA2E" w14:textId="1F39E88C" w:rsidR="00F61E23" w:rsidRPr="00B33A00" w:rsidRDefault="00F61E23" w:rsidP="00733F0C">
            <w:pPr>
              <w:pStyle w:val="Tabletext"/>
              <w:rPr>
                <w:sz w:val="24"/>
                <w:szCs w:val="24"/>
                <w:lang w:val="es-ES_tradnl"/>
              </w:rPr>
            </w:pPr>
            <w:bookmarkStart w:id="3" w:name="lt_pId065"/>
            <w:r w:rsidRPr="00B33A00">
              <w:rPr>
                <w:sz w:val="24"/>
                <w:szCs w:val="24"/>
                <w:lang w:val="es-ES_tradnl"/>
              </w:rPr>
              <w:t xml:space="preserve">Finales de </w:t>
            </w:r>
            <w:bookmarkEnd w:id="3"/>
            <w:r w:rsidRPr="00B33A00">
              <w:rPr>
                <w:sz w:val="24"/>
                <w:szCs w:val="24"/>
                <w:lang w:val="es-ES_tradnl"/>
              </w:rPr>
              <w:t>enero de 202</w:t>
            </w:r>
            <w:r w:rsidR="00693734" w:rsidRPr="00B33A00">
              <w:rPr>
                <w:sz w:val="24"/>
                <w:szCs w:val="24"/>
                <w:lang w:val="es-ES_tradnl"/>
              </w:rPr>
              <w:t>6</w:t>
            </w:r>
          </w:p>
        </w:tc>
        <w:tc>
          <w:tcPr>
            <w:tcW w:w="2428" w:type="dxa"/>
            <w:vAlign w:val="center"/>
          </w:tcPr>
          <w:p w14:paraId="2825EA0C" w14:textId="570C4611" w:rsidR="00F61E23" w:rsidRPr="00B33A00" w:rsidRDefault="00F61E23" w:rsidP="00515F59">
            <w:pPr>
              <w:pStyle w:val="Tabletext"/>
              <w:rPr>
                <w:sz w:val="24"/>
                <w:szCs w:val="24"/>
                <w:lang w:val="es-ES_tradnl"/>
              </w:rPr>
            </w:pPr>
            <w:r w:rsidRPr="00B33A00">
              <w:rPr>
                <w:sz w:val="24"/>
                <w:szCs w:val="24"/>
                <w:lang w:val="es-ES_tradnl"/>
              </w:rPr>
              <w:t>1</w:t>
            </w:r>
            <w:r w:rsidR="00693734" w:rsidRPr="00B33A00">
              <w:rPr>
                <w:sz w:val="24"/>
                <w:szCs w:val="24"/>
                <w:lang w:val="es-ES_tradnl"/>
              </w:rPr>
              <w:t>8</w:t>
            </w:r>
            <w:r w:rsidRPr="00B33A00">
              <w:rPr>
                <w:sz w:val="24"/>
                <w:szCs w:val="24"/>
                <w:lang w:val="es-ES_tradnl"/>
              </w:rPr>
              <w:t xml:space="preserve"> de enero de 202</w:t>
            </w:r>
            <w:r w:rsidR="00693734" w:rsidRPr="00B33A00">
              <w:rPr>
                <w:sz w:val="24"/>
                <w:szCs w:val="24"/>
                <w:lang w:val="es-ES_tradnl"/>
              </w:rPr>
              <w:t>6</w:t>
            </w:r>
          </w:p>
        </w:tc>
      </w:tr>
      <w:tr w:rsidR="00F61E23" w:rsidRPr="00B33A00" w14:paraId="03102BD9" w14:textId="77777777" w:rsidTr="00733F0C">
        <w:trPr>
          <w:jc w:val="center"/>
        </w:trPr>
        <w:tc>
          <w:tcPr>
            <w:tcW w:w="704" w:type="dxa"/>
          </w:tcPr>
          <w:p w14:paraId="359CFDAF" w14:textId="77777777" w:rsidR="00F61E23" w:rsidRPr="00B33A00" w:rsidRDefault="00F61E23" w:rsidP="00733F0C">
            <w:pPr>
              <w:pStyle w:val="Tabletext"/>
              <w:rPr>
                <w:sz w:val="24"/>
                <w:szCs w:val="24"/>
                <w:lang w:val="es-ES_tradnl"/>
              </w:rPr>
            </w:pPr>
            <w:r w:rsidRPr="00B33A00">
              <w:rPr>
                <w:sz w:val="24"/>
                <w:szCs w:val="24"/>
                <w:lang w:val="es-ES_tradnl"/>
              </w:rPr>
              <w:t>1.2</w:t>
            </w:r>
          </w:p>
        </w:tc>
        <w:tc>
          <w:tcPr>
            <w:tcW w:w="3260" w:type="dxa"/>
            <w:vAlign w:val="center"/>
          </w:tcPr>
          <w:p w14:paraId="62BCEB7A" w14:textId="66D9C552" w:rsidR="00F61E23" w:rsidRPr="00B33A00" w:rsidRDefault="00F61E23" w:rsidP="00733F0C">
            <w:pPr>
              <w:pStyle w:val="Tabletext"/>
              <w:rPr>
                <w:sz w:val="24"/>
                <w:szCs w:val="24"/>
                <w:lang w:val="es-ES_tradnl"/>
              </w:rPr>
            </w:pPr>
            <w:bookmarkStart w:id="4" w:name="lt_pId067"/>
            <w:r w:rsidRPr="00B33A00">
              <w:rPr>
                <w:sz w:val="24"/>
                <w:szCs w:val="24"/>
                <w:lang w:val="es-ES_tradnl"/>
              </w:rPr>
              <w:t>A2</w:t>
            </w:r>
            <w:r w:rsidR="00693734" w:rsidRPr="00B33A00">
              <w:rPr>
                <w:sz w:val="24"/>
                <w:szCs w:val="24"/>
                <w:lang w:val="es-ES_tradnl"/>
              </w:rPr>
              <w:t>6</w:t>
            </w:r>
            <w:r w:rsidRPr="00B33A00">
              <w:rPr>
                <w:sz w:val="24"/>
                <w:szCs w:val="24"/>
                <w:lang w:val="es-ES_tradnl"/>
              </w:rPr>
              <w:t xml:space="preserve"> Horario provisional 2</w:t>
            </w:r>
            <w:bookmarkEnd w:id="4"/>
            <w:r w:rsidRPr="00B33A00">
              <w:rPr>
                <w:sz w:val="24"/>
                <w:szCs w:val="24"/>
                <w:lang w:val="es-ES_tradnl"/>
              </w:rPr>
              <w:br/>
            </w:r>
            <w:bookmarkStart w:id="5" w:name="lt_pId068"/>
            <w:r w:rsidRPr="00B33A00">
              <w:rPr>
                <w:sz w:val="24"/>
                <w:szCs w:val="24"/>
                <w:lang w:val="es-ES_tradnl"/>
              </w:rPr>
              <w:t>(A2</w:t>
            </w:r>
            <w:r w:rsidR="00693734" w:rsidRPr="00B33A00">
              <w:rPr>
                <w:sz w:val="24"/>
                <w:szCs w:val="24"/>
                <w:lang w:val="es-ES_tradnl"/>
              </w:rPr>
              <w:t>6</w:t>
            </w:r>
            <w:r w:rsidRPr="00B33A00">
              <w:rPr>
                <w:sz w:val="24"/>
                <w:szCs w:val="24"/>
                <w:lang w:val="es-ES_tradnl"/>
              </w:rPr>
              <w:t>T2)</w:t>
            </w:r>
            <w:bookmarkEnd w:id="5"/>
          </w:p>
        </w:tc>
        <w:tc>
          <w:tcPr>
            <w:tcW w:w="3237" w:type="dxa"/>
            <w:vAlign w:val="center"/>
          </w:tcPr>
          <w:p w14:paraId="04A29D69" w14:textId="53E95C1E" w:rsidR="00F61E23" w:rsidRPr="00B33A00" w:rsidRDefault="00F61E23" w:rsidP="00733F0C">
            <w:pPr>
              <w:pStyle w:val="Tabletext"/>
              <w:rPr>
                <w:sz w:val="24"/>
                <w:szCs w:val="24"/>
                <w:lang w:val="es-ES_tradnl"/>
              </w:rPr>
            </w:pPr>
            <w:r w:rsidRPr="00B33A00">
              <w:rPr>
                <w:sz w:val="24"/>
                <w:szCs w:val="24"/>
                <w:lang w:val="es-ES_tradnl"/>
              </w:rPr>
              <w:t>Finales de febrero de 202</w:t>
            </w:r>
            <w:r w:rsidR="00693734" w:rsidRPr="00B33A00">
              <w:rPr>
                <w:sz w:val="24"/>
                <w:szCs w:val="24"/>
                <w:lang w:val="es-ES_tradnl"/>
              </w:rPr>
              <w:t>6</w:t>
            </w:r>
          </w:p>
        </w:tc>
        <w:tc>
          <w:tcPr>
            <w:tcW w:w="2428" w:type="dxa"/>
            <w:vAlign w:val="center"/>
          </w:tcPr>
          <w:p w14:paraId="6D7D82CF" w14:textId="7D7A42D4" w:rsidR="00F61E23" w:rsidRPr="00B33A00" w:rsidRDefault="00F61E23" w:rsidP="00733F0C">
            <w:pPr>
              <w:pStyle w:val="Tabletext"/>
              <w:rPr>
                <w:sz w:val="24"/>
                <w:szCs w:val="24"/>
                <w:lang w:val="es-ES_tradnl"/>
              </w:rPr>
            </w:pPr>
            <w:r w:rsidRPr="00B33A00">
              <w:rPr>
                <w:sz w:val="24"/>
                <w:szCs w:val="24"/>
                <w:lang w:val="es-ES_tradnl"/>
              </w:rPr>
              <w:t>1</w:t>
            </w:r>
            <w:r w:rsidR="00693734" w:rsidRPr="00B33A00">
              <w:rPr>
                <w:sz w:val="24"/>
                <w:szCs w:val="24"/>
                <w:lang w:val="es-ES_tradnl"/>
              </w:rPr>
              <w:t>5</w:t>
            </w:r>
            <w:r w:rsidRPr="00B33A00">
              <w:rPr>
                <w:sz w:val="24"/>
                <w:szCs w:val="24"/>
                <w:lang w:val="es-ES_tradnl"/>
              </w:rPr>
              <w:t xml:space="preserve"> de febrero de 202</w:t>
            </w:r>
            <w:r w:rsidR="00693734" w:rsidRPr="00B33A00">
              <w:rPr>
                <w:sz w:val="24"/>
                <w:szCs w:val="24"/>
                <w:lang w:val="es-ES_tradnl"/>
              </w:rPr>
              <w:t>6</w:t>
            </w:r>
          </w:p>
        </w:tc>
      </w:tr>
      <w:tr w:rsidR="00F61E23" w:rsidRPr="00B33A00" w14:paraId="5C68BFF3" w14:textId="77777777" w:rsidTr="00733F0C">
        <w:trPr>
          <w:jc w:val="center"/>
        </w:trPr>
        <w:tc>
          <w:tcPr>
            <w:tcW w:w="704" w:type="dxa"/>
          </w:tcPr>
          <w:p w14:paraId="1E6EE5FF" w14:textId="77777777" w:rsidR="00F61E23" w:rsidRPr="00B33A00" w:rsidRDefault="00F61E23" w:rsidP="00733F0C">
            <w:pPr>
              <w:pStyle w:val="Tabletext"/>
              <w:rPr>
                <w:sz w:val="24"/>
                <w:szCs w:val="24"/>
                <w:lang w:val="es-ES_tradnl"/>
              </w:rPr>
            </w:pPr>
            <w:r w:rsidRPr="00B33A00">
              <w:rPr>
                <w:sz w:val="24"/>
                <w:szCs w:val="24"/>
                <w:lang w:val="es-ES_tradnl"/>
              </w:rPr>
              <w:t>1.3</w:t>
            </w:r>
          </w:p>
        </w:tc>
        <w:tc>
          <w:tcPr>
            <w:tcW w:w="3260" w:type="dxa"/>
            <w:vAlign w:val="center"/>
          </w:tcPr>
          <w:p w14:paraId="1F7A2A07" w14:textId="218CF1BE" w:rsidR="00F61E23" w:rsidRPr="00B33A00" w:rsidRDefault="00F61E23" w:rsidP="00733F0C">
            <w:pPr>
              <w:pStyle w:val="Tabletext"/>
              <w:rPr>
                <w:sz w:val="24"/>
                <w:szCs w:val="24"/>
                <w:lang w:val="es-ES_tradnl"/>
              </w:rPr>
            </w:pPr>
            <w:r w:rsidRPr="00B33A00">
              <w:rPr>
                <w:sz w:val="24"/>
                <w:szCs w:val="24"/>
                <w:lang w:val="es-ES_tradnl"/>
              </w:rPr>
              <w:t>A2</w:t>
            </w:r>
            <w:r w:rsidR="00693734" w:rsidRPr="00B33A00">
              <w:rPr>
                <w:sz w:val="24"/>
                <w:szCs w:val="24"/>
                <w:lang w:val="es-ES_tradnl"/>
              </w:rPr>
              <w:t>6</w:t>
            </w:r>
            <w:r w:rsidRPr="00B33A00">
              <w:rPr>
                <w:sz w:val="24"/>
                <w:szCs w:val="24"/>
                <w:lang w:val="es-ES_tradnl"/>
              </w:rPr>
              <w:t xml:space="preserve"> Horario 1</w:t>
            </w:r>
            <w:r w:rsidRPr="00B33A00">
              <w:rPr>
                <w:sz w:val="24"/>
                <w:szCs w:val="24"/>
                <w:lang w:val="es-ES_tradnl"/>
              </w:rPr>
              <w:br/>
              <w:t>(A2</w:t>
            </w:r>
            <w:r w:rsidR="00693734" w:rsidRPr="00B33A00">
              <w:rPr>
                <w:sz w:val="24"/>
                <w:szCs w:val="24"/>
                <w:lang w:val="es-ES_tradnl"/>
              </w:rPr>
              <w:t>6</w:t>
            </w:r>
            <w:r w:rsidRPr="00B33A00">
              <w:rPr>
                <w:sz w:val="24"/>
                <w:szCs w:val="24"/>
                <w:lang w:val="es-ES_tradnl"/>
              </w:rPr>
              <w:t>S1)</w:t>
            </w:r>
          </w:p>
        </w:tc>
        <w:tc>
          <w:tcPr>
            <w:tcW w:w="3237" w:type="dxa"/>
            <w:vAlign w:val="center"/>
          </w:tcPr>
          <w:p w14:paraId="2CAB167A" w14:textId="517A0077" w:rsidR="00F61E23" w:rsidRPr="00B33A00" w:rsidRDefault="00F61E23" w:rsidP="00733F0C">
            <w:pPr>
              <w:pStyle w:val="Tabletext"/>
              <w:rPr>
                <w:sz w:val="24"/>
                <w:szCs w:val="24"/>
                <w:lang w:val="es-ES_tradnl"/>
              </w:rPr>
            </w:pPr>
            <w:r w:rsidRPr="00B33A00">
              <w:rPr>
                <w:sz w:val="24"/>
                <w:szCs w:val="24"/>
                <w:lang w:val="es-ES_tradnl"/>
              </w:rPr>
              <w:t>Finales de marzo de 202</w:t>
            </w:r>
            <w:r w:rsidR="00693734" w:rsidRPr="00B33A00">
              <w:rPr>
                <w:sz w:val="24"/>
                <w:szCs w:val="24"/>
                <w:lang w:val="es-ES_tradnl"/>
              </w:rPr>
              <w:t>6</w:t>
            </w:r>
          </w:p>
        </w:tc>
        <w:tc>
          <w:tcPr>
            <w:tcW w:w="2428" w:type="dxa"/>
            <w:vAlign w:val="center"/>
          </w:tcPr>
          <w:p w14:paraId="3A8A082F" w14:textId="63C7D5AE" w:rsidR="00F61E23" w:rsidRPr="00B33A00" w:rsidRDefault="00F61E23" w:rsidP="00733F0C">
            <w:pPr>
              <w:pStyle w:val="Tabletext"/>
              <w:rPr>
                <w:sz w:val="24"/>
                <w:szCs w:val="24"/>
                <w:lang w:val="es-ES_tradnl"/>
              </w:rPr>
            </w:pPr>
            <w:r w:rsidRPr="00B33A00">
              <w:rPr>
                <w:sz w:val="24"/>
                <w:szCs w:val="24"/>
                <w:lang w:val="es-ES_tradnl"/>
              </w:rPr>
              <w:t>1</w:t>
            </w:r>
            <w:r w:rsidR="00693734" w:rsidRPr="00B33A00">
              <w:rPr>
                <w:sz w:val="24"/>
                <w:szCs w:val="24"/>
                <w:lang w:val="es-ES_tradnl"/>
              </w:rPr>
              <w:t>5</w:t>
            </w:r>
            <w:r w:rsidRPr="00B33A00">
              <w:rPr>
                <w:sz w:val="24"/>
                <w:szCs w:val="24"/>
                <w:lang w:val="es-ES_tradnl"/>
              </w:rPr>
              <w:t xml:space="preserve"> de marzo de 202</w:t>
            </w:r>
            <w:r w:rsidR="00693734" w:rsidRPr="00B33A00">
              <w:rPr>
                <w:sz w:val="24"/>
                <w:szCs w:val="24"/>
                <w:lang w:val="es-ES_tradnl"/>
              </w:rPr>
              <w:t>6</w:t>
            </w:r>
          </w:p>
        </w:tc>
      </w:tr>
      <w:tr w:rsidR="00F61E23" w:rsidRPr="00B33A00" w14:paraId="24CE4AD3" w14:textId="77777777" w:rsidTr="00733F0C">
        <w:trPr>
          <w:jc w:val="center"/>
        </w:trPr>
        <w:tc>
          <w:tcPr>
            <w:tcW w:w="704" w:type="dxa"/>
          </w:tcPr>
          <w:p w14:paraId="3998B50E" w14:textId="77777777" w:rsidR="00F61E23" w:rsidRPr="00B33A00" w:rsidRDefault="00F61E23" w:rsidP="00733F0C">
            <w:pPr>
              <w:pStyle w:val="Tabletext"/>
              <w:rPr>
                <w:sz w:val="24"/>
                <w:szCs w:val="24"/>
                <w:lang w:val="es-ES_tradnl"/>
              </w:rPr>
            </w:pPr>
            <w:r w:rsidRPr="00B33A00">
              <w:rPr>
                <w:sz w:val="24"/>
                <w:szCs w:val="24"/>
                <w:lang w:val="es-ES_tradnl"/>
              </w:rPr>
              <w:t>1.4</w:t>
            </w:r>
          </w:p>
        </w:tc>
        <w:tc>
          <w:tcPr>
            <w:tcW w:w="3260" w:type="dxa"/>
            <w:vAlign w:val="center"/>
          </w:tcPr>
          <w:p w14:paraId="3266A384" w14:textId="5B92ED7A" w:rsidR="00F61E23" w:rsidRPr="00B33A00" w:rsidRDefault="00F61E23" w:rsidP="00733F0C">
            <w:pPr>
              <w:pStyle w:val="Tabletext"/>
              <w:rPr>
                <w:sz w:val="24"/>
                <w:szCs w:val="24"/>
                <w:lang w:val="es-ES_tradnl"/>
              </w:rPr>
            </w:pPr>
            <w:r w:rsidRPr="00B33A00">
              <w:rPr>
                <w:sz w:val="24"/>
                <w:szCs w:val="24"/>
                <w:lang w:val="es-ES_tradnl"/>
              </w:rPr>
              <w:t>A2</w:t>
            </w:r>
            <w:r w:rsidR="00693734" w:rsidRPr="00B33A00">
              <w:rPr>
                <w:sz w:val="24"/>
                <w:szCs w:val="24"/>
                <w:lang w:val="es-ES_tradnl"/>
              </w:rPr>
              <w:t>6</w:t>
            </w:r>
            <w:r w:rsidRPr="00B33A00">
              <w:rPr>
                <w:sz w:val="24"/>
                <w:szCs w:val="24"/>
                <w:lang w:val="es-ES_tradnl"/>
              </w:rPr>
              <w:t xml:space="preserve"> Horario 2</w:t>
            </w:r>
            <w:r w:rsidRPr="00B33A00">
              <w:rPr>
                <w:sz w:val="24"/>
                <w:szCs w:val="24"/>
                <w:lang w:val="es-ES_tradnl"/>
              </w:rPr>
              <w:br/>
              <w:t>(A2</w:t>
            </w:r>
            <w:r w:rsidR="00693734" w:rsidRPr="00B33A00">
              <w:rPr>
                <w:sz w:val="24"/>
                <w:szCs w:val="24"/>
                <w:lang w:val="es-ES_tradnl"/>
              </w:rPr>
              <w:t>6</w:t>
            </w:r>
            <w:r w:rsidRPr="00B33A00">
              <w:rPr>
                <w:sz w:val="24"/>
                <w:szCs w:val="24"/>
                <w:lang w:val="es-ES_tradnl"/>
              </w:rPr>
              <w:t>S2)</w:t>
            </w:r>
          </w:p>
        </w:tc>
        <w:tc>
          <w:tcPr>
            <w:tcW w:w="3237" w:type="dxa"/>
            <w:vAlign w:val="center"/>
          </w:tcPr>
          <w:p w14:paraId="269BD918" w14:textId="2D1F735F" w:rsidR="00F61E23" w:rsidRPr="00B33A00" w:rsidRDefault="00F61E23" w:rsidP="00733F0C">
            <w:pPr>
              <w:pStyle w:val="Tabletext"/>
              <w:rPr>
                <w:sz w:val="24"/>
                <w:szCs w:val="24"/>
                <w:lang w:val="es-ES_tradnl"/>
              </w:rPr>
            </w:pPr>
            <w:r w:rsidRPr="00B33A00">
              <w:rPr>
                <w:sz w:val="24"/>
                <w:szCs w:val="24"/>
                <w:lang w:val="es-ES_tradnl"/>
              </w:rPr>
              <w:t>Finales de mayo de 202</w:t>
            </w:r>
            <w:r w:rsidR="00693734" w:rsidRPr="00B33A00">
              <w:rPr>
                <w:sz w:val="24"/>
                <w:szCs w:val="24"/>
                <w:lang w:val="es-ES_tradnl"/>
              </w:rPr>
              <w:t>6</w:t>
            </w:r>
          </w:p>
        </w:tc>
        <w:tc>
          <w:tcPr>
            <w:tcW w:w="2428" w:type="dxa"/>
            <w:vAlign w:val="center"/>
          </w:tcPr>
          <w:p w14:paraId="43E434E7" w14:textId="5F46773E" w:rsidR="00F61E23" w:rsidRPr="00B33A00" w:rsidRDefault="00F61E23" w:rsidP="00733F0C">
            <w:pPr>
              <w:pStyle w:val="Tabletext"/>
              <w:rPr>
                <w:sz w:val="24"/>
                <w:szCs w:val="24"/>
                <w:lang w:val="es-ES_tradnl"/>
              </w:rPr>
            </w:pPr>
            <w:r w:rsidRPr="00B33A00">
              <w:rPr>
                <w:sz w:val="24"/>
                <w:szCs w:val="24"/>
                <w:lang w:val="es-ES_tradnl"/>
              </w:rPr>
              <w:t>1</w:t>
            </w:r>
            <w:r w:rsidR="00693734" w:rsidRPr="00B33A00">
              <w:rPr>
                <w:sz w:val="24"/>
                <w:szCs w:val="24"/>
                <w:lang w:val="es-ES_tradnl"/>
              </w:rPr>
              <w:t>7</w:t>
            </w:r>
            <w:r w:rsidRPr="00B33A00">
              <w:rPr>
                <w:sz w:val="24"/>
                <w:szCs w:val="24"/>
                <w:lang w:val="es-ES_tradnl"/>
              </w:rPr>
              <w:t xml:space="preserve"> de mayo de 202</w:t>
            </w:r>
            <w:r w:rsidR="00693734" w:rsidRPr="00B33A00">
              <w:rPr>
                <w:sz w:val="24"/>
                <w:szCs w:val="24"/>
                <w:lang w:val="es-ES_tradnl"/>
              </w:rPr>
              <w:t>6</w:t>
            </w:r>
          </w:p>
        </w:tc>
      </w:tr>
      <w:tr w:rsidR="00F61E23" w:rsidRPr="00B33A00" w14:paraId="31640E7E" w14:textId="77777777" w:rsidTr="00733F0C">
        <w:trPr>
          <w:jc w:val="center"/>
        </w:trPr>
        <w:tc>
          <w:tcPr>
            <w:tcW w:w="704" w:type="dxa"/>
          </w:tcPr>
          <w:p w14:paraId="19195061" w14:textId="77777777" w:rsidR="00F61E23" w:rsidRPr="00B33A00" w:rsidRDefault="00F61E23" w:rsidP="00733F0C">
            <w:pPr>
              <w:pStyle w:val="Tabletext"/>
              <w:rPr>
                <w:sz w:val="24"/>
                <w:szCs w:val="24"/>
                <w:lang w:val="es-ES_tradnl"/>
              </w:rPr>
            </w:pPr>
            <w:r w:rsidRPr="00B33A00">
              <w:rPr>
                <w:sz w:val="24"/>
                <w:szCs w:val="24"/>
                <w:lang w:val="es-ES_tradnl"/>
              </w:rPr>
              <w:t>1.5</w:t>
            </w:r>
          </w:p>
        </w:tc>
        <w:tc>
          <w:tcPr>
            <w:tcW w:w="3260" w:type="dxa"/>
            <w:vAlign w:val="center"/>
          </w:tcPr>
          <w:p w14:paraId="7B2D56E7" w14:textId="0AA670F0" w:rsidR="00F61E23" w:rsidRPr="00B33A00" w:rsidRDefault="00F61E23" w:rsidP="00733F0C">
            <w:pPr>
              <w:pStyle w:val="Tabletext"/>
              <w:rPr>
                <w:sz w:val="24"/>
                <w:szCs w:val="24"/>
                <w:lang w:val="es-ES_tradnl"/>
              </w:rPr>
            </w:pPr>
            <w:r w:rsidRPr="00B33A00">
              <w:rPr>
                <w:sz w:val="24"/>
                <w:szCs w:val="24"/>
                <w:lang w:val="es-ES_tradnl"/>
              </w:rPr>
              <w:t>A2</w:t>
            </w:r>
            <w:r w:rsidR="00693734" w:rsidRPr="00B33A00">
              <w:rPr>
                <w:sz w:val="24"/>
                <w:szCs w:val="24"/>
                <w:lang w:val="es-ES_tradnl"/>
              </w:rPr>
              <w:t>6</w:t>
            </w:r>
            <w:r w:rsidRPr="00B33A00">
              <w:rPr>
                <w:sz w:val="24"/>
                <w:szCs w:val="24"/>
                <w:lang w:val="es-ES_tradnl"/>
              </w:rPr>
              <w:t xml:space="preserve"> Horario 3 (A2</w:t>
            </w:r>
            <w:r w:rsidR="00693734" w:rsidRPr="00B33A00">
              <w:rPr>
                <w:sz w:val="24"/>
                <w:szCs w:val="24"/>
                <w:lang w:val="es-ES_tradnl"/>
              </w:rPr>
              <w:t>6</w:t>
            </w:r>
            <w:r w:rsidRPr="00B33A00">
              <w:rPr>
                <w:sz w:val="24"/>
                <w:szCs w:val="24"/>
                <w:lang w:val="es-ES_tradnl"/>
              </w:rPr>
              <w:t>S3)</w:t>
            </w:r>
          </w:p>
        </w:tc>
        <w:tc>
          <w:tcPr>
            <w:tcW w:w="3237" w:type="dxa"/>
            <w:vAlign w:val="center"/>
          </w:tcPr>
          <w:p w14:paraId="156BC891" w14:textId="32C79650" w:rsidR="00F61E23" w:rsidRPr="00B33A00" w:rsidRDefault="00F61E23" w:rsidP="00733F0C">
            <w:pPr>
              <w:pStyle w:val="Tabletext"/>
              <w:rPr>
                <w:sz w:val="24"/>
                <w:szCs w:val="24"/>
                <w:lang w:val="es-ES_tradnl"/>
              </w:rPr>
            </w:pPr>
            <w:r w:rsidRPr="00B33A00">
              <w:rPr>
                <w:sz w:val="24"/>
                <w:szCs w:val="24"/>
                <w:lang w:val="es-ES_tradnl"/>
              </w:rPr>
              <w:t>Finales de julio de 202</w:t>
            </w:r>
            <w:r w:rsidR="00693734" w:rsidRPr="00B33A00">
              <w:rPr>
                <w:sz w:val="24"/>
                <w:szCs w:val="24"/>
                <w:lang w:val="es-ES_tradnl"/>
              </w:rPr>
              <w:t>6</w:t>
            </w:r>
          </w:p>
        </w:tc>
        <w:tc>
          <w:tcPr>
            <w:tcW w:w="2428" w:type="dxa"/>
            <w:vAlign w:val="center"/>
          </w:tcPr>
          <w:p w14:paraId="62FA24D6" w14:textId="4957882C" w:rsidR="00F61E23" w:rsidRPr="00B33A00" w:rsidRDefault="00693734" w:rsidP="00733F0C">
            <w:pPr>
              <w:pStyle w:val="Tabletext"/>
              <w:rPr>
                <w:sz w:val="24"/>
                <w:szCs w:val="24"/>
                <w:lang w:val="es-ES_tradnl"/>
              </w:rPr>
            </w:pPr>
            <w:r w:rsidRPr="00B33A00">
              <w:rPr>
                <w:sz w:val="24"/>
                <w:szCs w:val="24"/>
                <w:lang w:val="es-ES_tradnl"/>
              </w:rPr>
              <w:t>19</w:t>
            </w:r>
            <w:r w:rsidR="00F61E23" w:rsidRPr="00B33A00">
              <w:rPr>
                <w:sz w:val="24"/>
                <w:szCs w:val="24"/>
                <w:lang w:val="es-ES_tradnl"/>
              </w:rPr>
              <w:t xml:space="preserve"> de julio de 202</w:t>
            </w:r>
            <w:r w:rsidRPr="00B33A00">
              <w:rPr>
                <w:sz w:val="24"/>
                <w:szCs w:val="24"/>
                <w:lang w:val="es-ES_tradnl"/>
              </w:rPr>
              <w:t>6</w:t>
            </w:r>
          </w:p>
        </w:tc>
      </w:tr>
      <w:tr w:rsidR="00F61E23" w:rsidRPr="00B33A00" w14:paraId="5A650054" w14:textId="77777777" w:rsidTr="00733F0C">
        <w:trPr>
          <w:jc w:val="center"/>
        </w:trPr>
        <w:tc>
          <w:tcPr>
            <w:tcW w:w="704" w:type="dxa"/>
          </w:tcPr>
          <w:p w14:paraId="668CCF10" w14:textId="77777777" w:rsidR="00F61E23" w:rsidRPr="00B33A00" w:rsidRDefault="00F61E23" w:rsidP="00733F0C">
            <w:pPr>
              <w:pStyle w:val="Tabletext"/>
              <w:rPr>
                <w:sz w:val="24"/>
                <w:szCs w:val="24"/>
                <w:lang w:val="es-ES_tradnl"/>
              </w:rPr>
            </w:pPr>
            <w:r w:rsidRPr="00B33A00">
              <w:rPr>
                <w:sz w:val="24"/>
                <w:szCs w:val="24"/>
                <w:lang w:val="es-ES_tradnl"/>
              </w:rPr>
              <w:t>1.6</w:t>
            </w:r>
          </w:p>
        </w:tc>
        <w:tc>
          <w:tcPr>
            <w:tcW w:w="3260" w:type="dxa"/>
            <w:vAlign w:val="center"/>
          </w:tcPr>
          <w:p w14:paraId="42F08A1B" w14:textId="59798208" w:rsidR="00F61E23" w:rsidRPr="00B33A00" w:rsidRDefault="00F61E23" w:rsidP="00733F0C">
            <w:pPr>
              <w:pStyle w:val="Tabletext"/>
              <w:rPr>
                <w:sz w:val="24"/>
                <w:szCs w:val="24"/>
                <w:lang w:val="es-ES_tradnl"/>
              </w:rPr>
            </w:pPr>
            <w:r w:rsidRPr="00B33A00">
              <w:rPr>
                <w:sz w:val="24"/>
                <w:szCs w:val="24"/>
                <w:lang w:val="es-ES_tradnl"/>
              </w:rPr>
              <w:t>A2</w:t>
            </w:r>
            <w:r w:rsidR="00693734" w:rsidRPr="00B33A00">
              <w:rPr>
                <w:sz w:val="24"/>
                <w:szCs w:val="24"/>
                <w:lang w:val="es-ES_tradnl"/>
              </w:rPr>
              <w:t>6</w:t>
            </w:r>
            <w:r w:rsidRPr="00B33A00">
              <w:rPr>
                <w:sz w:val="24"/>
                <w:szCs w:val="24"/>
                <w:lang w:val="es-ES_tradnl"/>
              </w:rPr>
              <w:t xml:space="preserve"> Horario final</w:t>
            </w:r>
            <w:r w:rsidRPr="00B33A00">
              <w:rPr>
                <w:sz w:val="24"/>
                <w:szCs w:val="24"/>
                <w:lang w:val="es-ES_tradnl"/>
              </w:rPr>
              <w:br/>
              <w:t>(A2</w:t>
            </w:r>
            <w:r w:rsidR="00693734" w:rsidRPr="00B33A00">
              <w:rPr>
                <w:sz w:val="24"/>
                <w:szCs w:val="24"/>
                <w:lang w:val="es-ES_tradnl"/>
              </w:rPr>
              <w:t>6</w:t>
            </w:r>
            <w:r w:rsidRPr="00B33A00">
              <w:rPr>
                <w:sz w:val="24"/>
                <w:szCs w:val="24"/>
                <w:lang w:val="es-ES_tradnl"/>
              </w:rPr>
              <w:t>F)</w:t>
            </w:r>
          </w:p>
        </w:tc>
        <w:tc>
          <w:tcPr>
            <w:tcW w:w="3237" w:type="dxa"/>
            <w:vAlign w:val="center"/>
          </w:tcPr>
          <w:p w14:paraId="20EEF9DD" w14:textId="772B677A" w:rsidR="00F61E23" w:rsidRPr="00B33A00" w:rsidRDefault="00F61E23" w:rsidP="00733F0C">
            <w:pPr>
              <w:pStyle w:val="Tabletext"/>
              <w:rPr>
                <w:sz w:val="24"/>
                <w:szCs w:val="24"/>
                <w:lang w:val="es-ES_tradnl"/>
              </w:rPr>
            </w:pPr>
            <w:r w:rsidRPr="00B33A00">
              <w:rPr>
                <w:sz w:val="24"/>
                <w:szCs w:val="24"/>
                <w:lang w:val="es-ES_tradnl"/>
              </w:rPr>
              <w:t>Finales de noviembre de 202</w:t>
            </w:r>
            <w:r w:rsidR="00693734" w:rsidRPr="00B33A00">
              <w:rPr>
                <w:sz w:val="24"/>
                <w:szCs w:val="24"/>
                <w:lang w:val="es-ES_tradnl"/>
              </w:rPr>
              <w:t>6</w:t>
            </w:r>
          </w:p>
        </w:tc>
        <w:tc>
          <w:tcPr>
            <w:tcW w:w="2428" w:type="dxa"/>
            <w:vAlign w:val="center"/>
          </w:tcPr>
          <w:p w14:paraId="0AF454C7" w14:textId="4C6D20F3" w:rsidR="00F61E23" w:rsidRPr="00B33A00" w:rsidRDefault="00F61E23" w:rsidP="00733F0C">
            <w:pPr>
              <w:pStyle w:val="Tabletext"/>
              <w:rPr>
                <w:sz w:val="24"/>
                <w:szCs w:val="24"/>
                <w:lang w:val="es-ES_tradnl"/>
              </w:rPr>
            </w:pPr>
            <w:r w:rsidRPr="00B33A00">
              <w:rPr>
                <w:sz w:val="24"/>
                <w:szCs w:val="24"/>
                <w:lang w:val="es-ES_tradnl"/>
              </w:rPr>
              <w:t>1</w:t>
            </w:r>
            <w:r w:rsidR="00693734" w:rsidRPr="00B33A00">
              <w:rPr>
                <w:sz w:val="24"/>
                <w:szCs w:val="24"/>
                <w:lang w:val="es-ES_tradnl"/>
              </w:rPr>
              <w:t>5</w:t>
            </w:r>
            <w:r w:rsidRPr="00B33A00">
              <w:rPr>
                <w:sz w:val="24"/>
                <w:szCs w:val="24"/>
                <w:lang w:val="es-ES_tradnl"/>
              </w:rPr>
              <w:t xml:space="preserve"> de noviembre de 202</w:t>
            </w:r>
            <w:r w:rsidR="00693734" w:rsidRPr="00B33A00">
              <w:rPr>
                <w:sz w:val="24"/>
                <w:szCs w:val="24"/>
                <w:lang w:val="es-ES_tradnl"/>
              </w:rPr>
              <w:t>6</w:t>
            </w:r>
          </w:p>
        </w:tc>
      </w:tr>
    </w:tbl>
    <w:p w14:paraId="6FCA6C88" w14:textId="5531F9C2" w:rsidR="00F61E23" w:rsidRPr="00B33A00" w:rsidRDefault="00F61E23" w:rsidP="00F61E23">
      <w:pPr>
        <w:pStyle w:val="TableNoTitle"/>
        <w:rPr>
          <w:sz w:val="24"/>
          <w:szCs w:val="24"/>
          <w:lang w:val="es-ES_tradnl"/>
        </w:rPr>
      </w:pPr>
      <w:r w:rsidRPr="00B33A00">
        <w:rPr>
          <w:sz w:val="24"/>
          <w:szCs w:val="24"/>
          <w:lang w:val="es-ES_tradnl"/>
        </w:rPr>
        <w:t>Cuadro 2 – Lista de horarios y fechas límite para notificaciones</w:t>
      </w:r>
      <w:r w:rsidRPr="00B33A00">
        <w:rPr>
          <w:sz w:val="24"/>
          <w:szCs w:val="24"/>
          <w:lang w:val="es-ES_tradnl"/>
        </w:rPr>
        <w:br/>
        <w:t>Horarios del periodo estacional B2</w:t>
      </w:r>
      <w:r w:rsidR="00693734" w:rsidRPr="00B33A00">
        <w:rPr>
          <w:sz w:val="24"/>
          <w:szCs w:val="24"/>
          <w:lang w:val="es-ES_tradnl"/>
        </w:rPr>
        <w:t>6</w:t>
      </w:r>
      <w:r w:rsidRPr="00B33A00">
        <w:rPr>
          <w:sz w:val="24"/>
          <w:szCs w:val="24"/>
          <w:lang w:val="es-ES_tradnl"/>
        </w:rPr>
        <w:t xml:space="preserve"> (2</w:t>
      </w:r>
      <w:r w:rsidR="00693734" w:rsidRPr="00B33A00">
        <w:rPr>
          <w:sz w:val="24"/>
          <w:szCs w:val="24"/>
          <w:lang w:val="es-ES_tradnl"/>
        </w:rPr>
        <w:t>5</w:t>
      </w:r>
      <w:r w:rsidRPr="00B33A00">
        <w:rPr>
          <w:sz w:val="24"/>
          <w:szCs w:val="24"/>
          <w:lang w:val="es-ES_tradnl"/>
        </w:rPr>
        <w:t xml:space="preserve"> de octubre de 202</w:t>
      </w:r>
      <w:r w:rsidR="00693734" w:rsidRPr="00B33A00">
        <w:rPr>
          <w:sz w:val="24"/>
          <w:szCs w:val="24"/>
          <w:lang w:val="es-ES_tradnl"/>
        </w:rPr>
        <w:t>6</w:t>
      </w:r>
      <w:r w:rsidRPr="00B33A00">
        <w:rPr>
          <w:sz w:val="24"/>
          <w:szCs w:val="24"/>
          <w:lang w:val="es-ES_tradnl"/>
        </w:rPr>
        <w:t>–2</w:t>
      </w:r>
      <w:r w:rsidR="00693734" w:rsidRPr="00B33A00">
        <w:rPr>
          <w:sz w:val="24"/>
          <w:szCs w:val="24"/>
          <w:lang w:val="es-ES_tradnl"/>
        </w:rPr>
        <w:t>8</w:t>
      </w:r>
      <w:r w:rsidRPr="00B33A00">
        <w:rPr>
          <w:sz w:val="24"/>
          <w:szCs w:val="24"/>
          <w:lang w:val="es-ES_tradnl"/>
        </w:rPr>
        <w:t xml:space="preserve"> de marzo de 202</w:t>
      </w:r>
      <w:r w:rsidR="00693734" w:rsidRPr="00B33A00">
        <w:rPr>
          <w:sz w:val="24"/>
          <w:szCs w:val="24"/>
          <w:lang w:val="es-ES_tradnl"/>
        </w:rPr>
        <w:t>7</w:t>
      </w:r>
      <w:r w:rsidRPr="00B33A00">
        <w:rPr>
          <w:sz w:val="24"/>
          <w:szCs w:val="24"/>
          <w:lang w:val="es-ES_tradn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01"/>
        <w:gridCol w:w="2977"/>
        <w:gridCol w:w="3260"/>
        <w:gridCol w:w="2693"/>
      </w:tblGrid>
      <w:tr w:rsidR="00F61E23" w:rsidRPr="008141A0" w14:paraId="76A7809F" w14:textId="77777777" w:rsidTr="00515F59">
        <w:trPr>
          <w:trHeight w:val="446"/>
          <w:jc w:val="center"/>
        </w:trPr>
        <w:tc>
          <w:tcPr>
            <w:tcW w:w="701" w:type="dxa"/>
          </w:tcPr>
          <w:p w14:paraId="3397DAFA" w14:textId="77777777" w:rsidR="00F61E23" w:rsidRPr="00B33A00" w:rsidRDefault="00F61E23" w:rsidP="00733F0C">
            <w:pPr>
              <w:pStyle w:val="Tablehead"/>
              <w:rPr>
                <w:sz w:val="24"/>
                <w:szCs w:val="24"/>
                <w:lang w:val="es-ES_tradnl"/>
              </w:rPr>
            </w:pPr>
          </w:p>
        </w:tc>
        <w:tc>
          <w:tcPr>
            <w:tcW w:w="2977" w:type="dxa"/>
          </w:tcPr>
          <w:p w14:paraId="63B86AE8" w14:textId="77777777" w:rsidR="00F61E23" w:rsidRPr="00B33A00" w:rsidRDefault="00F61E23" w:rsidP="00733F0C">
            <w:pPr>
              <w:pStyle w:val="Tablehead"/>
              <w:rPr>
                <w:sz w:val="24"/>
                <w:szCs w:val="24"/>
                <w:lang w:val="es-ES_tradnl"/>
              </w:rPr>
            </w:pPr>
            <w:r w:rsidRPr="00B33A00">
              <w:rPr>
                <w:sz w:val="24"/>
                <w:szCs w:val="24"/>
                <w:lang w:val="es-ES_tradnl"/>
              </w:rPr>
              <w:t>Título del horario</w:t>
            </w:r>
          </w:p>
        </w:tc>
        <w:tc>
          <w:tcPr>
            <w:tcW w:w="3260" w:type="dxa"/>
          </w:tcPr>
          <w:p w14:paraId="34EA2810" w14:textId="77777777" w:rsidR="00F61E23" w:rsidRPr="00B33A00" w:rsidRDefault="00F61E23" w:rsidP="00733F0C">
            <w:pPr>
              <w:pStyle w:val="Tablehead"/>
              <w:rPr>
                <w:sz w:val="24"/>
                <w:szCs w:val="24"/>
                <w:lang w:val="es-ES_tradnl"/>
              </w:rPr>
            </w:pPr>
            <w:r w:rsidRPr="00B33A00">
              <w:rPr>
                <w:sz w:val="24"/>
                <w:szCs w:val="24"/>
                <w:lang w:val="es-ES_tradnl"/>
              </w:rPr>
              <w:t>Fecha de publicación</w:t>
            </w:r>
          </w:p>
        </w:tc>
        <w:tc>
          <w:tcPr>
            <w:tcW w:w="2693" w:type="dxa"/>
          </w:tcPr>
          <w:p w14:paraId="160FC93A" w14:textId="77777777" w:rsidR="00F61E23" w:rsidRPr="00B33A00" w:rsidRDefault="00F61E23" w:rsidP="00733F0C">
            <w:pPr>
              <w:pStyle w:val="Tablehead"/>
              <w:rPr>
                <w:sz w:val="24"/>
                <w:szCs w:val="24"/>
                <w:lang w:val="es-ES_tradnl"/>
              </w:rPr>
            </w:pPr>
            <w:r w:rsidRPr="00B33A00">
              <w:rPr>
                <w:sz w:val="24"/>
                <w:szCs w:val="24"/>
                <w:lang w:val="es-ES_tradnl"/>
              </w:rPr>
              <w:t>Fecha límite para la notificación</w:t>
            </w:r>
          </w:p>
        </w:tc>
      </w:tr>
      <w:tr w:rsidR="00F61E23" w:rsidRPr="00B33A00" w14:paraId="4FE5D519" w14:textId="77777777" w:rsidTr="00515F59">
        <w:trPr>
          <w:trHeight w:val="223"/>
          <w:jc w:val="center"/>
        </w:trPr>
        <w:tc>
          <w:tcPr>
            <w:tcW w:w="701" w:type="dxa"/>
          </w:tcPr>
          <w:p w14:paraId="12FE49B4" w14:textId="77777777" w:rsidR="00F61E23" w:rsidRPr="00B33A00" w:rsidRDefault="00F61E23" w:rsidP="00733F0C">
            <w:pPr>
              <w:pStyle w:val="Tabletext"/>
              <w:rPr>
                <w:sz w:val="24"/>
                <w:szCs w:val="24"/>
                <w:lang w:val="es-ES_tradnl"/>
              </w:rPr>
            </w:pPr>
            <w:r w:rsidRPr="00B33A00">
              <w:rPr>
                <w:sz w:val="24"/>
                <w:szCs w:val="24"/>
                <w:lang w:val="es-ES_tradnl"/>
              </w:rPr>
              <w:t>1.1</w:t>
            </w:r>
          </w:p>
        </w:tc>
        <w:tc>
          <w:tcPr>
            <w:tcW w:w="2977" w:type="dxa"/>
            <w:vAlign w:val="center"/>
          </w:tcPr>
          <w:p w14:paraId="405E2E45" w14:textId="6A106CBB" w:rsidR="00F61E23" w:rsidRPr="00B33A00" w:rsidRDefault="00F61E23" w:rsidP="00733F0C">
            <w:pPr>
              <w:pStyle w:val="Tabletext"/>
              <w:rPr>
                <w:sz w:val="24"/>
                <w:szCs w:val="24"/>
                <w:lang w:val="es-ES_tradnl"/>
              </w:rPr>
            </w:pPr>
            <w:r w:rsidRPr="00B33A00">
              <w:rPr>
                <w:sz w:val="24"/>
                <w:szCs w:val="24"/>
                <w:lang w:val="es-ES_tradnl"/>
              </w:rPr>
              <w:t>B2</w:t>
            </w:r>
            <w:r w:rsidR="00693734" w:rsidRPr="00B33A00">
              <w:rPr>
                <w:sz w:val="24"/>
                <w:szCs w:val="24"/>
                <w:lang w:val="es-ES_tradnl"/>
              </w:rPr>
              <w:t>6</w:t>
            </w:r>
            <w:r w:rsidRPr="00B33A00">
              <w:rPr>
                <w:sz w:val="24"/>
                <w:szCs w:val="24"/>
                <w:lang w:val="es-ES_tradnl"/>
              </w:rPr>
              <w:t xml:space="preserve"> Horario provisional 1</w:t>
            </w:r>
            <w:r w:rsidRPr="00B33A00">
              <w:rPr>
                <w:sz w:val="24"/>
                <w:szCs w:val="24"/>
                <w:lang w:val="es-ES_tradnl"/>
              </w:rPr>
              <w:br/>
              <w:t>(B2</w:t>
            </w:r>
            <w:r w:rsidR="00693734" w:rsidRPr="00B33A00">
              <w:rPr>
                <w:sz w:val="24"/>
                <w:szCs w:val="24"/>
                <w:lang w:val="es-ES_tradnl"/>
              </w:rPr>
              <w:t>6</w:t>
            </w:r>
            <w:r w:rsidRPr="00B33A00">
              <w:rPr>
                <w:sz w:val="24"/>
                <w:szCs w:val="24"/>
                <w:lang w:val="es-ES_tradnl"/>
              </w:rPr>
              <w:t>T1)</w:t>
            </w:r>
          </w:p>
        </w:tc>
        <w:tc>
          <w:tcPr>
            <w:tcW w:w="3260" w:type="dxa"/>
            <w:vAlign w:val="center"/>
          </w:tcPr>
          <w:p w14:paraId="7821E986" w14:textId="14BEABBD" w:rsidR="00F61E23" w:rsidRPr="00B33A00" w:rsidRDefault="00F61E23" w:rsidP="00733F0C">
            <w:pPr>
              <w:pStyle w:val="Tabletext"/>
              <w:rPr>
                <w:sz w:val="24"/>
                <w:szCs w:val="24"/>
                <w:lang w:val="es-ES_tradnl"/>
              </w:rPr>
            </w:pPr>
            <w:r w:rsidRPr="00B33A00">
              <w:rPr>
                <w:sz w:val="24"/>
                <w:szCs w:val="24"/>
                <w:lang w:val="es-ES_tradnl"/>
              </w:rPr>
              <w:t>Finales de agosto de 202</w:t>
            </w:r>
            <w:r w:rsidR="00693734" w:rsidRPr="00B33A00">
              <w:rPr>
                <w:sz w:val="24"/>
                <w:szCs w:val="24"/>
                <w:lang w:val="es-ES_tradnl"/>
              </w:rPr>
              <w:t>6</w:t>
            </w:r>
          </w:p>
        </w:tc>
        <w:tc>
          <w:tcPr>
            <w:tcW w:w="2693" w:type="dxa"/>
            <w:vAlign w:val="center"/>
          </w:tcPr>
          <w:p w14:paraId="12A49B48" w14:textId="0FFBD4DF" w:rsidR="00F61E23" w:rsidRPr="00B33A00" w:rsidRDefault="00F61E23" w:rsidP="00515F59">
            <w:pPr>
              <w:pStyle w:val="Tabletext"/>
              <w:rPr>
                <w:sz w:val="24"/>
                <w:szCs w:val="24"/>
                <w:lang w:val="es-ES_tradnl"/>
              </w:rPr>
            </w:pPr>
            <w:r w:rsidRPr="00B33A00">
              <w:rPr>
                <w:sz w:val="24"/>
                <w:szCs w:val="24"/>
                <w:lang w:val="es-ES_tradnl"/>
              </w:rPr>
              <w:t>1</w:t>
            </w:r>
            <w:r w:rsidR="00693734" w:rsidRPr="00B33A00">
              <w:rPr>
                <w:sz w:val="24"/>
                <w:szCs w:val="24"/>
                <w:lang w:val="es-ES_tradnl"/>
              </w:rPr>
              <w:t>6</w:t>
            </w:r>
            <w:r w:rsidRPr="00B33A00">
              <w:rPr>
                <w:sz w:val="24"/>
                <w:szCs w:val="24"/>
                <w:lang w:val="es-ES_tradnl"/>
              </w:rPr>
              <w:t xml:space="preserve"> de agosto de 202</w:t>
            </w:r>
            <w:r w:rsidR="00693734" w:rsidRPr="00B33A00">
              <w:rPr>
                <w:sz w:val="24"/>
                <w:szCs w:val="24"/>
                <w:lang w:val="es-ES_tradnl"/>
              </w:rPr>
              <w:t>6</w:t>
            </w:r>
          </w:p>
        </w:tc>
      </w:tr>
      <w:tr w:rsidR="00F61E23" w:rsidRPr="00B33A00" w14:paraId="44A0E769" w14:textId="77777777" w:rsidTr="00515F59">
        <w:trPr>
          <w:trHeight w:val="223"/>
          <w:jc w:val="center"/>
        </w:trPr>
        <w:tc>
          <w:tcPr>
            <w:tcW w:w="701" w:type="dxa"/>
          </w:tcPr>
          <w:p w14:paraId="3F2D05E9" w14:textId="77777777" w:rsidR="00F61E23" w:rsidRPr="00B33A00" w:rsidRDefault="00F61E23" w:rsidP="00733F0C">
            <w:pPr>
              <w:pStyle w:val="Tabletext"/>
              <w:rPr>
                <w:sz w:val="24"/>
                <w:szCs w:val="24"/>
                <w:lang w:val="es-ES_tradnl"/>
              </w:rPr>
            </w:pPr>
            <w:r w:rsidRPr="00B33A00">
              <w:rPr>
                <w:sz w:val="24"/>
                <w:szCs w:val="24"/>
                <w:lang w:val="es-ES_tradnl"/>
              </w:rPr>
              <w:t>1.2</w:t>
            </w:r>
          </w:p>
        </w:tc>
        <w:tc>
          <w:tcPr>
            <w:tcW w:w="2977" w:type="dxa"/>
            <w:vAlign w:val="center"/>
          </w:tcPr>
          <w:p w14:paraId="3D488FB7" w14:textId="5C18006B" w:rsidR="00F61E23" w:rsidRPr="00B33A00" w:rsidRDefault="00F61E23" w:rsidP="00733F0C">
            <w:pPr>
              <w:pStyle w:val="Tabletext"/>
              <w:rPr>
                <w:sz w:val="24"/>
                <w:szCs w:val="24"/>
                <w:lang w:val="es-ES_tradnl"/>
              </w:rPr>
            </w:pPr>
            <w:r w:rsidRPr="00B33A00">
              <w:rPr>
                <w:sz w:val="24"/>
                <w:szCs w:val="24"/>
                <w:lang w:val="es-ES_tradnl"/>
              </w:rPr>
              <w:t>B2</w:t>
            </w:r>
            <w:r w:rsidR="00693734" w:rsidRPr="00B33A00">
              <w:rPr>
                <w:sz w:val="24"/>
                <w:szCs w:val="24"/>
                <w:lang w:val="es-ES_tradnl"/>
              </w:rPr>
              <w:t>6</w:t>
            </w:r>
            <w:r w:rsidRPr="00B33A00">
              <w:rPr>
                <w:sz w:val="24"/>
                <w:szCs w:val="24"/>
                <w:lang w:val="es-ES_tradnl"/>
              </w:rPr>
              <w:t xml:space="preserve"> Horario provisional 2</w:t>
            </w:r>
            <w:r w:rsidRPr="00B33A00">
              <w:rPr>
                <w:sz w:val="24"/>
                <w:szCs w:val="24"/>
                <w:lang w:val="es-ES_tradnl"/>
              </w:rPr>
              <w:br/>
              <w:t>(B2</w:t>
            </w:r>
            <w:r w:rsidR="00693734" w:rsidRPr="00B33A00">
              <w:rPr>
                <w:sz w:val="24"/>
                <w:szCs w:val="24"/>
                <w:lang w:val="es-ES_tradnl"/>
              </w:rPr>
              <w:t>6</w:t>
            </w:r>
            <w:r w:rsidRPr="00B33A00">
              <w:rPr>
                <w:sz w:val="24"/>
                <w:szCs w:val="24"/>
                <w:lang w:val="es-ES_tradnl"/>
              </w:rPr>
              <w:t>T2)</w:t>
            </w:r>
          </w:p>
        </w:tc>
        <w:tc>
          <w:tcPr>
            <w:tcW w:w="3260" w:type="dxa"/>
            <w:vAlign w:val="center"/>
          </w:tcPr>
          <w:p w14:paraId="23BE31AE" w14:textId="3EF7837A" w:rsidR="00F61E23" w:rsidRPr="00B33A00" w:rsidRDefault="00F61E23" w:rsidP="00733F0C">
            <w:pPr>
              <w:pStyle w:val="Tabletext"/>
              <w:rPr>
                <w:sz w:val="24"/>
                <w:szCs w:val="24"/>
                <w:lang w:val="es-ES_tradnl"/>
              </w:rPr>
            </w:pPr>
            <w:r w:rsidRPr="00B33A00">
              <w:rPr>
                <w:sz w:val="24"/>
                <w:szCs w:val="24"/>
                <w:lang w:val="es-ES_tradnl"/>
              </w:rPr>
              <w:t>Finales de septiembre de 202</w:t>
            </w:r>
            <w:r w:rsidR="00693734" w:rsidRPr="00B33A00">
              <w:rPr>
                <w:sz w:val="24"/>
                <w:szCs w:val="24"/>
                <w:lang w:val="es-ES_tradnl"/>
              </w:rPr>
              <w:t>6</w:t>
            </w:r>
          </w:p>
        </w:tc>
        <w:tc>
          <w:tcPr>
            <w:tcW w:w="2693" w:type="dxa"/>
            <w:vAlign w:val="center"/>
          </w:tcPr>
          <w:p w14:paraId="52849DA7" w14:textId="47939A2B" w:rsidR="00F61E23" w:rsidRPr="00B33A00" w:rsidRDefault="00693734" w:rsidP="00733F0C">
            <w:pPr>
              <w:pStyle w:val="Tabletext"/>
              <w:rPr>
                <w:sz w:val="24"/>
                <w:szCs w:val="24"/>
                <w:lang w:val="es-ES_tradnl"/>
              </w:rPr>
            </w:pPr>
            <w:r w:rsidRPr="00B33A00">
              <w:rPr>
                <w:sz w:val="24"/>
                <w:szCs w:val="24"/>
                <w:lang w:val="es-ES_tradnl"/>
              </w:rPr>
              <w:t>20</w:t>
            </w:r>
            <w:r w:rsidR="00F61E23" w:rsidRPr="00B33A00">
              <w:rPr>
                <w:sz w:val="24"/>
                <w:szCs w:val="24"/>
                <w:lang w:val="es-ES_tradnl"/>
              </w:rPr>
              <w:t xml:space="preserve"> de septiembre de 202</w:t>
            </w:r>
            <w:r w:rsidRPr="00B33A00">
              <w:rPr>
                <w:sz w:val="24"/>
                <w:szCs w:val="24"/>
                <w:lang w:val="es-ES_tradnl"/>
              </w:rPr>
              <w:t>6</w:t>
            </w:r>
          </w:p>
        </w:tc>
      </w:tr>
      <w:tr w:rsidR="00F61E23" w:rsidRPr="00B33A00" w14:paraId="4D42B2DE" w14:textId="77777777" w:rsidTr="00515F59">
        <w:trPr>
          <w:trHeight w:val="223"/>
          <w:jc w:val="center"/>
        </w:trPr>
        <w:tc>
          <w:tcPr>
            <w:tcW w:w="701" w:type="dxa"/>
          </w:tcPr>
          <w:p w14:paraId="6BDA7584" w14:textId="77777777" w:rsidR="00F61E23" w:rsidRPr="00B33A00" w:rsidRDefault="00F61E23" w:rsidP="00733F0C">
            <w:pPr>
              <w:pStyle w:val="Tabletext"/>
              <w:rPr>
                <w:sz w:val="24"/>
                <w:szCs w:val="24"/>
                <w:lang w:val="es-ES_tradnl"/>
              </w:rPr>
            </w:pPr>
            <w:r w:rsidRPr="00B33A00">
              <w:rPr>
                <w:sz w:val="24"/>
                <w:szCs w:val="24"/>
                <w:lang w:val="es-ES_tradnl"/>
              </w:rPr>
              <w:t>1.3</w:t>
            </w:r>
          </w:p>
        </w:tc>
        <w:tc>
          <w:tcPr>
            <w:tcW w:w="2977" w:type="dxa"/>
            <w:vAlign w:val="center"/>
          </w:tcPr>
          <w:p w14:paraId="36DB4902" w14:textId="6481E0ED" w:rsidR="00F61E23" w:rsidRPr="00B33A00" w:rsidRDefault="00F61E23" w:rsidP="00733F0C">
            <w:pPr>
              <w:pStyle w:val="Tabletext"/>
              <w:rPr>
                <w:sz w:val="24"/>
                <w:szCs w:val="24"/>
                <w:lang w:val="es-ES_tradnl"/>
              </w:rPr>
            </w:pPr>
            <w:r w:rsidRPr="00B33A00">
              <w:rPr>
                <w:sz w:val="24"/>
                <w:szCs w:val="24"/>
                <w:lang w:val="es-ES_tradnl"/>
              </w:rPr>
              <w:t>B2</w:t>
            </w:r>
            <w:r w:rsidR="00693734" w:rsidRPr="00B33A00">
              <w:rPr>
                <w:sz w:val="24"/>
                <w:szCs w:val="24"/>
                <w:lang w:val="es-ES_tradnl"/>
              </w:rPr>
              <w:t>6</w:t>
            </w:r>
            <w:r w:rsidRPr="00B33A00">
              <w:rPr>
                <w:sz w:val="24"/>
                <w:szCs w:val="24"/>
                <w:lang w:val="es-ES_tradnl"/>
              </w:rPr>
              <w:t xml:space="preserve"> Horario 1</w:t>
            </w:r>
            <w:r w:rsidRPr="00B33A00">
              <w:rPr>
                <w:sz w:val="24"/>
                <w:szCs w:val="24"/>
                <w:lang w:val="es-ES_tradnl"/>
              </w:rPr>
              <w:br/>
              <w:t>(B2</w:t>
            </w:r>
            <w:r w:rsidR="00693734" w:rsidRPr="00B33A00">
              <w:rPr>
                <w:sz w:val="24"/>
                <w:szCs w:val="24"/>
                <w:lang w:val="es-ES_tradnl"/>
              </w:rPr>
              <w:t>6</w:t>
            </w:r>
            <w:r w:rsidRPr="00B33A00">
              <w:rPr>
                <w:sz w:val="24"/>
                <w:szCs w:val="24"/>
                <w:lang w:val="es-ES_tradnl"/>
              </w:rPr>
              <w:t>S1)</w:t>
            </w:r>
          </w:p>
        </w:tc>
        <w:tc>
          <w:tcPr>
            <w:tcW w:w="3260" w:type="dxa"/>
            <w:vAlign w:val="center"/>
          </w:tcPr>
          <w:p w14:paraId="158C958A" w14:textId="4C4C03AE" w:rsidR="00F61E23" w:rsidRPr="00B33A00" w:rsidRDefault="00F61E23" w:rsidP="00733F0C">
            <w:pPr>
              <w:pStyle w:val="Tabletext"/>
              <w:rPr>
                <w:sz w:val="24"/>
                <w:szCs w:val="24"/>
                <w:lang w:val="es-ES_tradnl"/>
              </w:rPr>
            </w:pPr>
            <w:r w:rsidRPr="00B33A00">
              <w:rPr>
                <w:sz w:val="24"/>
                <w:szCs w:val="24"/>
                <w:lang w:val="es-ES_tradnl"/>
              </w:rPr>
              <w:t>Finales de octubre de 202</w:t>
            </w:r>
            <w:r w:rsidR="00693734" w:rsidRPr="00B33A00">
              <w:rPr>
                <w:sz w:val="24"/>
                <w:szCs w:val="24"/>
                <w:lang w:val="es-ES_tradnl"/>
              </w:rPr>
              <w:t>6</w:t>
            </w:r>
          </w:p>
        </w:tc>
        <w:tc>
          <w:tcPr>
            <w:tcW w:w="2693" w:type="dxa"/>
            <w:vAlign w:val="center"/>
          </w:tcPr>
          <w:p w14:paraId="4D51915E" w14:textId="6B14B2C5" w:rsidR="00F61E23" w:rsidRPr="00B33A00" w:rsidRDefault="00F61E23" w:rsidP="00733F0C">
            <w:pPr>
              <w:pStyle w:val="Tabletext"/>
              <w:rPr>
                <w:sz w:val="24"/>
                <w:szCs w:val="24"/>
                <w:lang w:val="es-ES_tradnl"/>
              </w:rPr>
            </w:pPr>
            <w:r w:rsidRPr="00B33A00">
              <w:rPr>
                <w:sz w:val="24"/>
                <w:szCs w:val="24"/>
                <w:lang w:val="es-ES_tradnl"/>
              </w:rPr>
              <w:t>1</w:t>
            </w:r>
            <w:r w:rsidR="00693734" w:rsidRPr="00B33A00">
              <w:rPr>
                <w:sz w:val="24"/>
                <w:szCs w:val="24"/>
                <w:lang w:val="es-ES_tradnl"/>
              </w:rPr>
              <w:t>8</w:t>
            </w:r>
            <w:r w:rsidRPr="00B33A00">
              <w:rPr>
                <w:sz w:val="24"/>
                <w:szCs w:val="24"/>
                <w:lang w:val="es-ES_tradnl"/>
              </w:rPr>
              <w:t xml:space="preserve"> de octubre de 202</w:t>
            </w:r>
            <w:r w:rsidR="00693734" w:rsidRPr="00B33A00">
              <w:rPr>
                <w:sz w:val="24"/>
                <w:szCs w:val="24"/>
                <w:lang w:val="es-ES_tradnl"/>
              </w:rPr>
              <w:t>6</w:t>
            </w:r>
          </w:p>
        </w:tc>
      </w:tr>
      <w:tr w:rsidR="00F61E23" w:rsidRPr="00B33A00" w14:paraId="54EB67E8" w14:textId="77777777" w:rsidTr="00515F59">
        <w:trPr>
          <w:trHeight w:val="223"/>
          <w:jc w:val="center"/>
        </w:trPr>
        <w:tc>
          <w:tcPr>
            <w:tcW w:w="701" w:type="dxa"/>
          </w:tcPr>
          <w:p w14:paraId="12D4C1D2" w14:textId="77777777" w:rsidR="00F61E23" w:rsidRPr="00B33A00" w:rsidRDefault="00F61E23" w:rsidP="00733F0C">
            <w:pPr>
              <w:pStyle w:val="Tabletext"/>
              <w:rPr>
                <w:sz w:val="24"/>
                <w:szCs w:val="24"/>
                <w:lang w:val="es-ES_tradnl"/>
              </w:rPr>
            </w:pPr>
            <w:r w:rsidRPr="00B33A00">
              <w:rPr>
                <w:sz w:val="24"/>
                <w:szCs w:val="24"/>
                <w:lang w:val="es-ES_tradnl"/>
              </w:rPr>
              <w:t>1.4</w:t>
            </w:r>
          </w:p>
        </w:tc>
        <w:tc>
          <w:tcPr>
            <w:tcW w:w="2977" w:type="dxa"/>
            <w:vAlign w:val="center"/>
          </w:tcPr>
          <w:p w14:paraId="071C6099" w14:textId="290D269F" w:rsidR="00F61E23" w:rsidRPr="00B33A00" w:rsidRDefault="00F61E23" w:rsidP="00733F0C">
            <w:pPr>
              <w:pStyle w:val="Tabletext"/>
              <w:rPr>
                <w:sz w:val="24"/>
                <w:szCs w:val="24"/>
                <w:lang w:val="es-ES_tradnl"/>
              </w:rPr>
            </w:pPr>
            <w:r w:rsidRPr="00B33A00">
              <w:rPr>
                <w:sz w:val="24"/>
                <w:szCs w:val="24"/>
                <w:lang w:val="es-ES_tradnl"/>
              </w:rPr>
              <w:t>B2</w:t>
            </w:r>
            <w:r w:rsidR="00693734" w:rsidRPr="00B33A00">
              <w:rPr>
                <w:sz w:val="24"/>
                <w:szCs w:val="24"/>
                <w:lang w:val="es-ES_tradnl"/>
              </w:rPr>
              <w:t>6</w:t>
            </w:r>
            <w:r w:rsidRPr="00B33A00">
              <w:rPr>
                <w:sz w:val="24"/>
                <w:szCs w:val="24"/>
                <w:lang w:val="es-ES_tradnl"/>
              </w:rPr>
              <w:t xml:space="preserve"> Horario 2</w:t>
            </w:r>
            <w:r w:rsidRPr="00B33A00">
              <w:rPr>
                <w:sz w:val="24"/>
                <w:szCs w:val="24"/>
                <w:lang w:val="es-ES_tradnl"/>
              </w:rPr>
              <w:br/>
              <w:t>(B2</w:t>
            </w:r>
            <w:r w:rsidR="00693734" w:rsidRPr="00B33A00">
              <w:rPr>
                <w:sz w:val="24"/>
                <w:szCs w:val="24"/>
                <w:lang w:val="es-ES_tradnl"/>
              </w:rPr>
              <w:t>6</w:t>
            </w:r>
            <w:r w:rsidRPr="00B33A00">
              <w:rPr>
                <w:sz w:val="24"/>
                <w:szCs w:val="24"/>
                <w:lang w:val="es-ES_tradnl"/>
              </w:rPr>
              <w:t>S2)</w:t>
            </w:r>
          </w:p>
        </w:tc>
        <w:tc>
          <w:tcPr>
            <w:tcW w:w="3260" w:type="dxa"/>
            <w:vAlign w:val="center"/>
          </w:tcPr>
          <w:p w14:paraId="66B26FBF" w14:textId="57CA8E9A" w:rsidR="00F61E23" w:rsidRPr="00B33A00" w:rsidRDefault="00F61E23" w:rsidP="00733F0C">
            <w:pPr>
              <w:pStyle w:val="Tabletext"/>
              <w:rPr>
                <w:sz w:val="24"/>
                <w:szCs w:val="24"/>
                <w:lang w:val="es-ES_tradnl"/>
              </w:rPr>
            </w:pPr>
            <w:r w:rsidRPr="00B33A00">
              <w:rPr>
                <w:sz w:val="24"/>
                <w:szCs w:val="24"/>
                <w:lang w:val="es-ES_tradnl"/>
              </w:rPr>
              <w:t>Finales de diciembre de 202</w:t>
            </w:r>
            <w:r w:rsidR="00693734" w:rsidRPr="00B33A00">
              <w:rPr>
                <w:sz w:val="24"/>
                <w:szCs w:val="24"/>
                <w:lang w:val="es-ES_tradnl"/>
              </w:rPr>
              <w:t>6</w:t>
            </w:r>
          </w:p>
        </w:tc>
        <w:tc>
          <w:tcPr>
            <w:tcW w:w="2693" w:type="dxa"/>
            <w:vAlign w:val="center"/>
          </w:tcPr>
          <w:p w14:paraId="6675EBFE" w14:textId="0D08D49D" w:rsidR="00F61E23" w:rsidRPr="00B33A00" w:rsidRDefault="00693734" w:rsidP="00733F0C">
            <w:pPr>
              <w:pStyle w:val="Tabletext"/>
              <w:rPr>
                <w:sz w:val="24"/>
                <w:szCs w:val="24"/>
                <w:lang w:val="es-ES_tradnl"/>
              </w:rPr>
            </w:pPr>
            <w:r w:rsidRPr="00B33A00">
              <w:rPr>
                <w:sz w:val="24"/>
                <w:szCs w:val="24"/>
                <w:lang w:val="es-ES_tradnl"/>
              </w:rPr>
              <w:t>20</w:t>
            </w:r>
            <w:r w:rsidR="00F61E23" w:rsidRPr="00B33A00">
              <w:rPr>
                <w:sz w:val="24"/>
                <w:szCs w:val="24"/>
                <w:lang w:val="es-ES_tradnl"/>
              </w:rPr>
              <w:t xml:space="preserve"> de diciembre de 202</w:t>
            </w:r>
            <w:r w:rsidRPr="00B33A00">
              <w:rPr>
                <w:sz w:val="24"/>
                <w:szCs w:val="24"/>
                <w:lang w:val="es-ES_tradnl"/>
              </w:rPr>
              <w:t>6</w:t>
            </w:r>
          </w:p>
        </w:tc>
      </w:tr>
      <w:tr w:rsidR="00F61E23" w:rsidRPr="00B33A00" w14:paraId="0FC35B67" w14:textId="77777777" w:rsidTr="00515F59">
        <w:trPr>
          <w:trHeight w:val="223"/>
          <w:jc w:val="center"/>
        </w:trPr>
        <w:tc>
          <w:tcPr>
            <w:tcW w:w="701" w:type="dxa"/>
          </w:tcPr>
          <w:p w14:paraId="65FE1A0D" w14:textId="77777777" w:rsidR="00F61E23" w:rsidRPr="00B33A00" w:rsidRDefault="00F61E23" w:rsidP="00733F0C">
            <w:pPr>
              <w:pStyle w:val="Tabletext"/>
              <w:rPr>
                <w:sz w:val="24"/>
                <w:szCs w:val="24"/>
                <w:lang w:val="es-ES_tradnl"/>
              </w:rPr>
            </w:pPr>
            <w:r w:rsidRPr="00B33A00">
              <w:rPr>
                <w:sz w:val="24"/>
                <w:szCs w:val="24"/>
                <w:lang w:val="es-ES_tradnl"/>
              </w:rPr>
              <w:t>1.5</w:t>
            </w:r>
          </w:p>
        </w:tc>
        <w:tc>
          <w:tcPr>
            <w:tcW w:w="2977" w:type="dxa"/>
            <w:vAlign w:val="center"/>
          </w:tcPr>
          <w:p w14:paraId="603A5EB4" w14:textId="0D86C0AB" w:rsidR="00F61E23" w:rsidRPr="00B33A00" w:rsidRDefault="00F61E23" w:rsidP="00733F0C">
            <w:pPr>
              <w:pStyle w:val="Tabletext"/>
              <w:rPr>
                <w:sz w:val="24"/>
                <w:szCs w:val="24"/>
                <w:lang w:val="es-ES_tradnl"/>
              </w:rPr>
            </w:pPr>
            <w:r w:rsidRPr="00B33A00">
              <w:rPr>
                <w:sz w:val="24"/>
                <w:szCs w:val="24"/>
                <w:lang w:val="es-ES_tradnl"/>
              </w:rPr>
              <w:t>B2</w:t>
            </w:r>
            <w:r w:rsidR="00693734" w:rsidRPr="00B33A00">
              <w:rPr>
                <w:sz w:val="24"/>
                <w:szCs w:val="24"/>
                <w:lang w:val="es-ES_tradnl"/>
              </w:rPr>
              <w:t>6</w:t>
            </w:r>
            <w:r w:rsidRPr="00B33A00">
              <w:rPr>
                <w:sz w:val="24"/>
                <w:szCs w:val="24"/>
                <w:lang w:val="es-ES_tradnl"/>
              </w:rPr>
              <w:t xml:space="preserve"> Horario final </w:t>
            </w:r>
            <w:r w:rsidRPr="00B33A00">
              <w:rPr>
                <w:sz w:val="24"/>
                <w:szCs w:val="24"/>
                <w:lang w:val="es-ES_tradnl"/>
              </w:rPr>
              <w:br/>
              <w:t>(B2</w:t>
            </w:r>
            <w:r w:rsidR="00693734" w:rsidRPr="00B33A00">
              <w:rPr>
                <w:sz w:val="24"/>
                <w:szCs w:val="24"/>
                <w:lang w:val="es-ES_tradnl"/>
              </w:rPr>
              <w:t>6</w:t>
            </w:r>
            <w:r w:rsidRPr="00B33A00">
              <w:rPr>
                <w:sz w:val="24"/>
                <w:szCs w:val="24"/>
                <w:lang w:val="es-ES_tradnl"/>
              </w:rPr>
              <w:t>F)</w:t>
            </w:r>
          </w:p>
        </w:tc>
        <w:tc>
          <w:tcPr>
            <w:tcW w:w="3260" w:type="dxa"/>
            <w:vAlign w:val="center"/>
          </w:tcPr>
          <w:p w14:paraId="3A501481" w14:textId="51031661" w:rsidR="00F61E23" w:rsidRPr="00B33A00" w:rsidRDefault="00F61E23" w:rsidP="00733F0C">
            <w:pPr>
              <w:pStyle w:val="Tabletext"/>
              <w:rPr>
                <w:sz w:val="24"/>
                <w:szCs w:val="24"/>
                <w:lang w:val="es-ES_tradnl"/>
              </w:rPr>
            </w:pPr>
            <w:r w:rsidRPr="00B33A00">
              <w:rPr>
                <w:sz w:val="24"/>
                <w:szCs w:val="24"/>
                <w:lang w:val="es-ES_tradnl"/>
              </w:rPr>
              <w:t>Finales de abril de 202</w:t>
            </w:r>
            <w:r w:rsidR="00693734" w:rsidRPr="00B33A00">
              <w:rPr>
                <w:sz w:val="24"/>
                <w:szCs w:val="24"/>
                <w:lang w:val="es-ES_tradnl"/>
              </w:rPr>
              <w:t>7</w:t>
            </w:r>
          </w:p>
        </w:tc>
        <w:tc>
          <w:tcPr>
            <w:tcW w:w="2693" w:type="dxa"/>
            <w:vAlign w:val="center"/>
          </w:tcPr>
          <w:p w14:paraId="2D2F6F08" w14:textId="599EED4A" w:rsidR="00F61E23" w:rsidRPr="00B33A00" w:rsidRDefault="00F61E23" w:rsidP="00733F0C">
            <w:pPr>
              <w:pStyle w:val="Tabletext"/>
              <w:rPr>
                <w:sz w:val="24"/>
                <w:szCs w:val="24"/>
                <w:lang w:val="es-ES_tradnl"/>
              </w:rPr>
            </w:pPr>
            <w:r w:rsidRPr="00B33A00">
              <w:rPr>
                <w:sz w:val="24"/>
                <w:szCs w:val="24"/>
                <w:lang w:val="es-ES_tradnl"/>
              </w:rPr>
              <w:t>1</w:t>
            </w:r>
            <w:r w:rsidR="00693734" w:rsidRPr="00B33A00">
              <w:rPr>
                <w:sz w:val="24"/>
                <w:szCs w:val="24"/>
                <w:lang w:val="es-ES_tradnl"/>
              </w:rPr>
              <w:t>8</w:t>
            </w:r>
            <w:r w:rsidRPr="00B33A00">
              <w:rPr>
                <w:sz w:val="24"/>
                <w:szCs w:val="24"/>
                <w:lang w:val="es-ES_tradnl"/>
              </w:rPr>
              <w:t xml:space="preserve"> de abril de 202</w:t>
            </w:r>
            <w:r w:rsidR="00693734" w:rsidRPr="00B33A00">
              <w:rPr>
                <w:sz w:val="24"/>
                <w:szCs w:val="24"/>
                <w:lang w:val="es-ES_tradnl"/>
              </w:rPr>
              <w:t>7</w:t>
            </w:r>
          </w:p>
        </w:tc>
      </w:tr>
    </w:tbl>
    <w:p w14:paraId="6E0DFE0A" w14:textId="77777777" w:rsidR="00515F59" w:rsidRPr="00B33A00" w:rsidRDefault="00515F59">
      <w:pPr>
        <w:tabs>
          <w:tab w:val="clear" w:pos="794"/>
          <w:tab w:val="clear" w:pos="1191"/>
          <w:tab w:val="clear" w:pos="1588"/>
          <w:tab w:val="clear" w:pos="1985"/>
        </w:tabs>
        <w:overflowPunct/>
        <w:autoSpaceDE/>
        <w:autoSpaceDN/>
        <w:adjustRightInd/>
        <w:spacing w:before="0" w:line="240" w:lineRule="auto"/>
        <w:jc w:val="left"/>
        <w:textAlignment w:val="auto"/>
        <w:rPr>
          <w:rFonts w:eastAsia="SimSun"/>
          <w:lang w:val="es-ES_tradnl"/>
        </w:rPr>
      </w:pPr>
      <w:bookmarkStart w:id="6" w:name="_Hlk117515571"/>
      <w:r w:rsidRPr="00B33A00">
        <w:rPr>
          <w:rFonts w:eastAsia="SimSun"/>
          <w:lang w:val="es-ES_tradnl"/>
        </w:rPr>
        <w:br w:type="page"/>
      </w:r>
    </w:p>
    <w:p w14:paraId="66EE2691" w14:textId="312EB250" w:rsidR="00F61E23" w:rsidRPr="00B33A00" w:rsidRDefault="00F61E23" w:rsidP="00F61E23">
      <w:pPr>
        <w:pStyle w:val="AnnexNoTitle"/>
        <w:spacing w:after="360"/>
        <w:rPr>
          <w:szCs w:val="24"/>
          <w:lang w:val="es-ES_tradnl"/>
        </w:rPr>
      </w:pPr>
      <w:r w:rsidRPr="00B33A00">
        <w:rPr>
          <w:rFonts w:eastAsia="SimSun"/>
          <w:lang w:val="es-ES_tradnl"/>
        </w:rPr>
        <w:lastRenderedPageBreak/>
        <w:t>Anexo 2</w:t>
      </w:r>
      <w:r w:rsidRPr="00B33A00">
        <w:rPr>
          <w:rFonts w:eastAsia="SimSun"/>
          <w:lang w:val="es-ES_tradnl"/>
        </w:rPr>
        <w:br/>
      </w:r>
      <w:r w:rsidRPr="00B33A00">
        <w:rPr>
          <w:szCs w:val="24"/>
          <w:lang w:val="es-ES_tradnl"/>
        </w:rPr>
        <w:t xml:space="preserve">Frecuencias de IRDR para la radiodifusión de emergencia en bandas de ondas </w:t>
      </w:r>
      <w:proofErr w:type="spellStart"/>
      <w:r w:rsidRPr="00B33A00">
        <w:rPr>
          <w:szCs w:val="24"/>
          <w:lang w:val="es-ES_tradnl"/>
        </w:rPr>
        <w:t>decamétricas</w:t>
      </w:r>
      <w:proofErr w:type="spellEnd"/>
    </w:p>
    <w:tbl>
      <w:tblPr>
        <w:tblStyle w:val="TableGrid1"/>
        <w:tblW w:w="5041" w:type="dxa"/>
        <w:jc w:val="center"/>
        <w:tblLayout w:type="fixed"/>
        <w:tblLook w:val="04A0" w:firstRow="1" w:lastRow="0" w:firstColumn="1" w:lastColumn="0" w:noHBand="0" w:noVBand="1"/>
      </w:tblPr>
      <w:tblGrid>
        <w:gridCol w:w="2323"/>
        <w:gridCol w:w="2718"/>
      </w:tblGrid>
      <w:tr w:rsidR="00F61E23" w:rsidRPr="00B33A00" w14:paraId="6475CB88" w14:textId="77777777" w:rsidTr="00733F0C">
        <w:trPr>
          <w:jc w:val="center"/>
        </w:trPr>
        <w:tc>
          <w:tcPr>
            <w:tcW w:w="2323" w:type="dxa"/>
            <w:vAlign w:val="center"/>
          </w:tcPr>
          <w:p w14:paraId="1B32B442" w14:textId="77777777" w:rsidR="00F61E23" w:rsidRPr="00B33A00" w:rsidRDefault="00F61E23" w:rsidP="00733F0C">
            <w:pPr>
              <w:pStyle w:val="Tablehead"/>
              <w:rPr>
                <w:sz w:val="24"/>
                <w:szCs w:val="24"/>
                <w:lang w:val="es-ES_tradnl"/>
              </w:rPr>
            </w:pPr>
            <w:bookmarkStart w:id="7" w:name="_Hlk117515652"/>
            <w:r w:rsidRPr="00B33A00">
              <w:rPr>
                <w:sz w:val="24"/>
                <w:szCs w:val="24"/>
                <w:lang w:val="es-ES_tradnl"/>
              </w:rPr>
              <w:t>Banda (MHz)</w:t>
            </w:r>
          </w:p>
        </w:tc>
        <w:tc>
          <w:tcPr>
            <w:tcW w:w="2718" w:type="dxa"/>
            <w:vAlign w:val="center"/>
          </w:tcPr>
          <w:p w14:paraId="033A08F2" w14:textId="77777777" w:rsidR="00F61E23" w:rsidRPr="00B33A00" w:rsidRDefault="00F61E23" w:rsidP="00733F0C">
            <w:pPr>
              <w:pStyle w:val="Tablehead"/>
              <w:rPr>
                <w:sz w:val="24"/>
                <w:szCs w:val="24"/>
                <w:lang w:val="es-ES_tradnl"/>
              </w:rPr>
            </w:pPr>
            <w:r w:rsidRPr="00B33A00">
              <w:rPr>
                <w:sz w:val="24"/>
                <w:szCs w:val="24"/>
                <w:lang w:val="es-ES_tradnl"/>
              </w:rPr>
              <w:t>Frecuencia IRDR (kHz)</w:t>
            </w:r>
            <w:r w:rsidRPr="00B33A00">
              <w:rPr>
                <w:sz w:val="24"/>
                <w:szCs w:val="24"/>
                <w:vertAlign w:val="superscript"/>
                <w:lang w:val="es-ES_tradnl"/>
              </w:rPr>
              <w:footnoteReference w:id="1"/>
            </w:r>
          </w:p>
        </w:tc>
      </w:tr>
      <w:tr w:rsidR="00F61E23" w:rsidRPr="00B33A00" w14:paraId="4BE02B1E" w14:textId="77777777" w:rsidTr="00733F0C">
        <w:trPr>
          <w:jc w:val="center"/>
        </w:trPr>
        <w:tc>
          <w:tcPr>
            <w:tcW w:w="2323" w:type="dxa"/>
          </w:tcPr>
          <w:p w14:paraId="160E1347" w14:textId="77777777" w:rsidR="00F61E23" w:rsidRPr="00B33A00" w:rsidRDefault="00F61E23" w:rsidP="00733F0C">
            <w:pPr>
              <w:pStyle w:val="Tabletext"/>
              <w:jc w:val="center"/>
              <w:rPr>
                <w:sz w:val="24"/>
                <w:szCs w:val="24"/>
                <w:lang w:val="es-ES_tradnl"/>
              </w:rPr>
            </w:pPr>
            <w:r w:rsidRPr="00B33A00">
              <w:rPr>
                <w:sz w:val="24"/>
                <w:szCs w:val="24"/>
                <w:lang w:val="es-ES_tradnl"/>
              </w:rPr>
              <w:t>6</w:t>
            </w:r>
          </w:p>
        </w:tc>
        <w:tc>
          <w:tcPr>
            <w:tcW w:w="2718" w:type="dxa"/>
          </w:tcPr>
          <w:p w14:paraId="3506405E" w14:textId="77777777" w:rsidR="00F61E23" w:rsidRPr="00B33A00" w:rsidRDefault="00F61E23" w:rsidP="00733F0C">
            <w:pPr>
              <w:pStyle w:val="Tabletext"/>
              <w:jc w:val="center"/>
              <w:rPr>
                <w:sz w:val="24"/>
                <w:szCs w:val="24"/>
                <w:lang w:val="es-ES_tradnl"/>
              </w:rPr>
            </w:pPr>
            <w:r w:rsidRPr="00B33A00">
              <w:rPr>
                <w:sz w:val="24"/>
                <w:szCs w:val="24"/>
                <w:lang w:val="es-ES_tradnl"/>
              </w:rPr>
              <w:t>5 910</w:t>
            </w:r>
          </w:p>
        </w:tc>
      </w:tr>
      <w:tr w:rsidR="00F61E23" w:rsidRPr="00B33A00" w14:paraId="0A32765E" w14:textId="77777777" w:rsidTr="00733F0C">
        <w:trPr>
          <w:jc w:val="center"/>
        </w:trPr>
        <w:tc>
          <w:tcPr>
            <w:tcW w:w="2323" w:type="dxa"/>
          </w:tcPr>
          <w:p w14:paraId="71E2F6FC" w14:textId="77777777" w:rsidR="00F61E23" w:rsidRPr="00B33A00" w:rsidRDefault="00F61E23" w:rsidP="00733F0C">
            <w:pPr>
              <w:pStyle w:val="Tabletext"/>
              <w:jc w:val="center"/>
              <w:rPr>
                <w:sz w:val="24"/>
                <w:szCs w:val="24"/>
                <w:lang w:val="es-ES_tradnl"/>
              </w:rPr>
            </w:pPr>
            <w:r w:rsidRPr="00B33A00">
              <w:rPr>
                <w:sz w:val="24"/>
                <w:szCs w:val="24"/>
                <w:lang w:val="es-ES_tradnl"/>
              </w:rPr>
              <w:t>7</w:t>
            </w:r>
          </w:p>
        </w:tc>
        <w:tc>
          <w:tcPr>
            <w:tcW w:w="2718" w:type="dxa"/>
          </w:tcPr>
          <w:p w14:paraId="2B2A20A0" w14:textId="77777777" w:rsidR="00F61E23" w:rsidRPr="00B33A00" w:rsidRDefault="00F61E23" w:rsidP="00733F0C">
            <w:pPr>
              <w:pStyle w:val="Tabletext"/>
              <w:jc w:val="center"/>
              <w:rPr>
                <w:sz w:val="24"/>
                <w:szCs w:val="24"/>
                <w:lang w:val="es-ES_tradnl"/>
              </w:rPr>
            </w:pPr>
            <w:r w:rsidRPr="00B33A00">
              <w:rPr>
                <w:sz w:val="24"/>
                <w:szCs w:val="24"/>
                <w:lang w:val="es-ES_tradnl"/>
              </w:rPr>
              <w:t>7 400</w:t>
            </w:r>
          </w:p>
        </w:tc>
      </w:tr>
      <w:tr w:rsidR="00F61E23" w:rsidRPr="00B33A00" w14:paraId="05E17DEB" w14:textId="77777777" w:rsidTr="00733F0C">
        <w:trPr>
          <w:jc w:val="center"/>
        </w:trPr>
        <w:tc>
          <w:tcPr>
            <w:tcW w:w="2323" w:type="dxa"/>
          </w:tcPr>
          <w:p w14:paraId="4CF39843" w14:textId="77777777" w:rsidR="00F61E23" w:rsidRPr="00B33A00" w:rsidRDefault="00F61E23" w:rsidP="00733F0C">
            <w:pPr>
              <w:pStyle w:val="Tabletext"/>
              <w:jc w:val="center"/>
              <w:rPr>
                <w:sz w:val="24"/>
                <w:szCs w:val="24"/>
                <w:lang w:val="es-ES_tradnl"/>
              </w:rPr>
            </w:pPr>
            <w:r w:rsidRPr="00B33A00">
              <w:rPr>
                <w:sz w:val="24"/>
                <w:szCs w:val="24"/>
                <w:lang w:val="es-ES_tradnl"/>
              </w:rPr>
              <w:t>9</w:t>
            </w:r>
          </w:p>
        </w:tc>
        <w:tc>
          <w:tcPr>
            <w:tcW w:w="2718" w:type="dxa"/>
          </w:tcPr>
          <w:p w14:paraId="3825314F" w14:textId="77777777" w:rsidR="00F61E23" w:rsidRPr="00B33A00" w:rsidRDefault="00F61E23" w:rsidP="00733F0C">
            <w:pPr>
              <w:pStyle w:val="Tabletext"/>
              <w:jc w:val="center"/>
              <w:rPr>
                <w:sz w:val="24"/>
                <w:szCs w:val="24"/>
                <w:lang w:val="es-ES_tradnl"/>
              </w:rPr>
            </w:pPr>
            <w:r w:rsidRPr="00B33A00">
              <w:rPr>
                <w:sz w:val="24"/>
                <w:szCs w:val="24"/>
                <w:lang w:val="es-ES_tradnl"/>
              </w:rPr>
              <w:t>9 430</w:t>
            </w:r>
          </w:p>
        </w:tc>
      </w:tr>
      <w:tr w:rsidR="00F61E23" w:rsidRPr="00B33A00" w14:paraId="1EE41050" w14:textId="77777777" w:rsidTr="00733F0C">
        <w:trPr>
          <w:jc w:val="center"/>
        </w:trPr>
        <w:tc>
          <w:tcPr>
            <w:tcW w:w="2323" w:type="dxa"/>
          </w:tcPr>
          <w:p w14:paraId="36A84829" w14:textId="77777777" w:rsidR="00F61E23" w:rsidRPr="00B33A00" w:rsidRDefault="00F61E23" w:rsidP="00733F0C">
            <w:pPr>
              <w:pStyle w:val="Tabletext"/>
              <w:jc w:val="center"/>
              <w:rPr>
                <w:sz w:val="24"/>
                <w:szCs w:val="24"/>
                <w:lang w:val="es-ES_tradnl"/>
              </w:rPr>
            </w:pPr>
            <w:r w:rsidRPr="00B33A00">
              <w:rPr>
                <w:sz w:val="24"/>
                <w:szCs w:val="24"/>
                <w:lang w:val="es-ES_tradnl"/>
              </w:rPr>
              <w:t>11</w:t>
            </w:r>
          </w:p>
        </w:tc>
        <w:tc>
          <w:tcPr>
            <w:tcW w:w="2718" w:type="dxa"/>
          </w:tcPr>
          <w:p w14:paraId="70E511AD" w14:textId="77777777" w:rsidR="00F61E23" w:rsidRPr="00B33A00" w:rsidRDefault="00F61E23" w:rsidP="00733F0C">
            <w:pPr>
              <w:pStyle w:val="Tabletext"/>
              <w:jc w:val="center"/>
              <w:rPr>
                <w:sz w:val="24"/>
                <w:szCs w:val="24"/>
                <w:lang w:val="es-ES_tradnl"/>
              </w:rPr>
            </w:pPr>
            <w:r w:rsidRPr="00B33A00">
              <w:rPr>
                <w:sz w:val="24"/>
                <w:szCs w:val="24"/>
                <w:lang w:val="es-ES_tradnl"/>
              </w:rPr>
              <w:t>11 840</w:t>
            </w:r>
          </w:p>
        </w:tc>
      </w:tr>
      <w:tr w:rsidR="00F61E23" w:rsidRPr="00B33A00" w14:paraId="7B389562" w14:textId="77777777" w:rsidTr="00733F0C">
        <w:trPr>
          <w:jc w:val="center"/>
        </w:trPr>
        <w:tc>
          <w:tcPr>
            <w:tcW w:w="2323" w:type="dxa"/>
          </w:tcPr>
          <w:p w14:paraId="2E528748" w14:textId="77777777" w:rsidR="00F61E23" w:rsidRPr="00B33A00" w:rsidRDefault="00F61E23" w:rsidP="00733F0C">
            <w:pPr>
              <w:pStyle w:val="Tabletext"/>
              <w:jc w:val="center"/>
              <w:rPr>
                <w:sz w:val="24"/>
                <w:szCs w:val="24"/>
                <w:lang w:val="es-ES_tradnl"/>
              </w:rPr>
            </w:pPr>
            <w:r w:rsidRPr="00B33A00">
              <w:rPr>
                <w:sz w:val="24"/>
                <w:szCs w:val="24"/>
                <w:lang w:val="es-ES_tradnl"/>
              </w:rPr>
              <w:t>13</w:t>
            </w:r>
          </w:p>
        </w:tc>
        <w:tc>
          <w:tcPr>
            <w:tcW w:w="2718" w:type="dxa"/>
          </w:tcPr>
          <w:p w14:paraId="2F1CB42B" w14:textId="77777777" w:rsidR="00F61E23" w:rsidRPr="00B33A00" w:rsidRDefault="00F61E23" w:rsidP="00733F0C">
            <w:pPr>
              <w:pStyle w:val="Tabletext"/>
              <w:jc w:val="center"/>
              <w:rPr>
                <w:sz w:val="24"/>
                <w:szCs w:val="24"/>
                <w:lang w:val="es-ES_tradnl"/>
              </w:rPr>
            </w:pPr>
            <w:r w:rsidRPr="00B33A00">
              <w:rPr>
                <w:sz w:val="24"/>
                <w:szCs w:val="24"/>
                <w:lang w:val="es-ES_tradnl"/>
              </w:rPr>
              <w:t>13 620</w:t>
            </w:r>
          </w:p>
        </w:tc>
      </w:tr>
      <w:tr w:rsidR="00F61E23" w:rsidRPr="00B33A00" w14:paraId="31E79216" w14:textId="77777777" w:rsidTr="00733F0C">
        <w:trPr>
          <w:jc w:val="center"/>
        </w:trPr>
        <w:tc>
          <w:tcPr>
            <w:tcW w:w="2323" w:type="dxa"/>
          </w:tcPr>
          <w:p w14:paraId="44C7C08B" w14:textId="77777777" w:rsidR="00F61E23" w:rsidRPr="00B33A00" w:rsidRDefault="00F61E23" w:rsidP="00733F0C">
            <w:pPr>
              <w:pStyle w:val="Tabletext"/>
              <w:jc w:val="center"/>
              <w:rPr>
                <w:sz w:val="24"/>
                <w:szCs w:val="24"/>
                <w:lang w:val="es-ES_tradnl"/>
              </w:rPr>
            </w:pPr>
            <w:r w:rsidRPr="00B33A00">
              <w:rPr>
                <w:sz w:val="24"/>
                <w:szCs w:val="24"/>
                <w:lang w:val="es-ES_tradnl"/>
              </w:rPr>
              <w:t>15</w:t>
            </w:r>
          </w:p>
        </w:tc>
        <w:tc>
          <w:tcPr>
            <w:tcW w:w="2718" w:type="dxa"/>
          </w:tcPr>
          <w:p w14:paraId="3E327CB9" w14:textId="77777777" w:rsidR="00F61E23" w:rsidRPr="00B33A00" w:rsidRDefault="00F61E23" w:rsidP="00733F0C">
            <w:pPr>
              <w:pStyle w:val="Tabletext"/>
              <w:jc w:val="center"/>
              <w:rPr>
                <w:sz w:val="24"/>
                <w:szCs w:val="24"/>
                <w:lang w:val="es-ES_tradnl"/>
              </w:rPr>
            </w:pPr>
            <w:r w:rsidRPr="00B33A00">
              <w:rPr>
                <w:sz w:val="24"/>
                <w:szCs w:val="24"/>
                <w:lang w:val="es-ES_tradnl"/>
              </w:rPr>
              <w:t>15 650</w:t>
            </w:r>
          </w:p>
        </w:tc>
      </w:tr>
      <w:tr w:rsidR="00F61E23" w:rsidRPr="00B33A00" w14:paraId="304683C2" w14:textId="77777777" w:rsidTr="00733F0C">
        <w:trPr>
          <w:jc w:val="center"/>
        </w:trPr>
        <w:tc>
          <w:tcPr>
            <w:tcW w:w="2323" w:type="dxa"/>
          </w:tcPr>
          <w:p w14:paraId="1BDC1768" w14:textId="77777777" w:rsidR="00F61E23" w:rsidRPr="00B33A00" w:rsidRDefault="00F61E23" w:rsidP="00733F0C">
            <w:pPr>
              <w:pStyle w:val="Tabletext"/>
              <w:jc w:val="center"/>
              <w:rPr>
                <w:sz w:val="24"/>
                <w:szCs w:val="24"/>
                <w:lang w:val="es-ES_tradnl"/>
              </w:rPr>
            </w:pPr>
            <w:r w:rsidRPr="00B33A00">
              <w:rPr>
                <w:sz w:val="24"/>
                <w:szCs w:val="24"/>
                <w:lang w:val="es-ES_tradnl"/>
              </w:rPr>
              <w:t>17</w:t>
            </w:r>
          </w:p>
        </w:tc>
        <w:tc>
          <w:tcPr>
            <w:tcW w:w="2718" w:type="dxa"/>
          </w:tcPr>
          <w:p w14:paraId="657ABA36" w14:textId="77777777" w:rsidR="00F61E23" w:rsidRPr="00B33A00" w:rsidRDefault="00F61E23" w:rsidP="00733F0C">
            <w:pPr>
              <w:pStyle w:val="Tabletext"/>
              <w:jc w:val="center"/>
              <w:rPr>
                <w:sz w:val="24"/>
                <w:szCs w:val="24"/>
                <w:lang w:val="es-ES_tradnl"/>
              </w:rPr>
            </w:pPr>
            <w:r w:rsidRPr="00B33A00">
              <w:rPr>
                <w:sz w:val="24"/>
                <w:szCs w:val="24"/>
                <w:lang w:val="es-ES_tradnl"/>
              </w:rPr>
              <w:t>17 500</w:t>
            </w:r>
          </w:p>
        </w:tc>
      </w:tr>
      <w:tr w:rsidR="00F61E23" w:rsidRPr="00B33A00" w14:paraId="40E175B2" w14:textId="77777777" w:rsidTr="00733F0C">
        <w:trPr>
          <w:jc w:val="center"/>
        </w:trPr>
        <w:tc>
          <w:tcPr>
            <w:tcW w:w="2323" w:type="dxa"/>
          </w:tcPr>
          <w:p w14:paraId="1C3970A9" w14:textId="77777777" w:rsidR="00F61E23" w:rsidRPr="00B33A00" w:rsidRDefault="00F61E23" w:rsidP="00733F0C">
            <w:pPr>
              <w:pStyle w:val="Tabletext"/>
              <w:jc w:val="center"/>
              <w:rPr>
                <w:sz w:val="24"/>
                <w:szCs w:val="24"/>
                <w:lang w:val="es-ES_tradnl"/>
              </w:rPr>
            </w:pPr>
            <w:r w:rsidRPr="00B33A00">
              <w:rPr>
                <w:sz w:val="24"/>
                <w:szCs w:val="24"/>
                <w:lang w:val="es-ES_tradnl"/>
              </w:rPr>
              <w:t>19</w:t>
            </w:r>
          </w:p>
        </w:tc>
        <w:tc>
          <w:tcPr>
            <w:tcW w:w="2718" w:type="dxa"/>
          </w:tcPr>
          <w:p w14:paraId="62A3CC4C" w14:textId="77777777" w:rsidR="00F61E23" w:rsidRPr="00B33A00" w:rsidRDefault="00F61E23" w:rsidP="00733F0C">
            <w:pPr>
              <w:pStyle w:val="Tabletext"/>
              <w:jc w:val="center"/>
              <w:rPr>
                <w:sz w:val="24"/>
                <w:szCs w:val="24"/>
                <w:lang w:val="es-ES_tradnl"/>
              </w:rPr>
            </w:pPr>
            <w:r w:rsidRPr="00B33A00">
              <w:rPr>
                <w:sz w:val="24"/>
                <w:szCs w:val="24"/>
                <w:lang w:val="es-ES_tradnl"/>
              </w:rPr>
              <w:t>18 950</w:t>
            </w:r>
          </w:p>
        </w:tc>
      </w:tr>
      <w:tr w:rsidR="00F61E23" w:rsidRPr="00B33A00" w14:paraId="21A0EF4B" w14:textId="77777777" w:rsidTr="00733F0C">
        <w:trPr>
          <w:jc w:val="center"/>
        </w:trPr>
        <w:tc>
          <w:tcPr>
            <w:tcW w:w="2323" w:type="dxa"/>
          </w:tcPr>
          <w:p w14:paraId="246D11B2" w14:textId="77777777" w:rsidR="00F61E23" w:rsidRPr="00B33A00" w:rsidRDefault="00F61E23" w:rsidP="00733F0C">
            <w:pPr>
              <w:pStyle w:val="Tabletext"/>
              <w:jc w:val="center"/>
              <w:rPr>
                <w:sz w:val="24"/>
                <w:szCs w:val="24"/>
                <w:lang w:val="es-ES_tradnl"/>
              </w:rPr>
            </w:pPr>
            <w:r w:rsidRPr="00B33A00">
              <w:rPr>
                <w:sz w:val="24"/>
                <w:szCs w:val="24"/>
                <w:lang w:val="es-ES_tradnl"/>
              </w:rPr>
              <w:t>21</w:t>
            </w:r>
          </w:p>
        </w:tc>
        <w:tc>
          <w:tcPr>
            <w:tcW w:w="2718" w:type="dxa"/>
          </w:tcPr>
          <w:p w14:paraId="074C9FF3" w14:textId="77777777" w:rsidR="00F61E23" w:rsidRPr="00B33A00" w:rsidRDefault="00F61E23" w:rsidP="00733F0C">
            <w:pPr>
              <w:pStyle w:val="Tabletext"/>
              <w:jc w:val="center"/>
              <w:rPr>
                <w:sz w:val="24"/>
                <w:szCs w:val="24"/>
                <w:lang w:val="es-ES_tradnl"/>
              </w:rPr>
            </w:pPr>
            <w:r w:rsidRPr="00B33A00">
              <w:rPr>
                <w:sz w:val="24"/>
                <w:szCs w:val="24"/>
                <w:lang w:val="es-ES_tradnl"/>
              </w:rPr>
              <w:t>21 840</w:t>
            </w:r>
          </w:p>
        </w:tc>
      </w:tr>
      <w:tr w:rsidR="00F61E23" w:rsidRPr="00B33A00" w14:paraId="78D02EB4" w14:textId="77777777" w:rsidTr="00733F0C">
        <w:trPr>
          <w:jc w:val="center"/>
        </w:trPr>
        <w:tc>
          <w:tcPr>
            <w:tcW w:w="2323" w:type="dxa"/>
          </w:tcPr>
          <w:p w14:paraId="3608C4B2" w14:textId="77777777" w:rsidR="00F61E23" w:rsidRPr="00B33A00" w:rsidRDefault="00F61E23" w:rsidP="00733F0C">
            <w:pPr>
              <w:pStyle w:val="Tabletext"/>
              <w:jc w:val="center"/>
              <w:rPr>
                <w:sz w:val="24"/>
                <w:szCs w:val="24"/>
                <w:lang w:val="es-ES_tradnl"/>
              </w:rPr>
            </w:pPr>
            <w:r w:rsidRPr="00B33A00">
              <w:rPr>
                <w:sz w:val="24"/>
                <w:szCs w:val="24"/>
                <w:lang w:val="es-ES_tradnl"/>
              </w:rPr>
              <w:t>26</w:t>
            </w:r>
          </w:p>
        </w:tc>
        <w:tc>
          <w:tcPr>
            <w:tcW w:w="2718" w:type="dxa"/>
          </w:tcPr>
          <w:p w14:paraId="096EC034" w14:textId="77777777" w:rsidR="00F61E23" w:rsidRPr="00B33A00" w:rsidRDefault="00F61E23" w:rsidP="00733F0C">
            <w:pPr>
              <w:pStyle w:val="Tabletext"/>
              <w:jc w:val="center"/>
              <w:rPr>
                <w:sz w:val="24"/>
                <w:szCs w:val="24"/>
                <w:lang w:val="es-ES_tradnl"/>
              </w:rPr>
            </w:pPr>
            <w:r w:rsidRPr="00B33A00">
              <w:rPr>
                <w:sz w:val="24"/>
                <w:szCs w:val="24"/>
                <w:lang w:val="es-ES_tradnl"/>
              </w:rPr>
              <w:t>26 010</w:t>
            </w:r>
          </w:p>
        </w:tc>
      </w:tr>
      <w:bookmarkEnd w:id="6"/>
      <w:bookmarkEnd w:id="7"/>
    </w:tbl>
    <w:p w14:paraId="724DAE4E" w14:textId="77777777" w:rsidR="00515F59" w:rsidRPr="00B33A00" w:rsidRDefault="00515F59" w:rsidP="00411C49">
      <w:pPr>
        <w:pStyle w:val="Reasons"/>
        <w:rPr>
          <w:lang w:val="es-ES_tradnl"/>
        </w:rPr>
      </w:pPr>
    </w:p>
    <w:p w14:paraId="2924D408" w14:textId="77777777" w:rsidR="00515F59" w:rsidRPr="00B33A00" w:rsidRDefault="00515F59">
      <w:pPr>
        <w:jc w:val="center"/>
        <w:rPr>
          <w:lang w:val="es-ES_tradnl"/>
        </w:rPr>
      </w:pPr>
      <w:r w:rsidRPr="00B33A00">
        <w:rPr>
          <w:lang w:val="es-ES_tradnl"/>
        </w:rPr>
        <w:t>______________</w:t>
      </w:r>
    </w:p>
    <w:sectPr w:rsidR="00515F59" w:rsidRPr="00B33A00" w:rsidSect="00D316C8">
      <w:headerReference w:type="even" r:id="rId20"/>
      <w:headerReference w:type="default" r:id="rId21"/>
      <w:headerReference w:type="first" r:id="rId22"/>
      <w:footerReference w:type="first" r:id="rId23"/>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67D7" w14:textId="77777777" w:rsidR="00A862AF" w:rsidRDefault="00A862AF">
      <w:r>
        <w:separator/>
      </w:r>
    </w:p>
  </w:endnote>
  <w:endnote w:type="continuationSeparator" w:id="0">
    <w:p w14:paraId="1042CE98" w14:textId="77777777" w:rsidR="00A862AF" w:rsidRDefault="00A8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0DF4" w14:textId="10AE443F" w:rsidR="005370F0" w:rsidRPr="003B370E" w:rsidRDefault="00CF7B6D" w:rsidP="00132DD2">
    <w:pPr>
      <w:pStyle w:val="Pieddepage"/>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hyperlink r:id="rId1" w:history="1">
      <w:r w:rsidR="00B33A00">
        <w:rPr>
          <w:rStyle w:val="Lienhypertexte"/>
          <w:sz w:val="19"/>
          <w:szCs w:val="19"/>
          <w:lang w:val="es-ES"/>
        </w:rPr>
        <w:t>mailto:brmail@itu.int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r w:rsidR="00B33A00">
        <w:rPr>
          <w:rStyle w:val="Lienhypertexte"/>
          <w:sz w:val="19"/>
          <w:szCs w:val="19"/>
          <w:lang w:val="es-ES"/>
        </w:rPr>
        <w:t>http://www.itu.int/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A58B" w14:textId="77777777" w:rsidR="00A862AF" w:rsidRDefault="00A862AF">
      <w:r>
        <w:t>____________________</w:t>
      </w:r>
    </w:p>
  </w:footnote>
  <w:footnote w:type="continuationSeparator" w:id="0">
    <w:p w14:paraId="37078C9B" w14:textId="77777777" w:rsidR="00A862AF" w:rsidRDefault="00A862AF">
      <w:r>
        <w:continuationSeparator/>
      </w:r>
    </w:p>
  </w:footnote>
  <w:footnote w:id="1">
    <w:p w14:paraId="659CA8D9" w14:textId="77777777" w:rsidR="00F61E23" w:rsidRPr="00866C35" w:rsidRDefault="00F61E23" w:rsidP="00F61E23">
      <w:pPr>
        <w:pStyle w:val="Notedebasdepage"/>
        <w:rPr>
          <w:lang w:val="es-ES"/>
        </w:rPr>
      </w:pPr>
      <w:r w:rsidRPr="00202CBB">
        <w:rPr>
          <w:rStyle w:val="Appelnotedebasdep"/>
          <w:lang w:val="es-ES"/>
        </w:rPr>
        <w:footnoteRef/>
      </w:r>
      <w:r w:rsidRPr="00202CBB">
        <w:rPr>
          <w:lang w:val="es-ES"/>
        </w:rPr>
        <w:tab/>
        <w:t>El canal de frecuencias adyacente a estas frecuencias también debe estar libre (± 5 kHz).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953E" w14:textId="77777777" w:rsidR="00E915AF" w:rsidRPr="00D239B4" w:rsidRDefault="001B42C9" w:rsidP="00D316C8">
    <w:pPr>
      <w:pStyle w:val="En-tte"/>
      <w:jc w:val="center"/>
      <w:rPr>
        <w:sz w:val="18"/>
        <w:szCs w:val="16"/>
      </w:rPr>
    </w:pPr>
    <w:r w:rsidRPr="00D239B4">
      <w:rPr>
        <w:rStyle w:val="Numrodepage"/>
        <w:sz w:val="18"/>
        <w:szCs w:val="16"/>
      </w:rPr>
      <w:fldChar w:fldCharType="begin"/>
    </w:r>
    <w:r w:rsidR="00E915AF" w:rsidRPr="00D239B4">
      <w:rPr>
        <w:rStyle w:val="Numrodepage"/>
        <w:sz w:val="18"/>
        <w:szCs w:val="16"/>
      </w:rPr>
      <w:instrText xml:space="preserve"> PAGE </w:instrText>
    </w:r>
    <w:r w:rsidRPr="00D239B4">
      <w:rPr>
        <w:rStyle w:val="Numrodepage"/>
        <w:sz w:val="18"/>
        <w:szCs w:val="16"/>
      </w:rPr>
      <w:fldChar w:fldCharType="separate"/>
    </w:r>
    <w:r w:rsidR="00535FEF">
      <w:rPr>
        <w:rStyle w:val="Numrodepage"/>
        <w:noProof/>
        <w:sz w:val="18"/>
        <w:szCs w:val="16"/>
      </w:rPr>
      <w:t>2</w:t>
    </w:r>
    <w:r w:rsidRPr="00D239B4">
      <w:rPr>
        <w:rStyle w:val="Numrodepage"/>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9751" w14:textId="77777777" w:rsidR="00D316C8" w:rsidRPr="00D239B4" w:rsidRDefault="00D316C8" w:rsidP="00D316C8">
    <w:pPr>
      <w:pStyle w:val="En-tte"/>
      <w:jc w:val="center"/>
      <w:rPr>
        <w:sz w:val="18"/>
        <w:szCs w:val="16"/>
      </w:rPr>
    </w:pPr>
    <w:r w:rsidRPr="00D239B4">
      <w:rPr>
        <w:rStyle w:val="Numrodepage"/>
        <w:sz w:val="18"/>
        <w:szCs w:val="16"/>
      </w:rPr>
      <w:fldChar w:fldCharType="begin"/>
    </w:r>
    <w:r w:rsidRPr="00D239B4">
      <w:rPr>
        <w:rStyle w:val="Numrodepage"/>
        <w:sz w:val="18"/>
        <w:szCs w:val="16"/>
      </w:rPr>
      <w:instrText xml:space="preserve"> PAGE </w:instrText>
    </w:r>
    <w:r w:rsidRPr="00D239B4">
      <w:rPr>
        <w:rStyle w:val="Numrodepage"/>
        <w:sz w:val="18"/>
        <w:szCs w:val="16"/>
      </w:rPr>
      <w:fldChar w:fldCharType="separate"/>
    </w:r>
    <w:r>
      <w:rPr>
        <w:rStyle w:val="Numrodepage"/>
        <w:sz w:val="18"/>
        <w:szCs w:val="16"/>
      </w:rPr>
      <w:t>2</w:t>
    </w:r>
    <w:r w:rsidRPr="00D239B4">
      <w:rPr>
        <w:rStyle w:val="Numrodepage"/>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19A49676" w14:textId="77777777" w:rsidTr="002A3F03">
      <w:tc>
        <w:tcPr>
          <w:tcW w:w="9862" w:type="dxa"/>
          <w:tcMar>
            <w:left w:w="0" w:type="dxa"/>
          </w:tcMar>
        </w:tcPr>
        <w:p w14:paraId="64BBF4A0" w14:textId="77777777" w:rsidR="002A3F03" w:rsidRDefault="002A3F03" w:rsidP="002B7EE0">
          <w:pPr>
            <w:pStyle w:val="FirstFooter"/>
            <w:spacing w:line="240" w:lineRule="auto"/>
            <w:ind w:left="-397" w:right="-397"/>
            <w:jc w:val="center"/>
          </w:pPr>
          <w:r>
            <w:rPr>
              <w:noProof/>
              <w:lang w:val="en-GB" w:eastAsia="en-GB"/>
            </w:rPr>
            <w:drawing>
              <wp:inline distT="0" distB="0" distL="0" distR="0" wp14:anchorId="23ABEE3C" wp14:editId="15DF2960">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5A2CFBC4" w14:textId="77777777" w:rsidR="00E915AF" w:rsidRPr="001B3D4D" w:rsidRDefault="00E915AF" w:rsidP="001B3D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531169E9"/>
    <w:multiLevelType w:val="multilevel"/>
    <w:tmpl w:val="A32C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 w:numId="3" w16cid:durableId="4596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47346"/>
    <w:rsid w:val="0005167A"/>
    <w:rsid w:val="00054E5D"/>
    <w:rsid w:val="00066808"/>
    <w:rsid w:val="00070258"/>
    <w:rsid w:val="0007323C"/>
    <w:rsid w:val="00086D03"/>
    <w:rsid w:val="000A096A"/>
    <w:rsid w:val="000A375E"/>
    <w:rsid w:val="000A7051"/>
    <w:rsid w:val="000B0AF6"/>
    <w:rsid w:val="000B0E9B"/>
    <w:rsid w:val="000B2CAE"/>
    <w:rsid w:val="000C03C7"/>
    <w:rsid w:val="000C2AD0"/>
    <w:rsid w:val="000D3F3B"/>
    <w:rsid w:val="000D6EFD"/>
    <w:rsid w:val="000E3DEE"/>
    <w:rsid w:val="000E4BCD"/>
    <w:rsid w:val="00100B72"/>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A4AAA"/>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0BFE"/>
    <w:rsid w:val="00241526"/>
    <w:rsid w:val="002443A2"/>
    <w:rsid w:val="00257BE7"/>
    <w:rsid w:val="00266E74"/>
    <w:rsid w:val="00283C3B"/>
    <w:rsid w:val="002861E6"/>
    <w:rsid w:val="00287D18"/>
    <w:rsid w:val="002A2618"/>
    <w:rsid w:val="002A3F03"/>
    <w:rsid w:val="002A5DD7"/>
    <w:rsid w:val="002B0CAC"/>
    <w:rsid w:val="002B7EE0"/>
    <w:rsid w:val="002D5A15"/>
    <w:rsid w:val="002D5BDD"/>
    <w:rsid w:val="002E3D27"/>
    <w:rsid w:val="002F0890"/>
    <w:rsid w:val="002F11C2"/>
    <w:rsid w:val="002F2531"/>
    <w:rsid w:val="002F4967"/>
    <w:rsid w:val="00300F8A"/>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DA"/>
    <w:rsid w:val="003B370E"/>
    <w:rsid w:val="003B55EC"/>
    <w:rsid w:val="003C2EA7"/>
    <w:rsid w:val="003C4471"/>
    <w:rsid w:val="003C7D41"/>
    <w:rsid w:val="003D37AF"/>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494F"/>
    <w:rsid w:val="004D733B"/>
    <w:rsid w:val="004E0DC4"/>
    <w:rsid w:val="004E0FB5"/>
    <w:rsid w:val="004E43BB"/>
    <w:rsid w:val="004E460D"/>
    <w:rsid w:val="004F178E"/>
    <w:rsid w:val="004F4543"/>
    <w:rsid w:val="004F57BB"/>
    <w:rsid w:val="00505309"/>
    <w:rsid w:val="0050789B"/>
    <w:rsid w:val="00515F59"/>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93734"/>
    <w:rsid w:val="006A518B"/>
    <w:rsid w:val="006B0590"/>
    <w:rsid w:val="006B49DA"/>
    <w:rsid w:val="006C1C80"/>
    <w:rsid w:val="006C53F8"/>
    <w:rsid w:val="006C7CDE"/>
    <w:rsid w:val="007234B1"/>
    <w:rsid w:val="00723D08"/>
    <w:rsid w:val="00725FDA"/>
    <w:rsid w:val="00727816"/>
    <w:rsid w:val="00730B9A"/>
    <w:rsid w:val="00750CFA"/>
    <w:rsid w:val="007553DA"/>
    <w:rsid w:val="00766B39"/>
    <w:rsid w:val="00775DB8"/>
    <w:rsid w:val="00782354"/>
    <w:rsid w:val="007921A7"/>
    <w:rsid w:val="007B3DB1"/>
    <w:rsid w:val="007D183E"/>
    <w:rsid w:val="007D43D0"/>
    <w:rsid w:val="007E1833"/>
    <w:rsid w:val="007E3F13"/>
    <w:rsid w:val="007F751A"/>
    <w:rsid w:val="00800012"/>
    <w:rsid w:val="0080261F"/>
    <w:rsid w:val="00805A02"/>
    <w:rsid w:val="00806160"/>
    <w:rsid w:val="008141A0"/>
    <w:rsid w:val="008143A4"/>
    <w:rsid w:val="0081513E"/>
    <w:rsid w:val="0083718B"/>
    <w:rsid w:val="00854131"/>
    <w:rsid w:val="0085652D"/>
    <w:rsid w:val="0087694B"/>
    <w:rsid w:val="00880F4D"/>
    <w:rsid w:val="00892FE1"/>
    <w:rsid w:val="008B35A3"/>
    <w:rsid w:val="008B37E1"/>
    <w:rsid w:val="008B45F8"/>
    <w:rsid w:val="008C1E58"/>
    <w:rsid w:val="008C2E74"/>
    <w:rsid w:val="008D5409"/>
    <w:rsid w:val="008D6955"/>
    <w:rsid w:val="008E006D"/>
    <w:rsid w:val="008E3545"/>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A7634"/>
    <w:rsid w:val="009B3F43"/>
    <w:rsid w:val="009B5CFA"/>
    <w:rsid w:val="009B60F4"/>
    <w:rsid w:val="009C161F"/>
    <w:rsid w:val="009C56B4"/>
    <w:rsid w:val="009D51A2"/>
    <w:rsid w:val="009E04A8"/>
    <w:rsid w:val="009E4595"/>
    <w:rsid w:val="009E4AEC"/>
    <w:rsid w:val="009E5BD8"/>
    <w:rsid w:val="009E5BF6"/>
    <w:rsid w:val="009E681E"/>
    <w:rsid w:val="00A119E6"/>
    <w:rsid w:val="00A20FBC"/>
    <w:rsid w:val="00A31370"/>
    <w:rsid w:val="00A34D6F"/>
    <w:rsid w:val="00A41F91"/>
    <w:rsid w:val="00A63355"/>
    <w:rsid w:val="00A7596D"/>
    <w:rsid w:val="00A80EFE"/>
    <w:rsid w:val="00A862AF"/>
    <w:rsid w:val="00A963DF"/>
    <w:rsid w:val="00A96D3A"/>
    <w:rsid w:val="00AC0C22"/>
    <w:rsid w:val="00AC3896"/>
    <w:rsid w:val="00AD2CF2"/>
    <w:rsid w:val="00AE2D88"/>
    <w:rsid w:val="00AE6F6F"/>
    <w:rsid w:val="00AF3325"/>
    <w:rsid w:val="00AF34D9"/>
    <w:rsid w:val="00AF5B37"/>
    <w:rsid w:val="00AF70DA"/>
    <w:rsid w:val="00B019D3"/>
    <w:rsid w:val="00B33A00"/>
    <w:rsid w:val="00B34CF9"/>
    <w:rsid w:val="00B37559"/>
    <w:rsid w:val="00B4054B"/>
    <w:rsid w:val="00B579B0"/>
    <w:rsid w:val="00B57D11"/>
    <w:rsid w:val="00B649D7"/>
    <w:rsid w:val="00B7520B"/>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2F7"/>
    <w:rsid w:val="00D76586"/>
    <w:rsid w:val="00D82657"/>
    <w:rsid w:val="00D87E20"/>
    <w:rsid w:val="00D90285"/>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3F7D"/>
    <w:rsid w:val="00E64254"/>
    <w:rsid w:val="00E67928"/>
    <w:rsid w:val="00E70FB5"/>
    <w:rsid w:val="00E915AF"/>
    <w:rsid w:val="00E96415"/>
    <w:rsid w:val="00EA15B3"/>
    <w:rsid w:val="00EA2689"/>
    <w:rsid w:val="00EA5DFD"/>
    <w:rsid w:val="00EB2358"/>
    <w:rsid w:val="00EB3EB8"/>
    <w:rsid w:val="00EC00EF"/>
    <w:rsid w:val="00EC02FE"/>
    <w:rsid w:val="00EC4A96"/>
    <w:rsid w:val="00EE03A0"/>
    <w:rsid w:val="00F26A47"/>
    <w:rsid w:val="00F424BF"/>
    <w:rsid w:val="00F44FC3"/>
    <w:rsid w:val="00F46107"/>
    <w:rsid w:val="00F468C5"/>
    <w:rsid w:val="00F52F39"/>
    <w:rsid w:val="00F6184F"/>
    <w:rsid w:val="00F61E23"/>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6A5C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Titre1">
    <w:name w:val="heading 1"/>
    <w:basedOn w:val="Normal"/>
    <w:next w:val="Normal"/>
    <w:qFormat/>
    <w:rsid w:val="004326DB"/>
    <w:pPr>
      <w:keepNext/>
      <w:keepLines/>
      <w:spacing w:before="600" w:line="320" w:lineRule="exact"/>
      <w:ind w:left="794" w:hanging="794"/>
      <w:outlineLvl w:val="0"/>
    </w:pPr>
    <w:rPr>
      <w:b/>
    </w:rPr>
  </w:style>
  <w:style w:type="paragraph" w:styleId="Titre2">
    <w:name w:val="heading 2"/>
    <w:basedOn w:val="Titre1"/>
    <w:next w:val="Normal"/>
    <w:qFormat/>
    <w:rsid w:val="004326DB"/>
    <w:pPr>
      <w:spacing w:before="360"/>
      <w:outlineLvl w:val="1"/>
    </w:pPr>
  </w:style>
  <w:style w:type="paragraph" w:styleId="Titre3">
    <w:name w:val="heading 3"/>
    <w:basedOn w:val="Titre1"/>
    <w:next w:val="Normal"/>
    <w:qFormat/>
    <w:rsid w:val="004326DB"/>
    <w:pPr>
      <w:spacing w:before="240"/>
      <w:outlineLvl w:val="2"/>
    </w:pPr>
  </w:style>
  <w:style w:type="paragraph" w:styleId="Titre4">
    <w:name w:val="heading 4"/>
    <w:basedOn w:val="Titre3"/>
    <w:next w:val="Normal"/>
    <w:qFormat/>
    <w:rsid w:val="004326DB"/>
    <w:pPr>
      <w:tabs>
        <w:tab w:val="clear" w:pos="794"/>
        <w:tab w:val="left" w:pos="1021"/>
      </w:tabs>
      <w:ind w:left="1021" w:hanging="1021"/>
      <w:outlineLvl w:val="3"/>
    </w:pPr>
  </w:style>
  <w:style w:type="paragraph" w:styleId="Titre5">
    <w:name w:val="heading 5"/>
    <w:basedOn w:val="Titre4"/>
    <w:next w:val="Normal"/>
    <w:qFormat/>
    <w:rsid w:val="004326DB"/>
    <w:pPr>
      <w:outlineLvl w:val="4"/>
    </w:pPr>
  </w:style>
  <w:style w:type="paragraph" w:styleId="Titre6">
    <w:name w:val="heading 6"/>
    <w:basedOn w:val="Titre4"/>
    <w:next w:val="Normal"/>
    <w:qFormat/>
    <w:rsid w:val="004326DB"/>
    <w:pPr>
      <w:tabs>
        <w:tab w:val="clear" w:pos="1021"/>
        <w:tab w:val="clear" w:pos="1191"/>
      </w:tabs>
      <w:ind w:left="1588" w:hanging="1588"/>
      <w:outlineLvl w:val="5"/>
    </w:pPr>
  </w:style>
  <w:style w:type="paragraph" w:styleId="Titre7">
    <w:name w:val="heading 7"/>
    <w:basedOn w:val="Titre6"/>
    <w:next w:val="Normal"/>
    <w:qFormat/>
    <w:rsid w:val="004326DB"/>
    <w:pPr>
      <w:outlineLvl w:val="6"/>
    </w:pPr>
  </w:style>
  <w:style w:type="paragraph" w:styleId="Titre8">
    <w:name w:val="heading 8"/>
    <w:basedOn w:val="Titre6"/>
    <w:next w:val="Normal"/>
    <w:qFormat/>
    <w:rsid w:val="004326DB"/>
    <w:pPr>
      <w:outlineLvl w:val="7"/>
    </w:pPr>
  </w:style>
  <w:style w:type="paragraph" w:styleId="Titre9">
    <w:name w:val="heading 9"/>
    <w:basedOn w:val="Titre6"/>
    <w:next w:val="Normal"/>
    <w:qFormat/>
    <w:rsid w:val="004326D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4"/>
    <w:semiHidden/>
    <w:rsid w:val="004326DB"/>
  </w:style>
  <w:style w:type="paragraph" w:styleId="TM4">
    <w:name w:val="toc 4"/>
    <w:basedOn w:val="TM3"/>
    <w:semiHidden/>
    <w:rsid w:val="004326DB"/>
  </w:style>
  <w:style w:type="paragraph" w:styleId="TM3">
    <w:name w:val="toc 3"/>
    <w:basedOn w:val="TM2"/>
    <w:semiHidden/>
    <w:rsid w:val="004326DB"/>
  </w:style>
  <w:style w:type="paragraph" w:styleId="TM2">
    <w:name w:val="toc 2"/>
    <w:basedOn w:val="TM1"/>
    <w:semiHidden/>
    <w:rsid w:val="004326DB"/>
    <w:pPr>
      <w:spacing w:before="80"/>
      <w:ind w:left="1531" w:hanging="851"/>
    </w:pPr>
  </w:style>
  <w:style w:type="paragraph" w:styleId="TM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M7">
    <w:name w:val="toc 7"/>
    <w:basedOn w:val="TM4"/>
    <w:semiHidden/>
    <w:rsid w:val="004326DB"/>
  </w:style>
  <w:style w:type="paragraph" w:styleId="TM6">
    <w:name w:val="toc 6"/>
    <w:basedOn w:val="TM4"/>
    <w:semiHidden/>
    <w:rsid w:val="004326DB"/>
  </w:style>
  <w:style w:type="paragraph" w:styleId="TM5">
    <w:name w:val="toc 5"/>
    <w:basedOn w:val="TM4"/>
    <w:semiHidden/>
    <w:rsid w:val="004326DB"/>
  </w:style>
  <w:style w:type="paragraph" w:styleId="Pieddepage">
    <w:name w:val="footer"/>
    <w:basedOn w:val="Normal"/>
    <w:rsid w:val="004326DB"/>
    <w:pPr>
      <w:tabs>
        <w:tab w:val="clear" w:pos="794"/>
        <w:tab w:val="clear" w:pos="1191"/>
        <w:tab w:val="clear" w:pos="1588"/>
        <w:tab w:val="clear" w:pos="1985"/>
        <w:tab w:val="center" w:pos="4320"/>
        <w:tab w:val="right" w:pos="8640"/>
      </w:tabs>
    </w:pPr>
  </w:style>
  <w:style w:type="paragraph" w:styleId="En-tte">
    <w:name w:val="header"/>
    <w:basedOn w:val="Normal"/>
    <w:link w:val="En-tteCar"/>
    <w:rsid w:val="00235A29"/>
    <w:pPr>
      <w:tabs>
        <w:tab w:val="clear" w:pos="1191"/>
        <w:tab w:val="clear" w:pos="1588"/>
        <w:tab w:val="clear" w:pos="1985"/>
        <w:tab w:val="center" w:pos="4820"/>
        <w:tab w:val="center" w:pos="9639"/>
      </w:tabs>
      <w:spacing w:before="0"/>
      <w:jc w:val="left"/>
    </w:pPr>
  </w:style>
  <w:style w:type="character" w:styleId="Appelnotedebasdep">
    <w:name w:val="footnote reference"/>
    <w:basedOn w:val="Policepardfaut"/>
    <w:qFormat/>
    <w:rsid w:val="004326DB"/>
    <w:rPr>
      <w:position w:val="6"/>
      <w:sz w:val="18"/>
    </w:rPr>
  </w:style>
  <w:style w:type="paragraph" w:styleId="Notedebasdepage">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M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M9">
    <w:name w:val="toc 9"/>
    <w:basedOn w:val="TM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Numrodepage">
    <w:name w:val="page number"/>
    <w:basedOn w:val="Policepardfau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Titre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Lienhypertexte">
    <w:name w:val="Hyperlink"/>
    <w:aliases w:val="CEO_Hyperlink"/>
    <w:basedOn w:val="Policepardfaut"/>
    <w:rsid w:val="004326DB"/>
    <w:rPr>
      <w:color w:val="0000FF"/>
      <w:u w:val="single"/>
    </w:rPr>
  </w:style>
  <w:style w:type="character" w:styleId="Marquedecommentaire">
    <w:name w:val="annotation reference"/>
    <w:basedOn w:val="Policepardfaut"/>
    <w:semiHidden/>
    <w:rsid w:val="004326DB"/>
    <w:rPr>
      <w:sz w:val="16"/>
      <w:szCs w:val="16"/>
    </w:rPr>
  </w:style>
  <w:style w:type="paragraph" w:styleId="Commentaire">
    <w:name w:val="annotation text"/>
    <w:basedOn w:val="Normal"/>
    <w:semiHidden/>
    <w:rsid w:val="004326DB"/>
    <w:rPr>
      <w:sz w:val="20"/>
    </w:rPr>
  </w:style>
  <w:style w:type="character" w:customStyle="1" w:styleId="href">
    <w:name w:val="href"/>
    <w:basedOn w:val="Policepardfau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Textedebulles">
    <w:name w:val="Balloon Text"/>
    <w:basedOn w:val="Normal"/>
    <w:link w:val="TextedebullesCar"/>
    <w:rsid w:val="0080001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rsid w:val="00800012"/>
    <w:rPr>
      <w:rFonts w:ascii="Tahoma" w:hAnsi="Tahoma" w:cs="Tahoma"/>
      <w:sz w:val="16"/>
      <w:szCs w:val="16"/>
      <w:lang w:val="en-US" w:eastAsia="en-US"/>
    </w:rPr>
  </w:style>
  <w:style w:type="paragraph" w:styleId="Textebrut">
    <w:name w:val="Plain Text"/>
    <w:basedOn w:val="Normal"/>
    <w:link w:val="TextebrutC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TextebrutCar">
    <w:name w:val="Texte brut Car"/>
    <w:basedOn w:val="Policepardfaut"/>
    <w:link w:val="Textebru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lev">
    <w:name w:val="Strong"/>
    <w:basedOn w:val="Policepardfau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Grilledutableau">
    <w:name w:val="Table Grid"/>
    <w:basedOn w:val="Tableau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En-tteCar">
    <w:name w:val="En-tête Car"/>
    <w:basedOn w:val="Policepardfaut"/>
    <w:link w:val="En-tte"/>
    <w:rsid w:val="001B3D4D"/>
    <w:rPr>
      <w:sz w:val="24"/>
      <w:szCs w:val="22"/>
      <w:lang w:val="en-US" w:eastAsia="en-US"/>
    </w:rPr>
  </w:style>
  <w:style w:type="character" w:styleId="Mentionnonrsolue">
    <w:name w:val="Unresolved Mention"/>
    <w:basedOn w:val="Policepardfaut"/>
    <w:uiPriority w:val="99"/>
    <w:semiHidden/>
    <w:unhideWhenUsed/>
    <w:rsid w:val="00353E34"/>
    <w:rPr>
      <w:color w:val="605E5C"/>
      <w:shd w:val="clear" w:color="auto" w:fill="E1DFDD"/>
    </w:rPr>
  </w:style>
  <w:style w:type="table" w:customStyle="1" w:styleId="TableGrid1">
    <w:name w:val="Table Grid1"/>
    <w:basedOn w:val="TableauNormal"/>
    <w:next w:val="Grilledutableau"/>
    <w:rsid w:val="00F61E2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93734"/>
    <w:rPr>
      <w:sz w:val="24"/>
      <w:szCs w:val="22"/>
      <w:lang w:val="en-US" w:eastAsia="en-US"/>
    </w:rPr>
  </w:style>
  <w:style w:type="paragraph" w:customStyle="1" w:styleId="Reasons">
    <w:name w:val="Reasons"/>
    <w:basedOn w:val="Normal"/>
    <w:qFormat/>
    <w:rsid w:val="00515F5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Lienhypertextesuivivisit">
    <w:name w:val="FollowedHyperlink"/>
    <w:basedOn w:val="Policepardfaut"/>
    <w:semiHidden/>
    <w:unhideWhenUsed/>
    <w:rsid w:val="00EA5D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s/ITU-R/terrestrial/tpr/Pages/Submission.aspx" TargetMode="External"/><Relationship Id="rId13" Type="http://schemas.openxmlformats.org/officeDocument/2006/relationships/hyperlink" Target="http://www.asbu.net" TargetMode="External"/><Relationship Id="rId18" Type="http://schemas.openxmlformats.org/officeDocument/2006/relationships/hyperlink" Target="https://www.itu.int/en/ties-services/Pages/default.asp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u.int/en/ITU-R/terrestrial/broadcast/HFBC/Pages/default.aspx" TargetMode="External"/><Relationship Id="rId17" Type="http://schemas.openxmlformats.org/officeDocument/2006/relationships/hyperlink" Target="https://www.itu.int/md/R00-CR-CIR-0432/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ITU-R/eTerrestrial/eBroadcasting/eHFB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eTerrestrial/eBroadcasting/eHFB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w.hfcc.org/index.php" TargetMode="External"/><Relationship Id="rId23" Type="http://schemas.openxmlformats.org/officeDocument/2006/relationships/footer" Target="footer1.xml"/><Relationship Id="rId10" Type="http://schemas.openxmlformats.org/officeDocument/2006/relationships/hyperlink" Target="http://www.itu.int/md/R00-CR-CIR-0308/es" TargetMode="External"/><Relationship Id="rId19" Type="http://schemas.openxmlformats.org/officeDocument/2006/relationships/hyperlink" Target="mailto:BRMAIL@itu.int" TargetMode="External"/><Relationship Id="rId4" Type="http://schemas.openxmlformats.org/officeDocument/2006/relationships/settings" Target="settings.xml"/><Relationship Id="rId9" Type="http://schemas.openxmlformats.org/officeDocument/2006/relationships/hyperlink" Target="http://www.itu.int/md/R00-CR-CIR-0297/es" TargetMode="External"/><Relationship Id="rId14" Type="http://schemas.openxmlformats.org/officeDocument/2006/relationships/hyperlink" Target="http://www.abu.org.my"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1563</Words>
  <Characters>8910</Characters>
  <Application>Microsoft Office Word</Application>
  <DocSecurity>0</DocSecurity>
  <Lines>74</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PS_BR Circulars</vt:lpstr>
      <vt:lpstr>PS_BR Circulars</vt:lpstr>
    </vt:vector>
  </TitlesOfParts>
  <Company>ITU</Company>
  <LinksUpToDate>false</LinksUpToDate>
  <CharactersWithSpaces>10453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Spanish</dc:creator>
  <cp:lastModifiedBy>Nam-Roig, Sophie</cp:lastModifiedBy>
  <cp:revision>2</cp:revision>
  <cp:lastPrinted>2013-03-08T10:15:00Z</cp:lastPrinted>
  <dcterms:created xsi:type="dcterms:W3CDTF">2025-12-10T09:48:00Z</dcterms:created>
  <dcterms:modified xsi:type="dcterms:W3CDTF">2025-12-10T09:48:00Z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