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524"/>
        <w:gridCol w:w="4767"/>
      </w:tblGrid>
      <w:tr w:rsidR="006A3C02" w:rsidRPr="000F7BBE" w14:paraId="58025B14" w14:textId="77777777" w:rsidTr="006A3C02">
        <w:tc>
          <w:tcPr>
            <w:tcW w:w="2527" w:type="pct"/>
            <w:gridSpan w:val="2"/>
          </w:tcPr>
          <w:p w14:paraId="43099FB6" w14:textId="7CD120DB" w:rsidR="006A3C02" w:rsidRPr="000F7BBE" w:rsidRDefault="004A46DA" w:rsidP="00623695">
            <w:pPr>
              <w:tabs>
                <w:tab w:val="clear" w:pos="794"/>
              </w:tabs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7DE67E32" wp14:editId="107F2174">
                  <wp:simplePos x="0" y="0"/>
                  <wp:positionH relativeFrom="column">
                    <wp:posOffset>2202668</wp:posOffset>
                  </wp:positionH>
                  <wp:positionV relativeFrom="paragraph">
                    <wp:posOffset>0</wp:posOffset>
                  </wp:positionV>
                  <wp:extent cx="765175" cy="7651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3" w:type="pct"/>
          </w:tcPr>
          <w:p w14:paraId="3CA318FC" w14:textId="03141C68" w:rsidR="006A3C02" w:rsidRPr="000F7BBE" w:rsidRDefault="006A3C02" w:rsidP="006A3C02">
            <w:pPr>
              <w:jc w:val="right"/>
              <w:rPr>
                <w:b/>
                <w:bCs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35926500" wp14:editId="4C3972B7">
                  <wp:extent cx="1221105" cy="7302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4D0" w:rsidRPr="000F7BBE" w14:paraId="765E3821" w14:textId="77777777" w:rsidTr="005324D0">
        <w:trPr>
          <w:trHeight w:val="239"/>
        </w:trPr>
        <w:tc>
          <w:tcPr>
            <w:tcW w:w="5000" w:type="pct"/>
            <w:gridSpan w:val="3"/>
          </w:tcPr>
          <w:p w14:paraId="465CEF89" w14:textId="77777777" w:rsidR="005324D0" w:rsidRDefault="005324D0" w:rsidP="006A3C02">
            <w:pPr>
              <w:rPr>
                <w:noProof/>
              </w:rPr>
            </w:pPr>
          </w:p>
        </w:tc>
      </w:tr>
      <w:tr w:rsidR="004A46DA" w:rsidRPr="000F7BBE" w14:paraId="5B1AFDC6" w14:textId="77777777" w:rsidTr="006A3C02">
        <w:trPr>
          <w:trHeight w:val="239"/>
        </w:trPr>
        <w:tc>
          <w:tcPr>
            <w:tcW w:w="2527" w:type="pct"/>
            <w:gridSpan w:val="2"/>
          </w:tcPr>
          <w:p w14:paraId="6BBBF8A1" w14:textId="7A5F7559" w:rsidR="004A46DA" w:rsidRPr="000F7BBE" w:rsidRDefault="004A46DA" w:rsidP="006A3C02">
            <w:pPr>
              <w:rPr>
                <w:rtl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</w:tc>
        <w:tc>
          <w:tcPr>
            <w:tcW w:w="2473" w:type="pct"/>
          </w:tcPr>
          <w:p w14:paraId="253E1E3E" w14:textId="77777777" w:rsidR="004A46DA" w:rsidRDefault="004A46DA" w:rsidP="006A3C02">
            <w:pPr>
              <w:rPr>
                <w:noProof/>
              </w:rPr>
            </w:pPr>
          </w:p>
        </w:tc>
      </w:tr>
      <w:tr w:rsidR="000F7BBE" w:rsidRPr="000F7BBE" w14:paraId="0839A971" w14:textId="77777777" w:rsidTr="006A3C02">
        <w:tc>
          <w:tcPr>
            <w:tcW w:w="2527" w:type="pct"/>
            <w:gridSpan w:val="2"/>
          </w:tcPr>
          <w:p w14:paraId="09781E4C" w14:textId="7BB02FBB" w:rsidR="000F7BBE" w:rsidRPr="006A3C02" w:rsidRDefault="000F7BBE" w:rsidP="004A46DA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6A3C02">
              <w:rPr>
                <w:rFonts w:hint="cs"/>
                <w:position w:val="2"/>
                <w:rtl/>
                <w:lang w:bidi="ar-AE"/>
              </w:rPr>
              <w:t>الرسالة المعممة</w:t>
            </w:r>
            <w:r w:rsidR="004A46DA">
              <w:rPr>
                <w:position w:val="2"/>
                <w:rtl/>
                <w:lang w:bidi="ar-AE"/>
              </w:rPr>
              <w:br/>
            </w:r>
            <w:r w:rsidR="00FC09E8" w:rsidRPr="006A3C02">
              <w:rPr>
                <w:b/>
                <w:bCs/>
                <w:position w:val="2"/>
                <w:lang w:val="en-GB" w:bidi="ar-EG"/>
              </w:rPr>
              <w:t>CR/</w:t>
            </w:r>
            <w:r w:rsidR="006A3C02" w:rsidRPr="006A3C02">
              <w:rPr>
                <w:b/>
                <w:bCs/>
                <w:position w:val="2"/>
                <w:lang w:val="en-GB" w:bidi="ar-EG"/>
              </w:rPr>
              <w:t>524</w:t>
            </w:r>
          </w:p>
        </w:tc>
        <w:tc>
          <w:tcPr>
            <w:tcW w:w="2473" w:type="pct"/>
          </w:tcPr>
          <w:p w14:paraId="602F0E04" w14:textId="5380003D" w:rsidR="000F7BBE" w:rsidRPr="006A3C02" w:rsidRDefault="000B546B" w:rsidP="006A3C02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position w:val="2"/>
                <w:lang w:val="fr-FR" w:bidi="ar-EG"/>
              </w:rPr>
              <w:t>10</w:t>
            </w:r>
            <w:r w:rsidR="006A3C02" w:rsidRPr="006A3C02">
              <w:rPr>
                <w:rFonts w:hint="cs"/>
                <w:position w:val="2"/>
                <w:rtl/>
                <w:lang w:val="fr-FR" w:bidi="ar-EG"/>
              </w:rPr>
              <w:t xml:space="preserve"> </w:t>
            </w:r>
            <w:r w:rsidR="006A3C02" w:rsidRPr="006A3C02">
              <w:rPr>
                <w:rFonts w:hint="cs"/>
                <w:position w:val="2"/>
                <w:rtl/>
                <w:lang w:bidi="ar-EG"/>
              </w:rPr>
              <w:t>ديسمبر</w:t>
            </w:r>
            <w:r w:rsidR="000F7BBE" w:rsidRPr="006A3C02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014A33" w:rsidRPr="006A3C02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77522ADA" w14:textId="77777777" w:rsidTr="00153E23">
        <w:tc>
          <w:tcPr>
            <w:tcW w:w="5000" w:type="pct"/>
            <w:gridSpan w:val="3"/>
          </w:tcPr>
          <w:p w14:paraId="2725FC70" w14:textId="77777777" w:rsidR="000F7BBE" w:rsidRPr="006A3C02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FF37B4D" w14:textId="77777777" w:rsidTr="00153E23">
        <w:tc>
          <w:tcPr>
            <w:tcW w:w="5000" w:type="pct"/>
            <w:gridSpan w:val="3"/>
          </w:tcPr>
          <w:p w14:paraId="2642E90E" w14:textId="77777777" w:rsidR="000F7BBE" w:rsidRPr="006A3C02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101CCBA" w14:textId="77777777" w:rsidTr="00153E23">
        <w:tc>
          <w:tcPr>
            <w:tcW w:w="5000" w:type="pct"/>
            <w:gridSpan w:val="3"/>
          </w:tcPr>
          <w:p w14:paraId="6ACE222B" w14:textId="5E729312" w:rsidR="000F7BBE" w:rsidRPr="006A3C02" w:rsidRDefault="006A3C02" w:rsidP="006A3C02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6A3C02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Pr="006A3C02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</w:p>
        </w:tc>
      </w:tr>
      <w:tr w:rsidR="000F7BBE" w:rsidRPr="000F7BBE" w14:paraId="5075331A" w14:textId="77777777" w:rsidTr="00153E23">
        <w:tc>
          <w:tcPr>
            <w:tcW w:w="5000" w:type="pct"/>
            <w:gridSpan w:val="3"/>
          </w:tcPr>
          <w:p w14:paraId="3D17ADD9" w14:textId="77777777" w:rsidR="000F7BBE" w:rsidRPr="006A3C02" w:rsidRDefault="000F7BBE" w:rsidP="004111FB">
            <w:pPr>
              <w:spacing w:before="0" w:line="26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2C3BCFCE" w14:textId="77777777" w:rsidTr="00153E23">
        <w:tc>
          <w:tcPr>
            <w:tcW w:w="5000" w:type="pct"/>
            <w:gridSpan w:val="3"/>
          </w:tcPr>
          <w:p w14:paraId="3B364682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E51562" w14:paraId="276D9567" w14:textId="77777777" w:rsidTr="00153E23">
        <w:trPr>
          <w:trHeight w:val="452"/>
        </w:trPr>
        <w:tc>
          <w:tcPr>
            <w:tcW w:w="699" w:type="pct"/>
          </w:tcPr>
          <w:p w14:paraId="0D9FDEDE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</w:tcPr>
          <w:p w14:paraId="493593A2" w14:textId="4538DDE5" w:rsidR="000F7BBE" w:rsidRPr="00E51562" w:rsidRDefault="00EC6316" w:rsidP="00EC6316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 w:rsidRPr="00EC6316">
              <w:rPr>
                <w:b/>
                <w:bCs/>
                <w:position w:val="2"/>
                <w:rtl/>
              </w:rPr>
              <w:t>القواعد الإجرائية التي أقرتها لجنة لوائح الراديو</w:t>
            </w:r>
          </w:p>
        </w:tc>
      </w:tr>
      <w:tr w:rsidR="00FC09E8" w:rsidRPr="00E51562" w14:paraId="2BC37F2A" w14:textId="77777777" w:rsidTr="00153E23">
        <w:trPr>
          <w:trHeight w:val="452"/>
        </w:trPr>
        <w:tc>
          <w:tcPr>
            <w:tcW w:w="699" w:type="pct"/>
          </w:tcPr>
          <w:p w14:paraId="32096B4F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</w:tcPr>
          <w:p w14:paraId="2E6675D7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5BDC9B12" w14:textId="2C9A39BB" w:rsidR="00514BFE" w:rsidRPr="00514BFE" w:rsidRDefault="00514BFE" w:rsidP="00D924D6">
      <w:pPr>
        <w:spacing w:before="240"/>
        <w:rPr>
          <w:rtl/>
        </w:rPr>
      </w:pPr>
      <w:r w:rsidRPr="00514BFE">
        <w:rPr>
          <w:rtl/>
        </w:rPr>
        <w:t xml:space="preserve">عقب المؤتمر العالمي للاتصالات الراديوية لعام </w:t>
      </w:r>
      <w:r w:rsidR="00F73957">
        <w:rPr>
          <w:rFonts w:hint="cs"/>
          <w:rtl/>
        </w:rPr>
        <w:t>2023</w:t>
      </w:r>
      <w:r w:rsidRPr="00514BFE">
        <w:rPr>
          <w:rtl/>
        </w:rPr>
        <w:t xml:space="preserve">، نُشرت طبعة </w:t>
      </w:r>
      <w:r w:rsidR="00F73957">
        <w:rPr>
          <w:rFonts w:hint="cs"/>
          <w:rtl/>
        </w:rPr>
        <w:t>2025</w:t>
      </w:r>
      <w:r w:rsidRPr="00514BFE">
        <w:rPr>
          <w:rtl/>
        </w:rPr>
        <w:t xml:space="preserve"> من القواعد الإجرائية. وتتضمن الطبعة الجديدة جميع التعديلات شاملةً القواعد الإجرائية التي تمت الموافقة عليها والمدرجة في ملحقات الرسالة المعممة</w:t>
      </w:r>
      <w:hyperlink r:id="rId10" w:history="1">
        <w:r w:rsidR="00F73957" w:rsidRPr="00E51562">
          <w:rPr>
            <w:rStyle w:val="Hyperlink"/>
            <w:sz w:val="24"/>
            <w:szCs w:val="24"/>
            <w:lang w:val="fr-FR"/>
          </w:rPr>
          <w:t>CR/520</w:t>
        </w:r>
      </w:hyperlink>
      <w:r w:rsidR="00F73957" w:rsidRPr="00E51562">
        <w:rPr>
          <w:rStyle w:val="Hyperlink"/>
          <w:sz w:val="24"/>
          <w:szCs w:val="24"/>
          <w:lang w:val="fr-FR"/>
        </w:rPr>
        <w:t xml:space="preserve"> </w:t>
      </w:r>
      <w:r w:rsidRPr="00514BFE">
        <w:rPr>
          <w:rtl/>
        </w:rPr>
        <w:t xml:space="preserve"> المؤرخة</w:t>
      </w:r>
      <w:r w:rsidRPr="00514BFE">
        <w:rPr>
          <w:rFonts w:hint="cs"/>
          <w:rtl/>
        </w:rPr>
        <w:t> </w:t>
      </w:r>
      <w:r w:rsidRPr="00514BFE">
        <w:rPr>
          <w:rtl/>
        </w:rPr>
        <w:t>1</w:t>
      </w:r>
      <w:r w:rsidRPr="00514BFE">
        <w:rPr>
          <w:rFonts w:hint="cs"/>
          <w:rtl/>
        </w:rPr>
        <w:t> </w:t>
      </w:r>
      <w:r w:rsidR="00F73957">
        <w:rPr>
          <w:rFonts w:hint="cs"/>
          <w:rtl/>
        </w:rPr>
        <w:t>أغسطس 2025</w:t>
      </w:r>
      <w:r w:rsidRPr="00514BFE">
        <w:rPr>
          <w:rtl/>
        </w:rPr>
        <w:t>.</w:t>
      </w:r>
    </w:p>
    <w:p w14:paraId="05F241BB" w14:textId="5F75630C" w:rsidR="00F16820" w:rsidRDefault="00514BFE" w:rsidP="00514BFE">
      <w:pPr>
        <w:rPr>
          <w:spacing w:val="-4"/>
          <w:rtl/>
        </w:rPr>
      </w:pPr>
      <w:r w:rsidRPr="00514BFE">
        <w:rPr>
          <w:spacing w:val="-4"/>
          <w:rtl/>
        </w:rPr>
        <w:t xml:space="preserve">وعملاً بأحكام الرقمين </w:t>
      </w:r>
      <w:r w:rsidRPr="00514BFE">
        <w:rPr>
          <w:b/>
          <w:bCs/>
          <w:spacing w:val="-4"/>
          <w:rtl/>
        </w:rPr>
        <w:t xml:space="preserve">12.13 </w:t>
      </w:r>
      <w:r w:rsidRPr="00514BFE">
        <w:rPr>
          <w:spacing w:val="-4"/>
          <w:rtl/>
        </w:rPr>
        <w:t>و</w:t>
      </w:r>
      <w:r w:rsidRPr="00514BFE">
        <w:rPr>
          <w:b/>
          <w:bCs/>
          <w:spacing w:val="-4"/>
          <w:rtl/>
        </w:rPr>
        <w:t>14.13</w:t>
      </w:r>
      <w:r w:rsidRPr="00514BFE">
        <w:rPr>
          <w:spacing w:val="-4"/>
          <w:rtl/>
        </w:rPr>
        <w:t xml:space="preserve"> من لوائح الراديو، وافقت لجنة لوائح الراديو </w:t>
      </w:r>
      <w:r w:rsidRPr="00514BFE">
        <w:rPr>
          <w:spacing w:val="-4"/>
          <w:lang w:val="fr-CH" w:bidi="ar-EG"/>
        </w:rPr>
        <w:t>(RRB</w:t>
      </w:r>
      <w:r w:rsidRPr="00514BFE">
        <w:rPr>
          <w:spacing w:val="-4"/>
          <w:lang w:bidi="ar-EG"/>
        </w:rPr>
        <w:t>)</w:t>
      </w:r>
      <w:r w:rsidRPr="00514BFE">
        <w:rPr>
          <w:spacing w:val="-4"/>
          <w:rtl/>
        </w:rPr>
        <w:t xml:space="preserve"> في اجتماعها </w:t>
      </w:r>
      <w:r w:rsidRPr="00514BFE">
        <w:rPr>
          <w:rFonts w:hint="cs"/>
          <w:spacing w:val="-4"/>
          <w:rtl/>
        </w:rPr>
        <w:t>المائة</w:t>
      </w:r>
      <w:r w:rsidRPr="00514BFE">
        <w:rPr>
          <w:spacing w:val="-4"/>
          <w:rtl/>
        </w:rPr>
        <w:t xml:space="preserve"> (</w:t>
      </w:r>
      <w:r w:rsidRPr="00514BFE">
        <w:rPr>
          <w:rFonts w:hint="cs"/>
          <w:spacing w:val="-4"/>
          <w:rtl/>
        </w:rPr>
        <w:t>10-14</w:t>
      </w:r>
      <w:r w:rsidRPr="00514BFE">
        <w:rPr>
          <w:spacing w:val="-4"/>
          <w:rtl/>
        </w:rPr>
        <w:t xml:space="preserve"> </w:t>
      </w:r>
      <w:r w:rsidRPr="00514BFE">
        <w:rPr>
          <w:rFonts w:hint="cs"/>
          <w:spacing w:val="-4"/>
          <w:rtl/>
        </w:rPr>
        <w:t>نوفمبر</w:t>
      </w:r>
      <w:r w:rsidRPr="00514BFE">
        <w:rPr>
          <w:spacing w:val="-4"/>
          <w:rtl/>
        </w:rPr>
        <w:t xml:space="preserve"> </w:t>
      </w:r>
      <w:r w:rsidRPr="00514BFE">
        <w:rPr>
          <w:rFonts w:hint="cs"/>
          <w:spacing w:val="-4"/>
          <w:rtl/>
        </w:rPr>
        <w:t>2025</w:t>
      </w:r>
      <w:r w:rsidRPr="00514BFE">
        <w:rPr>
          <w:spacing w:val="-4"/>
          <w:rtl/>
        </w:rPr>
        <w:t>) على إدخال تعديلات على القواعد الإجرائية</w:t>
      </w:r>
      <w:r w:rsidR="0023199D">
        <w:rPr>
          <w:rFonts w:hint="cs"/>
          <w:spacing w:val="-4"/>
          <w:rtl/>
        </w:rPr>
        <w:t xml:space="preserve">، </w:t>
      </w:r>
      <w:r w:rsidR="0023199D" w:rsidRPr="0023199D">
        <w:rPr>
          <w:spacing w:val="-4"/>
          <w:rtl/>
        </w:rPr>
        <w:t xml:space="preserve">أُدرجت أيضاً في طبعة عام </w:t>
      </w:r>
      <w:r w:rsidR="0023199D" w:rsidRPr="0023199D">
        <w:rPr>
          <w:spacing w:val="-4"/>
          <w:cs/>
        </w:rPr>
        <w:t>‎</w:t>
      </w:r>
      <w:r w:rsidR="0023199D" w:rsidRPr="0023199D">
        <w:rPr>
          <w:spacing w:val="-4"/>
        </w:rPr>
        <w:t>2025</w:t>
      </w:r>
      <w:r w:rsidR="0023199D" w:rsidRPr="0023199D">
        <w:rPr>
          <w:spacing w:val="-4"/>
          <w:rtl/>
        </w:rPr>
        <w:t xml:space="preserve"> ‏من القواعد الإجرائية (انظر الملحق أدناه).</w:t>
      </w:r>
      <w:r w:rsidR="0023199D" w:rsidRPr="0023199D">
        <w:rPr>
          <w:spacing w:val="-4"/>
          <w:cs/>
        </w:rPr>
        <w:t>‎</w:t>
      </w:r>
    </w:p>
    <w:p w14:paraId="35659DA6" w14:textId="045AA3F2" w:rsidR="0023199D" w:rsidRDefault="0023199D" w:rsidP="00514BFE">
      <w:pPr>
        <w:rPr>
          <w:spacing w:val="-4"/>
          <w:rtl/>
        </w:rPr>
      </w:pPr>
      <w:r w:rsidRPr="0023199D">
        <w:rPr>
          <w:spacing w:val="-4"/>
          <w:rtl/>
        </w:rPr>
        <w:t xml:space="preserve">‏وتشمل هذه التغييرات تعديل القواعد الإجرائية المتعلقة بقبول بطاقات التبليغ المطبقة عموماً على جميع التخصيصات المبلغة إلى مكتب الاتصالات الراديوية تطبيقاً لإجراءات لوائح الراديو، والتي دخلت حيز النفاذ في </w:t>
      </w:r>
      <w:r w:rsidRPr="0023199D">
        <w:rPr>
          <w:spacing w:val="-4"/>
          <w:cs/>
        </w:rPr>
        <w:t>‎</w:t>
      </w:r>
      <w:r w:rsidRPr="0023199D">
        <w:rPr>
          <w:spacing w:val="-4"/>
        </w:rPr>
        <w:t>14</w:t>
      </w:r>
      <w:r w:rsidRPr="0023199D">
        <w:rPr>
          <w:spacing w:val="-4"/>
          <w:rtl/>
        </w:rPr>
        <w:t xml:space="preserve"> ‏نوفمبر </w:t>
      </w:r>
      <w:r w:rsidRPr="0023199D">
        <w:rPr>
          <w:spacing w:val="-4"/>
          <w:cs/>
        </w:rPr>
        <w:t>‎</w:t>
      </w:r>
      <w:r w:rsidRPr="0023199D">
        <w:rPr>
          <w:spacing w:val="-4"/>
        </w:rPr>
        <w:t>2025</w:t>
      </w:r>
      <w:r w:rsidRPr="0023199D">
        <w:rPr>
          <w:spacing w:val="-4"/>
          <w:rtl/>
        </w:rPr>
        <w:t>.</w:t>
      </w:r>
    </w:p>
    <w:p w14:paraId="245039B5" w14:textId="385863EE" w:rsidR="00492511" w:rsidRDefault="00492511" w:rsidP="00EB2D2F">
      <w:pPr>
        <w:pageBreakBefore/>
        <w:rPr>
          <w:spacing w:val="-4"/>
          <w:rtl/>
          <w:lang w:bidi="ar-EG"/>
        </w:rPr>
      </w:pPr>
      <w:r w:rsidRPr="00492511">
        <w:rPr>
          <w:spacing w:val="-4"/>
          <w:rtl/>
        </w:rPr>
        <w:lastRenderedPageBreak/>
        <w:t xml:space="preserve">‏وبالإضافة إلى ذلك، </w:t>
      </w:r>
      <w:r w:rsidR="00D8581C" w:rsidRPr="00D8581C">
        <w:rPr>
          <w:spacing w:val="-4"/>
          <w:rtl/>
        </w:rPr>
        <w:t xml:space="preserve">أُدرجت، دون أي تعديل، </w:t>
      </w:r>
      <w:r w:rsidR="00D8581C">
        <w:rPr>
          <w:rFonts w:hint="cs"/>
          <w:spacing w:val="-4"/>
          <w:rtl/>
        </w:rPr>
        <w:t xml:space="preserve">نصوص </w:t>
      </w:r>
      <w:r w:rsidRPr="00492511">
        <w:rPr>
          <w:spacing w:val="-4"/>
          <w:rtl/>
        </w:rPr>
        <w:t xml:space="preserve">قرارات المؤتمر </w:t>
      </w:r>
      <w:r w:rsidRPr="00492511">
        <w:rPr>
          <w:spacing w:val="-4"/>
          <w:cs/>
        </w:rPr>
        <w:t>‎</w:t>
      </w:r>
      <w:r w:rsidRPr="00492511">
        <w:rPr>
          <w:spacing w:val="-4"/>
        </w:rPr>
        <w:t>WRC-23</w:t>
      </w:r>
      <w:r w:rsidRPr="00492511">
        <w:rPr>
          <w:spacing w:val="-4"/>
          <w:rtl/>
        </w:rPr>
        <w:t xml:space="preserve">‏، </w:t>
      </w:r>
      <w:r w:rsidR="006C2F4F">
        <w:rPr>
          <w:rFonts w:hint="cs"/>
          <w:spacing w:val="-4"/>
          <w:rtl/>
        </w:rPr>
        <w:t>التي</w:t>
      </w:r>
      <w:r w:rsidRPr="00492511">
        <w:rPr>
          <w:spacing w:val="-4"/>
          <w:rtl/>
        </w:rPr>
        <w:t xml:space="preserve"> لم </w:t>
      </w:r>
      <w:r w:rsidR="006C2F4F">
        <w:rPr>
          <w:rFonts w:hint="cs"/>
          <w:spacing w:val="-4"/>
          <w:rtl/>
        </w:rPr>
        <w:t>تُدرج</w:t>
      </w:r>
      <w:r w:rsidRPr="00492511">
        <w:rPr>
          <w:spacing w:val="-4"/>
          <w:rtl/>
        </w:rPr>
        <w:t xml:space="preserve"> في الوثائق الختامية للمؤتمر</w:t>
      </w:r>
      <w:r w:rsidR="00D8581C">
        <w:rPr>
          <w:rFonts w:hint="cs"/>
          <w:spacing w:val="-4"/>
          <w:rtl/>
        </w:rPr>
        <w:t>،</w:t>
      </w:r>
      <w:r w:rsidRPr="00492511">
        <w:rPr>
          <w:spacing w:val="-4"/>
          <w:rtl/>
        </w:rPr>
        <w:t xml:space="preserve"> ولكنه</w:t>
      </w:r>
      <w:r w:rsidR="006C2F4F">
        <w:rPr>
          <w:rFonts w:hint="cs"/>
          <w:spacing w:val="-4"/>
          <w:rtl/>
        </w:rPr>
        <w:t xml:space="preserve">ا </w:t>
      </w:r>
      <w:r w:rsidR="00D8581C">
        <w:rPr>
          <w:rFonts w:hint="cs"/>
          <w:spacing w:val="-4"/>
          <w:rtl/>
        </w:rPr>
        <w:t>ترد</w:t>
      </w:r>
      <w:r w:rsidRPr="00492511">
        <w:rPr>
          <w:spacing w:val="-4"/>
          <w:rtl/>
        </w:rPr>
        <w:t xml:space="preserve"> في محاضر </w:t>
      </w:r>
      <w:r w:rsidR="006C2F4F">
        <w:rPr>
          <w:rFonts w:hint="cs"/>
          <w:spacing w:val="-4"/>
          <w:rtl/>
        </w:rPr>
        <w:t>جلساته</w:t>
      </w:r>
      <w:r w:rsidRPr="00492511">
        <w:rPr>
          <w:spacing w:val="-4"/>
          <w:rtl/>
        </w:rPr>
        <w:t xml:space="preserve"> العامة ‏</w:t>
      </w:r>
      <w:r w:rsidR="00D8581C">
        <w:rPr>
          <w:rFonts w:hint="cs"/>
          <w:spacing w:val="-4"/>
          <w:rtl/>
        </w:rPr>
        <w:t>وكان</w:t>
      </w:r>
      <w:r w:rsidRPr="00492511">
        <w:rPr>
          <w:spacing w:val="-4"/>
          <w:rtl/>
        </w:rPr>
        <w:t xml:space="preserve"> له</w:t>
      </w:r>
      <w:r w:rsidR="006C2F4F">
        <w:rPr>
          <w:rFonts w:hint="cs"/>
          <w:spacing w:val="-4"/>
          <w:rtl/>
        </w:rPr>
        <w:t>ا</w:t>
      </w:r>
      <w:r w:rsidRPr="00492511">
        <w:rPr>
          <w:spacing w:val="-4"/>
          <w:rtl/>
        </w:rPr>
        <w:t xml:space="preserve"> وضع التفسير الصحيح للوائح الراديو، في القواعد الإجرائية بشأن الأرقام 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4.4</w:t>
      </w:r>
      <w:r w:rsidRPr="00492511">
        <w:rPr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429D.5</w:t>
      </w:r>
      <w:r w:rsidRPr="00492511">
        <w:rPr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429G.5</w:t>
      </w:r>
      <w:r w:rsidRPr="00492511">
        <w:rPr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434.5</w:t>
      </w:r>
      <w:r w:rsidRPr="00492511">
        <w:rPr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435B.5</w:t>
      </w:r>
      <w:r w:rsidRPr="00492511">
        <w:rPr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16.21</w:t>
      </w:r>
      <w:r w:rsidRPr="00492511">
        <w:rPr>
          <w:spacing w:val="-4"/>
          <w:rtl/>
        </w:rPr>
        <w:t xml:space="preserve"> ‏والتذييلات </w:t>
      </w:r>
      <w:r w:rsidRPr="00492511">
        <w:rPr>
          <w:spacing w:val="-4"/>
          <w:cs/>
        </w:rPr>
        <w:t>‎</w:t>
      </w:r>
      <w:r w:rsidRPr="00056DE0">
        <w:rPr>
          <w:b/>
          <w:bCs/>
          <w:spacing w:val="-4"/>
        </w:rPr>
        <w:t>30</w:t>
      </w:r>
      <w:r w:rsidRPr="00056DE0">
        <w:rPr>
          <w:b/>
          <w:bCs/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30A</w:t>
      </w:r>
      <w:r w:rsidRPr="00056DE0">
        <w:rPr>
          <w:b/>
          <w:bCs/>
          <w:spacing w:val="-4"/>
          <w:rtl/>
        </w:rPr>
        <w:t xml:space="preserve"> ‏و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30B</w:t>
      </w:r>
      <w:r w:rsidRPr="00492511">
        <w:rPr>
          <w:spacing w:val="-4"/>
          <w:rtl/>
        </w:rPr>
        <w:t xml:space="preserve"> ‏من لوائح الراديو والقرار </w:t>
      </w:r>
      <w:r w:rsidRPr="00056DE0">
        <w:rPr>
          <w:b/>
          <w:bCs/>
          <w:spacing w:val="-4"/>
          <w:cs/>
        </w:rPr>
        <w:t>‎</w:t>
      </w:r>
      <w:r w:rsidRPr="00056DE0">
        <w:rPr>
          <w:b/>
          <w:bCs/>
          <w:spacing w:val="-4"/>
        </w:rPr>
        <w:t>559 (WRC-19</w:t>
      </w:r>
      <w:r w:rsidR="00056DE0" w:rsidRPr="00056DE0">
        <w:rPr>
          <w:b/>
          <w:bCs/>
          <w:spacing w:val="-4"/>
        </w:rPr>
        <w:t>)</w:t>
      </w:r>
      <w:r w:rsidRPr="00492511">
        <w:rPr>
          <w:spacing w:val="-4"/>
          <w:rtl/>
        </w:rPr>
        <w:t xml:space="preserve"> ‏و</w:t>
      </w:r>
      <w:r w:rsidR="00D8581C">
        <w:rPr>
          <w:rFonts w:hint="cs"/>
          <w:spacing w:val="-4"/>
          <w:rtl/>
        </w:rPr>
        <w:t xml:space="preserve">في </w:t>
      </w:r>
      <w:r w:rsidRPr="00492511">
        <w:rPr>
          <w:spacing w:val="-4"/>
          <w:rtl/>
        </w:rPr>
        <w:t xml:space="preserve">القواعد المتعلقة بتمديد المهلة التنظيمية لوضع تخصيصات </w:t>
      </w:r>
      <w:r w:rsidR="00FE1ABA">
        <w:rPr>
          <w:rFonts w:hint="cs"/>
          <w:spacing w:val="-4"/>
          <w:rtl/>
        </w:rPr>
        <w:t>التردد الساتلية</w:t>
      </w:r>
      <w:r w:rsidRPr="00492511">
        <w:rPr>
          <w:spacing w:val="-4"/>
          <w:rtl/>
        </w:rPr>
        <w:t xml:space="preserve"> في الخدمة.</w:t>
      </w:r>
      <w:r w:rsidRPr="00492511">
        <w:rPr>
          <w:spacing w:val="-4"/>
          <w:cs/>
        </w:rPr>
        <w:t>‎</w:t>
      </w:r>
    </w:p>
    <w:p w14:paraId="39D063BF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0A8F74CD" w14:textId="70D92573" w:rsidR="00F16820" w:rsidRDefault="00F16820" w:rsidP="00E10C78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370D1357" w14:textId="7B2D62DD" w:rsidR="00514BFE" w:rsidRPr="006273DE" w:rsidRDefault="00514BFE" w:rsidP="008C0F2D">
      <w:pPr>
        <w:spacing w:before="360"/>
        <w:rPr>
          <w:rtl/>
        </w:rPr>
      </w:pPr>
      <w:r w:rsidRPr="009C0369">
        <w:rPr>
          <w:b/>
          <w:bCs/>
          <w:rtl/>
        </w:rPr>
        <w:t>الملحقات</w:t>
      </w:r>
      <w:r w:rsidRPr="008C0F2D">
        <w:rPr>
          <w:b/>
          <w:bCs/>
          <w:rtl/>
        </w:rPr>
        <w:t>:</w:t>
      </w:r>
      <w:r w:rsidRPr="009C0369">
        <w:rPr>
          <w:rtl/>
        </w:rPr>
        <w:t xml:space="preserve"> </w:t>
      </w:r>
      <w:hyperlink r:id="rId11" w:history="1">
        <w:r w:rsidRPr="009C0369">
          <w:rPr>
            <w:rStyle w:val="Hyperlink"/>
            <w:rtl/>
          </w:rPr>
          <w:t xml:space="preserve">القواعد الإجرائية – طبعة </w:t>
        </w:r>
        <w:r w:rsidRPr="00353CDD">
          <w:rPr>
            <w:rStyle w:val="Hyperlink"/>
            <w:rtl/>
          </w:rPr>
          <w:t xml:space="preserve">عام </w:t>
        </w:r>
        <w:r w:rsidRPr="00353CDD">
          <w:rPr>
            <w:rStyle w:val="Hyperlink"/>
            <w:rFonts w:hint="cs"/>
            <w:rtl/>
          </w:rPr>
          <w:t>2025</w:t>
        </w:r>
        <w:r w:rsidR="00056DE0" w:rsidRPr="00056DE0">
          <w:rPr>
            <w:rStyle w:val="FootnoteReference"/>
            <w:rtl/>
          </w:rPr>
          <w:footnoteReference w:id="1"/>
        </w:r>
        <w:r w:rsidRPr="00353CDD">
          <w:rPr>
            <w:rStyle w:val="Hyperlink"/>
            <w:rtl/>
          </w:rPr>
          <w:t xml:space="preserve"> </w:t>
        </w:r>
      </w:hyperlink>
    </w:p>
    <w:p w14:paraId="4B83D308" w14:textId="77777777" w:rsidR="00E10C78" w:rsidRDefault="00514BFE" w:rsidP="00EB2D2F">
      <w:pPr>
        <w:tabs>
          <w:tab w:val="clear" w:pos="794"/>
          <w:tab w:val="left" w:pos="397"/>
        </w:tabs>
        <w:spacing w:before="1320"/>
        <w:jc w:val="left"/>
        <w:rPr>
          <w:b/>
          <w:bCs/>
          <w:sz w:val="18"/>
          <w:szCs w:val="18"/>
          <w:u w:val="single"/>
        </w:rPr>
      </w:pPr>
      <w:r w:rsidRPr="0036765F">
        <w:rPr>
          <w:b/>
          <w:bCs/>
          <w:sz w:val="18"/>
          <w:szCs w:val="18"/>
          <w:u w:val="single"/>
          <w:rtl/>
        </w:rPr>
        <w:t>التوزيع:</w:t>
      </w:r>
    </w:p>
    <w:p w14:paraId="1A1F523A" w14:textId="6FAC9959" w:rsidR="00E10C78" w:rsidRDefault="004A46DA" w:rsidP="00E10C78">
      <w:pPr>
        <w:tabs>
          <w:tab w:val="clear" w:pos="794"/>
          <w:tab w:val="left" w:pos="397"/>
        </w:tabs>
        <w:jc w:val="left"/>
        <w:rPr>
          <w:sz w:val="18"/>
          <w:szCs w:val="18"/>
        </w:rPr>
      </w:pPr>
      <w:r w:rsidRPr="0036765F">
        <w:rPr>
          <w:sz w:val="18"/>
          <w:szCs w:val="18"/>
        </w:rPr>
        <w:t>-</w:t>
      </w:r>
      <w:r w:rsidR="00514BFE" w:rsidRPr="0036765F">
        <w:rPr>
          <w:sz w:val="18"/>
          <w:szCs w:val="18"/>
          <w:rtl/>
        </w:rPr>
        <w:tab/>
        <w:t>إلى إدارات الدول الأعضاء في الاتحاد الدولي للاتصالات</w:t>
      </w:r>
      <w:r w:rsidR="00300429" w:rsidRPr="0036765F">
        <w:rPr>
          <w:sz w:val="18"/>
          <w:szCs w:val="18"/>
        </w:rPr>
        <w:br/>
      </w:r>
      <w:r w:rsidRPr="0036765F">
        <w:rPr>
          <w:sz w:val="18"/>
          <w:szCs w:val="18"/>
        </w:rPr>
        <w:t>-</w:t>
      </w:r>
      <w:r w:rsidR="00514BFE" w:rsidRPr="0036765F">
        <w:rPr>
          <w:sz w:val="18"/>
          <w:szCs w:val="18"/>
          <w:rtl/>
        </w:rPr>
        <w:tab/>
        <w:t>أعضاء لجنة لوائح الراديو</w:t>
      </w:r>
    </w:p>
    <w:sectPr w:rsidR="00E10C78" w:rsidSect="006C3242">
      <w:head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54DF" w14:textId="77777777" w:rsidR="00B01FE3" w:rsidRDefault="00B01FE3" w:rsidP="006C3242">
      <w:pPr>
        <w:spacing w:before="0" w:line="240" w:lineRule="auto"/>
      </w:pPr>
      <w:r>
        <w:separator/>
      </w:r>
    </w:p>
  </w:endnote>
  <w:endnote w:type="continuationSeparator" w:id="0">
    <w:p w14:paraId="06076DBA" w14:textId="77777777" w:rsidR="00B01FE3" w:rsidRDefault="00B01FE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0F9A" w14:textId="7B1A2B2F" w:rsidR="00FC09E8" w:rsidRPr="00FC09E8" w:rsidRDefault="00FC09E8" w:rsidP="00502A75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hyperlink r:id="rId2" w:history="1">
      <w:r w:rsidR="00502A75" w:rsidRPr="00502A75">
        <w:rPr>
          <w:rStyle w:val="Hyperlink"/>
          <w:rFonts w:ascii="Calibri" w:eastAsia="Times New Roman" w:hAnsi="Calibri" w:cs="Calibri"/>
          <w:sz w:val="19"/>
          <w:szCs w:val="19"/>
          <w:lang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BBDC" w14:textId="77777777" w:rsidR="00B01FE3" w:rsidRDefault="00B01FE3" w:rsidP="006C3242">
      <w:pPr>
        <w:spacing w:before="0" w:line="240" w:lineRule="auto"/>
      </w:pPr>
      <w:r>
        <w:separator/>
      </w:r>
    </w:p>
  </w:footnote>
  <w:footnote w:type="continuationSeparator" w:id="0">
    <w:p w14:paraId="1F8440E0" w14:textId="77777777" w:rsidR="00B01FE3" w:rsidRDefault="00B01FE3" w:rsidP="006C3242">
      <w:pPr>
        <w:spacing w:before="0" w:line="240" w:lineRule="auto"/>
      </w:pPr>
      <w:r>
        <w:continuationSeparator/>
      </w:r>
    </w:p>
  </w:footnote>
  <w:footnote w:id="1">
    <w:p w14:paraId="1736BFC2" w14:textId="77777777" w:rsidR="00056DE0" w:rsidRDefault="00056DE0" w:rsidP="00056DE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76615F">
          <w:rPr>
            <w:rStyle w:val="Hyperlink"/>
          </w:rPr>
          <w:t>https://www.itu.int/pub/R-REG-ROP/en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2AA8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5573141">
    <w:abstractNumId w:val="9"/>
  </w:num>
  <w:num w:numId="2" w16cid:durableId="1624992883">
    <w:abstractNumId w:val="7"/>
  </w:num>
  <w:num w:numId="3" w16cid:durableId="2000690568">
    <w:abstractNumId w:val="6"/>
  </w:num>
  <w:num w:numId="4" w16cid:durableId="1595939275">
    <w:abstractNumId w:val="5"/>
  </w:num>
  <w:num w:numId="5" w16cid:durableId="822546755">
    <w:abstractNumId w:val="4"/>
  </w:num>
  <w:num w:numId="6" w16cid:durableId="1712417258">
    <w:abstractNumId w:val="8"/>
  </w:num>
  <w:num w:numId="7" w16cid:durableId="187304623">
    <w:abstractNumId w:val="3"/>
  </w:num>
  <w:num w:numId="8" w16cid:durableId="1226791773">
    <w:abstractNumId w:val="2"/>
  </w:num>
  <w:num w:numId="9" w16cid:durableId="1358778462">
    <w:abstractNumId w:val="1"/>
  </w:num>
  <w:num w:numId="10" w16cid:durableId="674920168">
    <w:abstractNumId w:val="0"/>
  </w:num>
  <w:num w:numId="11" w16cid:durableId="1017469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A4"/>
    <w:rsid w:val="00014A33"/>
    <w:rsid w:val="0005126D"/>
    <w:rsid w:val="00056DE0"/>
    <w:rsid w:val="0006468A"/>
    <w:rsid w:val="00090574"/>
    <w:rsid w:val="000B546B"/>
    <w:rsid w:val="000C1C0E"/>
    <w:rsid w:val="000C548A"/>
    <w:rsid w:val="000F7BBE"/>
    <w:rsid w:val="00104B1E"/>
    <w:rsid w:val="00150DB9"/>
    <w:rsid w:val="001C0169"/>
    <w:rsid w:val="001D1D50"/>
    <w:rsid w:val="001D6745"/>
    <w:rsid w:val="001E446E"/>
    <w:rsid w:val="002042A6"/>
    <w:rsid w:val="002154EE"/>
    <w:rsid w:val="002276D2"/>
    <w:rsid w:val="0023199D"/>
    <w:rsid w:val="0023283D"/>
    <w:rsid w:val="0026373E"/>
    <w:rsid w:val="00271C43"/>
    <w:rsid w:val="00290728"/>
    <w:rsid w:val="002978F4"/>
    <w:rsid w:val="002B028D"/>
    <w:rsid w:val="002E6541"/>
    <w:rsid w:val="00300429"/>
    <w:rsid w:val="00334924"/>
    <w:rsid w:val="003409BC"/>
    <w:rsid w:val="00353CDD"/>
    <w:rsid w:val="00357185"/>
    <w:rsid w:val="0036765F"/>
    <w:rsid w:val="003704CA"/>
    <w:rsid w:val="00383829"/>
    <w:rsid w:val="003B5733"/>
    <w:rsid w:val="003F2312"/>
    <w:rsid w:val="003F4B29"/>
    <w:rsid w:val="004111FB"/>
    <w:rsid w:val="0042686F"/>
    <w:rsid w:val="004317D8"/>
    <w:rsid w:val="00434183"/>
    <w:rsid w:val="00443869"/>
    <w:rsid w:val="00447F32"/>
    <w:rsid w:val="004563AF"/>
    <w:rsid w:val="00492511"/>
    <w:rsid w:val="00497A16"/>
    <w:rsid w:val="004A46DA"/>
    <w:rsid w:val="004C39C6"/>
    <w:rsid w:val="004E11DC"/>
    <w:rsid w:val="00502A75"/>
    <w:rsid w:val="005117EE"/>
    <w:rsid w:val="00514BFE"/>
    <w:rsid w:val="00525DDD"/>
    <w:rsid w:val="005324D0"/>
    <w:rsid w:val="005409AC"/>
    <w:rsid w:val="0055516A"/>
    <w:rsid w:val="00583181"/>
    <w:rsid w:val="0058491B"/>
    <w:rsid w:val="00592EA5"/>
    <w:rsid w:val="005A3170"/>
    <w:rsid w:val="005D5B13"/>
    <w:rsid w:val="00623695"/>
    <w:rsid w:val="006273DE"/>
    <w:rsid w:val="00677396"/>
    <w:rsid w:val="0069200F"/>
    <w:rsid w:val="00697E26"/>
    <w:rsid w:val="006A3C02"/>
    <w:rsid w:val="006A53A4"/>
    <w:rsid w:val="006A65CB"/>
    <w:rsid w:val="006C2F4F"/>
    <w:rsid w:val="006C3242"/>
    <w:rsid w:val="006C7CC0"/>
    <w:rsid w:val="006D6F22"/>
    <w:rsid w:val="006E5F73"/>
    <w:rsid w:val="006F63F7"/>
    <w:rsid w:val="007025C7"/>
    <w:rsid w:val="00706D7A"/>
    <w:rsid w:val="00722F0D"/>
    <w:rsid w:val="0074420E"/>
    <w:rsid w:val="00757398"/>
    <w:rsid w:val="00781F9E"/>
    <w:rsid w:val="00783E26"/>
    <w:rsid w:val="007C3BC7"/>
    <w:rsid w:val="007C3BCD"/>
    <w:rsid w:val="007D4ACF"/>
    <w:rsid w:val="007F0787"/>
    <w:rsid w:val="00810B7B"/>
    <w:rsid w:val="00816EE9"/>
    <w:rsid w:val="0082358A"/>
    <w:rsid w:val="008235CD"/>
    <w:rsid w:val="008247DE"/>
    <w:rsid w:val="00840B10"/>
    <w:rsid w:val="008513CB"/>
    <w:rsid w:val="008A4A32"/>
    <w:rsid w:val="008A7F84"/>
    <w:rsid w:val="008C0F2D"/>
    <w:rsid w:val="008E18B9"/>
    <w:rsid w:val="00903A3F"/>
    <w:rsid w:val="0091702E"/>
    <w:rsid w:val="00923B0C"/>
    <w:rsid w:val="00931028"/>
    <w:rsid w:val="00934CFF"/>
    <w:rsid w:val="0094021C"/>
    <w:rsid w:val="00952F86"/>
    <w:rsid w:val="00982B28"/>
    <w:rsid w:val="009D313F"/>
    <w:rsid w:val="00A47A5A"/>
    <w:rsid w:val="00A6683B"/>
    <w:rsid w:val="00A7177B"/>
    <w:rsid w:val="00A837DA"/>
    <w:rsid w:val="00A97F94"/>
    <w:rsid w:val="00AA7EA2"/>
    <w:rsid w:val="00B01FE3"/>
    <w:rsid w:val="00B03099"/>
    <w:rsid w:val="00B05BC8"/>
    <w:rsid w:val="00B1143A"/>
    <w:rsid w:val="00B11813"/>
    <w:rsid w:val="00B64B47"/>
    <w:rsid w:val="00B74B14"/>
    <w:rsid w:val="00BA4006"/>
    <w:rsid w:val="00C002DE"/>
    <w:rsid w:val="00C502CD"/>
    <w:rsid w:val="00C52429"/>
    <w:rsid w:val="00C53BF8"/>
    <w:rsid w:val="00C62506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1383A"/>
    <w:rsid w:val="00D77D0F"/>
    <w:rsid w:val="00D8581C"/>
    <w:rsid w:val="00D924D6"/>
    <w:rsid w:val="00DA1CF0"/>
    <w:rsid w:val="00DC1E02"/>
    <w:rsid w:val="00DC24B4"/>
    <w:rsid w:val="00DC5FB0"/>
    <w:rsid w:val="00DF16DC"/>
    <w:rsid w:val="00E10C78"/>
    <w:rsid w:val="00E45211"/>
    <w:rsid w:val="00E473C5"/>
    <w:rsid w:val="00E51562"/>
    <w:rsid w:val="00E92863"/>
    <w:rsid w:val="00EA202B"/>
    <w:rsid w:val="00EB2D2F"/>
    <w:rsid w:val="00EB796D"/>
    <w:rsid w:val="00EC6316"/>
    <w:rsid w:val="00F058DC"/>
    <w:rsid w:val="00F16820"/>
    <w:rsid w:val="00F24FC4"/>
    <w:rsid w:val="00F2676C"/>
    <w:rsid w:val="00F73957"/>
    <w:rsid w:val="00F84366"/>
    <w:rsid w:val="00F85089"/>
    <w:rsid w:val="00F974C5"/>
    <w:rsid w:val="00FA6F46"/>
    <w:rsid w:val="00FB1250"/>
    <w:rsid w:val="00FC09E8"/>
    <w:rsid w:val="00FE1ABA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04B2F"/>
  <w15:chartTrackingRefBased/>
  <w15:docId w15:val="{16EFF8B9-45E4-42ED-B3A4-62B3F9B2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042A6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Footnote,Tex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 + 11 pt,Italic,Appel note de bas de p,Reference,Footnote Reference/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Char,Text Char,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link w:val="RestitleChar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514B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BF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46DA"/>
    <w:pPr>
      <w:spacing w:after="0" w:line="240" w:lineRule="auto"/>
    </w:pPr>
    <w:rPr>
      <w:rFonts w:ascii="Dubai" w:hAnsi="Dubai" w:cs="Dubai"/>
    </w:rPr>
  </w:style>
  <w:style w:type="character" w:customStyle="1" w:styleId="Artref">
    <w:name w:val="Art_ref"/>
    <w:rsid w:val="00353CDD"/>
    <w:rPr>
      <w:rFonts w:ascii="Dubai" w:hAnsi="Dubai" w:cs="Dubai"/>
      <w:b w:val="0"/>
      <w:bCs w:val="0"/>
      <w:i w:val="0"/>
      <w:iCs w:val="0"/>
    </w:rPr>
  </w:style>
  <w:style w:type="paragraph" w:customStyle="1" w:styleId="enumlev10">
    <w:name w:val="enumlev1"/>
    <w:basedOn w:val="Normal"/>
    <w:next w:val="Normal"/>
    <w:link w:val="enumlev1Char"/>
    <w:qFormat/>
    <w:rsid w:val="00353CDD"/>
    <w:pPr>
      <w:tabs>
        <w:tab w:val="clear" w:pos="794"/>
        <w:tab w:val="left" w:pos="851"/>
        <w:tab w:val="left" w:pos="1418"/>
        <w:tab w:val="left" w:pos="1985"/>
        <w:tab w:val="left" w:pos="2552"/>
        <w:tab w:val="left" w:pos="3119"/>
      </w:tabs>
      <w:spacing w:before="80" w:after="0"/>
      <w:ind w:left="851" w:hanging="851"/>
    </w:pPr>
    <w:rPr>
      <w:rFonts w:eastAsia="Times New Roman"/>
      <w:lang w:eastAsia="en-US"/>
    </w:rPr>
  </w:style>
  <w:style w:type="character" w:customStyle="1" w:styleId="enumlev1Char">
    <w:name w:val="enumlev1 Char"/>
    <w:basedOn w:val="DefaultParagraphFont"/>
    <w:link w:val="enumlev10"/>
    <w:rsid w:val="00353CDD"/>
    <w:rPr>
      <w:rFonts w:ascii="Dubai" w:eastAsia="Times New Roman" w:hAnsi="Dubai" w:cs="Dubai"/>
      <w:lang w:eastAsia="en-US"/>
    </w:rPr>
  </w:style>
  <w:style w:type="paragraph" w:customStyle="1" w:styleId="enumlev20">
    <w:name w:val="enumlev2"/>
    <w:basedOn w:val="enumlev10"/>
    <w:next w:val="Normal"/>
    <w:link w:val="enumlev2Char"/>
    <w:qFormat/>
    <w:rsid w:val="00353CDD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0"/>
    <w:rsid w:val="00353CDD"/>
    <w:rPr>
      <w:rFonts w:ascii="Dubai" w:eastAsia="Times New Roman" w:hAnsi="Dubai" w:cs="Dubai"/>
      <w:lang w:eastAsia="en-US"/>
    </w:rPr>
  </w:style>
  <w:style w:type="character" w:customStyle="1" w:styleId="Appref">
    <w:name w:val="App_ref"/>
    <w:rsid w:val="00353CDD"/>
    <w:rPr>
      <w:rFonts w:ascii="Dubai" w:hAnsi="Dubai" w:cs="Dubai"/>
      <w:b/>
      <w:bCs/>
    </w:rPr>
  </w:style>
  <w:style w:type="paragraph" w:customStyle="1" w:styleId="Apparttitle">
    <w:name w:val="App_art_title"/>
    <w:basedOn w:val="Normal"/>
    <w:qFormat/>
    <w:rsid w:val="00353CDD"/>
    <w:pPr>
      <w:keepNext/>
      <w:tabs>
        <w:tab w:val="clear" w:pos="794"/>
      </w:tabs>
      <w:spacing w:after="360"/>
      <w:jc w:val="center"/>
    </w:pPr>
    <w:rPr>
      <w:b/>
      <w:bCs/>
      <w:sz w:val="28"/>
      <w:szCs w:val="28"/>
    </w:rPr>
  </w:style>
  <w:style w:type="character" w:customStyle="1" w:styleId="RestitleChar">
    <w:name w:val="Res_title Char"/>
    <w:basedOn w:val="DefaultParagraphFont"/>
    <w:link w:val="Restitle"/>
    <w:rsid w:val="00353CDD"/>
    <w:rPr>
      <w:rFonts w:ascii="Dubai" w:hAnsi="Dubai" w:cs="Dubai"/>
      <w:b/>
      <w:bCs/>
      <w:sz w:val="28"/>
      <w:szCs w:val="28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REG-ROP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00-CR-CIR-0520/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pub/R-REG-ROP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TENMP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Arabic_MA</dc:creator>
  <cp:keywords/>
  <dc:description/>
  <cp:lastModifiedBy>Gozal, Karine</cp:lastModifiedBy>
  <cp:revision>3</cp:revision>
  <dcterms:created xsi:type="dcterms:W3CDTF">2025-12-01T15:44:00Z</dcterms:created>
  <dcterms:modified xsi:type="dcterms:W3CDTF">2025-12-09T10:01:00Z</dcterms:modified>
</cp:coreProperties>
</file>