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746CE3BC" w:rsidR="00AB357B" w:rsidRPr="000335C8" w:rsidRDefault="009B2D93" w:rsidP="00AB357B">
            <w:pPr>
              <w:spacing w:before="0"/>
              <w:jc w:val="left"/>
              <w:rPr>
                <w:b/>
                <w:bCs/>
                <w:szCs w:val="24"/>
                <w:lang w:val="fr-CH" w:eastAsia="zh-CN"/>
              </w:rPr>
            </w:pPr>
            <w:r>
              <w:rPr>
                <w:b/>
                <w:bCs/>
                <w:color w:val="000000"/>
                <w:lang w:val="zh-CN"/>
              </w:rPr>
              <w:t>CR/522</w:t>
            </w:r>
          </w:p>
        </w:tc>
        <w:tc>
          <w:tcPr>
            <w:tcW w:w="2835" w:type="dxa"/>
            <w:shd w:val="clear" w:color="auto" w:fill="auto"/>
          </w:tcPr>
          <w:p w14:paraId="1FD00109" w14:textId="081FF7DC"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9B2D93">
              <w:rPr>
                <w:rFonts w:cs="Arial"/>
                <w:szCs w:val="24"/>
                <w:lang w:val="en-GB" w:eastAsia="zh-CN"/>
              </w:rPr>
              <w:t>8</w:t>
            </w:r>
            <w:r w:rsidRPr="006B3736">
              <w:rPr>
                <w:rFonts w:cs="Arial" w:hint="eastAsia"/>
                <w:szCs w:val="24"/>
                <w:lang w:val="en-GB" w:eastAsia="zh-CN"/>
              </w:rPr>
              <w:t>月</w:t>
            </w:r>
            <w:r w:rsidR="009B2D93">
              <w:rPr>
                <w:rFonts w:cs="Arial"/>
                <w:szCs w:val="24"/>
                <w:lang w:val="en-GB" w:eastAsia="zh-CN"/>
              </w:rPr>
              <w:t>25</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4D74602E" w:rsidR="00AB357B" w:rsidRPr="0043362C" w:rsidRDefault="00AB357B" w:rsidP="00AB357B">
            <w:pPr>
              <w:spacing w:before="0"/>
              <w:jc w:val="left"/>
              <w:rPr>
                <w:rFonts w:eastAsia="SimSun"/>
                <w:b/>
                <w:bCs/>
                <w:szCs w:val="24"/>
                <w:lang w:eastAsia="zh-CN"/>
              </w:rPr>
            </w:pPr>
            <w:r w:rsidRPr="000335C8">
              <w:rPr>
                <w:rFonts w:eastAsia="SimSun" w:hint="eastAsia"/>
                <w:b/>
                <w:bCs/>
                <w:szCs w:val="24"/>
                <w:lang w:eastAsia="zh-CN"/>
              </w:rPr>
              <w:t>致国际电联各成员国主管部门</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shd w:val="clear" w:color="auto" w:fill="auto"/>
          </w:tcPr>
          <w:p w14:paraId="71D96604" w14:textId="77777777" w:rsidR="00AB357B" w:rsidRPr="000335C8" w:rsidRDefault="00AB357B" w:rsidP="00AB357B">
            <w:pPr>
              <w:spacing w:before="0"/>
              <w:jc w:val="left"/>
              <w:rPr>
                <w:szCs w:val="24"/>
                <w:lang w:eastAsia="zh-CN"/>
              </w:rPr>
            </w:pPr>
          </w:p>
        </w:tc>
      </w:tr>
      <w:tr w:rsidR="00983159" w:rsidRPr="000335C8" w14:paraId="1D5A28E0" w14:textId="77777777" w:rsidTr="00460FBB">
        <w:trPr>
          <w:trHeight w:val="897"/>
          <w:jc w:val="center"/>
        </w:trPr>
        <w:tc>
          <w:tcPr>
            <w:tcW w:w="1526" w:type="dxa"/>
            <w:shd w:val="clear" w:color="auto" w:fill="auto"/>
          </w:tcPr>
          <w:p w14:paraId="710B125E" w14:textId="77777777" w:rsidR="00983159" w:rsidRPr="000335C8" w:rsidRDefault="00983159"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shd w:val="clear" w:color="auto" w:fill="auto"/>
          </w:tcPr>
          <w:p w14:paraId="5081C472" w14:textId="699509B6" w:rsidR="00983159" w:rsidRPr="000335C8" w:rsidRDefault="00983159" w:rsidP="00983159">
            <w:pPr>
              <w:tabs>
                <w:tab w:val="clear" w:pos="794"/>
                <w:tab w:val="clear" w:pos="1588"/>
                <w:tab w:val="left" w:pos="499"/>
                <w:tab w:val="left" w:pos="1560"/>
              </w:tabs>
              <w:spacing w:before="120" w:after="120"/>
              <w:ind w:left="164" w:hanging="18"/>
              <w:jc w:val="left"/>
              <w:rPr>
                <w:b/>
                <w:bCs/>
                <w:szCs w:val="24"/>
                <w:lang w:eastAsia="zh-CN"/>
              </w:rPr>
            </w:pPr>
            <w:r>
              <w:rPr>
                <w:b/>
                <w:bCs/>
                <w:color w:val="000000"/>
                <w:lang w:val="zh-CN" w:eastAsia="zh-CN"/>
              </w:rPr>
              <w:t>不受《无线电规则》第</w:t>
            </w:r>
            <w:r>
              <w:rPr>
                <w:b/>
                <w:bCs/>
                <w:color w:val="000000"/>
                <w:lang w:val="zh-CN" w:eastAsia="zh-CN"/>
              </w:rPr>
              <w:t>9</w:t>
            </w:r>
            <w:r>
              <w:rPr>
                <w:b/>
                <w:bCs/>
                <w:color w:val="000000"/>
                <w:lang w:val="zh-CN" w:eastAsia="zh-CN"/>
              </w:rPr>
              <w:t>条第</w:t>
            </w:r>
            <w:r>
              <w:rPr>
                <w:b/>
                <w:bCs/>
                <w:color w:val="000000"/>
                <w:lang w:val="zh-CN" w:eastAsia="zh-CN"/>
              </w:rPr>
              <w:t>II</w:t>
            </w:r>
            <w:r>
              <w:rPr>
                <w:b/>
                <w:bCs/>
                <w:color w:val="000000"/>
                <w:lang w:val="zh-CN" w:eastAsia="zh-CN"/>
              </w:rPr>
              <w:t>节规定的协调程序约束的卫星网络或系统的</w:t>
            </w:r>
            <w:r>
              <w:rPr>
                <w:b/>
                <w:bCs/>
                <w:color w:val="000000"/>
                <w:lang w:eastAsia="zh-CN"/>
              </w:rPr>
              <w:br/>
            </w:r>
            <w:r>
              <w:rPr>
                <w:b/>
                <w:bCs/>
                <w:color w:val="000000"/>
                <w:lang w:val="zh-CN" w:eastAsia="zh-CN"/>
              </w:rPr>
              <w:t>提前公布资料和通知</w:t>
            </w:r>
          </w:p>
        </w:tc>
      </w:tr>
    </w:tbl>
    <w:p w14:paraId="6A5C71E2" w14:textId="77777777" w:rsidR="009B2D93" w:rsidRPr="00B94938" w:rsidRDefault="009B2D93" w:rsidP="009B2D93">
      <w:pPr>
        <w:shd w:val="clear" w:color="auto" w:fill="FCFBFB"/>
        <w:tabs>
          <w:tab w:val="clear" w:pos="794"/>
          <w:tab w:val="clear" w:pos="1191"/>
          <w:tab w:val="clear" w:pos="1588"/>
          <w:tab w:val="clear" w:pos="1985"/>
        </w:tabs>
        <w:overflowPunct/>
        <w:autoSpaceDE/>
        <w:autoSpaceDN/>
        <w:adjustRightInd/>
        <w:spacing w:before="360" w:after="240"/>
        <w:textAlignment w:val="auto"/>
        <w:rPr>
          <w:rFonts w:asciiTheme="minorHAnsi" w:eastAsia="Times New Roman" w:hAnsiTheme="minorHAnsi" w:cstheme="minorHAnsi"/>
          <w:b/>
          <w:bCs/>
          <w:color w:val="000000"/>
          <w:szCs w:val="24"/>
          <w:lang w:eastAsia="zh-CN"/>
        </w:rPr>
      </w:pPr>
      <w:r w:rsidRPr="000C0378">
        <w:rPr>
          <w:rFonts w:hint="eastAsia"/>
          <w:b/>
          <w:bCs/>
          <w:lang w:val="zh-CN" w:eastAsia="zh-CN"/>
        </w:rPr>
        <w:t>提交提前公布资料</w:t>
      </w:r>
    </w:p>
    <w:p w14:paraId="7789DE43"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如《无线电规则》第</w:t>
      </w:r>
      <w:r w:rsidRPr="001F098F">
        <w:rPr>
          <w:b/>
          <w:bCs/>
          <w:lang w:val="zh-CN" w:eastAsia="zh-CN"/>
        </w:rPr>
        <w:t>9</w:t>
      </w:r>
      <w:r>
        <w:rPr>
          <w:lang w:val="zh-CN" w:eastAsia="zh-CN"/>
        </w:rPr>
        <w:t>条第</w:t>
      </w:r>
      <w:r>
        <w:rPr>
          <w:lang w:val="zh-CN" w:eastAsia="zh-CN"/>
        </w:rPr>
        <w:t>IA</w:t>
      </w:r>
      <w:r>
        <w:rPr>
          <w:lang w:val="zh-CN" w:eastAsia="zh-CN"/>
        </w:rPr>
        <w:t>分节所述，提交提前公布资料（</w:t>
      </w:r>
      <w:r>
        <w:rPr>
          <w:lang w:val="zh-CN" w:eastAsia="zh-CN"/>
        </w:rPr>
        <w:t>API</w:t>
      </w:r>
      <w:r>
        <w:rPr>
          <w:lang w:val="zh-CN" w:eastAsia="zh-CN"/>
        </w:rPr>
        <w:t>）后是征求意见程序，目的是在</w:t>
      </w:r>
      <w:r>
        <w:rPr>
          <w:rFonts w:hint="eastAsia"/>
          <w:lang w:val="zh-CN" w:eastAsia="zh-CN"/>
        </w:rPr>
        <w:t>操</w:t>
      </w:r>
      <w:r>
        <w:rPr>
          <w:lang w:val="zh-CN" w:eastAsia="zh-CN"/>
        </w:rPr>
        <w:t>作前尽量减少不可接受的干扰。</w:t>
      </w:r>
    </w:p>
    <w:p w14:paraId="7F20B782"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根据《无线电规则》第</w:t>
      </w:r>
      <w:r w:rsidRPr="001F098F">
        <w:rPr>
          <w:b/>
          <w:bCs/>
          <w:lang w:val="zh-CN" w:eastAsia="zh-CN"/>
        </w:rPr>
        <w:t>9.3</w:t>
      </w:r>
      <w:r>
        <w:rPr>
          <w:lang w:val="zh-CN" w:eastAsia="zh-CN"/>
        </w:rPr>
        <w:t>款，主管部门</w:t>
      </w:r>
      <w:r>
        <w:rPr>
          <w:rFonts w:hint="eastAsia"/>
          <w:lang w:val="zh-CN" w:eastAsia="zh-CN"/>
        </w:rPr>
        <w:t>如</w:t>
      </w:r>
      <w:r>
        <w:rPr>
          <w:lang w:val="zh-CN" w:eastAsia="zh-CN"/>
        </w:rPr>
        <w:t>认为来自新申报卫星系统的干扰不可接受并可能影响其现有或规划的卫星网络或系统</w:t>
      </w:r>
      <w:r>
        <w:rPr>
          <w:rFonts w:hint="eastAsia"/>
          <w:lang w:val="zh-CN" w:eastAsia="zh-CN"/>
        </w:rPr>
        <w:t>，</w:t>
      </w:r>
      <w:r>
        <w:rPr>
          <w:lang w:val="zh-CN" w:eastAsia="zh-CN"/>
        </w:rPr>
        <w:t>可在</w:t>
      </w:r>
      <w:r>
        <w:rPr>
          <w:lang w:val="zh-CN" w:eastAsia="zh-CN"/>
        </w:rPr>
        <w:t>BR IFIC</w:t>
      </w:r>
      <w:r>
        <w:rPr>
          <w:lang w:val="zh-CN" w:eastAsia="zh-CN"/>
        </w:rPr>
        <w:t>的</w:t>
      </w:r>
      <w:r>
        <w:rPr>
          <w:lang w:val="zh-CN" w:eastAsia="zh-CN"/>
        </w:rPr>
        <w:t>API/A</w:t>
      </w:r>
      <w:proofErr w:type="gramStart"/>
      <w:r>
        <w:rPr>
          <w:lang w:val="zh-CN" w:eastAsia="zh-CN"/>
        </w:rPr>
        <w:t>特节公布</w:t>
      </w:r>
      <w:proofErr w:type="gramEnd"/>
      <w:r>
        <w:rPr>
          <w:lang w:val="zh-CN" w:eastAsia="zh-CN"/>
        </w:rPr>
        <w:t>之日起四个月内向通知主管部门提交意见。</w:t>
      </w:r>
    </w:p>
    <w:p w14:paraId="252CEA25"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此后，通知主管部门和提出意见的主管部门须共同努力开展合作，解决任何困难并</w:t>
      </w:r>
      <w:r>
        <w:rPr>
          <w:rFonts w:hint="eastAsia"/>
          <w:lang w:val="zh-CN" w:eastAsia="zh-CN"/>
        </w:rPr>
        <w:t>交流</w:t>
      </w:r>
      <w:r>
        <w:rPr>
          <w:lang w:val="zh-CN" w:eastAsia="zh-CN"/>
        </w:rPr>
        <w:t>任何额外的相关信息。</w:t>
      </w:r>
    </w:p>
    <w:p w14:paraId="471F40EB"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无线电通信局注意到一个反复出现的问题，即通知主管部门在其卫星网络或系统发射前</w:t>
      </w:r>
      <w:r w:rsidRPr="000C0378">
        <w:rPr>
          <w:rFonts w:hint="eastAsia"/>
          <w:lang w:val="zh-CN" w:eastAsia="zh-CN"/>
        </w:rPr>
        <w:t>仅提前很短时间</w:t>
      </w:r>
      <w:r>
        <w:rPr>
          <w:lang w:val="zh-CN" w:eastAsia="zh-CN"/>
        </w:rPr>
        <w:t>提交</w:t>
      </w:r>
      <w:r>
        <w:rPr>
          <w:lang w:val="zh-CN" w:eastAsia="zh-CN"/>
        </w:rPr>
        <w:t>API</w:t>
      </w:r>
      <w:r>
        <w:rPr>
          <w:lang w:val="zh-CN" w:eastAsia="zh-CN"/>
        </w:rPr>
        <w:t>。</w:t>
      </w:r>
    </w:p>
    <w:p w14:paraId="150A490C"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sidRPr="00FD00D2">
        <w:rPr>
          <w:rFonts w:hint="eastAsia"/>
          <w:lang w:val="zh-CN" w:eastAsia="zh-CN"/>
        </w:rPr>
        <w:t>API</w:t>
      </w:r>
      <w:r w:rsidRPr="00FD00D2">
        <w:rPr>
          <w:rFonts w:hint="eastAsia"/>
          <w:lang w:val="zh-CN" w:eastAsia="zh-CN"/>
        </w:rPr>
        <w:t>提交与发射之间的时间窗口过短，无法为</w:t>
      </w:r>
      <w:r>
        <w:rPr>
          <w:lang w:val="zh-CN" w:eastAsia="zh-CN"/>
        </w:rPr>
        <w:t>第</w:t>
      </w:r>
      <w:r w:rsidRPr="001F098F">
        <w:rPr>
          <w:b/>
          <w:bCs/>
          <w:lang w:val="zh-CN" w:eastAsia="zh-CN"/>
        </w:rPr>
        <w:t>9.3</w:t>
      </w:r>
      <w:r>
        <w:rPr>
          <w:lang w:val="zh-CN" w:eastAsia="zh-CN"/>
        </w:rPr>
        <w:t>款要求的</w:t>
      </w:r>
      <w:r>
        <w:rPr>
          <w:lang w:val="zh-CN" w:eastAsia="zh-CN"/>
        </w:rPr>
        <w:t>API</w:t>
      </w:r>
      <w:r>
        <w:rPr>
          <w:lang w:val="zh-CN" w:eastAsia="zh-CN"/>
        </w:rPr>
        <w:t>公布、为期</w:t>
      </w:r>
      <w:r>
        <w:rPr>
          <w:lang w:val="zh-CN" w:eastAsia="zh-CN"/>
        </w:rPr>
        <w:t>4</w:t>
      </w:r>
      <w:r>
        <w:rPr>
          <w:lang w:val="zh-CN" w:eastAsia="zh-CN"/>
        </w:rPr>
        <w:t>个月的征求意见过程和主管部门之间的磋商过程</w:t>
      </w:r>
      <w:r w:rsidRPr="00FD00D2">
        <w:rPr>
          <w:rFonts w:hint="eastAsia"/>
          <w:lang w:val="zh-CN" w:eastAsia="zh-CN"/>
        </w:rPr>
        <w:t>留出足够时间，以确保这些程序</w:t>
      </w:r>
      <w:r>
        <w:rPr>
          <w:rFonts w:hint="eastAsia"/>
          <w:lang w:val="zh-CN" w:eastAsia="zh-CN"/>
        </w:rPr>
        <w:t>能够</w:t>
      </w:r>
      <w:r>
        <w:rPr>
          <w:lang w:val="zh-CN" w:eastAsia="zh-CN"/>
        </w:rPr>
        <w:t>在规划的卫星网络或系统发射</w:t>
      </w:r>
      <w:r w:rsidRPr="00FD00D2">
        <w:rPr>
          <w:rFonts w:hint="eastAsia"/>
          <w:lang w:val="zh-CN" w:eastAsia="zh-CN"/>
        </w:rPr>
        <w:t>以及</w:t>
      </w:r>
      <w:r>
        <w:rPr>
          <w:lang w:val="zh-CN" w:eastAsia="zh-CN"/>
        </w:rPr>
        <w:t>随后启用频率指</w:t>
      </w:r>
      <w:proofErr w:type="gramStart"/>
      <w:r>
        <w:rPr>
          <w:lang w:val="zh-CN" w:eastAsia="zh-CN"/>
        </w:rPr>
        <w:t>配之前</w:t>
      </w:r>
      <w:proofErr w:type="gramEnd"/>
      <w:r>
        <w:rPr>
          <w:lang w:val="zh-CN" w:eastAsia="zh-CN"/>
        </w:rPr>
        <w:t>完成并生效。</w:t>
      </w:r>
    </w:p>
    <w:p w14:paraId="46A10463" w14:textId="77777777" w:rsidR="009B2D9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rFonts w:asciiTheme="minorHAnsi" w:eastAsia="Times New Roman" w:hAnsiTheme="minorHAnsi" w:cstheme="minorHAnsi"/>
          <w:color w:val="000000"/>
          <w:szCs w:val="24"/>
          <w:shd w:val="clear" w:color="auto" w:fill="FCFBFB"/>
          <w:lang w:eastAsia="zh-CN"/>
        </w:rPr>
      </w:pPr>
      <w:r>
        <w:rPr>
          <w:lang w:val="zh-CN" w:eastAsia="zh-CN"/>
        </w:rPr>
        <w:t>因此，通知主管部门在为其规划的卫星网络或系统提交</w:t>
      </w:r>
      <w:r>
        <w:rPr>
          <w:lang w:val="zh-CN" w:eastAsia="zh-CN"/>
        </w:rPr>
        <w:t>API</w:t>
      </w:r>
      <w:r>
        <w:rPr>
          <w:lang w:val="zh-CN" w:eastAsia="zh-CN"/>
        </w:rPr>
        <w:t>时，必须</w:t>
      </w:r>
      <w:r>
        <w:rPr>
          <w:rFonts w:hint="eastAsia"/>
          <w:lang w:val="zh-CN" w:eastAsia="zh-CN"/>
        </w:rPr>
        <w:t>兼顾</w:t>
      </w:r>
      <w:r>
        <w:rPr>
          <w:lang w:val="zh-CN" w:eastAsia="zh-CN"/>
        </w:rPr>
        <w:t>第</w:t>
      </w:r>
      <w:r w:rsidRPr="001F098F">
        <w:rPr>
          <w:b/>
          <w:bCs/>
          <w:lang w:val="zh-CN" w:eastAsia="zh-CN"/>
        </w:rPr>
        <w:t>9.3</w:t>
      </w:r>
      <w:r>
        <w:rPr>
          <w:lang w:val="zh-CN" w:eastAsia="zh-CN"/>
        </w:rPr>
        <w:t>款的磋商程序，并确保分配足够的时间。这一磋商进程对于有效解决通知主管部门的卫星网络或系统与提出意见的主管部门的卫星网络或系统之间的潜在干扰问题非常重要。</w:t>
      </w:r>
    </w:p>
    <w:p w14:paraId="454B7FCB"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理想的</w:t>
      </w:r>
      <w:r>
        <w:rPr>
          <w:rFonts w:hint="eastAsia"/>
          <w:lang w:val="zh-CN" w:eastAsia="zh-CN"/>
        </w:rPr>
        <w:t>状况</w:t>
      </w:r>
      <w:r>
        <w:rPr>
          <w:lang w:val="zh-CN" w:eastAsia="zh-CN"/>
        </w:rPr>
        <w:t>是，这一阶段的程序应在卫星项目期间尽早启动（</w:t>
      </w:r>
      <w:r w:rsidRPr="002671F6">
        <w:rPr>
          <w:rFonts w:hint="eastAsia"/>
          <w:lang w:val="zh-CN" w:eastAsia="zh-CN"/>
        </w:rPr>
        <w:t>但不得晚于计划</w:t>
      </w:r>
      <w:r>
        <w:rPr>
          <w:rFonts w:hint="eastAsia"/>
          <w:lang w:val="zh-CN" w:eastAsia="zh-CN"/>
        </w:rPr>
        <w:t>启用</w:t>
      </w:r>
      <w:r w:rsidRPr="002671F6">
        <w:rPr>
          <w:rFonts w:hint="eastAsia"/>
          <w:lang w:val="zh-CN" w:eastAsia="zh-CN"/>
        </w:rPr>
        <w:t>日期前</w:t>
      </w:r>
      <w:r w:rsidRPr="002671F6">
        <w:rPr>
          <w:rFonts w:hint="eastAsia"/>
          <w:lang w:val="zh-CN" w:eastAsia="zh-CN"/>
        </w:rPr>
        <w:t>7</w:t>
      </w:r>
      <w:r w:rsidRPr="002671F6">
        <w:rPr>
          <w:rFonts w:hint="eastAsia"/>
          <w:lang w:val="zh-CN" w:eastAsia="zh-CN"/>
        </w:rPr>
        <w:t>年</w:t>
      </w:r>
      <w:r>
        <w:rPr>
          <w:lang w:val="zh-CN" w:eastAsia="zh-CN"/>
        </w:rPr>
        <w:t>），并且在规划的卫星网络或系统发射之前尽早启动。</w:t>
      </w:r>
    </w:p>
    <w:p w14:paraId="7C727492" w14:textId="77777777" w:rsidR="009B2D93" w:rsidRPr="001F098F"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考虑到不同的规则期限：提交</w:t>
      </w:r>
      <w:r>
        <w:rPr>
          <w:lang w:val="zh-CN" w:eastAsia="zh-CN"/>
        </w:rPr>
        <w:t>API</w:t>
      </w:r>
      <w:r>
        <w:rPr>
          <w:lang w:val="zh-CN" w:eastAsia="zh-CN"/>
        </w:rPr>
        <w:t>后两个月的公布时间（第</w:t>
      </w:r>
      <w:r w:rsidRPr="001F098F">
        <w:rPr>
          <w:b/>
          <w:bCs/>
          <w:lang w:val="zh-CN" w:eastAsia="zh-CN"/>
        </w:rPr>
        <w:t>9.2B</w:t>
      </w:r>
      <w:r>
        <w:rPr>
          <w:lang w:val="zh-CN" w:eastAsia="zh-CN"/>
        </w:rPr>
        <w:t>款）、四个月的意见征求期（第</w:t>
      </w:r>
      <w:r w:rsidRPr="001F098F">
        <w:rPr>
          <w:b/>
          <w:bCs/>
          <w:lang w:val="zh-CN" w:eastAsia="zh-CN"/>
        </w:rPr>
        <w:t>9.3</w:t>
      </w:r>
      <w:r>
        <w:rPr>
          <w:lang w:val="zh-CN" w:eastAsia="zh-CN"/>
        </w:rPr>
        <w:t>款）以及可能</w:t>
      </w:r>
      <w:r w:rsidRPr="002671F6">
        <w:rPr>
          <w:rFonts w:hint="eastAsia"/>
          <w:lang w:val="zh-CN" w:eastAsia="zh-CN"/>
        </w:rPr>
        <w:t>存在的</w:t>
      </w:r>
      <w:r>
        <w:rPr>
          <w:lang w:val="zh-CN" w:eastAsia="zh-CN"/>
        </w:rPr>
        <w:t>公布意见清单的时间（第</w:t>
      </w:r>
      <w:r w:rsidRPr="001F098F">
        <w:rPr>
          <w:b/>
          <w:bCs/>
          <w:lang w:val="zh-CN" w:eastAsia="zh-CN"/>
        </w:rPr>
        <w:t>9.5</w:t>
      </w:r>
      <w:r>
        <w:rPr>
          <w:lang w:val="zh-CN" w:eastAsia="zh-CN"/>
        </w:rPr>
        <w:t>款），</w:t>
      </w:r>
      <w:r w:rsidRPr="002671F6">
        <w:rPr>
          <w:rFonts w:hint="eastAsia"/>
          <w:lang w:val="zh-CN" w:eastAsia="zh-CN"/>
        </w:rPr>
        <w:t>最迟应在发射前至少提前</w:t>
      </w:r>
      <w:r w:rsidRPr="002671F6">
        <w:rPr>
          <w:rFonts w:hint="eastAsia"/>
          <w:lang w:val="zh-CN" w:eastAsia="zh-CN"/>
        </w:rPr>
        <w:t>9</w:t>
      </w:r>
      <w:r w:rsidRPr="002671F6">
        <w:rPr>
          <w:rFonts w:hint="eastAsia"/>
          <w:lang w:val="zh-CN" w:eastAsia="zh-CN"/>
        </w:rPr>
        <w:t>个月至</w:t>
      </w:r>
      <w:r w:rsidRPr="002671F6">
        <w:rPr>
          <w:rFonts w:hint="eastAsia"/>
          <w:lang w:val="zh-CN" w:eastAsia="zh-CN"/>
        </w:rPr>
        <w:t>1</w:t>
      </w:r>
      <w:r w:rsidRPr="002671F6">
        <w:rPr>
          <w:rFonts w:hint="eastAsia"/>
          <w:lang w:val="zh-CN" w:eastAsia="zh-CN"/>
        </w:rPr>
        <w:t>年提交</w:t>
      </w:r>
      <w:r w:rsidRPr="002671F6">
        <w:rPr>
          <w:rFonts w:hint="eastAsia"/>
          <w:lang w:val="zh-CN" w:eastAsia="zh-CN"/>
        </w:rPr>
        <w:t>API</w:t>
      </w:r>
      <w:r>
        <w:rPr>
          <w:lang w:val="zh-CN" w:eastAsia="zh-CN"/>
        </w:rPr>
        <w:t>资料</w:t>
      </w:r>
      <w:r w:rsidRPr="002671F6">
        <w:rPr>
          <w:rFonts w:hint="eastAsia"/>
          <w:lang w:val="zh-CN" w:eastAsia="zh-CN"/>
        </w:rPr>
        <w:t>。</w:t>
      </w:r>
    </w:p>
    <w:p w14:paraId="4DEEFF79" w14:textId="77777777" w:rsidR="009B2D93" w:rsidRPr="00B94938"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rFonts w:asciiTheme="minorHAnsi" w:eastAsia="Times New Roman" w:hAnsiTheme="minorHAnsi" w:cstheme="minorHAnsi"/>
          <w:color w:val="000000"/>
          <w:szCs w:val="24"/>
          <w:lang w:eastAsia="zh-CN"/>
        </w:rPr>
      </w:pPr>
      <w:r>
        <w:rPr>
          <w:lang w:val="zh-CN" w:eastAsia="zh-CN"/>
        </w:rPr>
        <w:t>无线电通信局借此机会重申并强调</w:t>
      </w:r>
      <w:r>
        <w:rPr>
          <w:rFonts w:hint="eastAsia"/>
          <w:lang w:val="zh-CN" w:eastAsia="zh-CN"/>
        </w:rPr>
        <w:t>，</w:t>
      </w:r>
      <w:r>
        <w:rPr>
          <w:lang w:val="zh-CN" w:eastAsia="zh-CN"/>
        </w:rPr>
        <w:t>及时执行</w:t>
      </w:r>
      <w:r>
        <w:rPr>
          <w:lang w:val="zh-CN" w:eastAsia="zh-CN"/>
        </w:rPr>
        <w:t>API</w:t>
      </w:r>
      <w:r>
        <w:rPr>
          <w:lang w:val="zh-CN" w:eastAsia="zh-CN"/>
        </w:rPr>
        <w:t>程序</w:t>
      </w:r>
      <w:r>
        <w:rPr>
          <w:rFonts w:hint="eastAsia"/>
          <w:lang w:val="zh-CN" w:eastAsia="zh-CN"/>
        </w:rPr>
        <w:t>、</w:t>
      </w:r>
      <w:r>
        <w:rPr>
          <w:lang w:val="zh-CN" w:eastAsia="zh-CN"/>
        </w:rPr>
        <w:t>在将规划的卫星网络或系统投入使用前为程序的每个阶段提供充足的时间</w:t>
      </w:r>
      <w:r>
        <w:rPr>
          <w:rFonts w:hint="eastAsia"/>
          <w:lang w:val="zh-CN" w:eastAsia="zh-CN"/>
        </w:rPr>
        <w:t>十分重要</w:t>
      </w:r>
      <w:r>
        <w:rPr>
          <w:lang w:val="zh-CN" w:eastAsia="zh-CN"/>
        </w:rPr>
        <w:t>。</w:t>
      </w:r>
    </w:p>
    <w:p w14:paraId="64CB974D" w14:textId="77777777" w:rsidR="009B2D93" w:rsidRPr="00B94938" w:rsidRDefault="009B2D93" w:rsidP="009B2D93">
      <w:pPr>
        <w:shd w:val="clear" w:color="auto" w:fill="FCFBFB"/>
        <w:tabs>
          <w:tab w:val="clear" w:pos="794"/>
          <w:tab w:val="clear" w:pos="1191"/>
          <w:tab w:val="clear" w:pos="1588"/>
          <w:tab w:val="clear" w:pos="1985"/>
        </w:tabs>
        <w:overflowPunct/>
        <w:autoSpaceDE/>
        <w:autoSpaceDN/>
        <w:adjustRightInd/>
        <w:spacing w:before="360" w:after="240"/>
        <w:textAlignment w:val="auto"/>
        <w:rPr>
          <w:rFonts w:asciiTheme="minorHAnsi" w:eastAsia="Times New Roman" w:hAnsiTheme="minorHAnsi" w:cstheme="minorHAnsi"/>
          <w:b/>
          <w:bCs/>
          <w:color w:val="000000"/>
          <w:szCs w:val="24"/>
          <w:lang w:eastAsia="zh-CN"/>
        </w:rPr>
      </w:pPr>
      <w:r>
        <w:rPr>
          <w:b/>
          <w:bCs/>
          <w:lang w:val="zh-CN" w:eastAsia="zh-CN"/>
        </w:rPr>
        <w:lastRenderedPageBreak/>
        <w:t>根据《无线电规则》第</w:t>
      </w:r>
      <w:r>
        <w:rPr>
          <w:b/>
          <w:bCs/>
          <w:lang w:val="zh-CN" w:eastAsia="zh-CN"/>
        </w:rPr>
        <w:t>11</w:t>
      </w:r>
      <w:r>
        <w:rPr>
          <w:b/>
          <w:bCs/>
          <w:lang w:val="zh-CN" w:eastAsia="zh-CN"/>
        </w:rPr>
        <w:t>条进行的频率指</w:t>
      </w:r>
      <w:proofErr w:type="gramStart"/>
      <w:r>
        <w:rPr>
          <w:b/>
          <w:bCs/>
          <w:lang w:val="zh-CN" w:eastAsia="zh-CN"/>
        </w:rPr>
        <w:t>配通知</w:t>
      </w:r>
      <w:proofErr w:type="gramEnd"/>
      <w:r>
        <w:rPr>
          <w:b/>
          <w:bCs/>
          <w:lang w:val="zh-CN" w:eastAsia="zh-CN"/>
        </w:rPr>
        <w:t>和通知启用日期</w:t>
      </w:r>
    </w:p>
    <w:p w14:paraId="717856B6"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在</w:t>
      </w:r>
      <w:r>
        <w:rPr>
          <w:lang w:val="zh-CN" w:eastAsia="zh-CN"/>
        </w:rPr>
        <w:t>API</w:t>
      </w:r>
      <w:r>
        <w:rPr>
          <w:lang w:val="zh-CN" w:eastAsia="zh-CN"/>
        </w:rPr>
        <w:t>程序之后，应根据《无线电规则》第</w:t>
      </w:r>
      <w:r w:rsidRPr="008D068E">
        <w:rPr>
          <w:b/>
          <w:bCs/>
          <w:lang w:val="zh-CN" w:eastAsia="zh-CN"/>
        </w:rPr>
        <w:t>11</w:t>
      </w:r>
      <w:r>
        <w:rPr>
          <w:lang w:val="zh-CN" w:eastAsia="zh-CN"/>
        </w:rPr>
        <w:t>条</w:t>
      </w:r>
      <w:r>
        <w:rPr>
          <w:rFonts w:hint="eastAsia"/>
          <w:lang w:val="zh-CN" w:eastAsia="zh-CN"/>
        </w:rPr>
        <w:t>对</w:t>
      </w:r>
      <w:r>
        <w:rPr>
          <w:lang w:val="zh-CN" w:eastAsia="zh-CN"/>
        </w:rPr>
        <w:t>卫星网络或系统的频率指</w:t>
      </w:r>
      <w:proofErr w:type="gramStart"/>
      <w:r>
        <w:rPr>
          <w:lang w:val="zh-CN" w:eastAsia="zh-CN"/>
        </w:rPr>
        <w:t>配</w:t>
      </w:r>
      <w:r>
        <w:rPr>
          <w:rFonts w:hint="eastAsia"/>
          <w:lang w:val="zh-CN" w:eastAsia="zh-CN"/>
        </w:rPr>
        <w:t>进行</w:t>
      </w:r>
      <w:proofErr w:type="gramEnd"/>
      <w:r>
        <w:rPr>
          <w:lang w:val="zh-CN" w:eastAsia="zh-CN"/>
        </w:rPr>
        <w:t>通知，以便登</w:t>
      </w:r>
      <w:r>
        <w:rPr>
          <w:rFonts w:hint="eastAsia"/>
          <w:lang w:val="zh-CN" w:eastAsia="zh-CN"/>
        </w:rPr>
        <w:t>入</w:t>
      </w:r>
      <w:r>
        <w:rPr>
          <w:lang w:val="zh-CN" w:eastAsia="zh-CN"/>
        </w:rPr>
        <w:t>《国际频率登记总表》（</w:t>
      </w:r>
      <w:r>
        <w:rPr>
          <w:lang w:val="zh-CN" w:eastAsia="zh-CN"/>
        </w:rPr>
        <w:t>MIFR</w:t>
      </w:r>
      <w:r>
        <w:rPr>
          <w:lang w:val="zh-CN" w:eastAsia="zh-CN"/>
        </w:rPr>
        <w:t>）。</w:t>
      </w:r>
    </w:p>
    <w:p w14:paraId="30A379FB" w14:textId="77777777" w:rsidR="009B2D9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sidRPr="001F098F">
        <w:rPr>
          <w:rFonts w:hint="eastAsia"/>
          <w:lang w:val="zh-CN" w:eastAsia="zh-CN"/>
        </w:rPr>
        <w:t>根据《无线电规则》第</w:t>
      </w:r>
      <w:r w:rsidRPr="00B161A7">
        <w:rPr>
          <w:rFonts w:hint="eastAsia"/>
          <w:b/>
          <w:bCs/>
          <w:lang w:val="zh-CN" w:eastAsia="zh-CN"/>
        </w:rPr>
        <w:t>8.1</w:t>
      </w:r>
      <w:r w:rsidRPr="001F098F">
        <w:rPr>
          <w:rFonts w:hint="eastAsia"/>
          <w:lang w:val="zh-CN" w:eastAsia="zh-CN"/>
        </w:rPr>
        <w:t>款，各主管部门</w:t>
      </w:r>
      <w:r>
        <w:rPr>
          <w:rFonts w:hint="eastAsia"/>
          <w:lang w:val="zh-CN" w:eastAsia="zh-CN"/>
        </w:rPr>
        <w:t>对其自身及其他主管部门的频率指配所享有的国际权利和义务，须以该指配在</w:t>
      </w:r>
      <w:r w:rsidRPr="001F098F">
        <w:rPr>
          <w:rFonts w:hint="eastAsia"/>
          <w:lang w:val="zh-CN" w:eastAsia="zh-CN"/>
        </w:rPr>
        <w:t>MIFR</w:t>
      </w:r>
      <w:r w:rsidRPr="001F098F">
        <w:rPr>
          <w:rFonts w:hint="eastAsia"/>
          <w:lang w:val="zh-CN" w:eastAsia="zh-CN"/>
        </w:rPr>
        <w:t>中</w:t>
      </w:r>
      <w:r>
        <w:rPr>
          <w:rFonts w:hint="eastAsia"/>
          <w:lang w:val="zh-CN" w:eastAsia="zh-CN"/>
        </w:rPr>
        <w:t>的</w:t>
      </w:r>
      <w:r w:rsidRPr="001F098F">
        <w:rPr>
          <w:rFonts w:hint="eastAsia"/>
          <w:lang w:val="zh-CN" w:eastAsia="zh-CN"/>
        </w:rPr>
        <w:t>登记</w:t>
      </w:r>
      <w:r>
        <w:rPr>
          <w:rFonts w:hint="eastAsia"/>
          <w:lang w:val="zh-CN" w:eastAsia="zh-CN"/>
        </w:rPr>
        <w:t>为依据。一</w:t>
      </w:r>
      <w:r w:rsidRPr="001F098F">
        <w:rPr>
          <w:rFonts w:hint="eastAsia"/>
          <w:lang w:val="zh-CN" w:eastAsia="zh-CN"/>
        </w:rPr>
        <w:t>旦以合格的审查结论登记，这些</w:t>
      </w:r>
      <w:proofErr w:type="gramStart"/>
      <w:r w:rsidRPr="001F098F">
        <w:rPr>
          <w:rFonts w:hint="eastAsia"/>
          <w:lang w:val="zh-CN" w:eastAsia="zh-CN"/>
        </w:rPr>
        <w:t>指配</w:t>
      </w:r>
      <w:r>
        <w:rPr>
          <w:rFonts w:hint="eastAsia"/>
          <w:lang w:val="zh-CN" w:eastAsia="zh-CN"/>
        </w:rPr>
        <w:t>即</w:t>
      </w:r>
      <w:r w:rsidRPr="001F098F">
        <w:rPr>
          <w:rFonts w:hint="eastAsia"/>
          <w:lang w:val="zh-CN" w:eastAsia="zh-CN"/>
        </w:rPr>
        <w:t>获得</w:t>
      </w:r>
      <w:proofErr w:type="gramEnd"/>
      <w:r w:rsidRPr="001F098F">
        <w:rPr>
          <w:rFonts w:hint="eastAsia"/>
          <w:lang w:val="zh-CN" w:eastAsia="zh-CN"/>
        </w:rPr>
        <w:t>国际认可的权利，这反过来又要求其他主管部门在做出自己的指配时将这些指</w:t>
      </w:r>
      <w:proofErr w:type="gramStart"/>
      <w:r w:rsidRPr="001F098F">
        <w:rPr>
          <w:rFonts w:hint="eastAsia"/>
          <w:lang w:val="zh-CN" w:eastAsia="zh-CN"/>
        </w:rPr>
        <w:t>配考虑</w:t>
      </w:r>
      <w:proofErr w:type="gramEnd"/>
      <w:r w:rsidRPr="001F098F">
        <w:rPr>
          <w:rFonts w:hint="eastAsia"/>
          <w:lang w:val="zh-CN" w:eastAsia="zh-CN"/>
        </w:rPr>
        <w:t>在内，以避免有害干扰（见第</w:t>
      </w:r>
      <w:r w:rsidRPr="00B161A7">
        <w:rPr>
          <w:rFonts w:hint="eastAsia"/>
          <w:b/>
          <w:bCs/>
          <w:lang w:val="zh-CN" w:eastAsia="zh-CN"/>
        </w:rPr>
        <w:t>8.3</w:t>
      </w:r>
      <w:r w:rsidRPr="001F098F">
        <w:rPr>
          <w:rFonts w:hint="eastAsia"/>
          <w:lang w:val="zh-CN" w:eastAsia="zh-CN"/>
        </w:rPr>
        <w:t>款）。</w:t>
      </w:r>
    </w:p>
    <w:p w14:paraId="0A8B6163"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因此，</w:t>
      </w:r>
      <w:r>
        <w:rPr>
          <w:rFonts w:hint="eastAsia"/>
          <w:lang w:val="zh-CN" w:eastAsia="zh-CN"/>
        </w:rPr>
        <w:t>对</w:t>
      </w:r>
      <w:r>
        <w:rPr>
          <w:lang w:val="zh-CN" w:eastAsia="zh-CN"/>
        </w:rPr>
        <w:t>其频率指</w:t>
      </w:r>
      <w:proofErr w:type="gramStart"/>
      <w:r>
        <w:rPr>
          <w:lang w:val="zh-CN" w:eastAsia="zh-CN"/>
        </w:rPr>
        <w:t>配</w:t>
      </w:r>
      <w:r>
        <w:rPr>
          <w:rFonts w:hint="eastAsia"/>
          <w:lang w:val="zh-CN" w:eastAsia="zh-CN"/>
        </w:rPr>
        <w:t>做出</w:t>
      </w:r>
      <w:proofErr w:type="gramEnd"/>
      <w:r>
        <w:rPr>
          <w:lang w:val="zh-CN" w:eastAsia="zh-CN"/>
        </w:rPr>
        <w:t>通知最符合所有主管部门的利益。</w:t>
      </w:r>
    </w:p>
    <w:p w14:paraId="2023C638"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sidRPr="00B161A7">
        <w:rPr>
          <w:rFonts w:hint="eastAsia"/>
          <w:lang w:val="zh-CN" w:eastAsia="zh-CN"/>
        </w:rPr>
        <w:t>此外，在通知阶段，如果对卫星网络或系统有超出第</w:t>
      </w:r>
      <w:r w:rsidRPr="00B161A7">
        <w:rPr>
          <w:rFonts w:hint="eastAsia"/>
          <w:b/>
          <w:bCs/>
          <w:lang w:val="zh-CN" w:eastAsia="zh-CN"/>
        </w:rPr>
        <w:t>9.2</w:t>
      </w:r>
      <w:r w:rsidRPr="00B161A7">
        <w:rPr>
          <w:rFonts w:hint="eastAsia"/>
          <w:lang w:val="zh-CN" w:eastAsia="zh-CN"/>
        </w:rPr>
        <w:t>款规定范围的后期修改，通知主管部门可以提供更新信息。在这方面，《无线电规则》第</w:t>
      </w:r>
      <w:r w:rsidRPr="00B161A7">
        <w:rPr>
          <w:rFonts w:hint="eastAsia"/>
          <w:b/>
          <w:bCs/>
          <w:lang w:val="zh-CN" w:eastAsia="zh-CN"/>
        </w:rPr>
        <w:t>11.28.1</w:t>
      </w:r>
      <w:r w:rsidRPr="00B161A7">
        <w:rPr>
          <w:rFonts w:hint="eastAsia"/>
          <w:lang w:val="zh-CN" w:eastAsia="zh-CN"/>
        </w:rPr>
        <w:t>款使其他主管部门能够解决因修改而导致的干扰问题，并支持主管部门之间</w:t>
      </w:r>
      <w:r>
        <w:rPr>
          <w:rFonts w:hint="eastAsia"/>
          <w:lang w:val="zh-CN" w:eastAsia="zh-CN"/>
        </w:rPr>
        <w:t>持续</w:t>
      </w:r>
      <w:r w:rsidRPr="00B161A7">
        <w:rPr>
          <w:rFonts w:hint="eastAsia"/>
          <w:lang w:val="zh-CN" w:eastAsia="zh-CN"/>
        </w:rPr>
        <w:t>解决</w:t>
      </w:r>
      <w:r>
        <w:rPr>
          <w:rFonts w:hint="eastAsia"/>
          <w:lang w:val="zh-CN" w:eastAsia="zh-CN"/>
        </w:rPr>
        <w:t>相关</w:t>
      </w:r>
      <w:r w:rsidRPr="00B161A7">
        <w:rPr>
          <w:rFonts w:hint="eastAsia"/>
          <w:lang w:val="zh-CN" w:eastAsia="zh-CN"/>
        </w:rPr>
        <w:t>困难。</w:t>
      </w:r>
    </w:p>
    <w:p w14:paraId="17780F1D"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sidRPr="00B45833">
        <w:rPr>
          <w:rFonts w:hint="eastAsia"/>
          <w:lang w:val="zh-CN" w:eastAsia="zh-CN"/>
        </w:rPr>
        <w:t>第</w:t>
      </w:r>
      <w:r w:rsidRPr="00B45833">
        <w:rPr>
          <w:rFonts w:hint="eastAsia"/>
          <w:b/>
          <w:bCs/>
          <w:lang w:val="zh-CN" w:eastAsia="zh-CN"/>
        </w:rPr>
        <w:t>11.44.1</w:t>
      </w:r>
      <w:r w:rsidRPr="00B45833">
        <w:rPr>
          <w:rFonts w:hint="eastAsia"/>
          <w:lang w:val="zh-CN" w:eastAsia="zh-CN"/>
        </w:rPr>
        <w:t>款规定了七年的规则期限，在该期限内应提交卫星网络或系统指配的首次登记通知</w:t>
      </w:r>
      <w:r>
        <w:rPr>
          <w:rFonts w:hint="eastAsia"/>
          <w:lang w:val="zh-CN" w:eastAsia="zh-CN"/>
        </w:rPr>
        <w:t>。</w:t>
      </w:r>
      <w:r w:rsidRPr="008D068E">
        <w:rPr>
          <w:rFonts w:hint="eastAsia"/>
          <w:lang w:val="zh-CN" w:eastAsia="zh-CN"/>
        </w:rPr>
        <w:t>此外，</w:t>
      </w:r>
      <w:r w:rsidRPr="00B45833">
        <w:rPr>
          <w:rFonts w:hint="eastAsia"/>
          <w:lang w:val="zh-CN" w:eastAsia="zh-CN"/>
        </w:rPr>
        <w:t>该通知还</w:t>
      </w:r>
      <w:r w:rsidRPr="008D068E">
        <w:rPr>
          <w:rFonts w:hint="eastAsia"/>
          <w:lang w:val="zh-CN" w:eastAsia="zh-CN"/>
        </w:rPr>
        <w:t>用于通报</w:t>
      </w:r>
      <w:r w:rsidRPr="00B45833">
        <w:rPr>
          <w:rFonts w:hint="eastAsia"/>
          <w:lang w:val="zh-CN" w:eastAsia="zh-CN"/>
        </w:rPr>
        <w:t>卫星网络或系统</w:t>
      </w:r>
      <w:r>
        <w:rPr>
          <w:rFonts w:hint="eastAsia"/>
          <w:lang w:val="zh-CN" w:eastAsia="zh-CN"/>
        </w:rPr>
        <w:t>的启用</w:t>
      </w:r>
      <w:r w:rsidRPr="00B45833">
        <w:rPr>
          <w:rFonts w:hint="eastAsia"/>
          <w:lang w:val="zh-CN" w:eastAsia="zh-CN"/>
        </w:rPr>
        <w:t>日期。</w:t>
      </w:r>
    </w:p>
    <w:p w14:paraId="73E88AEC"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为了让其他主管部门提前</w:t>
      </w:r>
      <w:r>
        <w:rPr>
          <w:rFonts w:hint="eastAsia"/>
          <w:lang w:val="zh-CN" w:eastAsia="zh-CN"/>
        </w:rPr>
        <w:t>知晓</w:t>
      </w:r>
      <w:r>
        <w:rPr>
          <w:lang w:val="zh-CN" w:eastAsia="zh-CN"/>
        </w:rPr>
        <w:t>卫星网络或系统何时启用，鼓励通知主管部门在卫星网络或系统计划启用日期之前</w:t>
      </w:r>
      <w:r>
        <w:rPr>
          <w:rFonts w:hint="eastAsia"/>
          <w:lang w:val="zh-CN" w:eastAsia="zh-CN"/>
        </w:rPr>
        <w:t>，</w:t>
      </w:r>
      <w:r>
        <w:rPr>
          <w:lang w:val="zh-CN" w:eastAsia="zh-CN"/>
        </w:rPr>
        <w:t>或最晚在启用之时</w:t>
      </w:r>
      <w:r>
        <w:rPr>
          <w:rFonts w:hint="eastAsia"/>
          <w:lang w:val="zh-CN" w:eastAsia="zh-CN"/>
        </w:rPr>
        <w:t>，</w:t>
      </w:r>
      <w:r>
        <w:rPr>
          <w:lang w:val="zh-CN" w:eastAsia="zh-CN"/>
        </w:rPr>
        <w:t>提交根据第</w:t>
      </w:r>
      <w:r w:rsidRPr="00B45833">
        <w:rPr>
          <w:b/>
          <w:bCs/>
          <w:lang w:val="zh-CN" w:eastAsia="zh-CN"/>
        </w:rPr>
        <w:t>11</w:t>
      </w:r>
      <w:r>
        <w:rPr>
          <w:lang w:val="zh-CN" w:eastAsia="zh-CN"/>
        </w:rPr>
        <w:t>条进行登记的通知。</w:t>
      </w:r>
    </w:p>
    <w:p w14:paraId="3B267333"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此外，通知</w:t>
      </w:r>
      <w:r>
        <w:rPr>
          <w:rFonts w:hint="eastAsia"/>
          <w:lang w:val="zh-CN" w:eastAsia="zh-CN"/>
        </w:rPr>
        <w:t>启用</w:t>
      </w:r>
      <w:r>
        <w:rPr>
          <w:lang w:val="zh-CN" w:eastAsia="zh-CN"/>
        </w:rPr>
        <w:t>日期使无线电通信</w:t>
      </w:r>
      <w:proofErr w:type="gramStart"/>
      <w:r>
        <w:rPr>
          <w:lang w:val="zh-CN" w:eastAsia="zh-CN"/>
        </w:rPr>
        <w:t>局得以</w:t>
      </w:r>
      <w:proofErr w:type="gramEnd"/>
      <w:r>
        <w:rPr>
          <w:lang w:val="zh-CN" w:eastAsia="zh-CN"/>
        </w:rPr>
        <w:t>执行第</w:t>
      </w:r>
      <w:r w:rsidRPr="00B94938">
        <w:rPr>
          <w:rFonts w:asciiTheme="minorHAnsi" w:hAnsiTheme="minorHAnsi" w:cstheme="minorHAnsi"/>
          <w:b/>
          <w:bCs/>
          <w:color w:val="000000"/>
          <w:lang w:eastAsia="zh-CN"/>
        </w:rPr>
        <w:t>13.6</w:t>
      </w:r>
      <w:r>
        <w:rPr>
          <w:lang w:val="zh-CN" w:eastAsia="zh-CN"/>
        </w:rPr>
        <w:t>款规定的程序，确保无线电频率和轨道的有效和合法使用。</w:t>
      </w:r>
    </w:p>
    <w:p w14:paraId="4D1E41EB"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鉴于上述考虑，敦促各主管部门在其启用之前，或者最迟在启用之</w:t>
      </w:r>
      <w:r>
        <w:rPr>
          <w:rFonts w:hint="eastAsia"/>
          <w:lang w:val="zh-CN" w:eastAsia="zh-CN"/>
        </w:rPr>
        <w:t>时</w:t>
      </w:r>
      <w:r>
        <w:rPr>
          <w:lang w:val="zh-CN" w:eastAsia="zh-CN"/>
        </w:rPr>
        <w:t>，执行通知程序，并在根据第</w:t>
      </w:r>
      <w:r w:rsidRPr="000A2F03">
        <w:rPr>
          <w:b/>
          <w:bCs/>
          <w:lang w:val="zh-CN" w:eastAsia="zh-CN"/>
        </w:rPr>
        <w:t>11</w:t>
      </w:r>
      <w:r>
        <w:rPr>
          <w:lang w:val="zh-CN" w:eastAsia="zh-CN"/>
        </w:rPr>
        <w:t>条提交的正式通知中告知启用日期，以便</w:t>
      </w:r>
      <w:r w:rsidRPr="000A2F03">
        <w:rPr>
          <w:rFonts w:hint="eastAsia"/>
          <w:lang w:val="zh-CN" w:eastAsia="zh-CN"/>
        </w:rPr>
        <w:t>将相关信息提供给</w:t>
      </w:r>
      <w:r>
        <w:rPr>
          <w:lang w:val="zh-CN" w:eastAsia="zh-CN"/>
        </w:rPr>
        <w:t>所有主管部门，</w:t>
      </w:r>
      <w:r w:rsidRPr="000A2F03">
        <w:rPr>
          <w:rFonts w:hint="eastAsia"/>
          <w:lang w:val="zh-CN" w:eastAsia="zh-CN"/>
        </w:rPr>
        <w:t>实现无线电频率频谱和轨道资源的有效管理、协调和共</w:t>
      </w:r>
      <w:r>
        <w:rPr>
          <w:rFonts w:hint="eastAsia"/>
          <w:lang w:val="zh-CN" w:eastAsia="zh-CN"/>
        </w:rPr>
        <w:t>用</w:t>
      </w:r>
      <w:r w:rsidRPr="000A2F03">
        <w:rPr>
          <w:rFonts w:hint="eastAsia"/>
          <w:lang w:val="zh-CN" w:eastAsia="zh-CN"/>
        </w:rPr>
        <w:t>。</w:t>
      </w:r>
    </w:p>
    <w:p w14:paraId="666C2972" w14:textId="597C1DC6" w:rsidR="009B2D93" w:rsidRPr="009B2D93" w:rsidRDefault="009B2D93" w:rsidP="009B2D93">
      <w:pPr>
        <w:shd w:val="clear" w:color="auto" w:fill="FCFBFB"/>
        <w:tabs>
          <w:tab w:val="clear" w:pos="794"/>
          <w:tab w:val="clear" w:pos="1191"/>
          <w:tab w:val="clear" w:pos="1588"/>
          <w:tab w:val="clear" w:pos="1985"/>
        </w:tabs>
        <w:overflowPunct/>
        <w:autoSpaceDE/>
        <w:autoSpaceDN/>
        <w:adjustRightInd/>
        <w:spacing w:before="180"/>
        <w:textAlignment w:val="auto"/>
        <w:rPr>
          <w:rFonts w:asciiTheme="minorHAnsi" w:eastAsia="Times New Roman" w:hAnsiTheme="minorHAnsi" w:cstheme="minorHAnsi"/>
          <w:b/>
          <w:bCs/>
          <w:color w:val="000000"/>
          <w:szCs w:val="24"/>
          <w:lang w:eastAsia="zh-CN"/>
        </w:rPr>
      </w:pPr>
      <w:r w:rsidRPr="00B16210">
        <w:rPr>
          <w:rFonts w:hint="eastAsia"/>
          <w:b/>
          <w:bCs/>
          <w:lang w:val="zh-CN" w:eastAsia="zh-CN"/>
        </w:rPr>
        <w:t>MIFR</w:t>
      </w:r>
      <w:r w:rsidRPr="00B16210">
        <w:rPr>
          <w:rFonts w:hint="eastAsia"/>
          <w:b/>
          <w:bCs/>
          <w:lang w:val="zh-CN" w:eastAsia="zh-CN"/>
        </w:rPr>
        <w:t>的维护</w:t>
      </w:r>
    </w:p>
    <w:p w14:paraId="5E7EEAF4"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当一个频率指配或整个申报不再适用或不再使用时，鼓励主管部门向无线电通信局通报并要求从</w:t>
      </w:r>
      <w:r>
        <w:rPr>
          <w:rFonts w:hint="eastAsia"/>
          <w:lang w:val="zh-CN" w:eastAsia="zh-CN"/>
        </w:rPr>
        <w:t>《</w:t>
      </w:r>
      <w:r>
        <w:rPr>
          <w:lang w:val="zh-CN" w:eastAsia="zh-CN"/>
        </w:rPr>
        <w:t>国际频率登记总表</w:t>
      </w:r>
      <w:r>
        <w:rPr>
          <w:rFonts w:hint="eastAsia"/>
          <w:lang w:val="zh-CN" w:eastAsia="zh-CN"/>
        </w:rPr>
        <w:t>》</w:t>
      </w:r>
      <w:r>
        <w:rPr>
          <w:lang w:val="zh-CN" w:eastAsia="zh-CN"/>
        </w:rPr>
        <w:t>（</w:t>
      </w:r>
      <w:r>
        <w:rPr>
          <w:lang w:val="zh-CN" w:eastAsia="zh-CN"/>
        </w:rPr>
        <w:t>MIFR</w:t>
      </w:r>
      <w:r>
        <w:rPr>
          <w:lang w:val="zh-CN" w:eastAsia="zh-CN"/>
        </w:rPr>
        <w:t>）中删除该信息。</w:t>
      </w:r>
    </w:p>
    <w:p w14:paraId="46088C19"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这种自愿沟通对于保持</w:t>
      </w:r>
      <w:r>
        <w:rPr>
          <w:lang w:val="zh-CN" w:eastAsia="zh-CN"/>
        </w:rPr>
        <w:t>MIFR</w:t>
      </w:r>
      <w:r>
        <w:rPr>
          <w:lang w:val="zh-CN" w:eastAsia="zh-CN"/>
        </w:rPr>
        <w:t>的准确性和可靠性至关重要，因为</w:t>
      </w:r>
      <w:r>
        <w:rPr>
          <w:lang w:val="zh-CN" w:eastAsia="zh-CN"/>
        </w:rPr>
        <w:t>MIFR</w:t>
      </w:r>
      <w:r>
        <w:rPr>
          <w:lang w:val="zh-CN" w:eastAsia="zh-CN"/>
        </w:rPr>
        <w:t>是国际无线电频率管理和协调的重要参考文件。这将有助于确保</w:t>
      </w:r>
      <w:r>
        <w:rPr>
          <w:lang w:val="zh-CN" w:eastAsia="zh-CN"/>
        </w:rPr>
        <w:t>MIFR</w:t>
      </w:r>
      <w:r>
        <w:rPr>
          <w:lang w:val="zh-CN" w:eastAsia="zh-CN"/>
        </w:rPr>
        <w:t>中包含的数据保持最新、可靠，并且没有过时或</w:t>
      </w:r>
      <w:r>
        <w:rPr>
          <w:rFonts w:hint="eastAsia"/>
          <w:lang w:val="zh-CN" w:eastAsia="zh-CN"/>
        </w:rPr>
        <w:t>无效</w:t>
      </w:r>
      <w:r>
        <w:rPr>
          <w:lang w:val="zh-CN" w:eastAsia="zh-CN"/>
        </w:rPr>
        <w:t>的条目，否则这些数据可能会影响有效的决策并延长磋商进程。</w:t>
      </w:r>
    </w:p>
    <w:p w14:paraId="50F385C7" w14:textId="77777777" w:rsidR="009B2D93" w:rsidRPr="00F4238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lang w:val="zh-CN" w:eastAsia="zh-CN"/>
        </w:rPr>
      </w:pPr>
      <w:r>
        <w:rPr>
          <w:lang w:val="zh-CN" w:eastAsia="zh-CN"/>
        </w:rPr>
        <w:t>这</w:t>
      </w:r>
      <w:r>
        <w:rPr>
          <w:rFonts w:hint="eastAsia"/>
          <w:lang w:val="zh-CN" w:eastAsia="zh-CN"/>
        </w:rPr>
        <w:t>一做法</w:t>
      </w:r>
      <w:r>
        <w:rPr>
          <w:lang w:val="zh-CN" w:eastAsia="zh-CN"/>
        </w:rPr>
        <w:t>对于</w:t>
      </w:r>
      <w:r>
        <w:rPr>
          <w:rFonts w:hint="eastAsia"/>
          <w:lang w:val="zh-CN" w:eastAsia="zh-CN"/>
        </w:rPr>
        <w:t>非对地静止</w:t>
      </w:r>
      <w:r>
        <w:rPr>
          <w:lang w:val="zh-CN" w:eastAsia="zh-CN"/>
        </w:rPr>
        <w:t>卫星（</w:t>
      </w:r>
      <w:r>
        <w:rPr>
          <w:lang w:val="zh-CN" w:eastAsia="zh-CN"/>
        </w:rPr>
        <w:t>non-GSO</w:t>
      </w:r>
      <w:r>
        <w:rPr>
          <w:lang w:val="zh-CN" w:eastAsia="zh-CN"/>
        </w:rPr>
        <w:t>）网络和系统尤其重要，</w:t>
      </w:r>
      <w:r>
        <w:rPr>
          <w:rFonts w:hint="eastAsia"/>
          <w:lang w:val="zh-CN" w:eastAsia="zh-CN"/>
        </w:rPr>
        <w:t>因</w:t>
      </w:r>
      <w:r>
        <w:rPr>
          <w:lang w:val="zh-CN" w:eastAsia="zh-CN"/>
        </w:rPr>
        <w:t>其运行寿命通常短于</w:t>
      </w:r>
      <w:r>
        <w:rPr>
          <w:lang w:val="zh-CN" w:eastAsia="zh-CN"/>
        </w:rPr>
        <w:t>GSO</w:t>
      </w:r>
      <w:r>
        <w:rPr>
          <w:lang w:val="zh-CN" w:eastAsia="zh-CN"/>
        </w:rPr>
        <w:t>卫星网络和系统，因此及时清除过时的申报和频率指配对于保持</w:t>
      </w:r>
      <w:r>
        <w:rPr>
          <w:lang w:val="zh-CN" w:eastAsia="zh-CN"/>
        </w:rPr>
        <w:t>MIFR</w:t>
      </w:r>
      <w:r>
        <w:rPr>
          <w:rFonts w:hint="eastAsia"/>
          <w:lang w:val="zh-CN" w:eastAsia="zh-CN"/>
        </w:rPr>
        <w:t>资料</w:t>
      </w:r>
      <w:r>
        <w:rPr>
          <w:lang w:val="zh-CN" w:eastAsia="zh-CN"/>
        </w:rPr>
        <w:t>的准确性至关重要。</w:t>
      </w:r>
    </w:p>
    <w:p w14:paraId="2960164F" w14:textId="77777777" w:rsidR="009B2D93" w:rsidRPr="00B94938"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rFonts w:asciiTheme="minorHAnsi" w:eastAsia="Times New Roman" w:hAnsiTheme="minorHAnsi" w:cstheme="minorHAnsi"/>
          <w:szCs w:val="24"/>
          <w:lang w:eastAsia="zh-CN"/>
        </w:rPr>
      </w:pPr>
      <w:r>
        <w:rPr>
          <w:lang w:val="zh-CN" w:eastAsia="zh-CN"/>
        </w:rPr>
        <w:t>因此，无线电通信局请各主管部门向</w:t>
      </w:r>
      <w:r>
        <w:rPr>
          <w:rFonts w:hint="eastAsia"/>
          <w:lang w:val="zh-CN" w:eastAsia="zh-CN"/>
        </w:rPr>
        <w:t>其</w:t>
      </w:r>
      <w:r>
        <w:rPr>
          <w:lang w:val="zh-CN" w:eastAsia="zh-CN"/>
        </w:rPr>
        <w:t>通报任何不再使用的申报资料和频率指配。</w:t>
      </w:r>
    </w:p>
    <w:p w14:paraId="01D599F6" w14:textId="77777777" w:rsidR="00983159" w:rsidRPr="00F12A66" w:rsidRDefault="00983159">
      <w:pPr>
        <w:tabs>
          <w:tab w:val="clear" w:pos="794"/>
          <w:tab w:val="clear" w:pos="1191"/>
          <w:tab w:val="clear" w:pos="1588"/>
          <w:tab w:val="clear" w:pos="1985"/>
        </w:tabs>
        <w:overflowPunct/>
        <w:autoSpaceDE/>
        <w:autoSpaceDN/>
        <w:adjustRightInd/>
        <w:spacing w:before="0"/>
        <w:jc w:val="left"/>
        <w:textAlignment w:val="auto"/>
        <w:rPr>
          <w:b/>
          <w:bCs/>
          <w:lang w:eastAsia="zh-CN"/>
        </w:rPr>
      </w:pPr>
      <w:r>
        <w:rPr>
          <w:b/>
          <w:bCs/>
          <w:lang w:val="zh-CN" w:eastAsia="zh-CN"/>
        </w:rPr>
        <w:br w:type="page"/>
      </w:r>
    </w:p>
    <w:p w14:paraId="6644A791" w14:textId="1EA02C70" w:rsidR="009B2D93" w:rsidRPr="00B94938" w:rsidRDefault="009B2D93" w:rsidP="009B2D93">
      <w:pPr>
        <w:tabs>
          <w:tab w:val="clear" w:pos="794"/>
          <w:tab w:val="clear" w:pos="1191"/>
          <w:tab w:val="clear" w:pos="1588"/>
          <w:tab w:val="clear" w:pos="1985"/>
        </w:tabs>
        <w:overflowPunct/>
        <w:autoSpaceDE/>
        <w:autoSpaceDN/>
        <w:adjustRightInd/>
        <w:spacing w:before="360"/>
        <w:textAlignment w:val="auto"/>
        <w:rPr>
          <w:rFonts w:asciiTheme="minorHAnsi" w:eastAsia="Times New Roman" w:hAnsiTheme="minorHAnsi" w:cstheme="minorHAnsi"/>
          <w:b/>
          <w:bCs/>
          <w:szCs w:val="24"/>
          <w:lang w:eastAsia="zh-CN"/>
        </w:rPr>
      </w:pPr>
      <w:r>
        <w:rPr>
          <w:b/>
          <w:bCs/>
          <w:lang w:val="zh-CN" w:eastAsia="zh-CN"/>
        </w:rPr>
        <w:lastRenderedPageBreak/>
        <w:t>总结</w:t>
      </w:r>
    </w:p>
    <w:p w14:paraId="72DD61D4" w14:textId="77777777" w:rsidR="009B2D93" w:rsidRDefault="009B2D93" w:rsidP="009B2D93">
      <w:pPr>
        <w:tabs>
          <w:tab w:val="clear" w:pos="794"/>
          <w:tab w:val="clear" w:pos="1191"/>
          <w:tab w:val="clear" w:pos="1588"/>
          <w:tab w:val="clear" w:pos="1985"/>
          <w:tab w:val="left" w:pos="2410"/>
        </w:tabs>
        <w:overflowPunct/>
        <w:autoSpaceDE/>
        <w:autoSpaceDN/>
        <w:adjustRightInd/>
        <w:spacing w:before="180"/>
        <w:ind w:firstLineChars="200" w:firstLine="480"/>
        <w:textAlignment w:val="auto"/>
        <w:rPr>
          <w:rFonts w:asciiTheme="minorHAnsi" w:eastAsia="Times New Roman" w:hAnsiTheme="minorHAnsi" w:cstheme="minorHAnsi"/>
          <w:szCs w:val="24"/>
          <w:lang w:eastAsia="zh-CN"/>
        </w:rPr>
      </w:pPr>
      <w:r>
        <w:rPr>
          <w:lang w:val="zh-CN" w:eastAsia="zh-CN"/>
        </w:rPr>
        <w:t>鉴于上述考虑，各主管部门应认识到《无线电规则》第</w:t>
      </w:r>
      <w:r w:rsidRPr="00460819">
        <w:rPr>
          <w:b/>
          <w:bCs/>
          <w:lang w:val="zh-CN" w:eastAsia="zh-CN"/>
        </w:rPr>
        <w:t>9</w:t>
      </w:r>
      <w:r>
        <w:rPr>
          <w:lang w:val="zh-CN" w:eastAsia="zh-CN"/>
        </w:rPr>
        <w:t>条和第</w:t>
      </w:r>
      <w:r w:rsidRPr="00460819">
        <w:rPr>
          <w:b/>
          <w:bCs/>
          <w:lang w:val="zh-CN" w:eastAsia="zh-CN"/>
        </w:rPr>
        <w:t>11</w:t>
      </w:r>
      <w:r>
        <w:rPr>
          <w:lang w:val="zh-CN" w:eastAsia="zh-CN"/>
        </w:rPr>
        <w:t>条所述规则框架的重要性。</w:t>
      </w:r>
      <w:r>
        <w:rPr>
          <w:rFonts w:hint="eastAsia"/>
          <w:lang w:val="zh-CN" w:eastAsia="zh-CN"/>
        </w:rPr>
        <w:t>执行</w:t>
      </w:r>
      <w:r>
        <w:rPr>
          <w:lang w:val="zh-CN" w:eastAsia="zh-CN"/>
        </w:rPr>
        <w:t>和遵守这些程序对于确保无线电频谱和轨道资源的长期</w:t>
      </w:r>
      <w:r w:rsidRPr="00460819">
        <w:rPr>
          <w:rFonts w:hint="eastAsia"/>
          <w:lang w:val="zh-CN" w:eastAsia="zh-CN"/>
        </w:rPr>
        <w:t>可用性</w:t>
      </w:r>
      <w:r>
        <w:rPr>
          <w:lang w:val="zh-CN" w:eastAsia="zh-CN"/>
        </w:rPr>
        <w:t>至关重要。</w:t>
      </w:r>
      <w:proofErr w:type="gramStart"/>
      <w:r>
        <w:rPr>
          <w:lang w:val="zh-CN" w:eastAsia="zh-CN"/>
        </w:rPr>
        <w:t>亦鼓励</w:t>
      </w:r>
      <w:proofErr w:type="gramEnd"/>
      <w:r>
        <w:rPr>
          <w:rFonts w:hint="eastAsia"/>
          <w:lang w:val="zh-CN" w:eastAsia="zh-CN"/>
        </w:rPr>
        <w:t>各</w:t>
      </w:r>
      <w:r>
        <w:rPr>
          <w:lang w:val="zh-CN" w:eastAsia="zh-CN"/>
        </w:rPr>
        <w:t>主管部门向无线电通信局通报任何不再使用的申报资料和频率指配，以</w:t>
      </w:r>
      <w:r>
        <w:rPr>
          <w:rFonts w:hint="eastAsia"/>
          <w:lang w:val="zh-CN" w:eastAsia="zh-CN"/>
        </w:rPr>
        <w:t>便及时更新</w:t>
      </w:r>
      <w:r>
        <w:rPr>
          <w:lang w:val="zh-CN" w:eastAsia="zh-CN"/>
        </w:rPr>
        <w:t>MIFR</w:t>
      </w:r>
      <w:r>
        <w:rPr>
          <w:lang w:val="zh-CN" w:eastAsia="zh-CN"/>
        </w:rPr>
        <w:t>。</w:t>
      </w:r>
    </w:p>
    <w:p w14:paraId="458D7763" w14:textId="5578FD51" w:rsidR="00115C83" w:rsidRDefault="00AD029D" w:rsidP="00594D99">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0F5D773E" w14:textId="77777777" w:rsidR="009B2D93" w:rsidRPr="009B2D93" w:rsidRDefault="009B2D93" w:rsidP="00594D99">
      <w:pPr>
        <w:spacing w:before="1920"/>
        <w:rPr>
          <w:b/>
          <w:bCs/>
          <w:sz w:val="18"/>
          <w:szCs w:val="16"/>
          <w:u w:val="single"/>
          <w:lang w:eastAsia="zh-CN"/>
        </w:rPr>
      </w:pPr>
      <w:r w:rsidRPr="009B2D93">
        <w:rPr>
          <w:rFonts w:hint="eastAsia"/>
          <w:b/>
          <w:bCs/>
          <w:sz w:val="18"/>
          <w:szCs w:val="16"/>
          <w:u w:val="single"/>
          <w:lang w:eastAsia="zh-CN"/>
        </w:rPr>
        <w:t>分发：</w:t>
      </w:r>
    </w:p>
    <w:p w14:paraId="0FB43375" w14:textId="11816302" w:rsidR="009B2D93" w:rsidRPr="009B2D93" w:rsidRDefault="009B2D93" w:rsidP="009B2D93">
      <w:pPr>
        <w:rPr>
          <w:sz w:val="18"/>
          <w:szCs w:val="16"/>
          <w:lang w:eastAsia="zh-CN"/>
        </w:rPr>
      </w:pPr>
      <w:r w:rsidRPr="009B2D93">
        <w:rPr>
          <w:sz w:val="18"/>
          <w:szCs w:val="16"/>
          <w:lang w:eastAsia="zh-CN"/>
        </w:rPr>
        <w:t>–</w:t>
      </w:r>
      <w:r w:rsidRPr="009B2D93">
        <w:rPr>
          <w:sz w:val="18"/>
          <w:szCs w:val="16"/>
          <w:lang w:eastAsia="zh-CN"/>
        </w:rPr>
        <w:tab/>
      </w:r>
      <w:r w:rsidRPr="009B2D93">
        <w:rPr>
          <w:rFonts w:hint="eastAsia"/>
          <w:sz w:val="18"/>
          <w:szCs w:val="16"/>
          <w:lang w:eastAsia="zh-CN"/>
        </w:rPr>
        <w:t>国际电联各成员国主管部门</w:t>
      </w:r>
    </w:p>
    <w:p w14:paraId="5980BBE2" w14:textId="370DE604" w:rsidR="009B2D93" w:rsidRPr="009B2D93" w:rsidRDefault="009B2D93" w:rsidP="00F12A66">
      <w:pPr>
        <w:spacing w:before="0"/>
        <w:rPr>
          <w:sz w:val="18"/>
          <w:szCs w:val="16"/>
          <w:lang w:eastAsia="zh-CN"/>
        </w:rPr>
      </w:pPr>
      <w:r w:rsidRPr="009B2D93">
        <w:rPr>
          <w:sz w:val="18"/>
          <w:szCs w:val="16"/>
          <w:lang w:eastAsia="zh-CN"/>
        </w:rPr>
        <w:t>–</w:t>
      </w:r>
      <w:r w:rsidRPr="009B2D93">
        <w:rPr>
          <w:sz w:val="18"/>
          <w:szCs w:val="16"/>
          <w:lang w:eastAsia="zh-CN"/>
        </w:rPr>
        <w:tab/>
      </w:r>
      <w:r w:rsidRPr="009B2D93">
        <w:rPr>
          <w:rFonts w:hint="eastAsia"/>
          <w:sz w:val="18"/>
          <w:szCs w:val="16"/>
          <w:lang w:eastAsia="zh-CN"/>
        </w:rPr>
        <w:t>无线电规则委员会委员</w:t>
      </w:r>
    </w:p>
    <w:sectPr w:rsidR="009B2D93" w:rsidRPr="009B2D93" w:rsidSect="00FD46A6">
      <w:headerReference w:type="even" r:id="rId8"/>
      <w:headerReference w:type="default" r:id="rId9"/>
      <w:footerReference w:type="even" r:id="rId10"/>
      <w:headerReference w:type="first" r:id="rId11"/>
      <w:footerReference w:type="first" r:id="rId12"/>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5D2D113B"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00261474">
      <w:rPr>
        <w:noProof/>
        <w:sz w:val="16"/>
        <w:szCs w:val="16"/>
        <w:lang w:val="pt-BR"/>
      </w:rPr>
      <w:t>M:\BRSSD\SECRETARIAT\CIRCULAIRES\CR\522\CR-522-C.docx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594D99">
      <w:rPr>
        <w:noProof/>
        <w:sz w:val="16"/>
        <w:szCs w:val="16"/>
      </w:rPr>
      <w:t>21.08.25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00261474">
      <w:rPr>
        <w:noProof/>
        <w:sz w:val="16"/>
        <w:szCs w:val="16"/>
      </w:rPr>
      <w:t>21.08.25</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5FD34862"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00A31BFB" w:rsidRPr="00174DDB">
        <w:rPr>
          <w:rStyle w:val="Hyperlink"/>
          <w:sz w:val="19"/>
          <w:szCs w:val="19"/>
          <w:lang w:val="en-GB"/>
        </w:rPr>
        <w:t>brmail@itu.int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3A86B641" w:rsidR="00E915AF" w:rsidRPr="00286889" w:rsidRDefault="00983159" w:rsidP="00983159">
    <w:pPr>
      <w:pStyle w:val="Header"/>
      <w:jc w:val="center"/>
      <w:rPr>
        <w:iCs/>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Pr>
        <w:sz w:val="18"/>
        <w:szCs w:val="18"/>
      </w:rPr>
      <w:t>2</w:t>
    </w:r>
    <w:r w:rsidRPr="000D79FA">
      <w:rPr>
        <w:sz w:val="18"/>
        <w:szCs w:val="18"/>
      </w:rPr>
      <w:fldChar w:fldCharType="end"/>
    </w:r>
    <w:r w:rsidRPr="000D79F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1474"/>
    <w:rsid w:val="00266E74"/>
    <w:rsid w:val="00283C3B"/>
    <w:rsid w:val="002861E6"/>
    <w:rsid w:val="00286889"/>
    <w:rsid w:val="00287D18"/>
    <w:rsid w:val="00290E2B"/>
    <w:rsid w:val="002A2618"/>
    <w:rsid w:val="002A5DD7"/>
    <w:rsid w:val="002B0972"/>
    <w:rsid w:val="002B0CAC"/>
    <w:rsid w:val="002B2025"/>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66FF"/>
    <w:rsid w:val="00372D12"/>
    <w:rsid w:val="0037309C"/>
    <w:rsid w:val="003751A6"/>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32A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94D99"/>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86243"/>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3159"/>
    <w:rsid w:val="009842C3"/>
    <w:rsid w:val="009A009A"/>
    <w:rsid w:val="009A6BB6"/>
    <w:rsid w:val="009B2D93"/>
    <w:rsid w:val="009B3F43"/>
    <w:rsid w:val="009B5CFA"/>
    <w:rsid w:val="009C0DD2"/>
    <w:rsid w:val="009C161F"/>
    <w:rsid w:val="009C56B4"/>
    <w:rsid w:val="009C6A12"/>
    <w:rsid w:val="009D51A2"/>
    <w:rsid w:val="009E04A8"/>
    <w:rsid w:val="009E4AEC"/>
    <w:rsid w:val="009E5BD8"/>
    <w:rsid w:val="009E681E"/>
    <w:rsid w:val="00A119E6"/>
    <w:rsid w:val="00A16DAE"/>
    <w:rsid w:val="00A174BE"/>
    <w:rsid w:val="00A20FBC"/>
    <w:rsid w:val="00A31370"/>
    <w:rsid w:val="00A31BFB"/>
    <w:rsid w:val="00A34D6F"/>
    <w:rsid w:val="00A41F91"/>
    <w:rsid w:val="00A63355"/>
    <w:rsid w:val="00A7596D"/>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954BD"/>
    <w:rsid w:val="00BB53E3"/>
    <w:rsid w:val="00BD6738"/>
    <w:rsid w:val="00BD7E5E"/>
    <w:rsid w:val="00BE63DB"/>
    <w:rsid w:val="00BE6574"/>
    <w:rsid w:val="00C07319"/>
    <w:rsid w:val="00C16FD2"/>
    <w:rsid w:val="00C22226"/>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35E0D"/>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1945"/>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12A66"/>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6B3736"/>
    <w:pPr>
      <w:keepNext/>
      <w:keepLines/>
      <w:spacing w:before="48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1827</Words>
  <Characters>172</Characters>
  <Application>Microsoft Office Word</Application>
  <DocSecurity>0</DocSecurity>
  <Lines>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1996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4</cp:revision>
  <cp:lastPrinted>2025-08-21T04:04:00Z</cp:lastPrinted>
  <dcterms:created xsi:type="dcterms:W3CDTF">2025-08-21T04:03:00Z</dcterms:created>
  <dcterms:modified xsi:type="dcterms:W3CDTF">2025-08-21T13:06:00Z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