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3D20DEBA" w14:textId="77777777" w:rsidTr="00306452">
        <w:trPr>
          <w:jc w:val="center"/>
        </w:trPr>
        <w:tc>
          <w:tcPr>
            <w:tcW w:w="9889" w:type="dxa"/>
            <w:gridSpan w:val="3"/>
            <w:shd w:val="clear" w:color="auto" w:fill="auto"/>
          </w:tcPr>
          <w:p w14:paraId="769972CF" w14:textId="77777777" w:rsidR="00E53DCE" w:rsidRPr="00953A80" w:rsidRDefault="00A96D3A" w:rsidP="00953A80">
            <w:pPr>
              <w:spacing w:before="0"/>
              <w:rPr>
                <w:b/>
                <w:bCs/>
                <w:color w:val="808080"/>
                <w:sz w:val="28"/>
                <w:szCs w:val="28"/>
                <w:lang w:val="en-GB"/>
              </w:rPr>
            </w:pPr>
            <w:r w:rsidRPr="00953A80">
              <w:rPr>
                <w:b/>
                <w:bCs/>
                <w:color w:val="808080"/>
                <w:sz w:val="28"/>
                <w:szCs w:val="28"/>
                <w:lang w:val="es-ES_tradnl"/>
              </w:rPr>
              <w:t>Oficina de Radiocomunicaciones (BR)</w:t>
            </w:r>
          </w:p>
          <w:p w14:paraId="77D663A2" w14:textId="77777777" w:rsidR="00E53DCE" w:rsidRPr="00953A80" w:rsidRDefault="00E53DCE" w:rsidP="00953A80">
            <w:pPr>
              <w:spacing w:before="0"/>
              <w:rPr>
                <w:b/>
                <w:bCs/>
                <w:color w:val="808080"/>
                <w:sz w:val="28"/>
                <w:szCs w:val="28"/>
                <w:lang w:val="en-GB"/>
              </w:rPr>
            </w:pPr>
          </w:p>
          <w:p w14:paraId="76B9488A" w14:textId="77777777" w:rsidR="00E53DCE" w:rsidRPr="00953A80" w:rsidRDefault="00E53DCE" w:rsidP="00953A80">
            <w:pPr>
              <w:spacing w:before="0"/>
              <w:rPr>
                <w:b/>
                <w:bCs/>
                <w:color w:val="808080"/>
                <w:sz w:val="28"/>
                <w:szCs w:val="28"/>
                <w:lang w:val="en-GB"/>
              </w:rPr>
            </w:pPr>
          </w:p>
        </w:tc>
      </w:tr>
      <w:tr w:rsidR="00E53DCE" w:rsidRPr="0033029C" w14:paraId="2DCA6E71" w14:textId="77777777" w:rsidTr="00306452">
        <w:trPr>
          <w:jc w:val="center"/>
        </w:trPr>
        <w:tc>
          <w:tcPr>
            <w:tcW w:w="7054" w:type="dxa"/>
            <w:gridSpan w:val="2"/>
            <w:shd w:val="clear" w:color="auto" w:fill="auto"/>
          </w:tcPr>
          <w:p w14:paraId="310D6481" w14:textId="696F153B" w:rsidR="00E53DCE" w:rsidRPr="003969C9" w:rsidRDefault="001B3D4D" w:rsidP="003969C9">
            <w:pPr>
              <w:spacing w:before="0"/>
              <w:rPr>
                <w:lang w:val="pt-BR"/>
              </w:rPr>
            </w:pPr>
            <w:r w:rsidRPr="003969C9">
              <w:rPr>
                <w:lang w:val="pt-BR"/>
              </w:rPr>
              <w:t>Carta Circular</w:t>
            </w:r>
          </w:p>
          <w:p w14:paraId="69D58805" w14:textId="0BEBA03E" w:rsidR="00E53DCE" w:rsidRPr="003969C9" w:rsidRDefault="001B3D4D" w:rsidP="003969C9">
            <w:pPr>
              <w:spacing w:before="0"/>
              <w:rPr>
                <w:b/>
                <w:bCs/>
                <w:lang w:val="pt-BR"/>
              </w:rPr>
            </w:pPr>
            <w:r w:rsidRPr="003969C9">
              <w:rPr>
                <w:b/>
                <w:bCs/>
                <w:lang w:val="pt-BR"/>
              </w:rPr>
              <w:t>CR</w:t>
            </w:r>
            <w:r w:rsidR="008533EC">
              <w:rPr>
                <w:b/>
                <w:bCs/>
                <w:lang w:val="pt-BR"/>
              </w:rPr>
              <w:t>/521</w:t>
            </w:r>
          </w:p>
        </w:tc>
        <w:tc>
          <w:tcPr>
            <w:tcW w:w="2835" w:type="dxa"/>
            <w:shd w:val="clear" w:color="auto" w:fill="auto"/>
          </w:tcPr>
          <w:p w14:paraId="3FD01BE1" w14:textId="3F97D546" w:rsidR="00E53DCE" w:rsidRPr="00672F21" w:rsidRDefault="008533EC" w:rsidP="003969C9">
            <w:pPr>
              <w:spacing w:before="0"/>
              <w:jc w:val="right"/>
              <w:rPr>
                <w:lang w:val="es-ES_tradnl"/>
              </w:rPr>
            </w:pPr>
            <w:r w:rsidRPr="00672F21">
              <w:rPr>
                <w:lang w:val="es-ES_tradnl"/>
              </w:rPr>
              <w:t>15 de agosto de 2025</w:t>
            </w:r>
          </w:p>
        </w:tc>
      </w:tr>
      <w:tr w:rsidR="00E53DCE" w:rsidRPr="0033029C" w14:paraId="56562AD9" w14:textId="77777777" w:rsidTr="00306452">
        <w:trPr>
          <w:jc w:val="center"/>
        </w:trPr>
        <w:tc>
          <w:tcPr>
            <w:tcW w:w="9889" w:type="dxa"/>
            <w:gridSpan w:val="3"/>
            <w:shd w:val="clear" w:color="auto" w:fill="auto"/>
          </w:tcPr>
          <w:p w14:paraId="49FBA783" w14:textId="77777777" w:rsidR="00E53DCE" w:rsidRPr="003969C9" w:rsidRDefault="00E53DCE" w:rsidP="003969C9">
            <w:pPr>
              <w:spacing w:before="0"/>
              <w:rPr>
                <w:lang w:val="es-ES"/>
              </w:rPr>
            </w:pPr>
          </w:p>
        </w:tc>
      </w:tr>
      <w:tr w:rsidR="00E53DCE" w:rsidRPr="0033029C" w14:paraId="762456CA" w14:textId="77777777" w:rsidTr="00306452">
        <w:trPr>
          <w:jc w:val="center"/>
        </w:trPr>
        <w:tc>
          <w:tcPr>
            <w:tcW w:w="9889" w:type="dxa"/>
            <w:gridSpan w:val="3"/>
            <w:shd w:val="clear" w:color="auto" w:fill="auto"/>
          </w:tcPr>
          <w:p w14:paraId="42B6B401" w14:textId="77777777" w:rsidR="00E53DCE" w:rsidRPr="003969C9" w:rsidRDefault="00E53DCE" w:rsidP="003969C9">
            <w:pPr>
              <w:spacing w:before="0"/>
              <w:rPr>
                <w:lang w:val="es-ES"/>
              </w:rPr>
            </w:pPr>
          </w:p>
        </w:tc>
      </w:tr>
      <w:tr w:rsidR="00E53DCE" w:rsidRPr="007F437E" w14:paraId="4BAE9C44" w14:textId="77777777" w:rsidTr="00306452">
        <w:trPr>
          <w:jc w:val="center"/>
        </w:trPr>
        <w:tc>
          <w:tcPr>
            <w:tcW w:w="9889" w:type="dxa"/>
            <w:gridSpan w:val="3"/>
            <w:shd w:val="clear" w:color="auto" w:fill="auto"/>
          </w:tcPr>
          <w:p w14:paraId="21F1935A" w14:textId="74E0E14B" w:rsidR="00E53DCE" w:rsidRPr="003969C9" w:rsidRDefault="00FE4822" w:rsidP="003969C9">
            <w:pPr>
              <w:spacing w:before="0"/>
              <w:rPr>
                <w:b/>
                <w:bCs/>
                <w:lang w:val="es-ES"/>
              </w:rPr>
            </w:pPr>
            <w:r w:rsidRPr="003969C9">
              <w:rPr>
                <w:b/>
                <w:bCs/>
                <w:lang w:val="es-ES"/>
              </w:rPr>
              <w:t>A las Administraciones de los Estados Miembros de la UIT</w:t>
            </w:r>
          </w:p>
        </w:tc>
      </w:tr>
      <w:tr w:rsidR="00E53DCE" w:rsidRPr="007F437E" w14:paraId="180CDAFD" w14:textId="77777777" w:rsidTr="00306452">
        <w:trPr>
          <w:jc w:val="center"/>
        </w:trPr>
        <w:tc>
          <w:tcPr>
            <w:tcW w:w="9889" w:type="dxa"/>
            <w:gridSpan w:val="3"/>
            <w:shd w:val="clear" w:color="auto" w:fill="auto"/>
          </w:tcPr>
          <w:p w14:paraId="04ADBBDE" w14:textId="77777777" w:rsidR="00E53DCE" w:rsidRPr="0033029C" w:rsidRDefault="00E53DCE" w:rsidP="003969C9">
            <w:pPr>
              <w:spacing w:before="0"/>
              <w:rPr>
                <w:lang w:val="es-ES"/>
              </w:rPr>
            </w:pPr>
          </w:p>
        </w:tc>
      </w:tr>
      <w:tr w:rsidR="00E53DCE" w:rsidRPr="007F437E" w14:paraId="06E9A2B7" w14:textId="77777777" w:rsidTr="00306452">
        <w:trPr>
          <w:jc w:val="center"/>
        </w:trPr>
        <w:tc>
          <w:tcPr>
            <w:tcW w:w="9889" w:type="dxa"/>
            <w:gridSpan w:val="3"/>
            <w:shd w:val="clear" w:color="auto" w:fill="auto"/>
          </w:tcPr>
          <w:p w14:paraId="4039DD3F" w14:textId="77777777" w:rsidR="00E53DCE" w:rsidRPr="0033029C" w:rsidRDefault="00E53DCE" w:rsidP="003969C9">
            <w:pPr>
              <w:spacing w:before="0"/>
              <w:rPr>
                <w:lang w:val="es-ES"/>
              </w:rPr>
            </w:pPr>
          </w:p>
        </w:tc>
      </w:tr>
      <w:tr w:rsidR="00E53DCE" w:rsidRPr="007F437E" w14:paraId="021316CA" w14:textId="77777777" w:rsidTr="00306452">
        <w:trPr>
          <w:jc w:val="center"/>
        </w:trPr>
        <w:tc>
          <w:tcPr>
            <w:tcW w:w="1526" w:type="dxa"/>
            <w:shd w:val="clear" w:color="auto" w:fill="auto"/>
          </w:tcPr>
          <w:p w14:paraId="4C13FE60" w14:textId="77777777" w:rsidR="00E53DCE" w:rsidRPr="00833DCF" w:rsidRDefault="00311970" w:rsidP="003969C9">
            <w:pPr>
              <w:spacing w:before="0"/>
              <w:rPr>
                <w:lang w:val="es-ES_tradnl"/>
              </w:rPr>
            </w:pPr>
            <w:r w:rsidRPr="00833DCF">
              <w:rPr>
                <w:lang w:val="es-ES_tradnl"/>
              </w:rPr>
              <w:t>Asunto:</w:t>
            </w:r>
          </w:p>
        </w:tc>
        <w:tc>
          <w:tcPr>
            <w:tcW w:w="8363" w:type="dxa"/>
            <w:gridSpan w:val="2"/>
            <w:vMerge w:val="restart"/>
            <w:shd w:val="clear" w:color="auto" w:fill="auto"/>
          </w:tcPr>
          <w:p w14:paraId="3612960C" w14:textId="2E7B9E2C" w:rsidR="00E53DCE" w:rsidRPr="00833DCF" w:rsidRDefault="008533EC" w:rsidP="002937BD">
            <w:pPr>
              <w:spacing w:before="0"/>
              <w:jc w:val="left"/>
              <w:rPr>
                <w:b/>
                <w:bCs/>
                <w:lang w:val="es-ES_tradnl"/>
              </w:rPr>
            </w:pPr>
            <w:r w:rsidRPr="008533EC">
              <w:rPr>
                <w:b/>
                <w:bCs/>
                <w:lang w:val="es-ES_tradnl"/>
              </w:rPr>
              <w:t>Participación en las reuniones de consulta con arreglo a la Resolución</w:t>
            </w:r>
            <w:r>
              <w:rPr>
                <w:b/>
                <w:bCs/>
                <w:lang w:val="es-ES_tradnl"/>
              </w:rPr>
              <w:t> </w:t>
            </w:r>
            <w:r w:rsidRPr="008533EC">
              <w:rPr>
                <w:b/>
                <w:bCs/>
                <w:lang w:val="es-ES_tradnl"/>
              </w:rPr>
              <w:t>609 (Rev.CMR</w:t>
            </w:r>
            <w:r>
              <w:rPr>
                <w:b/>
                <w:bCs/>
                <w:lang w:val="es-ES_tradnl"/>
              </w:rPr>
              <w:noBreakHyphen/>
            </w:r>
            <w:r w:rsidRPr="008533EC">
              <w:rPr>
                <w:b/>
                <w:bCs/>
                <w:lang w:val="es-ES_tradnl"/>
              </w:rPr>
              <w:t>07)</w:t>
            </w:r>
          </w:p>
        </w:tc>
      </w:tr>
      <w:tr w:rsidR="00E53DCE" w:rsidRPr="007F437E" w14:paraId="4081CB4E" w14:textId="77777777" w:rsidTr="00306452">
        <w:trPr>
          <w:jc w:val="center"/>
        </w:trPr>
        <w:tc>
          <w:tcPr>
            <w:tcW w:w="1526" w:type="dxa"/>
            <w:shd w:val="clear" w:color="auto" w:fill="auto"/>
          </w:tcPr>
          <w:p w14:paraId="315E015A" w14:textId="77777777" w:rsidR="00E53DCE" w:rsidRPr="00833DCF" w:rsidRDefault="00E53DCE" w:rsidP="003969C9">
            <w:pPr>
              <w:spacing w:before="0"/>
              <w:rPr>
                <w:lang w:val="es-ES_tradnl"/>
              </w:rPr>
            </w:pPr>
          </w:p>
        </w:tc>
        <w:tc>
          <w:tcPr>
            <w:tcW w:w="8363" w:type="dxa"/>
            <w:gridSpan w:val="2"/>
            <w:vMerge/>
            <w:shd w:val="clear" w:color="auto" w:fill="auto"/>
          </w:tcPr>
          <w:p w14:paraId="7E66957D" w14:textId="77777777" w:rsidR="00E53DCE" w:rsidRPr="00833DCF" w:rsidRDefault="00E53DCE" w:rsidP="006160CB">
            <w:pPr>
              <w:tabs>
                <w:tab w:val="clear" w:pos="1588"/>
                <w:tab w:val="left" w:pos="1560"/>
              </w:tabs>
              <w:spacing w:before="0"/>
              <w:rPr>
                <w:b/>
                <w:bCs/>
                <w:szCs w:val="24"/>
                <w:lang w:val="es-ES_tradnl"/>
              </w:rPr>
            </w:pPr>
          </w:p>
        </w:tc>
      </w:tr>
    </w:tbl>
    <w:p w14:paraId="7BB96080" w14:textId="04C95734" w:rsidR="008533EC" w:rsidRPr="008533EC" w:rsidRDefault="008533EC" w:rsidP="008533EC">
      <w:pPr>
        <w:pStyle w:val="Normalaftertitle"/>
        <w:rPr>
          <w:lang w:val="es-ES"/>
        </w:rPr>
      </w:pPr>
      <w:r w:rsidRPr="008533EC">
        <w:rPr>
          <w:lang w:val="es-ES"/>
        </w:rPr>
        <w:t>De conformidad con la Resolución</w:t>
      </w:r>
      <w:r>
        <w:rPr>
          <w:lang w:val="es-ES"/>
        </w:rPr>
        <w:t> </w:t>
      </w:r>
      <w:r w:rsidRPr="008533EC">
        <w:rPr>
          <w:b/>
          <w:bCs/>
          <w:lang w:val="es-ES"/>
        </w:rPr>
        <w:t>609 (Rev.CMR</w:t>
      </w:r>
      <w:r>
        <w:rPr>
          <w:b/>
          <w:bCs/>
          <w:lang w:val="es-ES"/>
        </w:rPr>
        <w:noBreakHyphen/>
      </w:r>
      <w:r w:rsidRPr="008533EC">
        <w:rPr>
          <w:b/>
          <w:bCs/>
          <w:lang w:val="es-ES"/>
        </w:rPr>
        <w:t>07)</w:t>
      </w:r>
      <w:r w:rsidRPr="008533EC">
        <w:rPr>
          <w:lang w:val="es-ES"/>
        </w:rPr>
        <w:t>, deben celebrarse periódicamente reuniones de consulta para alcanzar el nivel de protección de los sistemas de servicios de radionavegación aeronáutica (SRNA) que funcionan en la banda de frecuencias 1 164</w:t>
      </w:r>
      <w:r w:rsidR="002937BD">
        <w:rPr>
          <w:lang w:val="es-ES"/>
        </w:rPr>
        <w:noBreakHyphen/>
      </w:r>
      <w:r w:rsidRPr="008533EC">
        <w:rPr>
          <w:lang w:val="es-ES"/>
        </w:rPr>
        <w:t>1 215</w:t>
      </w:r>
      <w:r>
        <w:rPr>
          <w:lang w:val="es-ES"/>
        </w:rPr>
        <w:t> </w:t>
      </w:r>
      <w:r w:rsidRPr="008533EC">
        <w:rPr>
          <w:lang w:val="es-ES"/>
        </w:rPr>
        <w:t>MHz.</w:t>
      </w:r>
    </w:p>
    <w:p w14:paraId="57439851" w14:textId="6FAD2E59" w:rsidR="008533EC" w:rsidRPr="008533EC" w:rsidRDefault="008533EC" w:rsidP="008533EC">
      <w:pPr>
        <w:rPr>
          <w:lang w:val="es-ES"/>
        </w:rPr>
      </w:pPr>
      <w:r w:rsidRPr="008533EC">
        <w:rPr>
          <w:lang w:val="es-ES"/>
        </w:rPr>
        <w:t xml:space="preserve">De conformidad con el </w:t>
      </w:r>
      <w:r w:rsidRPr="008533EC">
        <w:rPr>
          <w:i/>
          <w:iCs/>
          <w:lang w:val="es-ES"/>
        </w:rPr>
        <w:t>resuelve</w:t>
      </w:r>
      <w:r w:rsidR="002937BD">
        <w:rPr>
          <w:i/>
          <w:iCs/>
          <w:lang w:val="es-ES"/>
        </w:rPr>
        <w:t> </w:t>
      </w:r>
      <w:r w:rsidRPr="008533EC">
        <w:rPr>
          <w:lang w:val="es-ES"/>
        </w:rPr>
        <w:t>2 de dicha Resolución, las administraciones que explotan o tienen previsto explotar en la banda de frecuencias 1 164</w:t>
      </w:r>
      <w:r w:rsidR="002937BD">
        <w:rPr>
          <w:lang w:val="es-ES"/>
        </w:rPr>
        <w:noBreakHyphen/>
      </w:r>
      <w:r w:rsidRPr="008533EC">
        <w:rPr>
          <w:lang w:val="es-ES"/>
        </w:rPr>
        <w:t>1 215</w:t>
      </w:r>
      <w:r w:rsidR="002937BD">
        <w:rPr>
          <w:lang w:val="es-ES"/>
        </w:rPr>
        <w:t> </w:t>
      </w:r>
      <w:r w:rsidRPr="008533EC">
        <w:rPr>
          <w:lang w:val="es-ES"/>
        </w:rPr>
        <w:t>MHz sistemas o redes del servicio de radionavegación por satélite (SRNS), deberán colaborar para tomar todas las medidas necesarias, incluidas las modificaciones apropiadas en sus sistemas o redes, para asegurar que la interferencia combinada en los sistemas del</w:t>
      </w:r>
      <w:r w:rsidR="002937BD">
        <w:rPr>
          <w:lang w:val="es-ES"/>
        </w:rPr>
        <w:t> </w:t>
      </w:r>
      <w:r w:rsidRPr="008533EC">
        <w:rPr>
          <w:lang w:val="es-ES"/>
        </w:rPr>
        <w:t>SRNA causada por dichos sistemas o redes del</w:t>
      </w:r>
      <w:r w:rsidR="002937BD">
        <w:rPr>
          <w:lang w:val="es-ES"/>
        </w:rPr>
        <w:t> </w:t>
      </w:r>
      <w:r w:rsidRPr="008533EC">
        <w:rPr>
          <w:lang w:val="es-ES"/>
        </w:rPr>
        <w:t>SRNS que funcionan en la misma frecuencia en estas bandas de frecuencias se comparta en forma equitativa entre los sistemas que cumplen los criterios indicados en el Anexo a esa Resolución, y que no rebase el nivel de dfpe producido por todas las estaciones espaciales de todos los sistemas del</w:t>
      </w:r>
      <w:r w:rsidR="002937BD">
        <w:rPr>
          <w:lang w:val="es-ES"/>
        </w:rPr>
        <w:t> </w:t>
      </w:r>
      <w:r w:rsidRPr="008533EC">
        <w:rPr>
          <w:lang w:val="es-ES"/>
        </w:rPr>
        <w:t xml:space="preserve">SRNS de </w:t>
      </w:r>
      <w:r w:rsidR="002937BD">
        <w:rPr>
          <w:lang w:val="es-ES"/>
        </w:rPr>
        <w:t>−</w:t>
      </w:r>
      <w:r w:rsidRPr="008533EC">
        <w:rPr>
          <w:lang w:val="es-ES"/>
        </w:rPr>
        <w:t>121,5 dB(W/m</w:t>
      </w:r>
      <w:r w:rsidRPr="008533EC">
        <w:rPr>
          <w:vertAlign w:val="superscript"/>
          <w:lang w:val="es-ES"/>
        </w:rPr>
        <w:t>2</w:t>
      </w:r>
      <w:r w:rsidRPr="008533EC">
        <w:rPr>
          <w:lang w:val="es-ES"/>
        </w:rPr>
        <w:t>) en cualquier banda de 1</w:t>
      </w:r>
      <w:r w:rsidR="002937BD">
        <w:rPr>
          <w:lang w:val="es-ES"/>
        </w:rPr>
        <w:t> </w:t>
      </w:r>
      <w:r w:rsidRPr="008533EC">
        <w:rPr>
          <w:lang w:val="es-ES"/>
        </w:rPr>
        <w:t>MHz. Para conseguir estos objetivos, las administraciones que explotan o tienen previsto explotar sistemas del</w:t>
      </w:r>
      <w:r w:rsidR="002937BD">
        <w:rPr>
          <w:lang w:val="es-ES"/>
        </w:rPr>
        <w:t> </w:t>
      </w:r>
      <w:r w:rsidRPr="008533EC">
        <w:rPr>
          <w:lang w:val="es-ES"/>
        </w:rPr>
        <w:t>SRNS tendrán que cooperar con el fin de llegar a un acuerdo, mediante reuniones de consulta periódic</w:t>
      </w:r>
      <w:r w:rsidR="00094716">
        <w:rPr>
          <w:lang w:val="es-ES"/>
        </w:rPr>
        <w:t>a</w:t>
      </w:r>
      <w:r w:rsidRPr="008533EC">
        <w:rPr>
          <w:lang w:val="es-ES"/>
        </w:rPr>
        <w:t>s, para alcanzar el nivel de protección requerido de los sistemas del</w:t>
      </w:r>
      <w:r w:rsidR="002937BD">
        <w:rPr>
          <w:lang w:val="es-ES"/>
        </w:rPr>
        <w:t> </w:t>
      </w:r>
      <w:r w:rsidRPr="008533EC">
        <w:rPr>
          <w:lang w:val="es-ES"/>
        </w:rPr>
        <w:t>SRNA.</w:t>
      </w:r>
    </w:p>
    <w:p w14:paraId="055D9E4E" w14:textId="77777777" w:rsidR="007F437E" w:rsidRDefault="008533EC" w:rsidP="008533EC">
      <w:pPr>
        <w:rPr>
          <w:lang w:val="es-ES"/>
        </w:rPr>
      </w:pPr>
      <w:r w:rsidRPr="008533EC">
        <w:rPr>
          <w:lang w:val="es-ES"/>
        </w:rPr>
        <w:t>La Oficina de Radiocomunicaciones ha publicado una página web con información sobre estas reuniones de consulta, en la que también figura la lista más reciente de notificaciones con arreglo a los Artículos</w:t>
      </w:r>
      <w:r w:rsidR="002937BD">
        <w:rPr>
          <w:lang w:val="es-ES"/>
        </w:rPr>
        <w:t> </w:t>
      </w:r>
      <w:r w:rsidRPr="008533EC">
        <w:rPr>
          <w:b/>
          <w:bCs/>
          <w:lang w:val="es-ES"/>
        </w:rPr>
        <w:t>9</w:t>
      </w:r>
      <w:r w:rsidRPr="008533EC">
        <w:rPr>
          <w:lang w:val="es-ES"/>
        </w:rPr>
        <w:t xml:space="preserve"> y </w:t>
      </w:r>
      <w:r w:rsidRPr="008533EC">
        <w:rPr>
          <w:b/>
          <w:bCs/>
          <w:lang w:val="es-ES"/>
        </w:rPr>
        <w:t>11</w:t>
      </w:r>
      <w:r w:rsidRPr="008533EC">
        <w:rPr>
          <w:lang w:val="es-ES"/>
        </w:rPr>
        <w:t xml:space="preserve"> relativas a asignaciones de frecuencias al</w:t>
      </w:r>
      <w:r w:rsidR="00094716">
        <w:rPr>
          <w:lang w:val="es-ES"/>
        </w:rPr>
        <w:t> </w:t>
      </w:r>
      <w:r w:rsidRPr="008533EC">
        <w:rPr>
          <w:lang w:val="es-ES"/>
        </w:rPr>
        <w:t>SNRS en la banda de frecuencias 1 164</w:t>
      </w:r>
      <w:r w:rsidR="002937BD">
        <w:rPr>
          <w:lang w:val="es-ES"/>
        </w:rPr>
        <w:noBreakHyphen/>
      </w:r>
      <w:r w:rsidRPr="008533EC">
        <w:rPr>
          <w:lang w:val="es-ES"/>
        </w:rPr>
        <w:t>1 215</w:t>
      </w:r>
      <w:r w:rsidR="002937BD">
        <w:rPr>
          <w:lang w:val="es-ES"/>
        </w:rPr>
        <w:t> </w:t>
      </w:r>
      <w:r w:rsidRPr="008533EC">
        <w:rPr>
          <w:lang w:val="es-ES"/>
        </w:rPr>
        <w:t>MHz:</w:t>
      </w:r>
    </w:p>
    <w:p w14:paraId="57374958" w14:textId="647C2AE1" w:rsidR="008533EC" w:rsidRPr="008533EC" w:rsidRDefault="007F437E" w:rsidP="007F437E">
      <w:pPr>
        <w:jc w:val="center"/>
        <w:rPr>
          <w:lang w:val="es-ES"/>
        </w:rPr>
      </w:pPr>
      <w:hyperlink r:id="rId8" w:history="1">
        <w:r w:rsidRPr="00D52822">
          <w:rPr>
            <w:rStyle w:val="Hyperlink"/>
            <w:lang w:val="es-ES"/>
          </w:rPr>
          <w:t>https://www.itu.int/en/ITU-R/space/Pages/res609.aspx</w:t>
        </w:r>
      </w:hyperlink>
      <w:r w:rsidR="008533EC" w:rsidRPr="008533EC">
        <w:rPr>
          <w:lang w:val="es-ES"/>
        </w:rPr>
        <w:t>.</w:t>
      </w:r>
    </w:p>
    <w:p w14:paraId="7F05A0B6" w14:textId="62E94F19" w:rsidR="008533EC" w:rsidRPr="008533EC" w:rsidRDefault="008533EC" w:rsidP="008533EC">
      <w:pPr>
        <w:rPr>
          <w:lang w:val="es-ES"/>
        </w:rPr>
      </w:pPr>
      <w:r w:rsidRPr="008533EC">
        <w:rPr>
          <w:lang w:val="es-ES"/>
        </w:rPr>
        <w:t>Por consiguiente, a todas las administraciones que hayan presentado solicitudes de redes de satélites para asignaciones de frecuencias al</w:t>
      </w:r>
      <w:r w:rsidR="00094716">
        <w:rPr>
          <w:lang w:val="es-ES"/>
        </w:rPr>
        <w:t> </w:t>
      </w:r>
      <w:r w:rsidRPr="008533EC">
        <w:rPr>
          <w:lang w:val="es-ES"/>
        </w:rPr>
        <w:t>SRNS en la banda de frecuencias 1 164-1 215</w:t>
      </w:r>
      <w:r w:rsidR="002937BD">
        <w:rPr>
          <w:lang w:val="es-ES"/>
        </w:rPr>
        <w:t> </w:t>
      </w:r>
      <w:r w:rsidRPr="008533EC">
        <w:rPr>
          <w:lang w:val="es-ES"/>
        </w:rPr>
        <w:t xml:space="preserve">MHz </w:t>
      </w:r>
      <w:r w:rsidRPr="008533EC">
        <w:rPr>
          <w:b/>
          <w:bCs/>
          <w:lang w:val="es-ES"/>
        </w:rPr>
        <w:t>se les recuerda su obligación de participar en las reuniones de consulta</w:t>
      </w:r>
      <w:r w:rsidRPr="008533EC">
        <w:rPr>
          <w:lang w:val="es-ES"/>
        </w:rPr>
        <w:t>. La fecha exacta y el lugar de celebración pueden consultarse en el sitio web antes mencionado.</w:t>
      </w:r>
    </w:p>
    <w:p w14:paraId="15F36DF7" w14:textId="77777777" w:rsidR="008533EC" w:rsidRPr="008533EC" w:rsidRDefault="008533EC" w:rsidP="008533EC">
      <w:pPr>
        <w:rPr>
          <w:lang w:val="es-ES"/>
        </w:rPr>
      </w:pPr>
      <w:r w:rsidRPr="008533EC">
        <w:rPr>
          <w:lang w:val="es-ES"/>
        </w:rPr>
        <w:t>Asimismo, se ruega a estas administraciones que faciliten el nombre y la información de contacto de una persona que se encargue de solicitar el acceso al sitio SharePoint y a la lista de correo de la reunión de consulta, para poder recibir información sobre la organización de la próxima reunión. Para obtener acceso al SharePoint y ser incluido en la lista de correo, la persona encargada debe presentar una solicitud a través del siguiente enlace:</w:t>
      </w:r>
    </w:p>
    <w:p w14:paraId="36CE5C58" w14:textId="77777777" w:rsidR="008533EC" w:rsidRPr="008533EC" w:rsidRDefault="008533EC" w:rsidP="00094716">
      <w:pPr>
        <w:jc w:val="center"/>
        <w:rPr>
          <w:lang w:val="es-ES"/>
        </w:rPr>
      </w:pPr>
      <w:hyperlink r:id="rId9" w:history="1">
        <w:r w:rsidRPr="008533EC">
          <w:rPr>
            <w:rStyle w:val="Hyperlink"/>
            <w:lang w:val="es-ES"/>
          </w:rPr>
          <w:t>https://www.itu.int/en/ITU-R/space/Pages/RES-609-Subscription-Information.aspx</w:t>
        </w:r>
      </w:hyperlink>
    </w:p>
    <w:p w14:paraId="22288781" w14:textId="07E32699" w:rsidR="002937BD" w:rsidRDefault="002937BD" w:rsidP="002937BD">
      <w:pPr>
        <w:rPr>
          <w:lang w:val="es-ES"/>
        </w:rPr>
      </w:pPr>
      <w:r>
        <w:rPr>
          <w:lang w:val="es-ES"/>
        </w:rPr>
        <w:br w:type="page"/>
      </w:r>
    </w:p>
    <w:p w14:paraId="5822A9C6" w14:textId="74AE6BBB" w:rsidR="008533EC" w:rsidRPr="008533EC" w:rsidRDefault="008533EC" w:rsidP="008533EC">
      <w:pPr>
        <w:rPr>
          <w:b/>
          <w:bCs/>
          <w:lang w:val="es-ES"/>
        </w:rPr>
      </w:pPr>
      <w:r w:rsidRPr="008533EC">
        <w:rPr>
          <w:b/>
          <w:bCs/>
          <w:lang w:val="es-ES"/>
        </w:rPr>
        <w:lastRenderedPageBreak/>
        <w:t xml:space="preserve">Aclaraciones sobre el cumplimiento del límite de dfp estipulado en el </w:t>
      </w:r>
      <w:r w:rsidRPr="008533EC">
        <w:rPr>
          <w:b/>
          <w:bCs/>
          <w:i/>
          <w:iCs/>
          <w:lang w:val="es-ES"/>
        </w:rPr>
        <w:t>recomienda</w:t>
      </w:r>
      <w:r w:rsidR="002937BD" w:rsidRPr="002937BD">
        <w:rPr>
          <w:b/>
          <w:bCs/>
          <w:lang w:val="es-ES"/>
        </w:rPr>
        <w:t> </w:t>
      </w:r>
      <w:r w:rsidRPr="008533EC">
        <w:rPr>
          <w:b/>
          <w:bCs/>
          <w:lang w:val="es-ES"/>
        </w:rPr>
        <w:t>1 de la Recomendación</w:t>
      </w:r>
      <w:r w:rsidR="00094716">
        <w:rPr>
          <w:b/>
          <w:bCs/>
          <w:lang w:val="es-ES"/>
        </w:rPr>
        <w:t> </w:t>
      </w:r>
      <w:r w:rsidRPr="008533EC">
        <w:rPr>
          <w:b/>
          <w:bCs/>
          <w:lang w:val="es-ES"/>
        </w:rPr>
        <w:t>608 (Rev.CMR-07)</w:t>
      </w:r>
    </w:p>
    <w:p w14:paraId="44D7F57C" w14:textId="444300A0" w:rsidR="008533EC" w:rsidRPr="008533EC" w:rsidRDefault="008533EC" w:rsidP="008533EC">
      <w:pPr>
        <w:rPr>
          <w:lang w:val="es-ES"/>
        </w:rPr>
      </w:pPr>
      <w:r w:rsidRPr="008533EC">
        <w:rPr>
          <w:lang w:val="es-ES"/>
        </w:rPr>
        <w:t>Para permitir el funcionamiento de múltiples sistemas del</w:t>
      </w:r>
      <w:r w:rsidR="00952512">
        <w:rPr>
          <w:lang w:val="es-ES"/>
        </w:rPr>
        <w:t> </w:t>
      </w:r>
      <w:r w:rsidRPr="008533EC">
        <w:rPr>
          <w:lang w:val="es-ES"/>
        </w:rPr>
        <w:t>SRNS en la banda de frecuencias 1 164</w:t>
      </w:r>
      <w:r w:rsidR="002937BD">
        <w:rPr>
          <w:lang w:val="es-ES"/>
        </w:rPr>
        <w:noBreakHyphen/>
      </w:r>
      <w:r w:rsidRPr="008533EC">
        <w:rPr>
          <w:lang w:val="es-ES"/>
        </w:rPr>
        <w:t>1 215</w:t>
      </w:r>
      <w:r w:rsidR="002937BD">
        <w:rPr>
          <w:lang w:val="es-ES"/>
        </w:rPr>
        <w:t> </w:t>
      </w:r>
      <w:r w:rsidRPr="008533EC">
        <w:rPr>
          <w:lang w:val="es-ES"/>
        </w:rPr>
        <w:t xml:space="preserve">MHz, el </w:t>
      </w:r>
      <w:r w:rsidRPr="008533EC">
        <w:rPr>
          <w:i/>
          <w:iCs/>
          <w:lang w:val="es-ES"/>
        </w:rPr>
        <w:t>resuelve</w:t>
      </w:r>
      <w:r w:rsidR="002937BD">
        <w:rPr>
          <w:i/>
          <w:iCs/>
          <w:lang w:val="es-ES"/>
        </w:rPr>
        <w:t> </w:t>
      </w:r>
      <w:r w:rsidRPr="008533EC">
        <w:rPr>
          <w:lang w:val="es-ES"/>
        </w:rPr>
        <w:t>5 de la Resolución</w:t>
      </w:r>
      <w:r w:rsidR="002937BD">
        <w:rPr>
          <w:lang w:val="es-ES"/>
        </w:rPr>
        <w:t> </w:t>
      </w:r>
      <w:r w:rsidRPr="008533EC">
        <w:rPr>
          <w:b/>
          <w:bCs/>
          <w:lang w:val="es-ES"/>
        </w:rPr>
        <w:t>609 (Rev.CMR-07)</w:t>
      </w:r>
      <w:r w:rsidRPr="008533EC">
        <w:rPr>
          <w:lang w:val="es-ES"/>
        </w:rPr>
        <w:t xml:space="preserve"> estipula que </w:t>
      </w:r>
      <w:r w:rsidR="002937BD">
        <w:rPr>
          <w:lang w:val="es-ES"/>
        </w:rPr>
        <w:t>«</w:t>
      </w:r>
      <w:r w:rsidRPr="008533EC">
        <w:rPr>
          <w:lang w:val="es-ES"/>
        </w:rPr>
        <w:t>no se permita que un solo sistema del</w:t>
      </w:r>
      <w:r w:rsidR="002937BD">
        <w:rPr>
          <w:lang w:val="es-ES"/>
        </w:rPr>
        <w:t> </w:t>
      </w:r>
      <w:r w:rsidRPr="008533EC">
        <w:rPr>
          <w:lang w:val="es-ES"/>
        </w:rPr>
        <w:t xml:space="preserve">SRNS utilice todo el margen de interferencia especificado en el </w:t>
      </w:r>
      <w:r w:rsidRPr="008533EC">
        <w:rPr>
          <w:i/>
          <w:iCs/>
          <w:lang w:val="es-ES"/>
        </w:rPr>
        <w:t>resuelve</w:t>
      </w:r>
      <w:r w:rsidR="002937BD">
        <w:rPr>
          <w:lang w:val="es-ES"/>
        </w:rPr>
        <w:t> </w:t>
      </w:r>
      <w:r w:rsidRPr="008533EC">
        <w:rPr>
          <w:lang w:val="es-ES"/>
        </w:rPr>
        <w:t>1 en ningún tramo de 1</w:t>
      </w:r>
      <w:r w:rsidR="002937BD">
        <w:rPr>
          <w:lang w:val="es-ES"/>
        </w:rPr>
        <w:t> </w:t>
      </w:r>
      <w:r w:rsidRPr="008533EC">
        <w:rPr>
          <w:lang w:val="es-ES"/>
        </w:rPr>
        <w:t>MHz de la banda 1 164-1 215</w:t>
      </w:r>
      <w:r w:rsidR="002937BD">
        <w:rPr>
          <w:lang w:val="es-ES"/>
        </w:rPr>
        <w:t> </w:t>
      </w:r>
      <w:r w:rsidRPr="008533EC">
        <w:rPr>
          <w:lang w:val="es-ES"/>
        </w:rPr>
        <w:t>MHz (véase Recomendación</w:t>
      </w:r>
      <w:r w:rsidR="002937BD">
        <w:rPr>
          <w:lang w:val="es-ES"/>
        </w:rPr>
        <w:t> </w:t>
      </w:r>
      <w:r w:rsidRPr="008533EC">
        <w:rPr>
          <w:b/>
          <w:bCs/>
          <w:lang w:val="es-ES"/>
        </w:rPr>
        <w:t>608 (Rev.CMR-07)</w:t>
      </w:r>
      <w:r w:rsidR="002937BD">
        <w:rPr>
          <w:lang w:val="es-ES"/>
        </w:rPr>
        <w:t>»</w:t>
      </w:r>
      <w:r w:rsidRPr="008533EC">
        <w:rPr>
          <w:lang w:val="es-ES"/>
        </w:rPr>
        <w:t>.</w:t>
      </w:r>
    </w:p>
    <w:p w14:paraId="2BF166BF" w14:textId="13BE4AED" w:rsidR="008533EC" w:rsidRPr="008533EC" w:rsidRDefault="008533EC" w:rsidP="008533EC">
      <w:pPr>
        <w:rPr>
          <w:lang w:val="es-ES"/>
        </w:rPr>
      </w:pPr>
      <w:r w:rsidRPr="008533EC">
        <w:rPr>
          <w:lang w:val="es-ES"/>
        </w:rPr>
        <w:t>En la Recomendación</w:t>
      </w:r>
      <w:r w:rsidR="002937BD">
        <w:rPr>
          <w:lang w:val="es-ES"/>
        </w:rPr>
        <w:t> </w:t>
      </w:r>
      <w:r w:rsidRPr="008533EC">
        <w:rPr>
          <w:b/>
          <w:bCs/>
          <w:lang w:val="es-ES"/>
        </w:rPr>
        <w:t>608 (Rev.CMR-07)</w:t>
      </w:r>
      <w:r w:rsidRPr="008533EC">
        <w:rPr>
          <w:lang w:val="es-ES"/>
        </w:rPr>
        <w:t xml:space="preserve"> se recomienda que al aplicar el </w:t>
      </w:r>
      <w:r w:rsidRPr="008533EC">
        <w:rPr>
          <w:i/>
          <w:iCs/>
          <w:lang w:val="es-ES"/>
        </w:rPr>
        <w:t>resuelve</w:t>
      </w:r>
      <w:r w:rsidR="002937BD">
        <w:rPr>
          <w:i/>
          <w:iCs/>
          <w:lang w:val="es-ES"/>
        </w:rPr>
        <w:t> </w:t>
      </w:r>
      <w:r w:rsidRPr="008533EC">
        <w:rPr>
          <w:lang w:val="es-ES"/>
        </w:rPr>
        <w:t>5 de la Resolución</w:t>
      </w:r>
      <w:r w:rsidR="002937BD">
        <w:rPr>
          <w:lang w:val="es-ES"/>
        </w:rPr>
        <w:t> </w:t>
      </w:r>
      <w:r w:rsidRPr="008533EC">
        <w:rPr>
          <w:b/>
          <w:bCs/>
          <w:lang w:val="es-ES"/>
        </w:rPr>
        <w:t>609 (Rev.CMR-07)</w:t>
      </w:r>
      <w:r w:rsidRPr="008533EC">
        <w:rPr>
          <w:lang w:val="es-ES"/>
        </w:rPr>
        <w:t xml:space="preserve"> en la banda de frecuencias 1 164-1 215</w:t>
      </w:r>
      <w:r w:rsidR="002937BD">
        <w:rPr>
          <w:lang w:val="es-ES"/>
        </w:rPr>
        <w:t> </w:t>
      </w:r>
      <w:r w:rsidRPr="008533EC">
        <w:rPr>
          <w:lang w:val="es-ES"/>
        </w:rPr>
        <w:t>MHz, la máxima dfp producida en la superficie de la Tierra por las emisiones de una estación espacial del</w:t>
      </w:r>
      <w:r w:rsidR="002937BD">
        <w:rPr>
          <w:lang w:val="es-ES"/>
        </w:rPr>
        <w:t> </w:t>
      </w:r>
      <w:r w:rsidRPr="008533EC">
        <w:rPr>
          <w:lang w:val="es-ES"/>
        </w:rPr>
        <w:t xml:space="preserve">SRNS, para todos los ángulos de incidencia, no supere </w:t>
      </w:r>
      <w:r w:rsidR="002937BD">
        <w:rPr>
          <w:lang w:val="es-ES"/>
        </w:rPr>
        <w:t>−</w:t>
      </w:r>
      <w:r w:rsidRPr="008533EC">
        <w:rPr>
          <w:lang w:val="es-ES"/>
        </w:rPr>
        <w:t>129 dB(W/m</w:t>
      </w:r>
      <w:r w:rsidRPr="008533EC">
        <w:rPr>
          <w:vertAlign w:val="superscript"/>
          <w:lang w:val="es-ES"/>
        </w:rPr>
        <w:t>2</w:t>
      </w:r>
      <w:r w:rsidRPr="008533EC">
        <w:rPr>
          <w:lang w:val="es-ES"/>
        </w:rPr>
        <w:t xml:space="preserve">) en cualquier banda de 1 MHz en condiciones de propagación en el espacio libre. De conformidad con el </w:t>
      </w:r>
      <w:r w:rsidRPr="008533EC">
        <w:rPr>
          <w:i/>
          <w:iCs/>
          <w:lang w:val="es-ES"/>
        </w:rPr>
        <w:t>encarga a la Oficina de Radiocomunicaciones</w:t>
      </w:r>
      <w:r w:rsidR="002937BD">
        <w:rPr>
          <w:i/>
          <w:iCs/>
          <w:lang w:val="es-ES"/>
        </w:rPr>
        <w:t> </w:t>
      </w:r>
      <w:r w:rsidRPr="008533EC">
        <w:rPr>
          <w:lang w:val="es-ES"/>
        </w:rPr>
        <w:t>2 de la Resolución</w:t>
      </w:r>
      <w:r w:rsidR="002937BD">
        <w:rPr>
          <w:lang w:val="es-ES"/>
        </w:rPr>
        <w:t> </w:t>
      </w:r>
      <w:r w:rsidRPr="008533EC">
        <w:rPr>
          <w:b/>
          <w:bCs/>
          <w:lang w:val="es-ES"/>
        </w:rPr>
        <w:t>609 (Rev.CMR-07)</w:t>
      </w:r>
      <w:r w:rsidRPr="008533EC">
        <w:rPr>
          <w:lang w:val="es-ES"/>
        </w:rPr>
        <w:t xml:space="preserve">, la Oficina determina si alguna estación espacial objeto de esa Resolución rebasa este límite de dfp y publica el resultado con arreglo al </w:t>
      </w:r>
      <w:r w:rsidRPr="008533EC">
        <w:rPr>
          <w:i/>
          <w:iCs/>
          <w:lang w:val="es-ES"/>
        </w:rPr>
        <w:t>encarga a la Oficina de Radiocomunicaciones</w:t>
      </w:r>
      <w:r w:rsidR="002937BD">
        <w:rPr>
          <w:i/>
          <w:iCs/>
          <w:lang w:val="es-ES"/>
        </w:rPr>
        <w:t> </w:t>
      </w:r>
      <w:r w:rsidRPr="008533EC">
        <w:rPr>
          <w:lang w:val="es-ES"/>
        </w:rPr>
        <w:t>3 de dicha Resolución.</w:t>
      </w:r>
    </w:p>
    <w:p w14:paraId="66FF78EA" w14:textId="5E23B87B" w:rsidR="008533EC" w:rsidRPr="008533EC" w:rsidRDefault="008533EC" w:rsidP="008533EC">
      <w:pPr>
        <w:rPr>
          <w:lang w:val="es-ES"/>
        </w:rPr>
      </w:pPr>
      <w:r w:rsidRPr="008533EC">
        <w:rPr>
          <w:lang w:val="es-ES"/>
        </w:rPr>
        <w:t>Por otra parte, la Oficina se permite recordar a las administraciones que, al además de adoptar la Resolución</w:t>
      </w:r>
      <w:r w:rsidR="002937BD">
        <w:rPr>
          <w:lang w:val="es-ES"/>
        </w:rPr>
        <w:t> </w:t>
      </w:r>
      <w:r w:rsidRPr="008533EC">
        <w:rPr>
          <w:b/>
          <w:bCs/>
          <w:lang w:val="es-ES"/>
        </w:rPr>
        <w:t>609</w:t>
      </w:r>
      <w:r w:rsidRPr="008533EC">
        <w:rPr>
          <w:lang w:val="es-ES"/>
        </w:rPr>
        <w:t xml:space="preserve"> y la Recomendación</w:t>
      </w:r>
      <w:r w:rsidR="002937BD">
        <w:rPr>
          <w:lang w:val="es-ES"/>
        </w:rPr>
        <w:t> </w:t>
      </w:r>
      <w:r w:rsidRPr="008533EC">
        <w:rPr>
          <w:b/>
          <w:bCs/>
          <w:lang w:val="es-ES"/>
        </w:rPr>
        <w:t>608</w:t>
      </w:r>
      <w:r w:rsidRPr="008533EC">
        <w:rPr>
          <w:lang w:val="es-ES"/>
        </w:rPr>
        <w:t>, la CMR-03 adoptó también un nuevo punto de datos en el Anexo</w:t>
      </w:r>
      <w:r>
        <w:rPr>
          <w:lang w:val="es-ES"/>
        </w:rPr>
        <w:t> </w:t>
      </w:r>
      <w:r w:rsidRPr="008533EC">
        <w:rPr>
          <w:lang w:val="es-ES"/>
        </w:rPr>
        <w:t>2 al Apéndice</w:t>
      </w:r>
      <w:r w:rsidR="002937BD">
        <w:rPr>
          <w:lang w:val="es-ES"/>
        </w:rPr>
        <w:t> </w:t>
      </w:r>
      <w:r w:rsidRPr="008533EC">
        <w:rPr>
          <w:b/>
          <w:bCs/>
          <w:lang w:val="es-ES"/>
        </w:rPr>
        <w:t>4</w:t>
      </w:r>
      <w:r w:rsidRPr="008533EC">
        <w:rPr>
          <w:lang w:val="es-ES"/>
        </w:rPr>
        <w:t>, que corresponde al actual punto</w:t>
      </w:r>
      <w:r w:rsidR="002937BD">
        <w:rPr>
          <w:lang w:val="es-ES"/>
        </w:rPr>
        <w:t> </w:t>
      </w:r>
      <w:r w:rsidRPr="008533EC">
        <w:rPr>
          <w:b/>
          <w:bCs/>
          <w:lang w:val="es-ES"/>
        </w:rPr>
        <w:t>A.17.a</w:t>
      </w:r>
      <w:r w:rsidRPr="008533EC">
        <w:rPr>
          <w:lang w:val="es-ES"/>
        </w:rPr>
        <w:t>. En virtud de este punto, para los sistemas de satélite SRNS que funcionan en la banda de frecuencias 1 164</w:t>
      </w:r>
      <w:r w:rsidR="002937BD">
        <w:rPr>
          <w:lang w:val="es-ES"/>
        </w:rPr>
        <w:noBreakHyphen/>
      </w:r>
      <w:r w:rsidRPr="008533EC">
        <w:rPr>
          <w:lang w:val="es-ES"/>
        </w:rPr>
        <w:t>1 215</w:t>
      </w:r>
      <w:r w:rsidR="002937BD">
        <w:rPr>
          <w:lang w:val="es-ES"/>
        </w:rPr>
        <w:t> </w:t>
      </w:r>
      <w:r w:rsidRPr="008533EC">
        <w:rPr>
          <w:lang w:val="es-ES"/>
        </w:rPr>
        <w:t xml:space="preserve">MHz, las administraciones deberán proporcionar una declaración de observancia del nivel de dfp por satélite producida en la superficie de la Tierra, de </w:t>
      </w:r>
      <w:r w:rsidR="002937BD">
        <w:rPr>
          <w:lang w:val="es-ES"/>
        </w:rPr>
        <w:t>−</w:t>
      </w:r>
      <w:r w:rsidRPr="008533EC">
        <w:rPr>
          <w:lang w:val="es-ES"/>
        </w:rPr>
        <w:t>129</w:t>
      </w:r>
      <w:r w:rsidR="002937BD">
        <w:rPr>
          <w:lang w:val="es-ES"/>
        </w:rPr>
        <w:t> </w:t>
      </w:r>
      <w:r w:rsidRPr="008533EC">
        <w:rPr>
          <w:lang w:val="es-ES"/>
        </w:rPr>
        <w:t>dB(W/(m</w:t>
      </w:r>
      <w:r w:rsidRPr="008533EC">
        <w:rPr>
          <w:vertAlign w:val="superscript"/>
          <w:lang w:val="es-ES"/>
        </w:rPr>
        <w:t>2</w:t>
      </w:r>
      <w:r w:rsidR="002937BD" w:rsidRPr="002937BD">
        <w:rPr>
          <w:lang w:val="es-ES"/>
        </w:rPr>
        <w:t> </w:t>
      </w:r>
      <w:r w:rsidRPr="008533EC">
        <w:rPr>
          <w:lang w:val="es-ES"/>
        </w:rPr>
        <w:t>·</w:t>
      </w:r>
      <w:r w:rsidR="002937BD">
        <w:rPr>
          <w:lang w:val="es-ES"/>
        </w:rPr>
        <w:t> </w:t>
      </w:r>
      <w:r w:rsidRPr="008533EC">
        <w:rPr>
          <w:lang w:val="es-ES"/>
        </w:rPr>
        <w:t>MHz)) en toda banda de</w:t>
      </w:r>
      <w:r w:rsidR="002937BD">
        <w:rPr>
          <w:lang w:val="es-ES"/>
        </w:rPr>
        <w:t xml:space="preserve"> </w:t>
      </w:r>
      <w:r w:rsidRPr="008533EC">
        <w:rPr>
          <w:lang w:val="es-ES"/>
        </w:rPr>
        <w:t>1 MHz en condiciones de propagación en espacio libre</w:t>
      </w:r>
      <w:r w:rsidR="00952512">
        <w:rPr>
          <w:lang w:val="es-ES"/>
        </w:rPr>
        <w:t>.</w:t>
      </w:r>
    </w:p>
    <w:p w14:paraId="71CE8671" w14:textId="2AC6C9B7" w:rsidR="008533EC" w:rsidRPr="008533EC" w:rsidRDefault="008533EC" w:rsidP="008533EC">
      <w:pPr>
        <w:rPr>
          <w:lang w:val="es-ES"/>
        </w:rPr>
      </w:pPr>
      <w:r w:rsidRPr="008533EC">
        <w:rPr>
          <w:lang w:val="es-ES"/>
        </w:rPr>
        <w:t>Por consiguiente, si bien un rebasamiento del nivel de dfp calculado a partir de las características técnicas facilitadas en la notificación podría no dar lugar a una conclusión desfavorable con arreglo a los números</w:t>
      </w:r>
      <w:r w:rsidR="002937BD">
        <w:rPr>
          <w:lang w:val="es-ES"/>
        </w:rPr>
        <w:t> </w:t>
      </w:r>
      <w:r w:rsidRPr="008533EC">
        <w:rPr>
          <w:b/>
          <w:bCs/>
          <w:lang w:val="es-ES"/>
        </w:rPr>
        <w:t>9.35</w:t>
      </w:r>
      <w:r w:rsidRPr="008533EC">
        <w:rPr>
          <w:lang w:val="es-ES"/>
        </w:rPr>
        <w:t>/</w:t>
      </w:r>
      <w:r w:rsidRPr="008533EC">
        <w:rPr>
          <w:b/>
          <w:bCs/>
          <w:lang w:val="es-ES"/>
        </w:rPr>
        <w:t>11.31</w:t>
      </w:r>
      <w:r w:rsidRPr="008533EC">
        <w:rPr>
          <w:lang w:val="es-ES"/>
        </w:rPr>
        <w:t>, es no obstante obligatorio presentar una declaración de observancia del valor indicado en el punto</w:t>
      </w:r>
      <w:r w:rsidR="002937BD">
        <w:rPr>
          <w:lang w:val="es-ES"/>
        </w:rPr>
        <w:t> </w:t>
      </w:r>
      <w:r w:rsidRPr="008533EC">
        <w:rPr>
          <w:b/>
          <w:bCs/>
          <w:lang w:val="es-ES"/>
        </w:rPr>
        <w:t>A.17.a</w:t>
      </w:r>
      <w:r w:rsidRPr="008533EC">
        <w:rPr>
          <w:lang w:val="es-ES"/>
        </w:rPr>
        <w:t xml:space="preserve"> del Anexo</w:t>
      </w:r>
      <w:r w:rsidR="002937BD">
        <w:rPr>
          <w:lang w:val="es-ES"/>
        </w:rPr>
        <w:t> </w:t>
      </w:r>
      <w:r w:rsidRPr="008533EC">
        <w:rPr>
          <w:lang w:val="es-ES"/>
        </w:rPr>
        <w:t xml:space="preserve">2 </w:t>
      </w:r>
      <w:r w:rsidR="00952512">
        <w:rPr>
          <w:lang w:val="es-ES"/>
        </w:rPr>
        <w:t>a</w:t>
      </w:r>
      <w:r w:rsidRPr="008533EC">
        <w:rPr>
          <w:lang w:val="es-ES"/>
        </w:rPr>
        <w:t>l Apéndice</w:t>
      </w:r>
      <w:r w:rsidR="002937BD">
        <w:rPr>
          <w:lang w:val="es-ES"/>
        </w:rPr>
        <w:t> </w:t>
      </w:r>
      <w:r w:rsidRPr="008533EC">
        <w:rPr>
          <w:b/>
          <w:bCs/>
          <w:lang w:val="es-ES"/>
        </w:rPr>
        <w:t>4</w:t>
      </w:r>
      <w:r w:rsidRPr="008533EC">
        <w:rPr>
          <w:lang w:val="es-ES"/>
        </w:rPr>
        <w:t>. Cualquier declaración adjunta a la notificación en el sentido de que el sistema/red de satélite no cumplirá este nivel de dfp anulará la declaración exigida. En tal caso, o si esta declaración obligatoria no figura en la notificación del caso, la notificación del sistema o red de satélites se considerará incompleta con arreglo a los números</w:t>
      </w:r>
      <w:r w:rsidR="002937BD">
        <w:rPr>
          <w:lang w:val="es-ES"/>
        </w:rPr>
        <w:t> </w:t>
      </w:r>
      <w:r w:rsidRPr="008533EC">
        <w:rPr>
          <w:b/>
          <w:bCs/>
          <w:lang w:val="es-ES"/>
        </w:rPr>
        <w:t>9.40A</w:t>
      </w:r>
      <w:r w:rsidRPr="008533EC">
        <w:rPr>
          <w:lang w:val="es-ES"/>
        </w:rPr>
        <w:t xml:space="preserve"> u </w:t>
      </w:r>
      <w:r w:rsidRPr="008533EC">
        <w:rPr>
          <w:b/>
          <w:bCs/>
          <w:lang w:val="es-ES"/>
        </w:rPr>
        <w:t>11.27</w:t>
      </w:r>
      <w:r w:rsidRPr="008533EC">
        <w:rPr>
          <w:lang w:val="es-ES"/>
        </w:rPr>
        <w:t>.</w:t>
      </w:r>
    </w:p>
    <w:p w14:paraId="1B088A4C" w14:textId="77777777" w:rsidR="008533EC" w:rsidRPr="008533EC" w:rsidRDefault="008533EC" w:rsidP="008533EC">
      <w:pPr>
        <w:rPr>
          <w:lang w:val="es-ES"/>
        </w:rPr>
      </w:pPr>
      <w:r w:rsidRPr="008533EC">
        <w:rPr>
          <w:lang w:val="es-ES"/>
        </w:rPr>
        <w:t xml:space="preserve">La Oficina queda a la disposición de su Administración para facilitarle cualquier aclaración que pueda necesitar respecto de los asuntos tratados en la presente Carta Circular. Si necesita algún tipo de ayuda, no dude en dirigirse a </w:t>
      </w:r>
      <w:hyperlink r:id="rId10" w:history="1">
        <w:r w:rsidRPr="008533EC">
          <w:rPr>
            <w:rStyle w:val="Hyperlink"/>
            <w:lang w:val="es-ES"/>
          </w:rPr>
          <w:t>BRMAIL@itu.int</w:t>
        </w:r>
      </w:hyperlink>
      <w:r w:rsidRPr="008533EC">
        <w:rPr>
          <w:lang w:val="es-ES"/>
        </w:rPr>
        <w:t>.</w:t>
      </w:r>
    </w:p>
    <w:p w14:paraId="6635E23D" w14:textId="03A37773" w:rsidR="00D239B4" w:rsidRDefault="001B3D4D" w:rsidP="00953A80">
      <w:pPr>
        <w:spacing w:before="1200"/>
        <w:jc w:val="left"/>
        <w:rPr>
          <w:szCs w:val="24"/>
          <w:lang w:val="es-ES"/>
        </w:rPr>
      </w:pPr>
      <w:r w:rsidRPr="002410CB">
        <w:rPr>
          <w:lang w:val="es-ES"/>
        </w:rPr>
        <w:t>Mario Maniewicz</w:t>
      </w:r>
      <w:r w:rsidR="00E53DCE" w:rsidRPr="0033029C">
        <w:rPr>
          <w:szCs w:val="24"/>
          <w:lang w:val="es-ES"/>
        </w:rPr>
        <w:br/>
      </w:r>
      <w:r w:rsidR="00A96D3A" w:rsidRPr="0033029C">
        <w:rPr>
          <w:szCs w:val="24"/>
          <w:lang w:val="es-ES"/>
        </w:rPr>
        <w:t>Director</w:t>
      </w:r>
    </w:p>
    <w:p w14:paraId="291F340B" w14:textId="40F787E3" w:rsidR="008533EC" w:rsidRPr="002937BD" w:rsidRDefault="002937BD" w:rsidP="00952512">
      <w:pPr>
        <w:spacing w:before="2280"/>
        <w:rPr>
          <w:b/>
          <w:bCs/>
          <w:sz w:val="18"/>
          <w:szCs w:val="18"/>
          <w:lang w:val="es-ES"/>
        </w:rPr>
      </w:pPr>
      <w:r w:rsidRPr="002937BD">
        <w:rPr>
          <w:b/>
          <w:bCs/>
          <w:sz w:val="18"/>
          <w:szCs w:val="18"/>
          <w:u w:val="single"/>
          <w:lang w:val="es-ES"/>
        </w:rPr>
        <w:t>Distribución</w:t>
      </w:r>
      <w:r w:rsidR="008533EC" w:rsidRPr="002937BD">
        <w:rPr>
          <w:b/>
          <w:bCs/>
          <w:sz w:val="18"/>
          <w:szCs w:val="18"/>
          <w:lang w:val="es-ES"/>
        </w:rPr>
        <w:t>:</w:t>
      </w:r>
    </w:p>
    <w:p w14:paraId="2D1C50E1" w14:textId="3D37A909" w:rsidR="008533EC" w:rsidRPr="002937BD" w:rsidRDefault="002937BD" w:rsidP="002937BD">
      <w:pPr>
        <w:pStyle w:val="enumlev1"/>
        <w:rPr>
          <w:sz w:val="18"/>
          <w:szCs w:val="18"/>
          <w:lang w:val="es-ES"/>
        </w:rPr>
      </w:pPr>
      <w:r w:rsidRPr="002937BD">
        <w:rPr>
          <w:sz w:val="18"/>
          <w:szCs w:val="18"/>
          <w:lang w:val="es-ES"/>
        </w:rPr>
        <w:t>–</w:t>
      </w:r>
      <w:r w:rsidR="008533EC" w:rsidRPr="002937BD">
        <w:rPr>
          <w:sz w:val="18"/>
          <w:szCs w:val="18"/>
          <w:lang w:val="es-ES"/>
        </w:rPr>
        <w:tab/>
        <w:t>Administraciones de los Estados Miembros de la UIT</w:t>
      </w:r>
    </w:p>
    <w:p w14:paraId="312A2F46" w14:textId="47D477E8" w:rsidR="008533EC" w:rsidRPr="002937BD" w:rsidRDefault="002937BD" w:rsidP="00952512">
      <w:pPr>
        <w:pStyle w:val="enumlev1"/>
        <w:spacing w:before="0"/>
        <w:rPr>
          <w:sz w:val="18"/>
          <w:szCs w:val="18"/>
          <w:lang w:val="es-ES"/>
        </w:rPr>
      </w:pPr>
      <w:r w:rsidRPr="002937BD">
        <w:rPr>
          <w:sz w:val="18"/>
          <w:szCs w:val="18"/>
          <w:lang w:val="es-ES"/>
        </w:rPr>
        <w:t>–</w:t>
      </w:r>
      <w:r w:rsidR="008533EC" w:rsidRPr="002937BD">
        <w:rPr>
          <w:sz w:val="18"/>
          <w:szCs w:val="18"/>
          <w:lang w:val="es-ES"/>
        </w:rPr>
        <w:tab/>
        <w:t>Miembros de la Junta del Reglamento de Radiocomunicaciones</w:t>
      </w:r>
    </w:p>
    <w:sectPr w:rsidR="008533EC" w:rsidRPr="002937BD" w:rsidSect="007F437E">
      <w:headerReference w:type="even" r:id="rId11"/>
      <w:headerReference w:type="default" r:id="rId12"/>
      <w:headerReference w:type="first" r:id="rId13"/>
      <w:footerReference w:type="first" r:id="rId14"/>
      <w:pgSz w:w="11907" w:h="16834" w:code="9"/>
      <w:pgMar w:top="1134" w:right="1134" w:bottom="709" w:left="1134" w:header="567" w:footer="48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ACD3" w14:textId="77777777" w:rsidR="00F914BD" w:rsidRDefault="00F914BD">
      <w:r>
        <w:separator/>
      </w:r>
    </w:p>
  </w:endnote>
  <w:endnote w:type="continuationSeparator" w:id="0">
    <w:p w14:paraId="159FBCF4" w14:textId="77777777" w:rsidR="00F914BD" w:rsidRDefault="00F9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B5DD" w14:textId="18239458" w:rsidR="005370F0" w:rsidRPr="00AA0773" w:rsidRDefault="00CF7B6D" w:rsidP="00132DD2">
    <w:pPr>
      <w:pStyle w:val="Footer"/>
      <w:spacing w:before="0" w:line="240" w:lineRule="auto"/>
      <w:jc w:val="center"/>
      <w:rPr>
        <w:sz w:val="19"/>
        <w:szCs w:val="19"/>
        <w:lang w:val="es-ES"/>
      </w:rPr>
    </w:pPr>
    <w:r w:rsidRPr="00353E34">
      <w:rPr>
        <w:color w:val="4F81BD" w:themeColor="accent1"/>
        <w:sz w:val="19"/>
        <w:szCs w:val="19"/>
        <w:lang w:val="es-ES"/>
      </w:rPr>
      <w:t>Unión Internacional de Telecomunicaciones • Place des Nations, CH-1211 Ginebra 20, Suiza</w:t>
    </w:r>
    <w:r w:rsidRPr="00353E34">
      <w:rPr>
        <w:color w:val="4F81BD" w:themeColor="accent1"/>
        <w:sz w:val="19"/>
        <w:szCs w:val="19"/>
        <w:lang w:val="es-ES"/>
      </w:rPr>
      <w:br/>
      <w:t xml:space="preserve">Tel.: +41 22 730 5111 • Correo-e: </w:t>
    </w:r>
    <w:hyperlink r:id="rId1" w:history="1">
      <w:r w:rsidR="0082526C">
        <w:rPr>
          <w:rStyle w:val="Hyperlink"/>
          <w:sz w:val="19"/>
          <w:szCs w:val="19"/>
          <w:lang w:val="es-ES"/>
        </w:rPr>
        <w:t>itumail@itu.int</w:t>
      </w:r>
    </w:hyperlink>
    <w:r w:rsidRPr="00353E34">
      <w:rPr>
        <w:color w:val="4F81BD" w:themeColor="accent1"/>
        <w:sz w:val="19"/>
        <w:szCs w:val="19"/>
        <w:lang w:val="es-ES"/>
      </w:rPr>
      <w:t xml:space="preserve"> </w:t>
    </w:r>
    <w:r w:rsidRPr="00353E34">
      <w:rPr>
        <w:color w:val="4F81BD"/>
        <w:sz w:val="19"/>
        <w:szCs w:val="19"/>
        <w:lang w:val="es-ES"/>
      </w:rPr>
      <w:t xml:space="preserve">• Fax: +41 22 733 7256 • </w:t>
    </w:r>
    <w:hyperlink r:id="rId2" w:history="1">
      <w:r w:rsidR="00AA0773" w:rsidRPr="00523E34">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F5F9" w14:textId="77777777" w:rsidR="00F914BD" w:rsidRDefault="00F914BD">
      <w:r>
        <w:t>____________________</w:t>
      </w:r>
    </w:p>
  </w:footnote>
  <w:footnote w:type="continuationSeparator" w:id="0">
    <w:p w14:paraId="49148481" w14:textId="77777777" w:rsidR="00F914BD" w:rsidRDefault="00F9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AE91" w14:textId="0409C569" w:rsidR="00E915AF" w:rsidRPr="00D239B4" w:rsidRDefault="001B42C9" w:rsidP="00D316C8">
    <w:pPr>
      <w:pStyle w:val="Header"/>
      <w:jc w:val="center"/>
      <w:rPr>
        <w:sz w:val="18"/>
        <w:szCs w:val="16"/>
      </w:rPr>
    </w:pPr>
    <w:r w:rsidRPr="00D239B4">
      <w:rPr>
        <w:rStyle w:val="PageNumber"/>
        <w:sz w:val="18"/>
        <w:szCs w:val="16"/>
      </w:rPr>
      <w:fldChar w:fldCharType="begin"/>
    </w:r>
    <w:r w:rsidR="00E915AF" w:rsidRPr="00D239B4">
      <w:rPr>
        <w:rStyle w:val="PageNumber"/>
        <w:sz w:val="18"/>
        <w:szCs w:val="16"/>
      </w:rPr>
      <w:instrText xml:space="preserve"> PAGE </w:instrText>
    </w:r>
    <w:r w:rsidRPr="00D239B4">
      <w:rPr>
        <w:rStyle w:val="PageNumber"/>
        <w:sz w:val="18"/>
        <w:szCs w:val="16"/>
      </w:rPr>
      <w:fldChar w:fldCharType="separate"/>
    </w:r>
    <w:r w:rsidR="00535FEF">
      <w:rPr>
        <w:rStyle w:val="PageNumber"/>
        <w:noProof/>
        <w:sz w:val="18"/>
        <w:szCs w:val="16"/>
      </w:rPr>
      <w:t>2</w:t>
    </w:r>
    <w:r w:rsidRPr="00D239B4">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8C66" w14:textId="77777777" w:rsidR="00D316C8" w:rsidRPr="00D239B4" w:rsidRDefault="00D316C8" w:rsidP="00D316C8">
    <w:pPr>
      <w:pStyle w:val="Header"/>
      <w:jc w:val="center"/>
      <w:rPr>
        <w:sz w:val="18"/>
        <w:szCs w:val="16"/>
      </w:rPr>
    </w:pP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Pr>
        <w:rStyle w:val="PageNumber"/>
        <w:sz w:val="18"/>
        <w:szCs w:val="16"/>
      </w:rPr>
      <w:t>2</w:t>
    </w:r>
    <w:r w:rsidRPr="00D239B4">
      <w:rPr>
        <w:rStyle w:val="PageNumbe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tblGrid>
    <w:tr w:rsidR="002A3F03" w14:paraId="17DCC20F" w14:textId="77777777" w:rsidTr="002A3F03">
      <w:tc>
        <w:tcPr>
          <w:tcW w:w="9862" w:type="dxa"/>
          <w:tcMar>
            <w:left w:w="0" w:type="dxa"/>
          </w:tcMar>
        </w:tcPr>
        <w:p w14:paraId="0EDA5A65" w14:textId="77777777" w:rsidR="002A3F03" w:rsidRDefault="002A3F03" w:rsidP="002B7EE0">
          <w:pPr>
            <w:pStyle w:val="FirstFooter"/>
            <w:spacing w:line="240" w:lineRule="auto"/>
            <w:ind w:left="-397" w:right="-397"/>
            <w:jc w:val="center"/>
          </w:pPr>
          <w:r>
            <w:rPr>
              <w:noProof/>
              <w:lang w:val="en-GB" w:eastAsia="en-GB"/>
            </w:rPr>
            <w:drawing>
              <wp:inline distT="0" distB="0" distL="0" distR="0" wp14:anchorId="654BBB77" wp14:editId="2563B30D">
                <wp:extent cx="765175" cy="765175"/>
                <wp:effectExtent l="0" t="0" r="0" b="0"/>
                <wp:docPr id="627017592" name="Picture 62701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0B0D68E2"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5180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94716"/>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2DD2"/>
    <w:rsid w:val="00134404"/>
    <w:rsid w:val="00144DFB"/>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0CB"/>
    <w:rsid w:val="00241526"/>
    <w:rsid w:val="002443A2"/>
    <w:rsid w:val="00257BE7"/>
    <w:rsid w:val="00266E74"/>
    <w:rsid w:val="00283C3B"/>
    <w:rsid w:val="002861E6"/>
    <w:rsid w:val="00287D18"/>
    <w:rsid w:val="002937BD"/>
    <w:rsid w:val="002A20E1"/>
    <w:rsid w:val="002A2618"/>
    <w:rsid w:val="002A3F03"/>
    <w:rsid w:val="002A5DD7"/>
    <w:rsid w:val="002B0CAC"/>
    <w:rsid w:val="002B7EE0"/>
    <w:rsid w:val="002D5A15"/>
    <w:rsid w:val="002D5BDD"/>
    <w:rsid w:val="002E3D27"/>
    <w:rsid w:val="002F0890"/>
    <w:rsid w:val="002F2531"/>
    <w:rsid w:val="002F4967"/>
    <w:rsid w:val="00306452"/>
    <w:rsid w:val="00311970"/>
    <w:rsid w:val="00316935"/>
    <w:rsid w:val="003266ED"/>
    <w:rsid w:val="00326C68"/>
    <w:rsid w:val="0033029C"/>
    <w:rsid w:val="003370B8"/>
    <w:rsid w:val="00345D38"/>
    <w:rsid w:val="00352097"/>
    <w:rsid w:val="00353E34"/>
    <w:rsid w:val="003666FF"/>
    <w:rsid w:val="0037309C"/>
    <w:rsid w:val="00380A6E"/>
    <w:rsid w:val="003836D4"/>
    <w:rsid w:val="003969C9"/>
    <w:rsid w:val="003974CD"/>
    <w:rsid w:val="003A1F49"/>
    <w:rsid w:val="003A55ED"/>
    <w:rsid w:val="003A5D52"/>
    <w:rsid w:val="003B2BDA"/>
    <w:rsid w:val="003B370E"/>
    <w:rsid w:val="003B55EC"/>
    <w:rsid w:val="003C2EA7"/>
    <w:rsid w:val="003C4471"/>
    <w:rsid w:val="003C7D41"/>
    <w:rsid w:val="003D4A69"/>
    <w:rsid w:val="003E504F"/>
    <w:rsid w:val="003E78D6"/>
    <w:rsid w:val="003F0E9F"/>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364"/>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72F21"/>
    <w:rsid w:val="006829F3"/>
    <w:rsid w:val="006A518B"/>
    <w:rsid w:val="006B0590"/>
    <w:rsid w:val="006B49DA"/>
    <w:rsid w:val="006C53F8"/>
    <w:rsid w:val="006C7CDE"/>
    <w:rsid w:val="007234B1"/>
    <w:rsid w:val="00723D08"/>
    <w:rsid w:val="00725FDA"/>
    <w:rsid w:val="00727816"/>
    <w:rsid w:val="00730B9A"/>
    <w:rsid w:val="00750CFA"/>
    <w:rsid w:val="007553DA"/>
    <w:rsid w:val="00775DB8"/>
    <w:rsid w:val="00782354"/>
    <w:rsid w:val="007921A7"/>
    <w:rsid w:val="007B3DB1"/>
    <w:rsid w:val="007D183E"/>
    <w:rsid w:val="007D43D0"/>
    <w:rsid w:val="007E1833"/>
    <w:rsid w:val="007E3F13"/>
    <w:rsid w:val="007F437E"/>
    <w:rsid w:val="007F751A"/>
    <w:rsid w:val="00800012"/>
    <w:rsid w:val="0080261F"/>
    <w:rsid w:val="00805A02"/>
    <w:rsid w:val="00806160"/>
    <w:rsid w:val="008143A4"/>
    <w:rsid w:val="0081513E"/>
    <w:rsid w:val="0082526C"/>
    <w:rsid w:val="00833DCF"/>
    <w:rsid w:val="008533EC"/>
    <w:rsid w:val="00854131"/>
    <w:rsid w:val="0085652D"/>
    <w:rsid w:val="0087694B"/>
    <w:rsid w:val="00880F4D"/>
    <w:rsid w:val="008B35A3"/>
    <w:rsid w:val="008B37E1"/>
    <w:rsid w:val="008B45F8"/>
    <w:rsid w:val="008C2E74"/>
    <w:rsid w:val="008D5409"/>
    <w:rsid w:val="008D6955"/>
    <w:rsid w:val="008E006D"/>
    <w:rsid w:val="008E38B4"/>
    <w:rsid w:val="008E6F33"/>
    <w:rsid w:val="008F4F21"/>
    <w:rsid w:val="00904D4A"/>
    <w:rsid w:val="009076D7"/>
    <w:rsid w:val="00912DAB"/>
    <w:rsid w:val="009151BA"/>
    <w:rsid w:val="00925023"/>
    <w:rsid w:val="009277BC"/>
    <w:rsid w:val="00927D57"/>
    <w:rsid w:val="00931A51"/>
    <w:rsid w:val="00947185"/>
    <w:rsid w:val="009518B3"/>
    <w:rsid w:val="00952512"/>
    <w:rsid w:val="00953A80"/>
    <w:rsid w:val="00963D9D"/>
    <w:rsid w:val="0098013E"/>
    <w:rsid w:val="00981B54"/>
    <w:rsid w:val="009842C3"/>
    <w:rsid w:val="009A009A"/>
    <w:rsid w:val="009A6BB6"/>
    <w:rsid w:val="009B3F43"/>
    <w:rsid w:val="009B5CFA"/>
    <w:rsid w:val="009C161F"/>
    <w:rsid w:val="009C56B4"/>
    <w:rsid w:val="009D51A2"/>
    <w:rsid w:val="009E04A8"/>
    <w:rsid w:val="009E2570"/>
    <w:rsid w:val="009E4595"/>
    <w:rsid w:val="009E4AEC"/>
    <w:rsid w:val="009E5BD8"/>
    <w:rsid w:val="009E681E"/>
    <w:rsid w:val="00A119E6"/>
    <w:rsid w:val="00A20FBC"/>
    <w:rsid w:val="00A31370"/>
    <w:rsid w:val="00A34D6F"/>
    <w:rsid w:val="00A41F91"/>
    <w:rsid w:val="00A63355"/>
    <w:rsid w:val="00A7596D"/>
    <w:rsid w:val="00A80EFE"/>
    <w:rsid w:val="00A963DF"/>
    <w:rsid w:val="00A96D3A"/>
    <w:rsid w:val="00AA0773"/>
    <w:rsid w:val="00AC0C22"/>
    <w:rsid w:val="00AC3896"/>
    <w:rsid w:val="00AD2CF2"/>
    <w:rsid w:val="00AE2D88"/>
    <w:rsid w:val="00AE6F6F"/>
    <w:rsid w:val="00AF3325"/>
    <w:rsid w:val="00AF34D9"/>
    <w:rsid w:val="00AF5B37"/>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CF7B6D"/>
    <w:rsid w:val="00D10BA0"/>
    <w:rsid w:val="00D21694"/>
    <w:rsid w:val="00D239B4"/>
    <w:rsid w:val="00D24EB5"/>
    <w:rsid w:val="00D316C8"/>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424BF"/>
    <w:rsid w:val="00F44FC3"/>
    <w:rsid w:val="00F46107"/>
    <w:rsid w:val="00F468C5"/>
    <w:rsid w:val="00F52F39"/>
    <w:rsid w:val="00F6184F"/>
    <w:rsid w:val="00F8310E"/>
    <w:rsid w:val="00F914BD"/>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0C465"/>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0E"/>
    <w:pPr>
      <w:tabs>
        <w:tab w:val="left" w:pos="794"/>
        <w:tab w:val="left" w:pos="1191"/>
        <w:tab w:val="left" w:pos="1588"/>
        <w:tab w:val="left" w:pos="1985"/>
      </w:tabs>
      <w:overflowPunct w:val="0"/>
      <w:autoSpaceDE w:val="0"/>
      <w:autoSpaceDN w:val="0"/>
      <w:adjustRightInd w:val="0"/>
      <w:spacing w:before="12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353E34"/>
    <w:rPr>
      <w:color w:val="605E5C"/>
      <w:shd w:val="clear" w:color="auto" w:fill="E1DFDD"/>
    </w:rPr>
  </w:style>
  <w:style w:type="paragraph" w:styleId="Revision">
    <w:name w:val="Revision"/>
    <w:hidden/>
    <w:uiPriority w:val="99"/>
    <w:semiHidden/>
    <w:rsid w:val="008533EC"/>
    <w:rPr>
      <w:sz w:val="24"/>
      <w:szCs w:val="22"/>
      <w:lang w:val="en-US" w:eastAsia="en-US"/>
    </w:rPr>
  </w:style>
  <w:style w:type="character" w:styleId="FollowedHyperlink">
    <w:name w:val="FollowedHyperlink"/>
    <w:basedOn w:val="DefaultParagraphFont"/>
    <w:semiHidden/>
    <w:unhideWhenUsed/>
    <w:rsid w:val="002937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ITU-R/space/Pages/res609.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RMAIL@itu.int" TargetMode="External"/><Relationship Id="rId4" Type="http://schemas.openxmlformats.org/officeDocument/2006/relationships/settings" Target="settings.xml"/><Relationship Id="rId9" Type="http://schemas.openxmlformats.org/officeDocument/2006/relationships/hyperlink" Target="https://www.itu.int/en/ITU-R/space/Pages/RES-609-Subscription-Information.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916</Words>
  <Characters>5081</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PS_BR Circulars</vt:lpstr>
      <vt:lpstr>ITU-T Rec. Book 1 Resolutions ITU-T Series A Recommendations:</vt:lpstr>
    </vt:vector>
  </TitlesOfParts>
  <Company>ITU</Company>
  <LinksUpToDate>false</LinksUpToDate>
  <CharactersWithSpaces>5986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PS_BR Circulars</dc:title>
  <dc:creator>Panoussopoulos, Sonia</dc:creator>
  <cp:lastModifiedBy>Marchetti, Caroline</cp:lastModifiedBy>
  <cp:revision>8</cp:revision>
  <cp:lastPrinted>2025-08-14T02:28:00Z</cp:lastPrinted>
  <dcterms:created xsi:type="dcterms:W3CDTF">2025-08-12T09:49:00Z</dcterms:created>
  <dcterms:modified xsi:type="dcterms:W3CDTF">2025-08-14T02:28:00Z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