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jc w:val="center"/>
        <w:tblLayout w:type="fixed"/>
        <w:tblLook w:val="04A0" w:firstRow="1" w:lastRow="0" w:firstColumn="1" w:lastColumn="0" w:noHBand="0" w:noVBand="1"/>
      </w:tblPr>
      <w:tblGrid>
        <w:gridCol w:w="1134"/>
        <w:gridCol w:w="5774"/>
        <w:gridCol w:w="2839"/>
      </w:tblGrid>
      <w:tr w:rsidR="00E53DCE" w:rsidRPr="00455EE6" w14:paraId="3373B1DA" w14:textId="77777777" w:rsidTr="0026134E">
        <w:trPr>
          <w:jc w:val="center"/>
        </w:trPr>
        <w:tc>
          <w:tcPr>
            <w:tcW w:w="9743" w:type="dxa"/>
            <w:gridSpan w:val="3"/>
            <w:shd w:val="clear" w:color="auto" w:fill="auto"/>
          </w:tcPr>
          <w:p w14:paraId="131D11D0" w14:textId="77777777" w:rsidR="00E53DCE" w:rsidRPr="00455EE6" w:rsidRDefault="00E53DCE" w:rsidP="006160CB">
            <w:pPr>
              <w:spacing w:before="0"/>
              <w:jc w:val="left"/>
              <w:rPr>
                <w:rFonts w:cstheme="minorHAnsi"/>
                <w:b/>
                <w:bCs/>
                <w:color w:val="808080"/>
                <w:sz w:val="28"/>
                <w:szCs w:val="28"/>
                <w:lang w:val="fr-FR"/>
              </w:rPr>
            </w:pPr>
            <w:r w:rsidRPr="00455EE6">
              <w:rPr>
                <w:rFonts w:cstheme="minorHAnsi"/>
                <w:b/>
                <w:bCs/>
                <w:color w:val="808080"/>
                <w:sz w:val="28"/>
                <w:szCs w:val="28"/>
                <w:lang w:val="fr-FR"/>
              </w:rPr>
              <w:t>Bureau des radiocommunications (BR)</w:t>
            </w:r>
          </w:p>
          <w:p w14:paraId="5D410CA3" w14:textId="77777777" w:rsidR="00E53DCE" w:rsidRPr="00455EE6" w:rsidRDefault="00E53DCE" w:rsidP="006160CB">
            <w:pPr>
              <w:spacing w:before="0"/>
              <w:jc w:val="left"/>
              <w:rPr>
                <w:rFonts w:cstheme="minorHAnsi"/>
                <w:b/>
                <w:bCs/>
                <w:color w:val="808080"/>
                <w:sz w:val="28"/>
                <w:szCs w:val="28"/>
                <w:lang w:val="fr-FR"/>
              </w:rPr>
            </w:pPr>
          </w:p>
          <w:p w14:paraId="238EAC46" w14:textId="77777777" w:rsidR="00E53DCE" w:rsidRPr="00455EE6" w:rsidRDefault="00E53DCE" w:rsidP="006160CB">
            <w:pPr>
              <w:spacing w:before="0"/>
              <w:jc w:val="left"/>
              <w:rPr>
                <w:rFonts w:cs="Times New Roman Bold"/>
                <w:b/>
                <w:bCs/>
                <w:color w:val="808080"/>
                <w:sz w:val="28"/>
                <w:szCs w:val="28"/>
                <w:lang w:val="fr-FR"/>
              </w:rPr>
            </w:pPr>
          </w:p>
        </w:tc>
      </w:tr>
      <w:tr w:rsidR="00E53DCE" w:rsidRPr="00455EE6" w14:paraId="32D03654" w14:textId="77777777" w:rsidTr="0026134E">
        <w:trPr>
          <w:jc w:val="center"/>
        </w:trPr>
        <w:tc>
          <w:tcPr>
            <w:tcW w:w="6908" w:type="dxa"/>
            <w:gridSpan w:val="2"/>
            <w:shd w:val="clear" w:color="auto" w:fill="auto"/>
          </w:tcPr>
          <w:p w14:paraId="787AC96A" w14:textId="086778AB" w:rsidR="00E53DCE" w:rsidRPr="00455EE6" w:rsidRDefault="00AA781A" w:rsidP="006160CB">
            <w:pPr>
              <w:spacing w:before="0"/>
              <w:jc w:val="left"/>
              <w:rPr>
                <w:sz w:val="28"/>
                <w:szCs w:val="28"/>
                <w:lang w:val="fr-FR"/>
              </w:rPr>
            </w:pPr>
            <w:r w:rsidRPr="00455EE6">
              <w:rPr>
                <w:szCs w:val="24"/>
                <w:lang w:val="fr-FR"/>
              </w:rPr>
              <w:t>Lettre circulaire</w:t>
            </w:r>
          </w:p>
          <w:p w14:paraId="198DE3D1" w14:textId="04D32D02" w:rsidR="00E53DCE" w:rsidRPr="00455EE6" w:rsidRDefault="00AA781A" w:rsidP="006160CB">
            <w:pPr>
              <w:spacing w:before="0"/>
              <w:jc w:val="left"/>
              <w:rPr>
                <w:b/>
                <w:bCs/>
                <w:sz w:val="28"/>
                <w:szCs w:val="28"/>
                <w:lang w:val="fr-FR"/>
              </w:rPr>
            </w:pPr>
            <w:r w:rsidRPr="00455EE6">
              <w:rPr>
                <w:b/>
                <w:bCs/>
                <w:szCs w:val="24"/>
                <w:lang w:val="fr-FR"/>
              </w:rPr>
              <w:t>CR</w:t>
            </w:r>
            <w:r w:rsidR="00455EE6" w:rsidRPr="00455EE6">
              <w:rPr>
                <w:b/>
                <w:bCs/>
                <w:szCs w:val="24"/>
                <w:lang w:val="fr-FR"/>
              </w:rPr>
              <w:t>/521</w:t>
            </w:r>
          </w:p>
        </w:tc>
        <w:tc>
          <w:tcPr>
            <w:tcW w:w="2835" w:type="dxa"/>
            <w:shd w:val="clear" w:color="auto" w:fill="auto"/>
          </w:tcPr>
          <w:p w14:paraId="73698996" w14:textId="68A35301" w:rsidR="00E53DCE" w:rsidRPr="00455EE6" w:rsidRDefault="00455EE6" w:rsidP="00304636">
            <w:pPr>
              <w:spacing w:before="0"/>
              <w:jc w:val="right"/>
              <w:rPr>
                <w:sz w:val="28"/>
                <w:szCs w:val="28"/>
                <w:lang w:val="fr-FR"/>
              </w:rPr>
            </w:pPr>
            <w:r w:rsidRPr="00455EE6">
              <w:rPr>
                <w:szCs w:val="24"/>
                <w:lang w:val="fr-FR"/>
              </w:rPr>
              <w:t>15 août 2025</w:t>
            </w:r>
          </w:p>
        </w:tc>
      </w:tr>
      <w:tr w:rsidR="00E53DCE" w:rsidRPr="00455EE6" w14:paraId="21CF050B" w14:textId="77777777" w:rsidTr="0026134E">
        <w:trPr>
          <w:jc w:val="center"/>
        </w:trPr>
        <w:tc>
          <w:tcPr>
            <w:tcW w:w="9743" w:type="dxa"/>
            <w:gridSpan w:val="3"/>
            <w:shd w:val="clear" w:color="auto" w:fill="auto"/>
          </w:tcPr>
          <w:p w14:paraId="78C111A6" w14:textId="77777777" w:rsidR="00E53DCE" w:rsidRPr="00455EE6" w:rsidRDefault="00E53DCE" w:rsidP="006160CB">
            <w:pPr>
              <w:spacing w:before="0"/>
              <w:jc w:val="left"/>
              <w:rPr>
                <w:rFonts w:cs="Arial"/>
                <w:szCs w:val="24"/>
                <w:lang w:val="fr-FR"/>
              </w:rPr>
            </w:pPr>
          </w:p>
        </w:tc>
      </w:tr>
      <w:tr w:rsidR="00E53DCE" w:rsidRPr="00455EE6" w14:paraId="2F4E240B" w14:textId="77777777" w:rsidTr="0026134E">
        <w:trPr>
          <w:jc w:val="center"/>
        </w:trPr>
        <w:tc>
          <w:tcPr>
            <w:tcW w:w="9743" w:type="dxa"/>
            <w:gridSpan w:val="3"/>
            <w:shd w:val="clear" w:color="auto" w:fill="auto"/>
          </w:tcPr>
          <w:p w14:paraId="1E0134AA" w14:textId="77777777" w:rsidR="00E53DCE" w:rsidRPr="00455EE6" w:rsidRDefault="00E53DCE" w:rsidP="006160CB">
            <w:pPr>
              <w:spacing w:before="0"/>
              <w:jc w:val="left"/>
              <w:rPr>
                <w:szCs w:val="24"/>
                <w:lang w:val="fr-FR"/>
              </w:rPr>
            </w:pPr>
          </w:p>
        </w:tc>
      </w:tr>
      <w:tr w:rsidR="00E53DCE" w:rsidRPr="00455EC6" w14:paraId="007114AC" w14:textId="77777777" w:rsidTr="0026134E">
        <w:trPr>
          <w:jc w:val="center"/>
        </w:trPr>
        <w:tc>
          <w:tcPr>
            <w:tcW w:w="9743" w:type="dxa"/>
            <w:gridSpan w:val="3"/>
            <w:shd w:val="clear" w:color="auto" w:fill="auto"/>
          </w:tcPr>
          <w:p w14:paraId="43A7338A" w14:textId="4AFD495A" w:rsidR="00E53DCE" w:rsidRPr="00455EE6" w:rsidRDefault="00EE1A57" w:rsidP="006160CB">
            <w:pPr>
              <w:spacing w:before="0"/>
              <w:jc w:val="left"/>
              <w:rPr>
                <w:b/>
                <w:bCs/>
                <w:szCs w:val="24"/>
                <w:lang w:val="fr-FR"/>
              </w:rPr>
            </w:pPr>
            <w:r w:rsidRPr="00455EE6">
              <w:rPr>
                <w:b/>
                <w:bCs/>
                <w:szCs w:val="24"/>
                <w:lang w:val="fr-FR"/>
              </w:rPr>
              <w:t xml:space="preserve">Aux Administrations des </w:t>
            </w:r>
            <w:r w:rsidR="00455EE6" w:rsidRPr="00455EE6">
              <w:rPr>
                <w:b/>
                <w:bCs/>
                <w:szCs w:val="24"/>
                <w:lang w:val="fr-FR"/>
              </w:rPr>
              <w:t>États</w:t>
            </w:r>
            <w:r w:rsidRPr="00455EE6">
              <w:rPr>
                <w:b/>
                <w:bCs/>
                <w:szCs w:val="24"/>
                <w:lang w:val="fr-FR"/>
              </w:rPr>
              <w:t xml:space="preserve"> Membres de l'UIT</w:t>
            </w:r>
          </w:p>
        </w:tc>
      </w:tr>
      <w:tr w:rsidR="00E53DCE" w:rsidRPr="00455EC6" w14:paraId="6C559311" w14:textId="77777777" w:rsidTr="0026134E">
        <w:trPr>
          <w:jc w:val="center"/>
        </w:trPr>
        <w:tc>
          <w:tcPr>
            <w:tcW w:w="9743" w:type="dxa"/>
            <w:gridSpan w:val="3"/>
            <w:shd w:val="clear" w:color="auto" w:fill="auto"/>
          </w:tcPr>
          <w:p w14:paraId="0D32AE4E" w14:textId="77777777" w:rsidR="00E53DCE" w:rsidRPr="00455EE6" w:rsidRDefault="00E53DCE" w:rsidP="006160CB">
            <w:pPr>
              <w:spacing w:before="0"/>
              <w:jc w:val="left"/>
              <w:rPr>
                <w:szCs w:val="24"/>
                <w:lang w:val="fr-FR"/>
              </w:rPr>
            </w:pPr>
          </w:p>
        </w:tc>
      </w:tr>
      <w:tr w:rsidR="00E53DCE" w:rsidRPr="00455EC6" w14:paraId="26C0E337" w14:textId="77777777" w:rsidTr="0026134E">
        <w:trPr>
          <w:jc w:val="center"/>
        </w:trPr>
        <w:tc>
          <w:tcPr>
            <w:tcW w:w="9743" w:type="dxa"/>
            <w:gridSpan w:val="3"/>
            <w:shd w:val="clear" w:color="auto" w:fill="auto"/>
          </w:tcPr>
          <w:p w14:paraId="29F7E960" w14:textId="77777777" w:rsidR="00E53DCE" w:rsidRPr="00455EE6" w:rsidRDefault="00E53DCE" w:rsidP="006160CB">
            <w:pPr>
              <w:spacing w:before="0"/>
              <w:jc w:val="left"/>
              <w:rPr>
                <w:szCs w:val="24"/>
                <w:lang w:val="fr-FR"/>
              </w:rPr>
            </w:pPr>
          </w:p>
        </w:tc>
      </w:tr>
      <w:tr w:rsidR="00455EE6" w:rsidRPr="00455EC6" w14:paraId="2813E03B" w14:textId="77777777" w:rsidTr="0026134E">
        <w:trPr>
          <w:trHeight w:val="410"/>
          <w:jc w:val="center"/>
        </w:trPr>
        <w:tc>
          <w:tcPr>
            <w:tcW w:w="1134" w:type="dxa"/>
            <w:shd w:val="clear" w:color="auto" w:fill="auto"/>
          </w:tcPr>
          <w:p w14:paraId="50D97891" w14:textId="77777777" w:rsidR="00455EE6" w:rsidRPr="00455EE6" w:rsidRDefault="00455EE6" w:rsidP="006160CB">
            <w:pPr>
              <w:tabs>
                <w:tab w:val="clear" w:pos="1588"/>
                <w:tab w:val="left" w:pos="1560"/>
              </w:tabs>
              <w:spacing w:before="0"/>
              <w:jc w:val="left"/>
              <w:rPr>
                <w:szCs w:val="24"/>
                <w:lang w:val="fr-FR"/>
              </w:rPr>
            </w:pPr>
            <w:proofErr w:type="gramStart"/>
            <w:r w:rsidRPr="00455EE6">
              <w:rPr>
                <w:lang w:val="fr-FR"/>
              </w:rPr>
              <w:t>Objet</w:t>
            </w:r>
            <w:r w:rsidRPr="00455EE6">
              <w:rPr>
                <w:szCs w:val="24"/>
                <w:lang w:val="fr-FR"/>
              </w:rPr>
              <w:t>:</w:t>
            </w:r>
            <w:proofErr w:type="gramEnd"/>
          </w:p>
        </w:tc>
        <w:tc>
          <w:tcPr>
            <w:tcW w:w="8613" w:type="dxa"/>
            <w:gridSpan w:val="2"/>
            <w:shd w:val="clear" w:color="auto" w:fill="auto"/>
          </w:tcPr>
          <w:p w14:paraId="41F3265F" w14:textId="0F41EB8B" w:rsidR="00455EE6" w:rsidRPr="00455EE6" w:rsidRDefault="00455EE6" w:rsidP="0026134E">
            <w:pPr>
              <w:tabs>
                <w:tab w:val="clear" w:pos="1588"/>
                <w:tab w:val="left" w:pos="1560"/>
              </w:tabs>
              <w:spacing w:before="0"/>
              <w:ind w:left="-246" w:firstLine="142"/>
              <w:rPr>
                <w:b/>
                <w:bCs/>
                <w:szCs w:val="24"/>
                <w:lang w:val="fr-FR"/>
              </w:rPr>
            </w:pPr>
            <w:r w:rsidRPr="00455EE6">
              <w:rPr>
                <w:b/>
                <w:bCs/>
                <w:szCs w:val="24"/>
                <w:lang w:val="fr-FR"/>
              </w:rPr>
              <w:t>Participation à la réunion de consultation au titre de la Résolution 609 (Rév.CMR-07)</w:t>
            </w:r>
          </w:p>
        </w:tc>
      </w:tr>
    </w:tbl>
    <w:p w14:paraId="1E88E5CC" w14:textId="1377B0A7" w:rsidR="00455EE6" w:rsidRPr="00455EE6" w:rsidRDefault="00455EE6" w:rsidP="0026134E">
      <w:pPr>
        <w:pStyle w:val="Normalaftertitle"/>
        <w:rPr>
          <w:lang w:val="fr-FR"/>
        </w:rPr>
      </w:pPr>
      <w:r w:rsidRPr="00455EE6">
        <w:rPr>
          <w:lang w:val="fr-FR"/>
        </w:rPr>
        <w:t xml:space="preserve">Conformément à la Résolution </w:t>
      </w:r>
      <w:r w:rsidRPr="00455EE6">
        <w:rPr>
          <w:b/>
          <w:bCs/>
          <w:lang w:val="fr-FR"/>
        </w:rPr>
        <w:t>609 (Rév.CMR-07)</w:t>
      </w:r>
      <w:r w:rsidRPr="00455EE6">
        <w:rPr>
          <w:lang w:val="fr-FR"/>
        </w:rPr>
        <w:t>, des réunions de consultation devraient être organisées à intervalles réguliers pour garantir le niveau de protection des systèmes du service de radionavigation aéronautique (SRNA) fonctionnant dans la bande de fréquences 1 164-1 215 MHz.</w:t>
      </w:r>
    </w:p>
    <w:p w14:paraId="04E4905D" w14:textId="27734CD3" w:rsidR="00455EE6" w:rsidRPr="00455EE6" w:rsidRDefault="00455EE6" w:rsidP="0026134E">
      <w:pPr>
        <w:rPr>
          <w:szCs w:val="24"/>
          <w:lang w:val="fr-FR"/>
        </w:rPr>
      </w:pPr>
      <w:r w:rsidRPr="00455EE6">
        <w:rPr>
          <w:szCs w:val="24"/>
          <w:lang w:val="fr-FR"/>
        </w:rPr>
        <w:t xml:space="preserve">Conformément au point 2 du </w:t>
      </w:r>
      <w:r w:rsidRPr="00455EE6">
        <w:rPr>
          <w:i/>
          <w:iCs/>
          <w:szCs w:val="24"/>
          <w:lang w:val="fr-FR"/>
        </w:rPr>
        <w:t>décide</w:t>
      </w:r>
      <w:r w:rsidRPr="00455EE6">
        <w:rPr>
          <w:szCs w:val="24"/>
          <w:lang w:val="fr-FR"/>
        </w:rPr>
        <w:t xml:space="preserve"> de cette Résolution, les administrations qui exploitent ou envisagent d'exploiter dans la bande de fréquences 1 164-1 215 MHz des systèmes ou des réseaux du service de radionavigation par satellite (SRNS), doivent, en collaboration, prendre toutes les mesures nécessaires, y compris en apportant les modifications voulues à leurs systèmes ou à leurs réseaux, pour faire en sorte que le brouillage cumulatif causé aux systèmes du SRNA par de tels systèmes ou réseaux du SRNS fonctionnant sur la même fréquence dans ces bandes soit équitablement réparti entre les systèmes qui remplissent les critères établis dans l'</w:t>
      </w:r>
      <w:r w:rsidR="0001642B">
        <w:rPr>
          <w:szCs w:val="24"/>
          <w:lang w:val="fr-FR"/>
        </w:rPr>
        <w:t>a</w:t>
      </w:r>
      <w:r w:rsidRPr="00455EE6">
        <w:rPr>
          <w:szCs w:val="24"/>
          <w:lang w:val="fr-FR"/>
        </w:rPr>
        <w:t xml:space="preserve">nnexe de cette Résolution et ne dépasse pas le niveau d'epfd rayonnée par toutes les stations spatiales du système du SRNS de </w:t>
      </w:r>
      <w:r w:rsidR="000722D6" w:rsidRPr="000722D6">
        <w:rPr>
          <w:szCs w:val="24"/>
          <w:lang w:val="fr-FR"/>
        </w:rPr>
        <w:t>–</w:t>
      </w:r>
      <w:r w:rsidRPr="00455EE6">
        <w:rPr>
          <w:szCs w:val="24"/>
          <w:lang w:val="fr-FR"/>
        </w:rPr>
        <w:t>121,5dB(W/m</w:t>
      </w:r>
      <w:r w:rsidRPr="000722D6">
        <w:rPr>
          <w:szCs w:val="24"/>
          <w:vertAlign w:val="superscript"/>
          <w:lang w:val="fr-FR"/>
        </w:rPr>
        <w:t>2</w:t>
      </w:r>
      <w:r w:rsidRPr="00455EE6">
        <w:rPr>
          <w:szCs w:val="24"/>
          <w:lang w:val="fr-FR"/>
        </w:rPr>
        <w:t>) dans une bande quelconque de 1 MHz.</w:t>
      </w:r>
      <w:r w:rsidR="0026134E">
        <w:rPr>
          <w:szCs w:val="24"/>
          <w:lang w:val="fr-FR"/>
        </w:rPr>
        <w:t xml:space="preserve"> </w:t>
      </w:r>
      <w:r w:rsidRPr="00455EE6">
        <w:rPr>
          <w:szCs w:val="24"/>
          <w:lang w:val="fr-FR"/>
        </w:rPr>
        <w:t xml:space="preserve">Pour atteindre ces objectifs, </w:t>
      </w:r>
      <w:proofErr w:type="gramStart"/>
      <w:r w:rsidRPr="00455EE6">
        <w:rPr>
          <w:szCs w:val="24"/>
          <w:lang w:val="fr-FR"/>
        </w:rPr>
        <w:t>les administrations exploitant</w:t>
      </w:r>
      <w:proofErr w:type="gramEnd"/>
      <w:r w:rsidRPr="00455EE6">
        <w:rPr>
          <w:szCs w:val="24"/>
          <w:lang w:val="fr-FR"/>
        </w:rPr>
        <w:t xml:space="preserve"> ou envisageant d'exploiter des systèmes du SRNS devront décider, en collaborant dans le cadre de réunions de consultation, de parvenir au niveau de protection des systèmes du SRNA.</w:t>
      </w:r>
    </w:p>
    <w:p w14:paraId="3035186E" w14:textId="08B1219E" w:rsidR="0026134E" w:rsidRDefault="00455EE6" w:rsidP="0026134E">
      <w:pPr>
        <w:rPr>
          <w:szCs w:val="24"/>
          <w:lang w:val="fr-FR"/>
        </w:rPr>
      </w:pPr>
      <w:r w:rsidRPr="00455EE6">
        <w:rPr>
          <w:szCs w:val="24"/>
          <w:lang w:val="fr-FR"/>
        </w:rPr>
        <w:t xml:space="preserve">Le </w:t>
      </w:r>
      <w:r w:rsidRPr="00505415">
        <w:rPr>
          <w:szCs w:val="24"/>
          <w:lang w:val="fr-FR"/>
        </w:rPr>
        <w:t xml:space="preserve">Bureau des </w:t>
      </w:r>
      <w:r w:rsidRPr="0001642B">
        <w:rPr>
          <w:szCs w:val="24"/>
          <w:lang w:val="fr-FR"/>
        </w:rPr>
        <w:t>radiocommunications a mis à di</w:t>
      </w:r>
      <w:r w:rsidRPr="00455EE6">
        <w:rPr>
          <w:szCs w:val="24"/>
          <w:lang w:val="fr-FR"/>
        </w:rPr>
        <w:t>sposition une page web contenant des informations sur ces réunions de consultation, qui contient également la liste la plus récente des fiches de notification au titre de l</w:t>
      </w:r>
      <w:r w:rsidR="00505415">
        <w:rPr>
          <w:szCs w:val="24"/>
          <w:lang w:val="fr-FR"/>
        </w:rPr>
        <w:t>'</w:t>
      </w:r>
      <w:r w:rsidRPr="00455EE6">
        <w:rPr>
          <w:szCs w:val="24"/>
          <w:lang w:val="fr-FR"/>
        </w:rPr>
        <w:t xml:space="preserve">Article </w:t>
      </w:r>
      <w:r w:rsidRPr="00455EE6">
        <w:rPr>
          <w:b/>
          <w:bCs/>
          <w:szCs w:val="24"/>
          <w:lang w:val="fr-FR"/>
        </w:rPr>
        <w:t>9</w:t>
      </w:r>
      <w:r w:rsidRPr="00455EE6">
        <w:rPr>
          <w:szCs w:val="24"/>
          <w:lang w:val="fr-FR"/>
        </w:rPr>
        <w:t xml:space="preserve"> et de l</w:t>
      </w:r>
      <w:r w:rsidR="00505415">
        <w:rPr>
          <w:szCs w:val="24"/>
          <w:lang w:val="fr-FR"/>
        </w:rPr>
        <w:t>'</w:t>
      </w:r>
      <w:r w:rsidRPr="00455EE6">
        <w:rPr>
          <w:szCs w:val="24"/>
          <w:lang w:val="fr-FR"/>
        </w:rPr>
        <w:t xml:space="preserve">Article </w:t>
      </w:r>
      <w:r w:rsidRPr="00455EE6">
        <w:rPr>
          <w:b/>
          <w:bCs/>
          <w:szCs w:val="24"/>
          <w:lang w:val="fr-FR"/>
        </w:rPr>
        <w:t>11</w:t>
      </w:r>
      <w:r w:rsidRPr="00455EE6">
        <w:rPr>
          <w:szCs w:val="24"/>
          <w:lang w:val="fr-FR"/>
        </w:rPr>
        <w:t xml:space="preserve"> pour les assignations de fréquence du SRNS dans la bande de fréquences 1 164-1 215 MHz</w:t>
      </w:r>
      <w:r w:rsidR="0026134E">
        <w:rPr>
          <w:szCs w:val="24"/>
          <w:lang w:val="fr-FR"/>
        </w:rPr>
        <w:t> :</w:t>
      </w:r>
    </w:p>
    <w:p w14:paraId="4F82FDAD" w14:textId="45925296" w:rsidR="00455EE6" w:rsidRPr="00455EE6" w:rsidRDefault="000722D6" w:rsidP="0026134E">
      <w:pPr>
        <w:jc w:val="center"/>
        <w:rPr>
          <w:szCs w:val="24"/>
          <w:lang w:val="fr-FR"/>
        </w:rPr>
      </w:pPr>
      <w:hyperlink r:id="rId8" w:history="1">
        <w:r w:rsidRPr="00123737">
          <w:rPr>
            <w:rStyle w:val="Hyperlink"/>
            <w:szCs w:val="24"/>
            <w:lang w:val="fr-FR"/>
          </w:rPr>
          <w:t>https://www.itu.int/en/ITU</w:t>
        </w:r>
        <w:r w:rsidRPr="00123737">
          <w:rPr>
            <w:rStyle w:val="Hyperlink"/>
            <w:szCs w:val="24"/>
            <w:lang w:val="fr-FR"/>
          </w:rPr>
          <w:noBreakHyphen/>
          <w:t>R/space/Pages/res609.aspx</w:t>
        </w:r>
      </w:hyperlink>
    </w:p>
    <w:p w14:paraId="6F4AB108" w14:textId="561C3A6B" w:rsidR="00455EE6" w:rsidRPr="00455EE6" w:rsidRDefault="00455EE6" w:rsidP="0026134E">
      <w:pPr>
        <w:rPr>
          <w:szCs w:val="24"/>
          <w:lang w:val="fr-FR"/>
        </w:rPr>
      </w:pPr>
      <w:r w:rsidRPr="00455EE6">
        <w:rPr>
          <w:szCs w:val="24"/>
          <w:lang w:val="fr-FR"/>
        </w:rPr>
        <w:t>Par conséquent, il est rappelé à toutes les administrations qui ont soumis des fiches de notification de réseaux à satellite pour des assignations de fréquence au SRNS dans la bande de fréquences</w:t>
      </w:r>
      <w:r w:rsidR="000722D6">
        <w:rPr>
          <w:szCs w:val="24"/>
          <w:lang w:val="fr-FR"/>
        </w:rPr>
        <w:t> </w:t>
      </w:r>
      <w:r w:rsidRPr="00455EE6">
        <w:rPr>
          <w:szCs w:val="24"/>
          <w:lang w:val="fr-FR"/>
        </w:rPr>
        <w:t>1</w:t>
      </w:r>
      <w:r w:rsidR="000722D6">
        <w:rPr>
          <w:szCs w:val="24"/>
          <w:lang w:val="fr-FR"/>
        </w:rPr>
        <w:t> </w:t>
      </w:r>
      <w:r w:rsidRPr="00455EE6">
        <w:rPr>
          <w:szCs w:val="24"/>
          <w:lang w:val="fr-FR"/>
        </w:rPr>
        <w:t xml:space="preserve">164-1 215 MHz </w:t>
      </w:r>
      <w:r w:rsidRPr="00455EE6">
        <w:rPr>
          <w:b/>
          <w:bCs/>
          <w:szCs w:val="24"/>
          <w:lang w:val="fr-FR"/>
        </w:rPr>
        <w:t>qu</w:t>
      </w:r>
      <w:r w:rsidR="00505415">
        <w:rPr>
          <w:b/>
          <w:bCs/>
          <w:szCs w:val="24"/>
          <w:lang w:val="fr-FR"/>
        </w:rPr>
        <w:t>'</w:t>
      </w:r>
      <w:r w:rsidRPr="00455EE6">
        <w:rPr>
          <w:b/>
          <w:bCs/>
          <w:szCs w:val="24"/>
          <w:lang w:val="fr-FR"/>
        </w:rPr>
        <w:t>elles sont tenues de participer aux réunions de consultation</w:t>
      </w:r>
      <w:r w:rsidRPr="00455EE6">
        <w:rPr>
          <w:szCs w:val="24"/>
          <w:lang w:val="fr-FR"/>
        </w:rPr>
        <w:t>. Les informations concernant la date et le lieu précis seront disponibles sur le site web mentionné ci</w:t>
      </w:r>
      <w:r w:rsidR="000722D6">
        <w:rPr>
          <w:szCs w:val="24"/>
          <w:lang w:val="fr-FR"/>
        </w:rPr>
        <w:noBreakHyphen/>
      </w:r>
      <w:r w:rsidRPr="00455EE6">
        <w:rPr>
          <w:szCs w:val="24"/>
          <w:lang w:val="fr-FR"/>
        </w:rPr>
        <w:t>dessus.</w:t>
      </w:r>
    </w:p>
    <w:p w14:paraId="1F768249" w14:textId="67225902" w:rsidR="00455EE6" w:rsidRPr="00455EE6" w:rsidRDefault="00455EE6" w:rsidP="0026134E">
      <w:pPr>
        <w:rPr>
          <w:szCs w:val="24"/>
          <w:lang w:val="fr-FR"/>
        </w:rPr>
      </w:pPr>
      <w:r w:rsidRPr="00455EE6">
        <w:rPr>
          <w:szCs w:val="24"/>
          <w:lang w:val="fr-FR"/>
        </w:rPr>
        <w:t>Il est également demandé aux administrations de communiquer le nom et les coordonnées d'une personne responsable, laquelle pourra demander l'accès au site Share</w:t>
      </w:r>
      <w:r w:rsidR="000722D6">
        <w:rPr>
          <w:szCs w:val="24"/>
          <w:lang w:val="fr-FR"/>
        </w:rPr>
        <w:t>P</w:t>
      </w:r>
      <w:r w:rsidRPr="00455EE6">
        <w:rPr>
          <w:szCs w:val="24"/>
          <w:lang w:val="fr-FR"/>
        </w:rPr>
        <w:t>oint et l'ajout à la liste de diffusion de la réunion de consultation, afin qu'elles puissent être informées de la planification de la réunion à venir. Pour avoir accès à SharePoint et être ajoutée à la liste de diffusion, la personne responsable doit envoyer une demande en utilisant le lien suivant:</w:t>
      </w:r>
    </w:p>
    <w:p w14:paraId="343D0145" w14:textId="0E6357A9" w:rsidR="00455EE6" w:rsidRPr="000722D6" w:rsidRDefault="00455EE6" w:rsidP="0026134E">
      <w:pPr>
        <w:jc w:val="center"/>
        <w:rPr>
          <w:szCs w:val="24"/>
          <w:lang w:val="fr-FR"/>
        </w:rPr>
      </w:pPr>
      <w:hyperlink r:id="rId9" w:history="1">
        <w:r w:rsidRPr="00455EE6">
          <w:rPr>
            <w:rStyle w:val="Hyperlink"/>
            <w:szCs w:val="24"/>
            <w:lang w:val="fr-FR"/>
          </w:rPr>
          <w:t>https://www.itu.int/en/ITU-R/space/Pages/RES-609-Subscription-Information.aspx</w:t>
        </w:r>
      </w:hyperlink>
    </w:p>
    <w:p w14:paraId="12383DFB" w14:textId="43D8B9E3" w:rsidR="00455EE6" w:rsidRPr="00455EE6" w:rsidRDefault="00455EE6" w:rsidP="0026134E">
      <w:pPr>
        <w:pStyle w:val="Heading1"/>
        <w:tabs>
          <w:tab w:val="clear" w:pos="794"/>
        </w:tabs>
        <w:ind w:left="0" w:firstLine="0"/>
        <w:rPr>
          <w:lang w:val="fr-FR"/>
        </w:rPr>
      </w:pPr>
      <w:r w:rsidRPr="00455EE6">
        <w:rPr>
          <w:lang w:val="fr-FR"/>
        </w:rPr>
        <w:lastRenderedPageBreak/>
        <w:t>Précisions concernant la conformité avec la valeur de puissance surfacique indiquée au point 1 du</w:t>
      </w:r>
      <w:r w:rsidR="00123737">
        <w:rPr>
          <w:lang w:val="fr-FR"/>
        </w:rPr>
        <w:t> </w:t>
      </w:r>
      <w:r w:rsidRPr="000722D6">
        <w:rPr>
          <w:i/>
          <w:iCs/>
          <w:lang w:val="fr-FR"/>
        </w:rPr>
        <w:t>recommande</w:t>
      </w:r>
      <w:r w:rsidRPr="00455EE6">
        <w:rPr>
          <w:lang w:val="fr-FR"/>
        </w:rPr>
        <w:t xml:space="preserve"> de la Recommandation 608 (Rév.CMR-07)</w:t>
      </w:r>
    </w:p>
    <w:p w14:paraId="12AE8A85" w14:textId="3B840A35" w:rsidR="00455EE6" w:rsidRPr="00455EE6" w:rsidRDefault="00455EE6" w:rsidP="0026134E">
      <w:pPr>
        <w:rPr>
          <w:rFonts w:asciiTheme="minorHAnsi" w:hAnsiTheme="minorHAnsi" w:cstheme="minorHAnsi"/>
          <w:szCs w:val="24"/>
          <w:lang w:val="fr-FR"/>
        </w:rPr>
      </w:pPr>
      <w:r w:rsidRPr="00455EE6">
        <w:rPr>
          <w:rFonts w:asciiTheme="minorHAnsi" w:hAnsiTheme="minorHAnsi" w:cstheme="minorHAnsi"/>
          <w:szCs w:val="24"/>
          <w:lang w:val="fr-FR"/>
        </w:rPr>
        <w:t>Afin que plusieurs systèmes du SRNS puissent être exploités dans la bande de fréquences</w:t>
      </w:r>
      <w:r w:rsidR="00B62C76">
        <w:rPr>
          <w:rFonts w:asciiTheme="minorHAnsi" w:hAnsiTheme="minorHAnsi" w:cstheme="minorHAnsi"/>
          <w:szCs w:val="24"/>
          <w:lang w:val="fr-FR"/>
        </w:rPr>
        <w:t> </w:t>
      </w:r>
      <w:r w:rsidRPr="00455EE6">
        <w:rPr>
          <w:rFonts w:asciiTheme="minorHAnsi" w:hAnsiTheme="minorHAnsi" w:cstheme="minorHAnsi"/>
          <w:szCs w:val="24"/>
          <w:lang w:val="fr-FR"/>
        </w:rPr>
        <w:t>1</w:t>
      </w:r>
      <w:r>
        <w:rPr>
          <w:rFonts w:asciiTheme="minorHAnsi" w:hAnsiTheme="minorHAnsi" w:cstheme="minorHAnsi"/>
          <w:szCs w:val="24"/>
          <w:lang w:val="fr-FR"/>
        </w:rPr>
        <w:t> </w:t>
      </w:r>
      <w:r w:rsidRPr="00455EE6">
        <w:rPr>
          <w:rFonts w:asciiTheme="minorHAnsi" w:hAnsiTheme="minorHAnsi" w:cstheme="minorHAnsi"/>
          <w:szCs w:val="24"/>
          <w:lang w:val="fr-FR"/>
        </w:rPr>
        <w:t>164</w:t>
      </w:r>
      <w:r>
        <w:rPr>
          <w:rFonts w:asciiTheme="minorHAnsi" w:hAnsiTheme="minorHAnsi" w:cstheme="minorHAnsi"/>
          <w:szCs w:val="24"/>
          <w:lang w:val="fr-FR"/>
        </w:rPr>
        <w:noBreakHyphen/>
      </w:r>
      <w:r w:rsidRPr="00455EE6">
        <w:rPr>
          <w:rFonts w:asciiTheme="minorHAnsi" w:hAnsiTheme="minorHAnsi" w:cstheme="minorHAnsi"/>
          <w:szCs w:val="24"/>
          <w:lang w:val="fr-FR"/>
        </w:rPr>
        <w:t>1</w:t>
      </w:r>
      <w:r>
        <w:rPr>
          <w:rFonts w:asciiTheme="minorHAnsi" w:hAnsiTheme="minorHAnsi" w:cstheme="minorHAnsi"/>
          <w:szCs w:val="24"/>
          <w:lang w:val="fr-FR"/>
        </w:rPr>
        <w:t> </w:t>
      </w:r>
      <w:r w:rsidRPr="00455EE6">
        <w:rPr>
          <w:rFonts w:asciiTheme="minorHAnsi" w:hAnsiTheme="minorHAnsi" w:cstheme="minorHAnsi"/>
          <w:szCs w:val="24"/>
          <w:lang w:val="fr-FR"/>
        </w:rPr>
        <w:t xml:space="preserve">215 MHz, il est indiqué, au point 5 du </w:t>
      </w:r>
      <w:r w:rsidRPr="000722D6">
        <w:rPr>
          <w:rFonts w:asciiTheme="minorHAnsi" w:hAnsiTheme="minorHAnsi" w:cstheme="minorHAnsi"/>
          <w:i/>
          <w:iCs/>
          <w:szCs w:val="24"/>
          <w:lang w:val="fr-FR"/>
        </w:rPr>
        <w:t>décide</w:t>
      </w:r>
      <w:r w:rsidRPr="00455EE6">
        <w:rPr>
          <w:rFonts w:asciiTheme="minorHAnsi" w:hAnsiTheme="minorHAnsi" w:cstheme="minorHAnsi"/>
          <w:szCs w:val="24"/>
          <w:lang w:val="fr-FR"/>
        </w:rPr>
        <w:t xml:space="preserve"> de la Résolution</w:t>
      </w:r>
      <w:r w:rsidR="00B62C76">
        <w:rPr>
          <w:rFonts w:asciiTheme="minorHAnsi" w:hAnsiTheme="minorHAnsi" w:cstheme="minorHAnsi"/>
          <w:szCs w:val="24"/>
          <w:lang w:val="fr-FR"/>
        </w:rPr>
        <w:t> </w:t>
      </w:r>
      <w:r w:rsidRPr="00455EE6">
        <w:rPr>
          <w:rFonts w:asciiTheme="minorHAnsi" w:hAnsiTheme="minorHAnsi" w:cstheme="minorHAnsi"/>
          <w:b/>
          <w:bCs/>
          <w:szCs w:val="24"/>
          <w:lang w:val="fr-FR"/>
        </w:rPr>
        <w:t>609</w:t>
      </w:r>
      <w:r w:rsidR="00B62C76">
        <w:rPr>
          <w:rFonts w:asciiTheme="minorHAnsi" w:hAnsiTheme="minorHAnsi" w:cstheme="minorHAnsi"/>
          <w:b/>
          <w:bCs/>
          <w:szCs w:val="24"/>
          <w:lang w:val="fr-FR"/>
        </w:rPr>
        <w:t> </w:t>
      </w:r>
      <w:r w:rsidRPr="00455EE6">
        <w:rPr>
          <w:rFonts w:asciiTheme="minorHAnsi" w:hAnsiTheme="minorHAnsi" w:cstheme="minorHAnsi"/>
          <w:b/>
          <w:bCs/>
          <w:szCs w:val="24"/>
          <w:lang w:val="fr-FR"/>
        </w:rPr>
        <w:t>(Rév.CMR</w:t>
      </w:r>
      <w:r w:rsidR="00B62C76">
        <w:rPr>
          <w:rFonts w:asciiTheme="minorHAnsi" w:hAnsiTheme="minorHAnsi" w:cstheme="minorHAnsi"/>
          <w:b/>
          <w:bCs/>
          <w:szCs w:val="24"/>
          <w:lang w:val="fr-FR"/>
        </w:rPr>
        <w:noBreakHyphen/>
      </w:r>
      <w:r w:rsidRPr="00455EE6">
        <w:rPr>
          <w:rFonts w:asciiTheme="minorHAnsi" w:hAnsiTheme="minorHAnsi" w:cstheme="minorHAnsi"/>
          <w:b/>
          <w:bCs/>
          <w:szCs w:val="24"/>
          <w:lang w:val="fr-FR"/>
        </w:rPr>
        <w:t>07)</w:t>
      </w:r>
      <w:r w:rsidRPr="00455EE6">
        <w:rPr>
          <w:rFonts w:asciiTheme="minorHAnsi" w:hAnsiTheme="minorHAnsi" w:cstheme="minorHAnsi"/>
          <w:szCs w:val="24"/>
          <w:lang w:val="fr-FR"/>
        </w:rPr>
        <w:t>, qu'</w:t>
      </w:r>
      <w:r>
        <w:rPr>
          <w:rFonts w:asciiTheme="minorHAnsi" w:hAnsiTheme="minorHAnsi" w:cstheme="minorHAnsi"/>
          <w:szCs w:val="24"/>
          <w:lang w:val="fr-FR"/>
        </w:rPr>
        <w:t>«</w:t>
      </w:r>
      <w:r w:rsidRPr="00455EE6">
        <w:rPr>
          <w:rFonts w:asciiTheme="minorHAnsi" w:hAnsiTheme="minorHAnsi" w:cstheme="minorHAnsi"/>
          <w:szCs w:val="24"/>
          <w:lang w:val="fr-FR"/>
        </w:rPr>
        <w:t>aucun système du SRNS ne doit être autorisé à utiliser toute la</w:t>
      </w:r>
      <w:r w:rsidR="00B62C76">
        <w:rPr>
          <w:rFonts w:asciiTheme="minorHAnsi" w:hAnsiTheme="minorHAnsi" w:cstheme="minorHAnsi"/>
          <w:szCs w:val="24"/>
          <w:lang w:val="fr-FR"/>
        </w:rPr>
        <w:t> </w:t>
      </w:r>
      <w:r w:rsidRPr="00455EE6">
        <w:rPr>
          <w:rFonts w:asciiTheme="minorHAnsi" w:hAnsiTheme="minorHAnsi" w:cstheme="minorHAnsi"/>
          <w:szCs w:val="24"/>
          <w:lang w:val="fr-FR"/>
        </w:rPr>
        <w:t xml:space="preserve">tolérance de brouillage indiquée au point 1 du </w:t>
      </w:r>
      <w:r w:rsidRPr="00455EE6">
        <w:rPr>
          <w:rFonts w:asciiTheme="minorHAnsi" w:hAnsiTheme="minorHAnsi" w:cstheme="minorHAnsi"/>
          <w:i/>
          <w:iCs/>
          <w:szCs w:val="24"/>
          <w:lang w:val="fr-FR"/>
        </w:rPr>
        <w:t>décide</w:t>
      </w:r>
      <w:r w:rsidRPr="00455EE6">
        <w:rPr>
          <w:rFonts w:asciiTheme="minorHAnsi" w:hAnsiTheme="minorHAnsi" w:cstheme="minorHAnsi"/>
          <w:szCs w:val="24"/>
          <w:lang w:val="fr-FR"/>
        </w:rPr>
        <w:t xml:space="preserve"> dans une largeur de bande quelconque de</w:t>
      </w:r>
      <w:r w:rsidR="00B62C76">
        <w:rPr>
          <w:rFonts w:asciiTheme="minorHAnsi" w:hAnsiTheme="minorHAnsi" w:cstheme="minorHAnsi"/>
          <w:szCs w:val="24"/>
          <w:lang w:val="fr-FR"/>
        </w:rPr>
        <w:t> </w:t>
      </w:r>
      <w:r w:rsidRPr="00455EE6">
        <w:rPr>
          <w:rFonts w:asciiTheme="minorHAnsi" w:hAnsiTheme="minorHAnsi" w:cstheme="minorHAnsi"/>
          <w:szCs w:val="24"/>
          <w:lang w:val="fr-FR"/>
        </w:rPr>
        <w:t>1</w:t>
      </w:r>
      <w:r w:rsidR="00B62C76">
        <w:rPr>
          <w:rFonts w:asciiTheme="minorHAnsi" w:hAnsiTheme="minorHAnsi" w:cstheme="minorHAnsi"/>
          <w:szCs w:val="24"/>
          <w:lang w:val="fr-FR"/>
        </w:rPr>
        <w:t> </w:t>
      </w:r>
      <w:r w:rsidRPr="00455EE6">
        <w:rPr>
          <w:rFonts w:asciiTheme="minorHAnsi" w:hAnsiTheme="minorHAnsi" w:cstheme="minorHAnsi"/>
          <w:szCs w:val="24"/>
          <w:lang w:val="fr-FR"/>
        </w:rPr>
        <w:t>MHz de la bande</w:t>
      </w:r>
      <w:r w:rsidR="00B62C76">
        <w:rPr>
          <w:rFonts w:asciiTheme="minorHAnsi" w:hAnsiTheme="minorHAnsi" w:cstheme="minorHAnsi"/>
          <w:szCs w:val="24"/>
          <w:lang w:val="fr-FR"/>
        </w:rPr>
        <w:t> </w:t>
      </w:r>
      <w:r w:rsidRPr="00455EE6">
        <w:rPr>
          <w:rFonts w:asciiTheme="minorHAnsi" w:hAnsiTheme="minorHAnsi" w:cstheme="minorHAnsi"/>
          <w:szCs w:val="24"/>
          <w:lang w:val="fr-FR"/>
        </w:rPr>
        <w:t>1</w:t>
      </w:r>
      <w:r w:rsidR="00B62C76">
        <w:rPr>
          <w:rFonts w:asciiTheme="minorHAnsi" w:hAnsiTheme="minorHAnsi" w:cstheme="minorHAnsi"/>
          <w:szCs w:val="24"/>
          <w:lang w:val="fr-FR"/>
        </w:rPr>
        <w:t> </w:t>
      </w:r>
      <w:r w:rsidRPr="00455EE6">
        <w:rPr>
          <w:rFonts w:asciiTheme="minorHAnsi" w:hAnsiTheme="minorHAnsi" w:cstheme="minorHAnsi"/>
          <w:szCs w:val="24"/>
          <w:lang w:val="fr-FR"/>
        </w:rPr>
        <w:t>164</w:t>
      </w:r>
      <w:r w:rsidR="00B62C76">
        <w:rPr>
          <w:rFonts w:asciiTheme="minorHAnsi" w:hAnsiTheme="minorHAnsi" w:cstheme="minorHAnsi"/>
          <w:szCs w:val="24"/>
          <w:lang w:val="fr-FR"/>
        </w:rPr>
        <w:noBreakHyphen/>
      </w:r>
      <w:r w:rsidRPr="00455EE6">
        <w:rPr>
          <w:rFonts w:asciiTheme="minorHAnsi" w:hAnsiTheme="minorHAnsi" w:cstheme="minorHAnsi"/>
          <w:szCs w:val="24"/>
          <w:lang w:val="fr-FR"/>
        </w:rPr>
        <w:t xml:space="preserve">1 215 MHz (voir la Recommandation </w:t>
      </w:r>
      <w:r w:rsidRPr="00455EE6">
        <w:rPr>
          <w:rFonts w:asciiTheme="minorHAnsi" w:hAnsiTheme="minorHAnsi" w:cstheme="minorHAnsi"/>
          <w:b/>
          <w:bCs/>
          <w:szCs w:val="24"/>
          <w:lang w:val="fr-FR"/>
        </w:rPr>
        <w:t>608 (Rév.CMR-07)</w:t>
      </w:r>
      <w:r w:rsidRPr="00455EE6">
        <w:rPr>
          <w:rFonts w:asciiTheme="minorHAnsi" w:hAnsiTheme="minorHAnsi" w:cstheme="minorHAnsi"/>
          <w:szCs w:val="24"/>
          <w:lang w:val="fr-FR"/>
        </w:rPr>
        <w:t>)</w:t>
      </w:r>
      <w:r>
        <w:rPr>
          <w:rFonts w:asciiTheme="minorHAnsi" w:hAnsiTheme="minorHAnsi" w:cstheme="minorHAnsi"/>
          <w:szCs w:val="24"/>
          <w:lang w:val="fr-FR"/>
        </w:rPr>
        <w:t>»</w:t>
      </w:r>
      <w:r w:rsidRPr="00455EE6">
        <w:rPr>
          <w:rFonts w:asciiTheme="minorHAnsi" w:hAnsiTheme="minorHAnsi" w:cstheme="minorHAnsi"/>
          <w:szCs w:val="24"/>
          <w:lang w:val="fr-FR"/>
        </w:rPr>
        <w:t>;</w:t>
      </w:r>
    </w:p>
    <w:p w14:paraId="4D04DCF8" w14:textId="03C13906" w:rsidR="00455EE6" w:rsidRPr="00455EE6" w:rsidRDefault="00455EE6" w:rsidP="0026134E">
      <w:pPr>
        <w:rPr>
          <w:rFonts w:asciiTheme="minorHAnsi" w:hAnsiTheme="minorHAnsi" w:cstheme="minorHAnsi"/>
          <w:szCs w:val="24"/>
          <w:lang w:val="fr-FR"/>
        </w:rPr>
      </w:pPr>
      <w:r w:rsidRPr="00455EE6">
        <w:rPr>
          <w:rFonts w:asciiTheme="minorHAnsi" w:hAnsiTheme="minorHAnsi" w:cstheme="minorHAnsi"/>
          <w:szCs w:val="24"/>
          <w:lang w:val="fr-FR"/>
        </w:rPr>
        <w:t xml:space="preserve">Dans la Recommandation </w:t>
      </w:r>
      <w:r w:rsidRPr="00455EE6">
        <w:rPr>
          <w:rFonts w:asciiTheme="minorHAnsi" w:hAnsiTheme="minorHAnsi" w:cstheme="minorHAnsi"/>
          <w:b/>
          <w:bCs/>
          <w:szCs w:val="24"/>
          <w:lang w:val="fr-FR"/>
        </w:rPr>
        <w:t>609 (Rév.CMR-07)</w:t>
      </w:r>
      <w:r w:rsidRPr="00455EE6">
        <w:rPr>
          <w:rFonts w:asciiTheme="minorHAnsi" w:hAnsiTheme="minorHAnsi" w:cstheme="minorHAnsi"/>
          <w:szCs w:val="24"/>
          <w:lang w:val="fr-FR"/>
        </w:rPr>
        <w:t xml:space="preserve">, il est recommandé que, lors de l'application des dispositions du point 5 du </w:t>
      </w:r>
      <w:r w:rsidRPr="00455EE6">
        <w:rPr>
          <w:rFonts w:asciiTheme="minorHAnsi" w:hAnsiTheme="minorHAnsi" w:cstheme="minorHAnsi"/>
          <w:i/>
          <w:iCs/>
          <w:szCs w:val="24"/>
          <w:lang w:val="fr-FR"/>
        </w:rPr>
        <w:t>décide</w:t>
      </w:r>
      <w:r w:rsidRPr="00455EE6">
        <w:rPr>
          <w:rFonts w:asciiTheme="minorHAnsi" w:hAnsiTheme="minorHAnsi" w:cstheme="minorHAnsi"/>
          <w:szCs w:val="24"/>
          <w:lang w:val="fr-FR"/>
        </w:rPr>
        <w:t xml:space="preserve"> de la Résolution </w:t>
      </w:r>
      <w:r w:rsidRPr="00455EE6">
        <w:rPr>
          <w:rFonts w:asciiTheme="minorHAnsi" w:hAnsiTheme="minorHAnsi" w:cstheme="minorHAnsi"/>
          <w:b/>
          <w:bCs/>
          <w:szCs w:val="24"/>
          <w:lang w:val="fr-FR"/>
        </w:rPr>
        <w:t>609 (Rév.CMR-07</w:t>
      </w:r>
      <w:r w:rsidRPr="00455EE6">
        <w:rPr>
          <w:rFonts w:asciiTheme="minorHAnsi" w:hAnsiTheme="minorHAnsi" w:cstheme="minorHAnsi"/>
          <w:szCs w:val="24"/>
          <w:lang w:val="fr-FR"/>
        </w:rPr>
        <w:t>), dans la bande de fréquences</w:t>
      </w:r>
      <w:r w:rsidR="00B62C76">
        <w:rPr>
          <w:rFonts w:asciiTheme="minorHAnsi" w:hAnsiTheme="minorHAnsi" w:cstheme="minorHAnsi"/>
          <w:szCs w:val="24"/>
          <w:lang w:val="fr-FR"/>
        </w:rPr>
        <w:t> </w:t>
      </w:r>
      <w:r w:rsidRPr="00455EE6">
        <w:rPr>
          <w:rFonts w:asciiTheme="minorHAnsi" w:hAnsiTheme="minorHAnsi" w:cstheme="minorHAnsi"/>
          <w:szCs w:val="24"/>
          <w:lang w:val="fr-FR"/>
        </w:rPr>
        <w:t>1 164-1 215 MHz, la puissance surfacique maximale rayonnée à la surface de la Terre par les émissions d'une station spatiale du SRNS, pour tous les angles d'arrivée, ne dépasse pas</w:t>
      </w:r>
      <w:r w:rsidR="00B62C76">
        <w:rPr>
          <w:rFonts w:asciiTheme="minorHAnsi" w:hAnsiTheme="minorHAnsi" w:cstheme="minorHAnsi"/>
          <w:szCs w:val="24"/>
          <w:lang w:val="fr-FR"/>
        </w:rPr>
        <w:t> </w:t>
      </w:r>
      <w:r w:rsidR="0001642B" w:rsidRPr="0001642B">
        <w:rPr>
          <w:rFonts w:asciiTheme="minorHAnsi" w:hAnsiTheme="minorHAnsi" w:cstheme="minorHAnsi"/>
          <w:szCs w:val="24"/>
          <w:lang w:val="fr-FR"/>
        </w:rPr>
        <w:t>−</w:t>
      </w:r>
      <w:r w:rsidRPr="00455EE6">
        <w:rPr>
          <w:rFonts w:asciiTheme="minorHAnsi" w:hAnsiTheme="minorHAnsi" w:cstheme="minorHAnsi"/>
          <w:szCs w:val="24"/>
          <w:lang w:val="fr-FR"/>
        </w:rPr>
        <w:t>129</w:t>
      </w:r>
      <w:r>
        <w:rPr>
          <w:rFonts w:asciiTheme="minorHAnsi" w:hAnsiTheme="minorHAnsi" w:cstheme="minorHAnsi"/>
          <w:szCs w:val="24"/>
          <w:lang w:val="fr-FR"/>
        </w:rPr>
        <w:t> </w:t>
      </w:r>
      <w:r w:rsidRPr="00455EE6">
        <w:rPr>
          <w:rFonts w:asciiTheme="minorHAnsi" w:hAnsiTheme="minorHAnsi" w:cstheme="minorHAnsi"/>
          <w:szCs w:val="24"/>
          <w:lang w:val="fr-FR"/>
        </w:rPr>
        <w:t>dB(W/m</w:t>
      </w:r>
      <w:r w:rsidRPr="00455EE6">
        <w:rPr>
          <w:rFonts w:asciiTheme="minorHAnsi" w:hAnsiTheme="minorHAnsi" w:cstheme="minorHAnsi"/>
          <w:szCs w:val="24"/>
          <w:vertAlign w:val="superscript"/>
          <w:lang w:val="fr-FR"/>
        </w:rPr>
        <w:t>2</w:t>
      </w:r>
      <w:r w:rsidRPr="00455EE6">
        <w:rPr>
          <w:rFonts w:asciiTheme="minorHAnsi" w:hAnsiTheme="minorHAnsi" w:cstheme="minorHAnsi"/>
          <w:szCs w:val="24"/>
          <w:lang w:val="fr-FR"/>
        </w:rPr>
        <w:t xml:space="preserve">) dans une bande quelconque de 1 MHz dans des conditions de propagation en espace libre. Conformément au point 2 du </w:t>
      </w:r>
      <w:r w:rsidRPr="00455EE6">
        <w:rPr>
          <w:rFonts w:asciiTheme="minorHAnsi" w:hAnsiTheme="minorHAnsi" w:cstheme="minorHAnsi"/>
          <w:i/>
          <w:iCs/>
          <w:szCs w:val="24"/>
          <w:lang w:val="fr-FR"/>
        </w:rPr>
        <w:t>charge le Bureau des radiocommunications</w:t>
      </w:r>
      <w:r w:rsidRPr="00455EE6">
        <w:rPr>
          <w:rFonts w:asciiTheme="minorHAnsi" w:hAnsiTheme="minorHAnsi" w:cstheme="minorHAnsi"/>
          <w:szCs w:val="24"/>
          <w:lang w:val="fr-FR"/>
        </w:rPr>
        <w:t xml:space="preserve"> de la Résolution </w:t>
      </w:r>
      <w:r w:rsidRPr="00455EE6">
        <w:rPr>
          <w:rFonts w:asciiTheme="minorHAnsi" w:hAnsiTheme="minorHAnsi" w:cstheme="minorHAnsi"/>
          <w:b/>
          <w:bCs/>
          <w:szCs w:val="24"/>
          <w:lang w:val="fr-FR"/>
        </w:rPr>
        <w:t>609 (Rév.CMR-07)</w:t>
      </w:r>
      <w:r w:rsidRPr="00455EE6">
        <w:rPr>
          <w:rFonts w:asciiTheme="minorHAnsi" w:hAnsiTheme="minorHAnsi" w:cstheme="minorHAnsi"/>
          <w:szCs w:val="24"/>
          <w:lang w:val="fr-FR"/>
        </w:rPr>
        <w:t xml:space="preserve">, le Bureau détermine si cette limite de puissance surfacique est dépassée par les assignations des stations spatiales du SRNS assujetties à cette Résolution et publie le résultat conformément au point 3 du </w:t>
      </w:r>
      <w:r w:rsidRPr="00455EE6">
        <w:rPr>
          <w:rFonts w:asciiTheme="minorHAnsi" w:hAnsiTheme="minorHAnsi" w:cstheme="minorHAnsi"/>
          <w:i/>
          <w:iCs/>
          <w:szCs w:val="24"/>
          <w:lang w:val="fr-FR"/>
        </w:rPr>
        <w:t>charge le Bureau des radiocommunications</w:t>
      </w:r>
      <w:r w:rsidRPr="00455EE6">
        <w:rPr>
          <w:rFonts w:asciiTheme="minorHAnsi" w:hAnsiTheme="minorHAnsi" w:cstheme="minorHAnsi"/>
          <w:szCs w:val="24"/>
          <w:lang w:val="fr-FR"/>
        </w:rPr>
        <w:t xml:space="preserve"> de cette</w:t>
      </w:r>
      <w:r w:rsidR="00B62C76">
        <w:rPr>
          <w:rFonts w:asciiTheme="minorHAnsi" w:hAnsiTheme="minorHAnsi" w:cstheme="minorHAnsi"/>
          <w:szCs w:val="24"/>
          <w:lang w:val="fr-FR"/>
        </w:rPr>
        <w:t> </w:t>
      </w:r>
      <w:r w:rsidRPr="00455EE6">
        <w:rPr>
          <w:rFonts w:asciiTheme="minorHAnsi" w:hAnsiTheme="minorHAnsi" w:cstheme="minorHAnsi"/>
          <w:szCs w:val="24"/>
          <w:lang w:val="fr-FR"/>
        </w:rPr>
        <w:t>Résolution.</w:t>
      </w:r>
    </w:p>
    <w:p w14:paraId="4E9DE8F7" w14:textId="76B22159" w:rsidR="00455EE6" w:rsidRPr="00455EE6" w:rsidRDefault="00455EE6" w:rsidP="0026134E">
      <w:pPr>
        <w:rPr>
          <w:rFonts w:asciiTheme="minorHAnsi" w:hAnsiTheme="minorHAnsi" w:cstheme="minorHAnsi"/>
          <w:szCs w:val="24"/>
          <w:lang w:val="fr-FR"/>
        </w:rPr>
      </w:pPr>
      <w:r w:rsidRPr="00455EE6">
        <w:rPr>
          <w:rFonts w:asciiTheme="minorHAnsi" w:hAnsiTheme="minorHAnsi" w:cstheme="minorHAnsi"/>
          <w:szCs w:val="24"/>
          <w:lang w:val="fr-FR"/>
        </w:rPr>
        <w:t>En outre, le Bureau tient à rappeler aux administrations que, parallèlement à l</w:t>
      </w:r>
      <w:r w:rsidR="00505415">
        <w:rPr>
          <w:rFonts w:asciiTheme="minorHAnsi" w:hAnsiTheme="minorHAnsi" w:cstheme="minorHAnsi"/>
          <w:szCs w:val="24"/>
          <w:lang w:val="fr-FR"/>
        </w:rPr>
        <w:t>'</w:t>
      </w:r>
      <w:r w:rsidRPr="00455EE6">
        <w:rPr>
          <w:rFonts w:asciiTheme="minorHAnsi" w:hAnsiTheme="minorHAnsi" w:cstheme="minorHAnsi"/>
          <w:szCs w:val="24"/>
          <w:lang w:val="fr-FR"/>
        </w:rPr>
        <w:t>adoption par la</w:t>
      </w:r>
      <w:r w:rsidR="000722D6">
        <w:rPr>
          <w:rFonts w:asciiTheme="minorHAnsi" w:hAnsiTheme="minorHAnsi" w:cstheme="minorHAnsi"/>
          <w:szCs w:val="24"/>
          <w:lang w:val="fr-FR"/>
        </w:rPr>
        <w:t> </w:t>
      </w:r>
      <w:r w:rsidRPr="00455EE6">
        <w:rPr>
          <w:rFonts w:asciiTheme="minorHAnsi" w:hAnsiTheme="minorHAnsi" w:cstheme="minorHAnsi"/>
          <w:szCs w:val="24"/>
          <w:lang w:val="fr-FR"/>
        </w:rPr>
        <w:t xml:space="preserve">CMR-03 de la Résolution </w:t>
      </w:r>
      <w:r w:rsidRPr="00B62C76">
        <w:rPr>
          <w:rFonts w:asciiTheme="minorHAnsi" w:hAnsiTheme="minorHAnsi" w:cstheme="minorHAnsi"/>
          <w:b/>
          <w:bCs/>
          <w:szCs w:val="24"/>
          <w:lang w:val="fr-FR"/>
        </w:rPr>
        <w:t>609</w:t>
      </w:r>
      <w:r w:rsidRPr="00455EE6">
        <w:rPr>
          <w:rFonts w:asciiTheme="minorHAnsi" w:hAnsiTheme="minorHAnsi" w:cstheme="minorHAnsi"/>
          <w:szCs w:val="24"/>
          <w:lang w:val="fr-FR"/>
        </w:rPr>
        <w:t xml:space="preserve"> et de la Recommandation </w:t>
      </w:r>
      <w:r w:rsidRPr="00B62C76">
        <w:rPr>
          <w:rFonts w:asciiTheme="minorHAnsi" w:hAnsiTheme="minorHAnsi" w:cstheme="minorHAnsi"/>
          <w:b/>
          <w:bCs/>
          <w:szCs w:val="24"/>
          <w:lang w:val="fr-FR"/>
        </w:rPr>
        <w:t>608</w:t>
      </w:r>
      <w:r w:rsidRPr="00455EE6">
        <w:rPr>
          <w:rFonts w:asciiTheme="minorHAnsi" w:hAnsiTheme="minorHAnsi" w:cstheme="minorHAnsi"/>
          <w:szCs w:val="24"/>
          <w:lang w:val="fr-FR"/>
        </w:rPr>
        <w:t>, cette Conférence a également adopté un nouvel élément de données dans l</w:t>
      </w:r>
      <w:r w:rsidR="00505415">
        <w:rPr>
          <w:rFonts w:asciiTheme="minorHAnsi" w:hAnsiTheme="minorHAnsi" w:cstheme="minorHAnsi"/>
          <w:szCs w:val="24"/>
          <w:lang w:val="fr-FR"/>
        </w:rPr>
        <w:t>'</w:t>
      </w:r>
      <w:r w:rsidRPr="00455EE6">
        <w:rPr>
          <w:rFonts w:asciiTheme="minorHAnsi" w:hAnsiTheme="minorHAnsi" w:cstheme="minorHAnsi"/>
          <w:szCs w:val="24"/>
          <w:lang w:val="fr-FR"/>
        </w:rPr>
        <w:t>Annexe 2 de l</w:t>
      </w:r>
      <w:r w:rsidR="00505415">
        <w:rPr>
          <w:rFonts w:asciiTheme="minorHAnsi" w:hAnsiTheme="minorHAnsi" w:cstheme="minorHAnsi"/>
          <w:szCs w:val="24"/>
          <w:lang w:val="fr-FR"/>
        </w:rPr>
        <w:t>'</w:t>
      </w:r>
      <w:r w:rsidRPr="00455EE6">
        <w:rPr>
          <w:rFonts w:asciiTheme="minorHAnsi" w:hAnsiTheme="minorHAnsi" w:cstheme="minorHAnsi"/>
          <w:szCs w:val="24"/>
          <w:lang w:val="fr-FR"/>
        </w:rPr>
        <w:t xml:space="preserve">Appendice </w:t>
      </w:r>
      <w:r w:rsidRPr="00B62C76">
        <w:rPr>
          <w:rFonts w:asciiTheme="minorHAnsi" w:hAnsiTheme="minorHAnsi" w:cstheme="minorHAnsi"/>
          <w:b/>
          <w:bCs/>
          <w:szCs w:val="24"/>
          <w:lang w:val="fr-FR"/>
        </w:rPr>
        <w:t>4</w:t>
      </w:r>
      <w:r w:rsidRPr="00455EE6">
        <w:rPr>
          <w:rFonts w:asciiTheme="minorHAnsi" w:hAnsiTheme="minorHAnsi" w:cstheme="minorHAnsi"/>
          <w:szCs w:val="24"/>
          <w:lang w:val="fr-FR"/>
        </w:rPr>
        <w:t>, qui correspond à l</w:t>
      </w:r>
      <w:r w:rsidR="00505415">
        <w:rPr>
          <w:rFonts w:asciiTheme="minorHAnsi" w:hAnsiTheme="minorHAnsi" w:cstheme="minorHAnsi"/>
          <w:szCs w:val="24"/>
          <w:lang w:val="fr-FR"/>
        </w:rPr>
        <w:t>'</w:t>
      </w:r>
      <w:r w:rsidRPr="00455EE6">
        <w:rPr>
          <w:rFonts w:asciiTheme="minorHAnsi" w:hAnsiTheme="minorHAnsi" w:cstheme="minorHAnsi"/>
          <w:szCs w:val="24"/>
          <w:lang w:val="fr-FR"/>
        </w:rPr>
        <w:t xml:space="preserve">actuel élément de données </w:t>
      </w:r>
      <w:r w:rsidRPr="00B62C76">
        <w:rPr>
          <w:rFonts w:asciiTheme="minorHAnsi" w:hAnsiTheme="minorHAnsi" w:cstheme="minorHAnsi"/>
          <w:b/>
          <w:bCs/>
          <w:szCs w:val="24"/>
          <w:lang w:val="fr-FR"/>
        </w:rPr>
        <w:t>A.17.a</w:t>
      </w:r>
      <w:r w:rsidRPr="00455EE6">
        <w:rPr>
          <w:rFonts w:asciiTheme="minorHAnsi" w:hAnsiTheme="minorHAnsi" w:cstheme="minorHAnsi"/>
          <w:szCs w:val="24"/>
          <w:lang w:val="fr-FR"/>
        </w:rPr>
        <w:t>. Conformément à cet élément de données, pour les systèmes à satellites du SRNS fonctionnant dans la bande de fréquences 1 164-1 215 MHz, les administrations doivent fournir un engagement à se conformer au niveau de puissance surfacique par satellite produite à la surface de la Terre de –129 dB(W/(m</w:t>
      </w:r>
      <w:r w:rsidRPr="00505415">
        <w:rPr>
          <w:rFonts w:asciiTheme="minorHAnsi" w:hAnsiTheme="minorHAnsi" w:cstheme="minorHAnsi"/>
          <w:szCs w:val="24"/>
          <w:vertAlign w:val="superscript"/>
          <w:lang w:val="fr-FR"/>
        </w:rPr>
        <w:t>2</w:t>
      </w:r>
      <w:r w:rsidRPr="00455EE6">
        <w:rPr>
          <w:rFonts w:asciiTheme="minorHAnsi" w:hAnsiTheme="minorHAnsi" w:cstheme="minorHAnsi"/>
          <w:szCs w:val="24"/>
          <w:lang w:val="fr-FR"/>
        </w:rPr>
        <w:t xml:space="preserve"> MHz)) dans une bande quelconque de 1 MHz dans des conditions de propagation en espace libre.</w:t>
      </w:r>
    </w:p>
    <w:p w14:paraId="1AFF2187" w14:textId="34B456F1" w:rsidR="00455EE6" w:rsidRPr="00455EE6" w:rsidRDefault="00455EE6" w:rsidP="0026134E">
      <w:pPr>
        <w:rPr>
          <w:rFonts w:asciiTheme="minorHAnsi" w:hAnsiTheme="minorHAnsi" w:cstheme="minorHAnsi"/>
          <w:szCs w:val="24"/>
          <w:lang w:val="fr-FR"/>
        </w:rPr>
      </w:pPr>
      <w:r w:rsidRPr="00455EE6">
        <w:rPr>
          <w:rFonts w:asciiTheme="minorHAnsi" w:hAnsiTheme="minorHAnsi" w:cstheme="minorHAnsi"/>
          <w:szCs w:val="24"/>
          <w:lang w:val="fr-FR"/>
        </w:rPr>
        <w:t xml:space="preserve">Par conséquent, même si un dépassement du niveau de puissance surfacique calculé à partir des caractéristiques techniques fournies dans la fiche de notification ne peut pas donner lieu à des conclusions défavorables au titre des numéros </w:t>
      </w:r>
      <w:r w:rsidRPr="00B62C76">
        <w:rPr>
          <w:rFonts w:asciiTheme="minorHAnsi" w:hAnsiTheme="minorHAnsi" w:cstheme="minorHAnsi"/>
          <w:b/>
          <w:bCs/>
          <w:szCs w:val="24"/>
          <w:lang w:val="fr-FR"/>
        </w:rPr>
        <w:t>9.35/11.31</w:t>
      </w:r>
      <w:r w:rsidRPr="00455EE6">
        <w:rPr>
          <w:rFonts w:asciiTheme="minorHAnsi" w:hAnsiTheme="minorHAnsi" w:cstheme="minorHAnsi"/>
          <w:szCs w:val="24"/>
          <w:lang w:val="fr-FR"/>
        </w:rPr>
        <w:t>, la soumission d</w:t>
      </w:r>
      <w:r w:rsidR="00505415">
        <w:rPr>
          <w:rFonts w:asciiTheme="minorHAnsi" w:hAnsiTheme="minorHAnsi" w:cstheme="minorHAnsi"/>
          <w:szCs w:val="24"/>
          <w:lang w:val="fr-FR"/>
        </w:rPr>
        <w:t>'</w:t>
      </w:r>
      <w:r w:rsidRPr="00455EE6">
        <w:rPr>
          <w:rFonts w:asciiTheme="minorHAnsi" w:hAnsiTheme="minorHAnsi" w:cstheme="minorHAnsi"/>
          <w:szCs w:val="24"/>
          <w:lang w:val="fr-FR"/>
        </w:rPr>
        <w:t xml:space="preserve">un engagement de conformité à la valeur indiquée au point </w:t>
      </w:r>
      <w:r w:rsidRPr="00B62C76">
        <w:rPr>
          <w:rFonts w:asciiTheme="minorHAnsi" w:hAnsiTheme="minorHAnsi" w:cstheme="minorHAnsi"/>
          <w:b/>
          <w:bCs/>
          <w:szCs w:val="24"/>
          <w:lang w:val="fr-FR"/>
        </w:rPr>
        <w:t>A.17.a</w:t>
      </w:r>
      <w:r w:rsidRPr="00455EE6">
        <w:rPr>
          <w:rFonts w:asciiTheme="minorHAnsi" w:hAnsiTheme="minorHAnsi" w:cstheme="minorHAnsi"/>
          <w:szCs w:val="24"/>
          <w:lang w:val="fr-FR"/>
        </w:rPr>
        <w:t xml:space="preserve"> de l</w:t>
      </w:r>
      <w:r w:rsidR="00505415">
        <w:rPr>
          <w:rFonts w:asciiTheme="minorHAnsi" w:hAnsiTheme="minorHAnsi" w:cstheme="minorHAnsi"/>
          <w:szCs w:val="24"/>
          <w:lang w:val="fr-FR"/>
        </w:rPr>
        <w:t>'</w:t>
      </w:r>
      <w:r w:rsidRPr="00455EE6">
        <w:rPr>
          <w:rFonts w:asciiTheme="minorHAnsi" w:hAnsiTheme="minorHAnsi" w:cstheme="minorHAnsi"/>
          <w:szCs w:val="24"/>
          <w:lang w:val="fr-FR"/>
        </w:rPr>
        <w:t>Annexe 2 de l</w:t>
      </w:r>
      <w:r w:rsidR="00505415">
        <w:rPr>
          <w:rFonts w:asciiTheme="minorHAnsi" w:hAnsiTheme="minorHAnsi" w:cstheme="minorHAnsi"/>
          <w:szCs w:val="24"/>
          <w:lang w:val="fr-FR"/>
        </w:rPr>
        <w:t>'</w:t>
      </w:r>
      <w:r w:rsidRPr="00455EE6">
        <w:rPr>
          <w:rFonts w:asciiTheme="minorHAnsi" w:hAnsiTheme="minorHAnsi" w:cstheme="minorHAnsi"/>
          <w:szCs w:val="24"/>
          <w:lang w:val="fr-FR"/>
        </w:rPr>
        <w:t xml:space="preserve">Appendice </w:t>
      </w:r>
      <w:r w:rsidRPr="00B62C76">
        <w:rPr>
          <w:rFonts w:asciiTheme="minorHAnsi" w:hAnsiTheme="minorHAnsi" w:cstheme="minorHAnsi"/>
          <w:b/>
          <w:bCs/>
          <w:szCs w:val="24"/>
          <w:lang w:val="fr-FR"/>
        </w:rPr>
        <w:t>4</w:t>
      </w:r>
      <w:r w:rsidRPr="00455EE6">
        <w:rPr>
          <w:rFonts w:asciiTheme="minorHAnsi" w:hAnsiTheme="minorHAnsi" w:cstheme="minorHAnsi"/>
          <w:szCs w:val="24"/>
          <w:lang w:val="fr-FR"/>
        </w:rPr>
        <w:t xml:space="preserve"> est obligatoire. Toute déclaration fournie avec la fiche de notification selon laquelle le système/réseau à satellite ne respectera pas ce niveau de puissance surfacique annulera l</w:t>
      </w:r>
      <w:r w:rsidR="00505415">
        <w:rPr>
          <w:rFonts w:asciiTheme="minorHAnsi" w:hAnsiTheme="minorHAnsi" w:cstheme="minorHAnsi"/>
          <w:szCs w:val="24"/>
          <w:lang w:val="fr-FR"/>
        </w:rPr>
        <w:t>'</w:t>
      </w:r>
      <w:r w:rsidRPr="00455EE6">
        <w:rPr>
          <w:rFonts w:asciiTheme="minorHAnsi" w:hAnsiTheme="minorHAnsi" w:cstheme="minorHAnsi"/>
          <w:szCs w:val="24"/>
          <w:lang w:val="fr-FR"/>
        </w:rPr>
        <w:t xml:space="preserve">engagement requis. En pareil cas, ou si cet engagement obligatoire ne figure pas dans une fiche de notification pertinente, la soumission du système à satellites ou du réseau à satellites sera considérée comme incomplète au titre du numéro </w:t>
      </w:r>
      <w:r w:rsidRPr="00B62C76">
        <w:rPr>
          <w:rFonts w:asciiTheme="minorHAnsi" w:hAnsiTheme="minorHAnsi" w:cstheme="minorHAnsi"/>
          <w:b/>
          <w:bCs/>
          <w:szCs w:val="24"/>
          <w:lang w:val="fr-FR"/>
        </w:rPr>
        <w:t>9.40A</w:t>
      </w:r>
      <w:r w:rsidRPr="00455EE6">
        <w:rPr>
          <w:rFonts w:asciiTheme="minorHAnsi" w:hAnsiTheme="minorHAnsi" w:cstheme="minorHAnsi"/>
          <w:szCs w:val="24"/>
          <w:lang w:val="fr-FR"/>
        </w:rPr>
        <w:t xml:space="preserve"> ou </w:t>
      </w:r>
      <w:r w:rsidRPr="00B62C76">
        <w:rPr>
          <w:rFonts w:asciiTheme="minorHAnsi" w:hAnsiTheme="minorHAnsi" w:cstheme="minorHAnsi"/>
          <w:b/>
          <w:bCs/>
          <w:szCs w:val="24"/>
          <w:lang w:val="fr-FR"/>
        </w:rPr>
        <w:t>11.27</w:t>
      </w:r>
      <w:r w:rsidRPr="00455EE6">
        <w:rPr>
          <w:rFonts w:asciiTheme="minorHAnsi" w:hAnsiTheme="minorHAnsi" w:cstheme="minorHAnsi"/>
          <w:szCs w:val="24"/>
          <w:lang w:val="fr-FR"/>
        </w:rPr>
        <w:t>.</w:t>
      </w:r>
    </w:p>
    <w:p w14:paraId="33BBB58C" w14:textId="3D3EA418" w:rsidR="00D21694" w:rsidRPr="00455EE6" w:rsidRDefault="00455EE6" w:rsidP="0026134E">
      <w:pPr>
        <w:rPr>
          <w:rFonts w:asciiTheme="minorHAnsi" w:hAnsiTheme="minorHAnsi" w:cstheme="minorHAnsi"/>
          <w:szCs w:val="24"/>
          <w:lang w:val="fr-FR"/>
        </w:rPr>
      </w:pPr>
      <w:r w:rsidRPr="00455EE6">
        <w:rPr>
          <w:rFonts w:asciiTheme="minorHAnsi" w:hAnsiTheme="minorHAnsi" w:cstheme="minorHAnsi"/>
          <w:szCs w:val="24"/>
          <w:lang w:val="fr-FR"/>
        </w:rPr>
        <w:t xml:space="preserve">Le Bureau se tient à la disposition de votre Administration pour toute précision dont elle pourrait avoir besoin concernant le sujet traité dans la présente </w:t>
      </w:r>
      <w:r w:rsidR="00123737">
        <w:rPr>
          <w:rFonts w:asciiTheme="minorHAnsi" w:hAnsiTheme="minorHAnsi" w:cstheme="minorHAnsi"/>
          <w:szCs w:val="24"/>
          <w:lang w:val="fr-FR"/>
        </w:rPr>
        <w:t>l</w:t>
      </w:r>
      <w:r w:rsidRPr="00455EE6">
        <w:rPr>
          <w:rFonts w:asciiTheme="minorHAnsi" w:hAnsiTheme="minorHAnsi" w:cstheme="minorHAnsi"/>
          <w:szCs w:val="24"/>
          <w:lang w:val="fr-FR"/>
        </w:rPr>
        <w:t xml:space="preserve">ettre circulaire. Pour toute demande assistance, veuillez contacter </w:t>
      </w:r>
      <w:hyperlink r:id="rId10" w:history="1">
        <w:r w:rsidR="00B62C76" w:rsidRPr="00204955">
          <w:rPr>
            <w:rStyle w:val="Hyperlink"/>
            <w:rFonts w:asciiTheme="minorHAnsi" w:hAnsiTheme="minorHAnsi" w:cstheme="minorHAnsi"/>
            <w:szCs w:val="24"/>
            <w:lang w:val="fr-FR"/>
          </w:rPr>
          <w:t>BRMAIL@itu.int</w:t>
        </w:r>
      </w:hyperlink>
      <w:r w:rsidRPr="00455EE6">
        <w:rPr>
          <w:rFonts w:asciiTheme="minorHAnsi" w:hAnsiTheme="minorHAnsi" w:cstheme="minorHAnsi"/>
          <w:szCs w:val="24"/>
          <w:lang w:val="fr-FR"/>
        </w:rPr>
        <w:t>.</w:t>
      </w:r>
    </w:p>
    <w:p w14:paraId="18121D7C" w14:textId="3FA9D055" w:rsidR="002569F7" w:rsidRDefault="004F47EA" w:rsidP="00455EC6">
      <w:pPr>
        <w:spacing w:before="1200" w:line="240" w:lineRule="auto"/>
        <w:jc w:val="left"/>
        <w:rPr>
          <w:szCs w:val="24"/>
          <w:lang w:val="fr-FR"/>
        </w:rPr>
      </w:pPr>
      <w:r w:rsidRPr="00455EE6">
        <w:rPr>
          <w:rFonts w:asciiTheme="minorHAnsi" w:hAnsiTheme="minorHAnsi" w:cstheme="minorHAnsi"/>
          <w:lang w:val="fr-FR"/>
        </w:rPr>
        <w:t>Mario Maniewicz</w:t>
      </w:r>
      <w:r w:rsidR="00E53DCE" w:rsidRPr="00455EE6">
        <w:rPr>
          <w:szCs w:val="24"/>
          <w:lang w:val="fr-FR"/>
        </w:rPr>
        <w:br/>
        <w:t>Directeur</w:t>
      </w:r>
    </w:p>
    <w:p w14:paraId="645C0E73" w14:textId="77777777" w:rsidR="00B62C76" w:rsidRPr="00123737" w:rsidRDefault="00B62C76" w:rsidP="00B62C76">
      <w:pPr>
        <w:spacing w:before="960"/>
        <w:rPr>
          <w:b/>
          <w:bCs/>
          <w:sz w:val="18"/>
          <w:szCs w:val="18"/>
          <w:u w:val="single"/>
          <w:lang w:val="fr-FR"/>
        </w:rPr>
      </w:pPr>
      <w:r w:rsidRPr="00123737">
        <w:rPr>
          <w:b/>
          <w:bCs/>
          <w:sz w:val="18"/>
          <w:szCs w:val="18"/>
          <w:u w:val="single"/>
          <w:lang w:val="fr-FR"/>
        </w:rPr>
        <w:t>Distribution</w:t>
      </w:r>
      <w:r w:rsidRPr="00123737">
        <w:rPr>
          <w:sz w:val="18"/>
          <w:szCs w:val="18"/>
          <w:lang w:val="fr-FR"/>
        </w:rPr>
        <w:t>:</w:t>
      </w:r>
    </w:p>
    <w:p w14:paraId="3AA3368E" w14:textId="2430A052" w:rsidR="00B62C76" w:rsidRPr="00123737" w:rsidRDefault="00B62C76" w:rsidP="00B62C76">
      <w:pPr>
        <w:pStyle w:val="enumlev1"/>
        <w:rPr>
          <w:sz w:val="18"/>
          <w:szCs w:val="18"/>
          <w:lang w:val="fr-FR"/>
        </w:rPr>
      </w:pPr>
      <w:r w:rsidRPr="00123737">
        <w:rPr>
          <w:sz w:val="18"/>
          <w:szCs w:val="18"/>
          <w:lang w:val="fr-FR"/>
        </w:rPr>
        <w:t>–</w:t>
      </w:r>
      <w:r w:rsidRPr="00123737">
        <w:rPr>
          <w:sz w:val="18"/>
          <w:szCs w:val="18"/>
          <w:lang w:val="fr-FR"/>
        </w:rPr>
        <w:tab/>
        <w:t>Aux Administrations des États Membres de l'UIT</w:t>
      </w:r>
      <w:r w:rsidR="00505415" w:rsidRPr="00123737">
        <w:rPr>
          <w:sz w:val="18"/>
          <w:szCs w:val="18"/>
          <w:lang w:val="fr-FR"/>
        </w:rPr>
        <w:t>.</w:t>
      </w:r>
    </w:p>
    <w:p w14:paraId="3E4C576B" w14:textId="5F061222" w:rsidR="00B62C76" w:rsidRPr="00123737" w:rsidRDefault="00B62C76" w:rsidP="0001642B">
      <w:pPr>
        <w:pStyle w:val="enumlev1"/>
        <w:spacing w:before="0"/>
        <w:rPr>
          <w:sz w:val="18"/>
          <w:szCs w:val="18"/>
          <w:lang w:val="fr-FR"/>
        </w:rPr>
      </w:pPr>
      <w:r w:rsidRPr="00123737">
        <w:rPr>
          <w:sz w:val="18"/>
          <w:szCs w:val="18"/>
          <w:lang w:val="fr-FR"/>
        </w:rPr>
        <w:t>–</w:t>
      </w:r>
      <w:r w:rsidRPr="00123737">
        <w:rPr>
          <w:sz w:val="18"/>
          <w:szCs w:val="18"/>
          <w:lang w:val="fr-FR"/>
        </w:rPr>
        <w:tab/>
        <w:t>Aux Membres du Comité du Règlement des radiocommunications</w:t>
      </w:r>
      <w:r w:rsidR="00505415" w:rsidRPr="00123737">
        <w:rPr>
          <w:sz w:val="18"/>
          <w:szCs w:val="18"/>
          <w:lang w:val="fr-FR"/>
        </w:rPr>
        <w:t>.</w:t>
      </w:r>
    </w:p>
    <w:sectPr w:rsidR="00B62C76" w:rsidRPr="00123737" w:rsidSect="003F2F3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51D476F2"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r w:rsidR="00F24EBB">
      <w:fldChar w:fldCharType="begin"/>
    </w:r>
    <w:r w:rsidR="00F24EBB" w:rsidRPr="00455EC6">
      <w:rPr>
        <w:lang w:val="fr-FR"/>
      </w:rPr>
      <w:instrText>HYPERLINK "mailto:brmail@itu.int"</w:instrText>
    </w:r>
    <w:r w:rsidR="00F24EBB">
      <w:fldChar w:fldCharType="separate"/>
    </w:r>
    <w:r w:rsidR="00F24EBB">
      <w:rPr>
        <w:rStyle w:val="Hyperlink"/>
        <w:rFonts w:asciiTheme="minorHAnsi" w:hAnsiTheme="minorHAnsi"/>
        <w:sz w:val="19"/>
        <w:szCs w:val="19"/>
        <w:lang w:val="fr-CH"/>
      </w:rPr>
      <w:t>brmail@itu.int</w:t>
    </w:r>
    <w:r w:rsidR="00F24EBB">
      <w:fldChar w:fldCharType="end"/>
    </w:r>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1"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1642B"/>
    <w:rsid w:val="00026CF8"/>
    <w:rsid w:val="00030BD7"/>
    <w:rsid w:val="00031E64"/>
    <w:rsid w:val="00034340"/>
    <w:rsid w:val="00035CB3"/>
    <w:rsid w:val="00045A8D"/>
    <w:rsid w:val="0005167A"/>
    <w:rsid w:val="00054E5D"/>
    <w:rsid w:val="00070258"/>
    <w:rsid w:val="000722D6"/>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23737"/>
    <w:rsid w:val="00134404"/>
    <w:rsid w:val="00144DFB"/>
    <w:rsid w:val="00146CA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134E"/>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55EC6"/>
    <w:rsid w:val="00455EE6"/>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5415"/>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10534"/>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5729F"/>
    <w:rsid w:val="00757714"/>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2C76"/>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5F4"/>
    <w:rsid w:val="00D6790C"/>
    <w:rsid w:val="00D73277"/>
    <w:rsid w:val="00D76586"/>
    <w:rsid w:val="00D82657"/>
    <w:rsid w:val="00D87E20"/>
    <w:rsid w:val="00DA4037"/>
    <w:rsid w:val="00DC17AF"/>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24EBB"/>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123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space/Pages/res609.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en/ITU-R/space/Pages/RES-609-Subscription-Information.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945</Words>
  <Characters>5446</Characters>
  <Application>Microsoft Office Word</Application>
  <DocSecurity>0</DocSecurity>
  <Lines>92</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2025-08-14T02:18:00Z</cp:lastPrinted>
  <dcterms:created xsi:type="dcterms:W3CDTF">2025-08-12T06:37:00Z</dcterms:created>
  <dcterms:modified xsi:type="dcterms:W3CDTF">2025-08-14T09:07:00Z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