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5A44B921" w14:textId="77777777" w:rsidTr="00153E23">
        <w:tc>
          <w:tcPr>
            <w:tcW w:w="5000" w:type="pct"/>
            <w:gridSpan w:val="3"/>
            <w:shd w:val="clear" w:color="auto" w:fill="auto"/>
          </w:tcPr>
          <w:p w14:paraId="72076A28"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21808395" w14:textId="77777777" w:rsidR="000F7BBE" w:rsidRPr="000F7BBE" w:rsidRDefault="000F7BBE" w:rsidP="000F7BBE">
            <w:pPr>
              <w:rPr>
                <w:b/>
                <w:bCs/>
                <w:rtl/>
                <w:lang w:bidi="ar-EG"/>
              </w:rPr>
            </w:pPr>
          </w:p>
        </w:tc>
      </w:tr>
      <w:tr w:rsidR="000F7BBE" w:rsidRPr="00A67DBA" w14:paraId="4173F8DE" w14:textId="77777777" w:rsidTr="00153E23">
        <w:tc>
          <w:tcPr>
            <w:tcW w:w="2707" w:type="pct"/>
            <w:gridSpan w:val="2"/>
            <w:shd w:val="clear" w:color="auto" w:fill="auto"/>
          </w:tcPr>
          <w:p w14:paraId="38D0F0DE" w14:textId="2FD9D7A7" w:rsidR="000F7BBE" w:rsidRPr="00A67DBA" w:rsidRDefault="000F7BBE" w:rsidP="0074025F">
            <w:pPr>
              <w:spacing w:before="80" w:line="300" w:lineRule="exact"/>
              <w:jc w:val="left"/>
              <w:rPr>
                <w:position w:val="2"/>
                <w:sz w:val="24"/>
                <w:szCs w:val="24"/>
                <w:rtl/>
                <w:lang w:bidi="ar-SY"/>
              </w:rPr>
            </w:pPr>
            <w:r w:rsidRPr="00A67DBA">
              <w:rPr>
                <w:rFonts w:hint="cs"/>
                <w:position w:val="2"/>
                <w:sz w:val="24"/>
                <w:szCs w:val="24"/>
                <w:rtl/>
                <w:lang w:bidi="ar-AE"/>
              </w:rPr>
              <w:t>الرسالة المعممة</w:t>
            </w:r>
            <w:r w:rsidR="0074025F" w:rsidRPr="00A67DBA">
              <w:rPr>
                <w:position w:val="2"/>
                <w:sz w:val="24"/>
                <w:szCs w:val="24"/>
                <w:rtl/>
                <w:lang w:bidi="ar-AE"/>
              </w:rPr>
              <w:br/>
            </w:r>
            <w:r w:rsidR="00FC09E8" w:rsidRPr="00A67DBA">
              <w:rPr>
                <w:b/>
                <w:bCs/>
                <w:position w:val="2"/>
                <w:sz w:val="24"/>
                <w:szCs w:val="24"/>
                <w:lang w:val="en-GB" w:bidi="ar-EG"/>
              </w:rPr>
              <w:t>CR</w:t>
            </w:r>
            <w:r w:rsidR="00A0714A" w:rsidRPr="00A67DBA">
              <w:rPr>
                <w:b/>
                <w:bCs/>
                <w:position w:val="2"/>
                <w:sz w:val="24"/>
                <w:szCs w:val="24"/>
                <w:lang w:val="en-GB" w:bidi="ar-EG"/>
              </w:rPr>
              <w:t>/521</w:t>
            </w:r>
          </w:p>
        </w:tc>
        <w:tc>
          <w:tcPr>
            <w:tcW w:w="2293" w:type="pct"/>
            <w:shd w:val="clear" w:color="auto" w:fill="auto"/>
          </w:tcPr>
          <w:p w14:paraId="42B55468" w14:textId="466B63CB" w:rsidR="000F7BBE" w:rsidRPr="00A67DBA" w:rsidRDefault="00A0714A" w:rsidP="00F16820">
            <w:pPr>
              <w:spacing w:before="80" w:after="60" w:line="300" w:lineRule="exact"/>
              <w:jc w:val="right"/>
              <w:rPr>
                <w:position w:val="2"/>
                <w:sz w:val="24"/>
                <w:szCs w:val="24"/>
                <w:rtl/>
              </w:rPr>
            </w:pPr>
            <w:r w:rsidRPr="00A67DBA">
              <w:rPr>
                <w:position w:val="2"/>
                <w:sz w:val="24"/>
                <w:szCs w:val="24"/>
                <w:lang w:val="fr-FR" w:bidi="ar-EG"/>
              </w:rPr>
              <w:t>15</w:t>
            </w:r>
            <w:r w:rsidR="00F16820" w:rsidRPr="00A67DBA">
              <w:rPr>
                <w:rFonts w:hint="cs"/>
                <w:position w:val="2"/>
                <w:sz w:val="24"/>
                <w:szCs w:val="24"/>
                <w:rtl/>
                <w:lang w:bidi="ar-SY"/>
              </w:rPr>
              <w:t xml:space="preserve"> </w:t>
            </w:r>
            <w:r w:rsidRPr="00A67DBA">
              <w:rPr>
                <w:rFonts w:hint="cs"/>
                <w:position w:val="2"/>
                <w:sz w:val="24"/>
                <w:szCs w:val="24"/>
                <w:rtl/>
                <w:lang w:bidi="ar-SY"/>
              </w:rPr>
              <w:t>أغسطس</w:t>
            </w:r>
            <w:r w:rsidR="000F7BBE" w:rsidRPr="00A67DBA">
              <w:rPr>
                <w:rFonts w:hint="cs"/>
                <w:position w:val="2"/>
                <w:sz w:val="24"/>
                <w:szCs w:val="24"/>
                <w:rtl/>
                <w:lang w:bidi="ar-SY"/>
              </w:rPr>
              <w:t xml:space="preserve"> </w:t>
            </w:r>
            <w:r w:rsidR="00014A33" w:rsidRPr="00A67DBA">
              <w:rPr>
                <w:position w:val="2"/>
                <w:sz w:val="24"/>
                <w:szCs w:val="24"/>
                <w:lang w:bidi="ar-EG"/>
              </w:rPr>
              <w:t>2025</w:t>
            </w:r>
          </w:p>
        </w:tc>
      </w:tr>
      <w:tr w:rsidR="000F7BBE" w:rsidRPr="00A67DBA" w14:paraId="5A9D2C0F" w14:textId="77777777" w:rsidTr="00153E23">
        <w:tc>
          <w:tcPr>
            <w:tcW w:w="5000" w:type="pct"/>
            <w:gridSpan w:val="3"/>
            <w:shd w:val="clear" w:color="auto" w:fill="auto"/>
          </w:tcPr>
          <w:p w14:paraId="191F2362" w14:textId="77777777" w:rsidR="000F7BBE" w:rsidRPr="00A67DBA" w:rsidRDefault="000F7BBE" w:rsidP="004111FB">
            <w:pPr>
              <w:spacing w:before="0" w:line="260" w:lineRule="exact"/>
              <w:rPr>
                <w:position w:val="2"/>
                <w:sz w:val="24"/>
                <w:szCs w:val="24"/>
                <w:rtl/>
                <w:lang w:bidi="ar-SY"/>
              </w:rPr>
            </w:pPr>
          </w:p>
        </w:tc>
      </w:tr>
      <w:tr w:rsidR="000F7BBE" w:rsidRPr="00A67DBA" w14:paraId="325E1056" w14:textId="77777777" w:rsidTr="00153E23">
        <w:tc>
          <w:tcPr>
            <w:tcW w:w="5000" w:type="pct"/>
            <w:gridSpan w:val="3"/>
            <w:shd w:val="clear" w:color="auto" w:fill="auto"/>
          </w:tcPr>
          <w:p w14:paraId="5AB023E6" w14:textId="77777777" w:rsidR="000F7BBE" w:rsidRPr="00A67DBA" w:rsidRDefault="000F7BBE" w:rsidP="004111FB">
            <w:pPr>
              <w:spacing w:before="0" w:line="260" w:lineRule="exact"/>
              <w:rPr>
                <w:position w:val="2"/>
                <w:sz w:val="24"/>
                <w:szCs w:val="24"/>
                <w:rtl/>
                <w:lang w:bidi="ar-SY"/>
              </w:rPr>
            </w:pPr>
          </w:p>
        </w:tc>
      </w:tr>
      <w:tr w:rsidR="000F7BBE" w:rsidRPr="00A67DBA" w14:paraId="335E8D96" w14:textId="77777777" w:rsidTr="00153E23">
        <w:tc>
          <w:tcPr>
            <w:tcW w:w="5000" w:type="pct"/>
            <w:gridSpan w:val="3"/>
            <w:shd w:val="clear" w:color="auto" w:fill="auto"/>
          </w:tcPr>
          <w:p w14:paraId="5DA58EA7" w14:textId="2649FA4E" w:rsidR="000F7BBE" w:rsidRPr="00A67DBA" w:rsidRDefault="000F7BBE" w:rsidP="00F16820">
            <w:pPr>
              <w:spacing w:before="80" w:after="60" w:line="300" w:lineRule="exact"/>
              <w:jc w:val="left"/>
              <w:rPr>
                <w:b/>
                <w:bCs/>
                <w:position w:val="2"/>
                <w:sz w:val="24"/>
                <w:szCs w:val="24"/>
                <w:lang w:bidi="ar-EG"/>
              </w:rPr>
            </w:pPr>
            <w:r w:rsidRPr="00A67DBA">
              <w:rPr>
                <w:b/>
                <w:bCs/>
                <w:position w:val="2"/>
                <w:sz w:val="24"/>
                <w:szCs w:val="24"/>
                <w:rtl/>
              </w:rPr>
              <w:t>إلى إدارات الدول الأعضاء في الاتحاد</w:t>
            </w:r>
            <w:r w:rsidR="00B1143A" w:rsidRPr="00A67DBA">
              <w:rPr>
                <w:rFonts w:hint="cs"/>
                <w:b/>
                <w:bCs/>
                <w:position w:val="2"/>
                <w:sz w:val="24"/>
                <w:szCs w:val="24"/>
                <w:rtl/>
              </w:rPr>
              <w:t xml:space="preserve"> الدولي للاتصالات</w:t>
            </w:r>
          </w:p>
        </w:tc>
      </w:tr>
      <w:tr w:rsidR="000F7BBE" w:rsidRPr="00A67DBA" w14:paraId="4CE47A7B" w14:textId="77777777" w:rsidTr="00153E23">
        <w:tc>
          <w:tcPr>
            <w:tcW w:w="5000" w:type="pct"/>
            <w:gridSpan w:val="3"/>
            <w:shd w:val="clear" w:color="auto" w:fill="auto"/>
          </w:tcPr>
          <w:p w14:paraId="60919A97" w14:textId="77777777" w:rsidR="000F7BBE" w:rsidRPr="00A67DBA" w:rsidRDefault="000F7BBE" w:rsidP="004111FB">
            <w:pPr>
              <w:spacing w:before="0" w:line="260" w:lineRule="exact"/>
              <w:rPr>
                <w:position w:val="2"/>
                <w:sz w:val="24"/>
                <w:szCs w:val="24"/>
                <w:rtl/>
                <w:lang w:bidi="ar-SY"/>
              </w:rPr>
            </w:pPr>
          </w:p>
        </w:tc>
      </w:tr>
      <w:tr w:rsidR="000F7BBE" w:rsidRPr="00A67DBA" w14:paraId="191E1077" w14:textId="77777777" w:rsidTr="00153E23">
        <w:trPr>
          <w:trHeight w:val="452"/>
        </w:trPr>
        <w:tc>
          <w:tcPr>
            <w:tcW w:w="699" w:type="pct"/>
            <w:shd w:val="clear" w:color="auto" w:fill="auto"/>
          </w:tcPr>
          <w:p w14:paraId="743BA289" w14:textId="77777777" w:rsidR="000F7BBE" w:rsidRPr="00A67DBA" w:rsidRDefault="000F7BBE" w:rsidP="000F7BBE">
            <w:pPr>
              <w:spacing w:before="80" w:after="60" w:line="300" w:lineRule="exact"/>
              <w:rPr>
                <w:position w:val="2"/>
                <w:sz w:val="24"/>
                <w:szCs w:val="24"/>
                <w:lang w:val="fr-FR" w:bidi="ar-EG"/>
              </w:rPr>
            </w:pPr>
            <w:r w:rsidRPr="00A67DBA">
              <w:rPr>
                <w:position w:val="2"/>
                <w:sz w:val="24"/>
                <w:szCs w:val="24"/>
                <w:rtl/>
              </w:rPr>
              <w:t>الموضوع</w:t>
            </w:r>
            <w:r w:rsidRPr="00A67DBA">
              <w:rPr>
                <w:position w:val="2"/>
                <w:sz w:val="24"/>
                <w:szCs w:val="24"/>
                <w:lang w:val="en-GB" w:bidi="ar-EG"/>
              </w:rPr>
              <w:t>:</w:t>
            </w:r>
          </w:p>
        </w:tc>
        <w:tc>
          <w:tcPr>
            <w:tcW w:w="4301" w:type="pct"/>
            <w:gridSpan w:val="2"/>
            <w:shd w:val="clear" w:color="auto" w:fill="auto"/>
          </w:tcPr>
          <w:p w14:paraId="2ED76A84" w14:textId="7B9FCF87" w:rsidR="000F7BBE" w:rsidRPr="00A67DBA" w:rsidRDefault="00FC72FF" w:rsidP="00F16820">
            <w:pPr>
              <w:tabs>
                <w:tab w:val="clear" w:pos="794"/>
                <w:tab w:val="left" w:pos="385"/>
              </w:tabs>
              <w:spacing w:before="80" w:after="60" w:line="300" w:lineRule="exact"/>
              <w:ind w:left="385" w:hanging="385"/>
              <w:rPr>
                <w:b/>
                <w:bCs/>
                <w:position w:val="2"/>
                <w:sz w:val="24"/>
                <w:szCs w:val="24"/>
                <w:lang w:val="fr-FR" w:bidi="ar-EG"/>
              </w:rPr>
            </w:pPr>
            <w:r w:rsidRPr="00A67DBA">
              <w:rPr>
                <w:b/>
                <w:bCs/>
                <w:position w:val="2"/>
                <w:sz w:val="24"/>
                <w:szCs w:val="24"/>
                <w:rtl/>
                <w:lang w:bidi="ar-EG"/>
              </w:rPr>
              <w:t xml:space="preserve">المشاركة في الاجتماعات التشاورية بموجب القرار </w:t>
            </w:r>
            <w:r w:rsidR="008462B4" w:rsidRPr="00A67DBA">
              <w:rPr>
                <w:b/>
                <w:bCs/>
                <w:position w:val="2"/>
                <w:sz w:val="24"/>
                <w:szCs w:val="24"/>
                <w:lang w:val="fr-FR" w:bidi="ar-EG"/>
              </w:rPr>
              <w:t>609 (Rev.WRC-07)</w:t>
            </w:r>
          </w:p>
        </w:tc>
      </w:tr>
    </w:tbl>
    <w:p w14:paraId="6B0A1DBE" w14:textId="77777777" w:rsidR="003202B1" w:rsidRPr="00A67DBA" w:rsidRDefault="00FC72FF" w:rsidP="00D42E05">
      <w:pPr>
        <w:spacing w:before="600"/>
        <w:rPr>
          <w:sz w:val="24"/>
          <w:szCs w:val="24"/>
          <w:rtl/>
          <w:lang w:bidi="ar-EG"/>
        </w:rPr>
      </w:pPr>
      <w:r w:rsidRPr="00A67DBA">
        <w:rPr>
          <w:sz w:val="24"/>
          <w:szCs w:val="24"/>
          <w:rtl/>
          <w:lang w:bidi="ar-EG"/>
        </w:rPr>
        <w:t>وفقا</w:t>
      </w:r>
      <w:r w:rsidR="008462B4" w:rsidRPr="00A67DBA">
        <w:rPr>
          <w:rFonts w:hint="cs"/>
          <w:sz w:val="24"/>
          <w:szCs w:val="24"/>
          <w:rtl/>
          <w:lang w:bidi="ar-EG"/>
        </w:rPr>
        <w:t>ً</w:t>
      </w:r>
      <w:r w:rsidRPr="00A67DBA">
        <w:rPr>
          <w:sz w:val="24"/>
          <w:szCs w:val="24"/>
          <w:rtl/>
          <w:lang w:bidi="ar-EG"/>
        </w:rPr>
        <w:t xml:space="preserve"> للقرار </w:t>
      </w:r>
      <w:r w:rsidR="008462B4" w:rsidRPr="00A67DBA">
        <w:rPr>
          <w:b/>
          <w:bCs/>
          <w:sz w:val="24"/>
          <w:szCs w:val="24"/>
          <w:lang w:val="fr-FR" w:bidi="ar-EG"/>
        </w:rPr>
        <w:t>609 (Rev.WRC-07)</w:t>
      </w:r>
      <w:r w:rsidRPr="00A67DBA">
        <w:rPr>
          <w:sz w:val="24"/>
          <w:szCs w:val="24"/>
          <w:rtl/>
          <w:lang w:bidi="ar-EG"/>
        </w:rPr>
        <w:t xml:space="preserve">، ينبغي عقد اجتماعات تشاورية على أساس منتظم لتحقيق مستوى الحماية لأنظمة خدمة الملاحة الراديوية للطيران </w:t>
      </w:r>
      <w:r w:rsidRPr="00A67DBA">
        <w:rPr>
          <w:sz w:val="24"/>
          <w:szCs w:val="24"/>
          <w:lang w:val="fr-FR" w:bidi="ar-EG"/>
        </w:rPr>
        <w:t>(ARNS)</w:t>
      </w:r>
      <w:r w:rsidRPr="00A67DBA">
        <w:rPr>
          <w:sz w:val="24"/>
          <w:szCs w:val="24"/>
          <w:rtl/>
          <w:lang w:bidi="ar-EG"/>
        </w:rPr>
        <w:t xml:space="preserve"> العاملة في نطاق الترددات </w:t>
      </w:r>
      <w:r w:rsidR="008462B4" w:rsidRPr="00A67DBA">
        <w:rPr>
          <w:sz w:val="24"/>
          <w:szCs w:val="24"/>
          <w:lang w:val="fr-FR" w:bidi="ar-EG"/>
        </w:rPr>
        <w:t>MHz 1 215-1 164</w:t>
      </w:r>
      <w:r w:rsidRPr="00A67DBA">
        <w:rPr>
          <w:sz w:val="24"/>
          <w:szCs w:val="24"/>
          <w:rtl/>
          <w:lang w:bidi="ar-EG"/>
        </w:rPr>
        <w:t>.</w:t>
      </w:r>
    </w:p>
    <w:p w14:paraId="6A587053" w14:textId="7381051E" w:rsidR="00FC72FF" w:rsidRPr="00A67DBA" w:rsidRDefault="00FC72FF" w:rsidP="00FC72FF">
      <w:pPr>
        <w:rPr>
          <w:sz w:val="24"/>
          <w:szCs w:val="24"/>
          <w:rtl/>
        </w:rPr>
      </w:pPr>
      <w:r w:rsidRPr="00A67DBA">
        <w:rPr>
          <w:sz w:val="24"/>
          <w:szCs w:val="24"/>
          <w:rtl/>
          <w:lang w:bidi="ar-EG"/>
        </w:rPr>
        <w:t>ووفقا</w:t>
      </w:r>
      <w:r w:rsidR="00A07BA0" w:rsidRPr="00A67DBA">
        <w:rPr>
          <w:rFonts w:hint="cs"/>
          <w:sz w:val="24"/>
          <w:szCs w:val="24"/>
          <w:rtl/>
          <w:lang w:bidi="ar-EG"/>
        </w:rPr>
        <w:t>ً</w:t>
      </w:r>
      <w:r w:rsidRPr="00A67DBA">
        <w:rPr>
          <w:sz w:val="24"/>
          <w:szCs w:val="24"/>
          <w:rtl/>
          <w:lang w:bidi="ar-EG"/>
        </w:rPr>
        <w:t xml:space="preserve"> </w:t>
      </w:r>
      <w:r w:rsidR="00A07BA0" w:rsidRPr="00A67DBA">
        <w:rPr>
          <w:rFonts w:hint="cs"/>
          <w:sz w:val="24"/>
          <w:szCs w:val="24"/>
          <w:rtl/>
          <w:lang w:bidi="ar-EG"/>
        </w:rPr>
        <w:t>ل</w:t>
      </w:r>
      <w:r w:rsidRPr="00A67DBA">
        <w:rPr>
          <w:sz w:val="24"/>
          <w:szCs w:val="24"/>
          <w:rtl/>
          <w:lang w:bidi="ar-EG"/>
        </w:rPr>
        <w:t xml:space="preserve">لفقرة </w:t>
      </w:r>
      <w:r w:rsidR="00A07BA0" w:rsidRPr="00A67DBA">
        <w:rPr>
          <w:sz w:val="24"/>
          <w:szCs w:val="24"/>
          <w:lang w:bidi="ar-EG"/>
        </w:rPr>
        <w:t>2</w:t>
      </w:r>
      <w:r w:rsidR="00A07BA0" w:rsidRPr="00A67DBA">
        <w:rPr>
          <w:rFonts w:hint="cs"/>
          <w:sz w:val="24"/>
          <w:szCs w:val="24"/>
          <w:rtl/>
        </w:rPr>
        <w:t xml:space="preserve"> من "</w:t>
      </w:r>
      <w:r w:rsidRPr="00A67DBA">
        <w:rPr>
          <w:i/>
          <w:iCs/>
          <w:sz w:val="24"/>
          <w:szCs w:val="24"/>
          <w:rtl/>
          <w:lang w:bidi="ar-EG"/>
        </w:rPr>
        <w:t>يقرر</w:t>
      </w:r>
      <w:r w:rsidR="00A07BA0" w:rsidRPr="00A67DBA">
        <w:rPr>
          <w:rFonts w:hint="cs"/>
          <w:sz w:val="24"/>
          <w:szCs w:val="24"/>
          <w:rtl/>
          <w:lang w:bidi="ar-EG"/>
        </w:rPr>
        <w:t>"</w:t>
      </w:r>
      <w:r w:rsidRPr="00A67DBA">
        <w:rPr>
          <w:sz w:val="24"/>
          <w:szCs w:val="24"/>
          <w:rtl/>
          <w:lang w:bidi="ar-EG"/>
        </w:rPr>
        <w:t xml:space="preserve"> من هذا القرار، يجب على الإدارات التي تشغِّل، أو التي تعتزم أن تشغِّل، أنظمة أو شبكات خدمة الملاحة الراديوية الساتلية </w:t>
      </w:r>
      <w:r w:rsidRPr="00A67DBA">
        <w:rPr>
          <w:sz w:val="24"/>
          <w:szCs w:val="24"/>
          <w:lang w:bidi="ar-EG"/>
        </w:rPr>
        <w:t>(RNSS)</w:t>
      </w:r>
      <w:r w:rsidRPr="00A67DBA">
        <w:rPr>
          <w:sz w:val="24"/>
          <w:szCs w:val="24"/>
          <w:rtl/>
          <w:lang w:bidi="ar-EG"/>
        </w:rPr>
        <w:t xml:space="preserve"> في نطاق الترددات </w:t>
      </w:r>
      <w:r w:rsidR="008462B4" w:rsidRPr="00A67DBA">
        <w:rPr>
          <w:sz w:val="24"/>
          <w:szCs w:val="24"/>
          <w:lang w:bidi="ar-EG"/>
        </w:rPr>
        <w:t>MHz 1 215-1 164</w:t>
      </w:r>
      <w:r w:rsidRPr="00A67DBA">
        <w:rPr>
          <w:sz w:val="24"/>
          <w:szCs w:val="24"/>
          <w:rtl/>
          <w:lang w:bidi="ar-EG"/>
        </w:rPr>
        <w:t>، أن تتخذ، بالتعاون فيما بينها، جميع الخطوات الضرورية، بما في ذلك، عند الاقتضاء،</w:t>
      </w:r>
      <w:r w:rsidR="003202B1" w:rsidRPr="00A67DBA">
        <w:rPr>
          <w:sz w:val="24"/>
          <w:szCs w:val="24"/>
          <w:rtl/>
          <w:lang w:bidi="ar-EG"/>
        </w:rPr>
        <w:t xml:space="preserve"> </w:t>
      </w:r>
      <w:r w:rsidRPr="00A67DBA">
        <w:rPr>
          <w:sz w:val="24"/>
          <w:szCs w:val="24"/>
          <w:rtl/>
          <w:lang w:bidi="ar-EG"/>
        </w:rPr>
        <w:t>إدخال التعديلات المناسبة على أنظمتها أو شبكاتها، لضمان توزيع التداخل الكلي على</w:t>
      </w:r>
      <w:r w:rsidR="008C544C" w:rsidRPr="00A67DBA">
        <w:rPr>
          <w:rFonts w:hint="eastAsia"/>
          <w:sz w:val="24"/>
          <w:szCs w:val="24"/>
          <w:rtl/>
        </w:rPr>
        <w:t> </w:t>
      </w:r>
      <w:r w:rsidRPr="00A67DBA">
        <w:rPr>
          <w:sz w:val="24"/>
          <w:szCs w:val="24"/>
          <w:rtl/>
          <w:lang w:bidi="ar-EG"/>
        </w:rPr>
        <w:t>أنظمة خدمة الملاحة الراديوية للطيران الذي تسببه أنظمة أو شبكات خدمة الملاحة الراديوية الساتلية هذه العاملة على نفس التردد في</w:t>
      </w:r>
      <w:r w:rsidR="008C544C" w:rsidRPr="00A67DBA">
        <w:rPr>
          <w:rFonts w:hint="cs"/>
          <w:sz w:val="24"/>
          <w:szCs w:val="24"/>
          <w:rtl/>
          <w:lang w:bidi="ar-EG"/>
        </w:rPr>
        <w:t> </w:t>
      </w:r>
      <w:r w:rsidRPr="00A67DBA">
        <w:rPr>
          <w:sz w:val="24"/>
          <w:szCs w:val="24"/>
          <w:rtl/>
          <w:lang w:bidi="ar-EG"/>
        </w:rPr>
        <w:t>نطاقات الترددات هذه بالتساوي بين الأنظمة التي استوفت المعايير المدرجة في ملحق هذا القرار، وعدم تجاوز مستوى كثافة تدفق القدرة المكافئة الناجمة عن جميع المحطات الفضائية لجميع أنظمة خدمة الملاحة الراديوية الساتلية والبالغ</w:t>
      </w:r>
      <w:r w:rsidR="00A07BA0" w:rsidRPr="00A67DBA">
        <w:rPr>
          <w:rFonts w:hint="cs"/>
          <w:sz w:val="24"/>
          <w:szCs w:val="24"/>
          <w:rtl/>
          <w:lang w:bidi="ar-EG"/>
        </w:rPr>
        <w:t> </w:t>
      </w:r>
      <w:r w:rsidR="00A07BA0" w:rsidRPr="00A67DBA">
        <w:rPr>
          <w:sz w:val="24"/>
          <w:szCs w:val="24"/>
        </w:rPr>
        <w:t>dB(W/m</w:t>
      </w:r>
      <w:r w:rsidR="00A07BA0" w:rsidRPr="00A67DBA">
        <w:rPr>
          <w:sz w:val="24"/>
          <w:szCs w:val="24"/>
          <w:vertAlign w:val="superscript"/>
        </w:rPr>
        <w:t>2</w:t>
      </w:r>
      <w:r w:rsidR="00A07BA0" w:rsidRPr="00A67DBA">
        <w:rPr>
          <w:sz w:val="24"/>
          <w:szCs w:val="24"/>
        </w:rPr>
        <w:t>)</w:t>
      </w:r>
      <w:r w:rsidR="00A07BA0" w:rsidRPr="00A67DBA">
        <w:rPr>
          <w:sz w:val="24"/>
          <w:szCs w:val="24"/>
          <w:lang w:bidi="ar-EG"/>
        </w:rPr>
        <w:t> 121,5–</w:t>
      </w:r>
      <w:r w:rsidRPr="00A67DBA">
        <w:rPr>
          <w:sz w:val="24"/>
          <w:szCs w:val="24"/>
          <w:rtl/>
          <w:lang w:bidi="ar-EG"/>
        </w:rPr>
        <w:t xml:space="preserve"> في أي نطاق عرضه </w:t>
      </w:r>
      <w:r w:rsidR="004B2AFF" w:rsidRPr="00A67DBA">
        <w:rPr>
          <w:sz w:val="24"/>
          <w:szCs w:val="24"/>
          <w:lang w:bidi="ar-EG"/>
        </w:rPr>
        <w:t>MHz 1</w:t>
      </w:r>
      <w:r w:rsidRPr="00A67DBA">
        <w:rPr>
          <w:sz w:val="24"/>
          <w:szCs w:val="24"/>
          <w:rtl/>
          <w:lang w:bidi="ar-EG"/>
        </w:rPr>
        <w:t>. ولتحقيق هذه الأهداف، يتعين على الإدارات التي تشغل أو التي تخطط لتشغيل أنظمة خدمة الملاحة الراديوية الساتلية أن تتفق بشكل تعاوني من خلال اجتماعات تشاورية منتظمة لتحقيق المستوى المطلوب من الحماية لأنظمة خدمة الملاحة الراديوية للطيران</w:t>
      </w:r>
      <w:r w:rsidR="00A644ED" w:rsidRPr="00A67DBA">
        <w:rPr>
          <w:rFonts w:hint="cs"/>
          <w:sz w:val="24"/>
          <w:szCs w:val="24"/>
          <w:rtl/>
        </w:rPr>
        <w:t>.</w:t>
      </w:r>
    </w:p>
    <w:p w14:paraId="1CEB63C1" w14:textId="77777777" w:rsidR="00034819" w:rsidRPr="00A67DBA" w:rsidRDefault="00FC72FF" w:rsidP="001D41EE">
      <w:pPr>
        <w:rPr>
          <w:sz w:val="24"/>
          <w:szCs w:val="24"/>
        </w:rPr>
      </w:pPr>
      <w:r w:rsidRPr="00A67DBA">
        <w:rPr>
          <w:sz w:val="24"/>
          <w:szCs w:val="24"/>
          <w:rtl/>
          <w:lang w:bidi="ar-EG"/>
        </w:rPr>
        <w:t>وأتاح مكتب الاتصالات الراديوية صفحة إلكترونية تحتوي على معلومات عن هذه الاجتماعات التشاورية، وتقدم أيضا</w:t>
      </w:r>
      <w:r w:rsidR="008C544C" w:rsidRPr="00A67DBA">
        <w:rPr>
          <w:rFonts w:hint="cs"/>
          <w:sz w:val="24"/>
          <w:szCs w:val="24"/>
          <w:rtl/>
          <w:lang w:bidi="ar-EG"/>
        </w:rPr>
        <w:t>ً</w:t>
      </w:r>
      <w:r w:rsidRPr="00A67DBA">
        <w:rPr>
          <w:sz w:val="24"/>
          <w:szCs w:val="24"/>
          <w:rtl/>
          <w:lang w:bidi="ar-EG"/>
        </w:rPr>
        <w:t xml:space="preserve"> أحدث قائمة ببطاقات التبليغ بموجب المادتين </w:t>
      </w:r>
      <w:r w:rsidR="001D41EE" w:rsidRPr="00A67DBA">
        <w:rPr>
          <w:b/>
          <w:bCs/>
          <w:sz w:val="24"/>
          <w:szCs w:val="24"/>
          <w:lang w:bidi="ar-EG"/>
        </w:rPr>
        <w:t>9</w:t>
      </w:r>
      <w:r w:rsidRPr="00A67DBA">
        <w:rPr>
          <w:sz w:val="24"/>
          <w:szCs w:val="24"/>
          <w:rtl/>
          <w:lang w:bidi="ar-EG"/>
        </w:rPr>
        <w:t xml:space="preserve"> و</w:t>
      </w:r>
      <w:r w:rsidR="001D41EE" w:rsidRPr="00A67DBA">
        <w:rPr>
          <w:b/>
          <w:bCs/>
          <w:sz w:val="24"/>
          <w:szCs w:val="24"/>
          <w:lang w:bidi="ar-EG"/>
        </w:rPr>
        <w:t>11</w:t>
      </w:r>
      <w:r w:rsidRPr="00A67DBA">
        <w:rPr>
          <w:sz w:val="24"/>
          <w:szCs w:val="24"/>
          <w:rtl/>
          <w:lang w:bidi="ar-EG"/>
        </w:rPr>
        <w:t xml:space="preserve"> عن تخصيصات ترددات خدمة الملاحة الراديوية الساتلية </w:t>
      </w:r>
      <w:r w:rsidRPr="00A67DBA">
        <w:rPr>
          <w:sz w:val="24"/>
          <w:szCs w:val="24"/>
          <w:lang w:bidi="ar-EG"/>
        </w:rPr>
        <w:t>(RNSS)</w:t>
      </w:r>
      <w:r w:rsidRPr="00A67DBA">
        <w:rPr>
          <w:sz w:val="24"/>
          <w:szCs w:val="24"/>
          <w:rtl/>
          <w:lang w:bidi="ar-EG"/>
        </w:rPr>
        <w:t xml:space="preserve"> في نطاق الترددات</w:t>
      </w:r>
      <w:r w:rsidR="001D41EE" w:rsidRPr="00A67DBA">
        <w:rPr>
          <w:rFonts w:hint="cs"/>
          <w:sz w:val="24"/>
          <w:szCs w:val="24"/>
          <w:rtl/>
        </w:rPr>
        <w:t xml:space="preserve"> </w:t>
      </w:r>
      <w:r w:rsidR="001D41EE" w:rsidRPr="00A67DBA">
        <w:rPr>
          <w:sz w:val="24"/>
          <w:szCs w:val="24"/>
        </w:rPr>
        <w:t>MHz 1 215-1 164</w:t>
      </w:r>
      <w:r w:rsidR="00D42E05" w:rsidRPr="00A67DBA">
        <w:rPr>
          <w:rFonts w:hint="cs"/>
          <w:sz w:val="24"/>
          <w:szCs w:val="24"/>
          <w:rtl/>
        </w:rPr>
        <w:t>:</w:t>
      </w:r>
    </w:p>
    <w:p w14:paraId="5DDA00A9" w14:textId="0D5E98B1" w:rsidR="00FC72FF" w:rsidRPr="00A67DBA" w:rsidRDefault="001D41EE" w:rsidP="00034819">
      <w:pPr>
        <w:jc w:val="center"/>
        <w:rPr>
          <w:sz w:val="24"/>
          <w:szCs w:val="24"/>
          <w:rtl/>
        </w:rPr>
      </w:pPr>
      <w:hyperlink r:id="rId8" w:history="1">
        <w:r w:rsidRPr="00A67DBA">
          <w:rPr>
            <w:rStyle w:val="Hyperlink"/>
            <w:sz w:val="24"/>
            <w:szCs w:val="24"/>
          </w:rPr>
          <w:t>https://www.itu.int/en/ITU-R/space/Pages/res609.aspx</w:t>
        </w:r>
      </w:hyperlink>
      <w:r w:rsidRPr="00A67DBA">
        <w:rPr>
          <w:rStyle w:val="Hyperlink"/>
          <w:rFonts w:hint="cs"/>
          <w:color w:val="auto"/>
          <w:sz w:val="24"/>
          <w:szCs w:val="24"/>
          <w:u w:val="none"/>
          <w:rtl/>
        </w:rPr>
        <w:t>.</w:t>
      </w:r>
    </w:p>
    <w:p w14:paraId="0F582B70" w14:textId="6A53ED8B" w:rsidR="00FC72FF" w:rsidRPr="00A67DBA" w:rsidRDefault="00FC72FF" w:rsidP="00FC72FF">
      <w:pPr>
        <w:rPr>
          <w:sz w:val="24"/>
          <w:szCs w:val="24"/>
          <w:rtl/>
          <w:lang w:bidi="ar-EG"/>
        </w:rPr>
      </w:pPr>
      <w:r w:rsidRPr="00A67DBA">
        <w:rPr>
          <w:sz w:val="24"/>
          <w:szCs w:val="24"/>
          <w:rtl/>
          <w:lang w:bidi="ar-EG"/>
        </w:rPr>
        <w:t xml:space="preserve">ولذلك، </w:t>
      </w:r>
      <w:r w:rsidRPr="00A67DBA">
        <w:rPr>
          <w:b/>
          <w:bCs/>
          <w:sz w:val="24"/>
          <w:szCs w:val="24"/>
          <w:rtl/>
          <w:lang w:bidi="ar-EG"/>
        </w:rPr>
        <w:t>تذكّر</w:t>
      </w:r>
      <w:r w:rsidRPr="00A67DBA">
        <w:rPr>
          <w:sz w:val="24"/>
          <w:szCs w:val="24"/>
          <w:rtl/>
          <w:lang w:bidi="ar-EG"/>
        </w:rPr>
        <w:t xml:space="preserve"> جميع الإدارات التي قدمت بطاقات تبليغ عن تخصيصات ترددات شبكات ساتلية في خدمة الملاحة الراديوية الساتلية </w:t>
      </w:r>
      <w:r w:rsidRPr="00A67DBA">
        <w:rPr>
          <w:sz w:val="24"/>
          <w:szCs w:val="24"/>
          <w:lang w:bidi="ar-EG"/>
        </w:rPr>
        <w:t>(RNSS)</w:t>
      </w:r>
      <w:r w:rsidRPr="00A67DBA">
        <w:rPr>
          <w:sz w:val="24"/>
          <w:szCs w:val="24"/>
          <w:rtl/>
          <w:lang w:bidi="ar-EG"/>
        </w:rPr>
        <w:t xml:space="preserve"> في نطاق الترددات </w:t>
      </w:r>
      <w:r w:rsidR="001D41EE" w:rsidRPr="00A67DBA">
        <w:rPr>
          <w:sz w:val="24"/>
          <w:szCs w:val="24"/>
        </w:rPr>
        <w:t>MHz 1 215-1 164</w:t>
      </w:r>
      <w:r w:rsidRPr="00A67DBA">
        <w:rPr>
          <w:sz w:val="24"/>
          <w:szCs w:val="24"/>
          <w:rtl/>
          <w:lang w:bidi="ar-EG"/>
        </w:rPr>
        <w:t xml:space="preserve"> </w:t>
      </w:r>
      <w:r w:rsidRPr="00A67DBA">
        <w:rPr>
          <w:b/>
          <w:bCs/>
          <w:sz w:val="24"/>
          <w:szCs w:val="24"/>
          <w:rtl/>
          <w:lang w:bidi="ar-EG"/>
        </w:rPr>
        <w:t>بالتزامها بالمشاركة في الاجتماعات التشاورية</w:t>
      </w:r>
      <w:r w:rsidRPr="00A67DBA">
        <w:rPr>
          <w:sz w:val="24"/>
          <w:szCs w:val="24"/>
          <w:rtl/>
          <w:lang w:bidi="ar-EG"/>
        </w:rPr>
        <w:t>. وتتاح معلومات عن موعد ومكان الانعقاد الدقيقين في الموقع الإلكتروني المذكور أعلاه.</w:t>
      </w:r>
    </w:p>
    <w:p w14:paraId="44872B93" w14:textId="1AD0852C" w:rsidR="00FC72FF" w:rsidRPr="00A67DBA" w:rsidRDefault="00FC72FF" w:rsidP="00FC72FF">
      <w:pPr>
        <w:rPr>
          <w:sz w:val="24"/>
          <w:szCs w:val="24"/>
          <w:rtl/>
          <w:lang w:bidi="ar-EG"/>
        </w:rPr>
      </w:pPr>
      <w:r w:rsidRPr="00A67DBA">
        <w:rPr>
          <w:sz w:val="24"/>
          <w:szCs w:val="24"/>
          <w:rtl/>
          <w:lang w:bidi="ar-EG"/>
        </w:rPr>
        <w:t>وي</w:t>
      </w:r>
      <w:r w:rsidR="001D41EE" w:rsidRPr="00A67DBA">
        <w:rPr>
          <w:rFonts w:hint="cs"/>
          <w:sz w:val="24"/>
          <w:szCs w:val="24"/>
          <w:rtl/>
          <w:lang w:bidi="ar-EG"/>
        </w:rPr>
        <w:t>ُ</w:t>
      </w:r>
      <w:r w:rsidRPr="00A67DBA">
        <w:rPr>
          <w:sz w:val="24"/>
          <w:szCs w:val="24"/>
          <w:rtl/>
          <w:lang w:bidi="ar-EG"/>
        </w:rPr>
        <w:t>رجى من هذه الإدارات أيضا</w:t>
      </w:r>
      <w:r w:rsidR="001D41EE" w:rsidRPr="00A67DBA">
        <w:rPr>
          <w:rFonts w:hint="cs"/>
          <w:sz w:val="24"/>
          <w:szCs w:val="24"/>
          <w:rtl/>
          <w:lang w:bidi="ar-EG"/>
        </w:rPr>
        <w:t>ً</w:t>
      </w:r>
      <w:r w:rsidRPr="00A67DBA">
        <w:rPr>
          <w:sz w:val="24"/>
          <w:szCs w:val="24"/>
          <w:rtl/>
          <w:lang w:bidi="ar-EG"/>
        </w:rPr>
        <w:t xml:space="preserve"> تقديم اسم ومعلومات الاتصال بالشخص المسؤول الذي يمكنه أن يطلب منحه حق النفاذ إلى</w:t>
      </w:r>
      <w:r w:rsidR="008C544C" w:rsidRPr="00A67DBA">
        <w:rPr>
          <w:rFonts w:hint="cs"/>
          <w:sz w:val="24"/>
          <w:szCs w:val="24"/>
          <w:rtl/>
          <w:lang w:bidi="ar-EG"/>
        </w:rPr>
        <w:t> </w:t>
      </w:r>
      <w:r w:rsidRPr="00A67DBA">
        <w:rPr>
          <w:sz w:val="24"/>
          <w:szCs w:val="24"/>
          <w:rtl/>
          <w:lang w:bidi="ar-EG"/>
        </w:rPr>
        <w:t xml:space="preserve">موقع </w:t>
      </w:r>
      <w:r w:rsidRPr="00A67DBA">
        <w:rPr>
          <w:sz w:val="24"/>
          <w:szCs w:val="24"/>
          <w:lang w:bidi="ar-EG"/>
        </w:rPr>
        <w:t>SharePoint</w:t>
      </w:r>
      <w:r w:rsidRPr="00A67DBA">
        <w:rPr>
          <w:sz w:val="24"/>
          <w:szCs w:val="24"/>
          <w:rtl/>
          <w:lang w:bidi="ar-EG"/>
        </w:rPr>
        <w:t xml:space="preserve"> والقائمة البريدية الخاصة بالاجتماع التشاوري، بحيث يمكن إبلاغه بالتخطيط للاجتماع المقبل. ولنفاذ الشخص المسؤول إلى موقع </w:t>
      </w:r>
      <w:r w:rsidRPr="00A67DBA">
        <w:rPr>
          <w:sz w:val="24"/>
          <w:szCs w:val="24"/>
          <w:lang w:bidi="ar-EG"/>
        </w:rPr>
        <w:t>SharePoint</w:t>
      </w:r>
      <w:r w:rsidRPr="00A67DBA">
        <w:rPr>
          <w:sz w:val="24"/>
          <w:szCs w:val="24"/>
          <w:rtl/>
          <w:lang w:bidi="ar-EG"/>
        </w:rPr>
        <w:t xml:space="preserve"> وإضافته إلى القائمة البريدية، يتعين عليه إرسال طلب باستخدام الرابط التالي:</w:t>
      </w:r>
    </w:p>
    <w:p w14:paraId="354143A7" w14:textId="77777777" w:rsidR="001D41EE" w:rsidRPr="00A67DBA" w:rsidRDefault="001D41EE" w:rsidP="001D41EE">
      <w:pPr>
        <w:jc w:val="center"/>
        <w:rPr>
          <w:sz w:val="24"/>
          <w:szCs w:val="24"/>
        </w:rPr>
      </w:pPr>
      <w:hyperlink r:id="rId9" w:history="1">
        <w:r w:rsidRPr="00A67DBA">
          <w:rPr>
            <w:rStyle w:val="Hyperlink"/>
            <w:sz w:val="24"/>
            <w:szCs w:val="24"/>
          </w:rPr>
          <w:t>https://www.itu.int/en/ITU-R/space/Pages/RES-609-Subscription-Information.aspx</w:t>
        </w:r>
      </w:hyperlink>
    </w:p>
    <w:p w14:paraId="67F02FD3" w14:textId="2793AA38" w:rsidR="00FC72FF" w:rsidRPr="00A67DBA" w:rsidRDefault="00FC72FF" w:rsidP="00EE2134">
      <w:pPr>
        <w:pStyle w:val="Headingb"/>
        <w:pageBreakBefore/>
        <w:rPr>
          <w:sz w:val="24"/>
          <w:szCs w:val="24"/>
          <w:rtl/>
          <w:lang w:bidi="ar-EG"/>
        </w:rPr>
      </w:pPr>
      <w:r w:rsidRPr="00A67DBA">
        <w:rPr>
          <w:sz w:val="24"/>
          <w:szCs w:val="24"/>
          <w:rtl/>
          <w:lang w:bidi="ar-EG"/>
        </w:rPr>
        <w:lastRenderedPageBreak/>
        <w:t xml:space="preserve">توضيحات بشأن الالتزام بحد كثافة تدفق القدرة في الفقرة </w:t>
      </w:r>
      <w:r w:rsidRPr="00A67DBA">
        <w:rPr>
          <w:sz w:val="24"/>
          <w:szCs w:val="24"/>
          <w:lang w:bidi="ar-EG"/>
        </w:rPr>
        <w:t>1</w:t>
      </w:r>
      <w:r w:rsidRPr="00A67DBA">
        <w:rPr>
          <w:sz w:val="24"/>
          <w:szCs w:val="24"/>
          <w:rtl/>
          <w:lang w:bidi="ar-EG"/>
        </w:rPr>
        <w:t xml:space="preserve"> من </w:t>
      </w:r>
      <w:r w:rsidR="003202B1" w:rsidRPr="00A67DBA">
        <w:rPr>
          <w:rFonts w:hint="cs"/>
          <w:sz w:val="24"/>
          <w:szCs w:val="24"/>
          <w:rtl/>
        </w:rPr>
        <w:t>"</w:t>
      </w:r>
      <w:r w:rsidR="005F784E" w:rsidRPr="00A67DBA">
        <w:rPr>
          <w:rFonts w:hint="cs"/>
          <w:i/>
          <w:iCs/>
          <w:sz w:val="24"/>
          <w:szCs w:val="24"/>
          <w:rtl/>
          <w:lang w:bidi="ar-EG"/>
        </w:rPr>
        <w:t>يوصي</w:t>
      </w:r>
      <w:r w:rsidR="003202B1" w:rsidRPr="00A67DBA">
        <w:rPr>
          <w:rFonts w:hint="cs"/>
          <w:sz w:val="24"/>
          <w:szCs w:val="24"/>
          <w:rtl/>
          <w:lang w:bidi="ar-EG"/>
        </w:rPr>
        <w:t>"</w:t>
      </w:r>
      <w:r w:rsidRPr="00A67DBA">
        <w:rPr>
          <w:sz w:val="24"/>
          <w:szCs w:val="24"/>
          <w:rtl/>
          <w:lang w:bidi="ar-EG"/>
        </w:rPr>
        <w:t xml:space="preserve"> في التوصية </w:t>
      </w:r>
      <w:r w:rsidR="00925CCE" w:rsidRPr="00A67DBA">
        <w:rPr>
          <w:sz w:val="24"/>
          <w:szCs w:val="24"/>
          <w:lang w:bidi="ar-EG"/>
        </w:rPr>
        <w:t>608 (Rev.WRC-07)</w:t>
      </w:r>
    </w:p>
    <w:p w14:paraId="04679FCD" w14:textId="7F09A6CB" w:rsidR="00FC72FF" w:rsidRPr="00A67DBA" w:rsidRDefault="00FC72FF" w:rsidP="00FC72FF">
      <w:pPr>
        <w:rPr>
          <w:sz w:val="24"/>
          <w:szCs w:val="24"/>
          <w:rtl/>
          <w:lang w:bidi="ar-EG"/>
        </w:rPr>
      </w:pPr>
      <w:r w:rsidRPr="00A67DBA">
        <w:rPr>
          <w:sz w:val="24"/>
          <w:szCs w:val="24"/>
          <w:rtl/>
          <w:lang w:bidi="ar-EG"/>
        </w:rPr>
        <w:t xml:space="preserve">لتمكين أنظمة متعددة في خدمة الملاحة الراديوية الساتلية من العمل في نطاق الترددات </w:t>
      </w:r>
      <w:r w:rsidR="00925CCE" w:rsidRPr="00A67DBA">
        <w:rPr>
          <w:sz w:val="24"/>
          <w:szCs w:val="24"/>
        </w:rPr>
        <w:t>MHz 1 215-1 164</w:t>
      </w:r>
      <w:r w:rsidRPr="00A67DBA">
        <w:rPr>
          <w:sz w:val="24"/>
          <w:szCs w:val="24"/>
          <w:rtl/>
          <w:lang w:bidi="ar-EG"/>
        </w:rPr>
        <w:t xml:space="preserve">، تنص الفقرة </w:t>
      </w:r>
      <w:r w:rsidR="00925CCE" w:rsidRPr="00A67DBA">
        <w:rPr>
          <w:sz w:val="24"/>
          <w:szCs w:val="24"/>
          <w:lang w:bidi="ar-EG"/>
        </w:rPr>
        <w:t>5</w:t>
      </w:r>
      <w:r w:rsidRPr="00A67DBA">
        <w:rPr>
          <w:sz w:val="24"/>
          <w:szCs w:val="24"/>
          <w:rtl/>
          <w:lang w:bidi="ar-EG"/>
        </w:rPr>
        <w:t xml:space="preserve"> من "</w:t>
      </w:r>
      <w:r w:rsidRPr="00A67DBA">
        <w:rPr>
          <w:i/>
          <w:iCs/>
          <w:sz w:val="24"/>
          <w:szCs w:val="24"/>
          <w:rtl/>
          <w:lang w:bidi="ar-EG"/>
        </w:rPr>
        <w:t>يقرر</w:t>
      </w:r>
      <w:r w:rsidRPr="00A67DBA">
        <w:rPr>
          <w:sz w:val="24"/>
          <w:szCs w:val="24"/>
          <w:rtl/>
          <w:lang w:bidi="ar-EG"/>
        </w:rPr>
        <w:t xml:space="preserve">" في القرار </w:t>
      </w:r>
      <w:r w:rsidR="008462B4" w:rsidRPr="00A67DBA">
        <w:rPr>
          <w:b/>
          <w:bCs/>
          <w:sz w:val="24"/>
          <w:szCs w:val="24"/>
          <w:lang w:bidi="ar-EG"/>
        </w:rPr>
        <w:t>609 (Rev.WRC-07)</w:t>
      </w:r>
      <w:r w:rsidRPr="00A67DBA">
        <w:rPr>
          <w:sz w:val="24"/>
          <w:szCs w:val="24"/>
          <w:rtl/>
          <w:lang w:bidi="ar-EG"/>
        </w:rPr>
        <w:t xml:space="preserve"> على</w:t>
      </w:r>
      <w:r w:rsidR="00E62AE0" w:rsidRPr="00A67DBA">
        <w:rPr>
          <w:rFonts w:hint="cs"/>
          <w:sz w:val="24"/>
          <w:szCs w:val="24"/>
          <w:rtl/>
          <w:lang w:bidi="ar-EG"/>
        </w:rPr>
        <w:t xml:space="preserve"> أنه</w:t>
      </w:r>
      <w:r w:rsidRPr="00A67DBA">
        <w:rPr>
          <w:sz w:val="24"/>
          <w:szCs w:val="24"/>
          <w:rtl/>
          <w:lang w:bidi="ar-EG"/>
        </w:rPr>
        <w:t xml:space="preserve"> "</w:t>
      </w:r>
      <w:r w:rsidR="00E62AE0" w:rsidRPr="00A67DBA">
        <w:rPr>
          <w:rFonts w:hint="cs"/>
          <w:sz w:val="24"/>
          <w:szCs w:val="24"/>
          <w:rtl/>
          <w:lang w:bidi="ar-EG"/>
        </w:rPr>
        <w:t xml:space="preserve">يجب </w:t>
      </w:r>
      <w:r w:rsidRPr="00A67DBA">
        <w:rPr>
          <w:sz w:val="24"/>
          <w:szCs w:val="24"/>
          <w:rtl/>
          <w:lang w:bidi="ar-EG"/>
        </w:rPr>
        <w:t xml:space="preserve">عدم السماح لأي نظام لخدمة الملاحة الراديوية الساتلية باستعمال كامل نسبة التداخل المسموح بها والمشار إليها في الفقرة </w:t>
      </w:r>
      <w:r w:rsidR="00925CCE" w:rsidRPr="00A67DBA">
        <w:rPr>
          <w:sz w:val="24"/>
          <w:szCs w:val="24"/>
          <w:lang w:bidi="ar-EG"/>
        </w:rPr>
        <w:t>1</w:t>
      </w:r>
      <w:r w:rsidRPr="00A67DBA">
        <w:rPr>
          <w:sz w:val="24"/>
          <w:szCs w:val="24"/>
          <w:rtl/>
          <w:lang w:bidi="ar-EG"/>
        </w:rPr>
        <w:t xml:space="preserve"> من "</w:t>
      </w:r>
      <w:r w:rsidRPr="00A67DBA">
        <w:rPr>
          <w:i/>
          <w:iCs/>
          <w:sz w:val="24"/>
          <w:szCs w:val="24"/>
          <w:rtl/>
          <w:lang w:bidi="ar-EG"/>
        </w:rPr>
        <w:t>يقرر</w:t>
      </w:r>
      <w:r w:rsidRPr="00A67DBA">
        <w:rPr>
          <w:sz w:val="24"/>
          <w:szCs w:val="24"/>
          <w:rtl/>
          <w:lang w:bidi="ar-EG"/>
        </w:rPr>
        <w:t xml:space="preserve">" أعلاه في أي نطاق عرضه </w:t>
      </w:r>
      <w:r w:rsidR="00925CCE" w:rsidRPr="00A67DBA">
        <w:rPr>
          <w:sz w:val="24"/>
          <w:szCs w:val="24"/>
          <w:lang w:bidi="ar-EG"/>
        </w:rPr>
        <w:t>MHz 1</w:t>
      </w:r>
      <w:r w:rsidRPr="00A67DBA">
        <w:rPr>
          <w:sz w:val="24"/>
          <w:szCs w:val="24"/>
          <w:rtl/>
          <w:lang w:bidi="ar-EG"/>
        </w:rPr>
        <w:t xml:space="preserve"> ضمن النطاق</w:t>
      </w:r>
      <w:r w:rsidR="00E62AE0" w:rsidRPr="00A67DBA">
        <w:rPr>
          <w:rFonts w:hint="cs"/>
          <w:sz w:val="24"/>
          <w:szCs w:val="24"/>
          <w:rtl/>
          <w:lang w:bidi="ar-EG"/>
        </w:rPr>
        <w:t> </w:t>
      </w:r>
      <w:r w:rsidR="00925CCE" w:rsidRPr="00A67DBA">
        <w:rPr>
          <w:sz w:val="24"/>
          <w:szCs w:val="24"/>
        </w:rPr>
        <w:t>MHz 1 215-1 164</w:t>
      </w:r>
      <w:r w:rsidRPr="00A67DBA">
        <w:rPr>
          <w:sz w:val="24"/>
          <w:szCs w:val="24"/>
          <w:rtl/>
          <w:lang w:bidi="ar-EG"/>
        </w:rPr>
        <w:t xml:space="preserve"> (انظر التوصية </w:t>
      </w:r>
      <w:r w:rsidR="00925CCE" w:rsidRPr="00A67DBA">
        <w:rPr>
          <w:b/>
          <w:bCs/>
          <w:sz w:val="24"/>
          <w:szCs w:val="24"/>
          <w:lang w:bidi="ar-EG"/>
        </w:rPr>
        <w:t>608 (Rev.WRC-07)</w:t>
      </w:r>
      <w:r w:rsidRPr="00A67DBA">
        <w:rPr>
          <w:sz w:val="24"/>
          <w:szCs w:val="24"/>
          <w:rtl/>
          <w:lang w:bidi="ar-EG"/>
        </w:rPr>
        <w:t>)".</w:t>
      </w:r>
    </w:p>
    <w:p w14:paraId="6ABE2939" w14:textId="6FAB9A5D" w:rsidR="003202B1" w:rsidRPr="00A67DBA" w:rsidRDefault="00FC72FF" w:rsidP="00FC72FF">
      <w:pPr>
        <w:rPr>
          <w:sz w:val="24"/>
          <w:szCs w:val="24"/>
          <w:rtl/>
          <w:lang w:bidi="ar-EG"/>
        </w:rPr>
      </w:pPr>
      <w:r w:rsidRPr="00A67DBA">
        <w:rPr>
          <w:sz w:val="24"/>
          <w:szCs w:val="24"/>
          <w:rtl/>
          <w:lang w:bidi="ar-EG"/>
        </w:rPr>
        <w:t xml:space="preserve">وتوصي التوصية </w:t>
      </w:r>
      <w:r w:rsidR="00925CCE" w:rsidRPr="00A67DBA">
        <w:rPr>
          <w:b/>
          <w:bCs/>
          <w:sz w:val="24"/>
          <w:szCs w:val="24"/>
          <w:lang w:bidi="ar-EG"/>
        </w:rPr>
        <w:t>608 (Rev.WRC-07)</w:t>
      </w:r>
      <w:r w:rsidRPr="00A67DBA">
        <w:rPr>
          <w:sz w:val="24"/>
          <w:szCs w:val="24"/>
          <w:rtl/>
          <w:lang w:bidi="ar-EG"/>
        </w:rPr>
        <w:t xml:space="preserve"> عند تنفيذ الفقرة </w:t>
      </w:r>
      <w:r w:rsidR="00925CCE" w:rsidRPr="00A67DBA">
        <w:rPr>
          <w:sz w:val="24"/>
          <w:szCs w:val="24"/>
          <w:lang w:bidi="ar-EG"/>
        </w:rPr>
        <w:t>5</w:t>
      </w:r>
      <w:r w:rsidRPr="00A67DBA">
        <w:rPr>
          <w:sz w:val="24"/>
          <w:szCs w:val="24"/>
          <w:rtl/>
          <w:lang w:bidi="ar-EG"/>
        </w:rPr>
        <w:t xml:space="preserve"> من </w:t>
      </w:r>
      <w:r w:rsidR="00925CCE" w:rsidRPr="00A67DBA">
        <w:rPr>
          <w:rFonts w:hint="cs"/>
          <w:sz w:val="24"/>
          <w:szCs w:val="24"/>
          <w:rtl/>
        </w:rPr>
        <w:t>"</w:t>
      </w:r>
      <w:r w:rsidRPr="00A67DBA">
        <w:rPr>
          <w:i/>
          <w:iCs/>
          <w:sz w:val="24"/>
          <w:szCs w:val="24"/>
          <w:rtl/>
          <w:lang w:bidi="ar-EG"/>
        </w:rPr>
        <w:t>يقرر</w:t>
      </w:r>
      <w:r w:rsidR="00925CCE" w:rsidRPr="00A67DBA">
        <w:rPr>
          <w:rFonts w:hint="cs"/>
          <w:sz w:val="24"/>
          <w:szCs w:val="24"/>
          <w:rtl/>
          <w:lang w:bidi="ar-EG"/>
        </w:rPr>
        <w:t>"</w:t>
      </w:r>
      <w:r w:rsidRPr="00A67DBA">
        <w:rPr>
          <w:sz w:val="24"/>
          <w:szCs w:val="24"/>
          <w:rtl/>
          <w:lang w:bidi="ar-EG"/>
        </w:rPr>
        <w:t xml:space="preserve"> في القرار </w:t>
      </w:r>
      <w:r w:rsidR="008462B4" w:rsidRPr="00A67DBA">
        <w:rPr>
          <w:b/>
          <w:bCs/>
          <w:sz w:val="24"/>
          <w:szCs w:val="24"/>
          <w:lang w:bidi="ar-EG"/>
        </w:rPr>
        <w:t>609 (Rev.WRC-07)</w:t>
      </w:r>
      <w:r w:rsidRPr="00A67DBA">
        <w:rPr>
          <w:sz w:val="24"/>
          <w:szCs w:val="24"/>
          <w:rtl/>
          <w:lang w:bidi="ar-EG"/>
        </w:rPr>
        <w:t>، في نطاق الترددات</w:t>
      </w:r>
      <w:r w:rsidR="00925CCE" w:rsidRPr="00A67DBA">
        <w:rPr>
          <w:rFonts w:hint="cs"/>
          <w:sz w:val="24"/>
          <w:szCs w:val="24"/>
          <w:rtl/>
          <w:lang w:bidi="ar-EG"/>
        </w:rPr>
        <w:t> </w:t>
      </w:r>
      <w:r w:rsidR="00925CCE" w:rsidRPr="00A67DBA">
        <w:rPr>
          <w:sz w:val="24"/>
          <w:szCs w:val="24"/>
        </w:rPr>
        <w:t>MHz 1 215-1 164</w:t>
      </w:r>
      <w:r w:rsidRPr="00A67DBA">
        <w:rPr>
          <w:sz w:val="24"/>
          <w:szCs w:val="24"/>
          <w:rtl/>
          <w:lang w:bidi="ar-EG"/>
        </w:rPr>
        <w:t xml:space="preserve">، بألا تتجاوز الكثافة القصوى لتدفق القدرة التي تنتجها على سطح الأرض بثوث محطة فضائية تعمل في خدمة الملاحة الراديوية الساتلية في نطاق الترددات </w:t>
      </w:r>
      <w:r w:rsidR="00925CCE" w:rsidRPr="00A67DBA">
        <w:rPr>
          <w:sz w:val="24"/>
          <w:szCs w:val="24"/>
        </w:rPr>
        <w:t>MHz 1 215-1 164</w:t>
      </w:r>
      <w:r w:rsidRPr="00A67DBA">
        <w:rPr>
          <w:sz w:val="24"/>
          <w:szCs w:val="24"/>
          <w:rtl/>
          <w:lang w:bidi="ar-EG"/>
        </w:rPr>
        <w:t xml:space="preserve"> القيمة </w:t>
      </w:r>
      <w:r w:rsidR="00925CCE" w:rsidRPr="00A67DBA">
        <w:rPr>
          <w:sz w:val="24"/>
          <w:szCs w:val="24"/>
        </w:rPr>
        <w:t>dB(W/m</w:t>
      </w:r>
      <w:r w:rsidR="00925CCE" w:rsidRPr="00A67DBA">
        <w:rPr>
          <w:sz w:val="24"/>
          <w:szCs w:val="24"/>
          <w:vertAlign w:val="superscript"/>
        </w:rPr>
        <w:t>2</w:t>
      </w:r>
      <w:r w:rsidR="00925CCE" w:rsidRPr="00A67DBA">
        <w:rPr>
          <w:sz w:val="24"/>
          <w:szCs w:val="24"/>
        </w:rPr>
        <w:t>)</w:t>
      </w:r>
      <w:r w:rsidR="00925CCE" w:rsidRPr="00A67DBA">
        <w:rPr>
          <w:sz w:val="24"/>
          <w:szCs w:val="24"/>
          <w:lang w:bidi="ar-EG"/>
        </w:rPr>
        <w:t> 129–</w:t>
      </w:r>
      <w:r w:rsidRPr="00A67DBA">
        <w:rPr>
          <w:sz w:val="24"/>
          <w:szCs w:val="24"/>
          <w:rtl/>
          <w:lang w:bidi="ar-EG"/>
        </w:rPr>
        <w:t xml:space="preserve"> في أي نطاق يبلغ</w:t>
      </w:r>
      <w:r w:rsidR="00925CCE" w:rsidRPr="00A67DBA">
        <w:rPr>
          <w:rFonts w:hint="cs"/>
          <w:sz w:val="24"/>
          <w:szCs w:val="24"/>
          <w:rtl/>
          <w:lang w:bidi="ar-EG"/>
        </w:rPr>
        <w:t> </w:t>
      </w:r>
      <w:r w:rsidR="00925CCE" w:rsidRPr="00A67DBA">
        <w:rPr>
          <w:sz w:val="24"/>
          <w:szCs w:val="24"/>
          <w:lang w:bidi="ar-EG"/>
        </w:rPr>
        <w:t>MHz 1</w:t>
      </w:r>
      <w:r w:rsidRPr="00A67DBA">
        <w:rPr>
          <w:sz w:val="24"/>
          <w:szCs w:val="24"/>
          <w:rtl/>
          <w:lang w:bidi="ar-EG"/>
        </w:rPr>
        <w:t xml:space="preserve"> في ظروف الانتشار في الفضاء الطلق، بالنسبة إلى جميع زوايا الوصول. ووفقا</w:t>
      </w:r>
      <w:r w:rsidR="00925CCE" w:rsidRPr="00A67DBA">
        <w:rPr>
          <w:rFonts w:hint="cs"/>
          <w:sz w:val="24"/>
          <w:szCs w:val="24"/>
          <w:rtl/>
          <w:lang w:bidi="ar-EG"/>
        </w:rPr>
        <w:t>ً</w:t>
      </w:r>
      <w:r w:rsidRPr="00A67DBA">
        <w:rPr>
          <w:sz w:val="24"/>
          <w:szCs w:val="24"/>
          <w:rtl/>
          <w:lang w:bidi="ar-EG"/>
        </w:rPr>
        <w:t xml:space="preserve"> للفقرة </w:t>
      </w:r>
      <w:r w:rsidR="00925CCE" w:rsidRPr="00A67DBA">
        <w:rPr>
          <w:sz w:val="24"/>
          <w:szCs w:val="24"/>
          <w:lang w:bidi="ar-EG"/>
        </w:rPr>
        <w:t>2</w:t>
      </w:r>
      <w:r w:rsidRPr="00A67DBA">
        <w:rPr>
          <w:sz w:val="24"/>
          <w:szCs w:val="24"/>
          <w:rtl/>
          <w:lang w:bidi="ar-EG"/>
        </w:rPr>
        <w:t xml:space="preserve"> من </w:t>
      </w:r>
      <w:r w:rsidR="00925CCE" w:rsidRPr="00A67DBA">
        <w:rPr>
          <w:rFonts w:hint="cs"/>
          <w:sz w:val="24"/>
          <w:szCs w:val="24"/>
          <w:rtl/>
          <w:lang w:bidi="ar-EG"/>
        </w:rPr>
        <w:t>"</w:t>
      </w:r>
      <w:r w:rsidRPr="00A67DBA">
        <w:rPr>
          <w:i/>
          <w:iCs/>
          <w:sz w:val="24"/>
          <w:szCs w:val="24"/>
          <w:rtl/>
          <w:lang w:bidi="ar-EG"/>
        </w:rPr>
        <w:t>يكلف مكتب الاتصالات الراديوية</w:t>
      </w:r>
      <w:r w:rsidR="00925CCE" w:rsidRPr="00A67DBA">
        <w:rPr>
          <w:rFonts w:hint="cs"/>
          <w:sz w:val="24"/>
          <w:szCs w:val="24"/>
          <w:rtl/>
        </w:rPr>
        <w:t>"</w:t>
      </w:r>
      <w:r w:rsidRPr="00A67DBA">
        <w:rPr>
          <w:sz w:val="24"/>
          <w:szCs w:val="24"/>
          <w:rtl/>
          <w:lang w:bidi="ar-EG"/>
        </w:rPr>
        <w:t xml:space="preserve"> في القرار </w:t>
      </w:r>
      <w:r w:rsidR="008462B4" w:rsidRPr="00A67DBA">
        <w:rPr>
          <w:b/>
          <w:bCs/>
          <w:sz w:val="24"/>
          <w:szCs w:val="24"/>
          <w:lang w:bidi="ar-EG"/>
        </w:rPr>
        <w:t>609 (Rev.WRC-07)</w:t>
      </w:r>
      <w:r w:rsidRPr="00A67DBA">
        <w:rPr>
          <w:sz w:val="24"/>
          <w:szCs w:val="24"/>
          <w:rtl/>
          <w:lang w:bidi="ar-EG"/>
        </w:rPr>
        <w:t>، يبت المكتب فيما إذا كانت تخصيصات المحطات الفضائية لخدمة الملاحة الراديوية الساتلية الخاضعة لهذا القرار قد تجاوزت حد كثافة تدفق القدرة هذا وينشر النتائج وفقا</w:t>
      </w:r>
      <w:r w:rsidR="00DF3C7C" w:rsidRPr="00A67DBA">
        <w:rPr>
          <w:rFonts w:hint="cs"/>
          <w:sz w:val="24"/>
          <w:szCs w:val="24"/>
          <w:rtl/>
          <w:lang w:bidi="ar-EG"/>
        </w:rPr>
        <w:t>ً</w:t>
      </w:r>
      <w:r w:rsidRPr="00A67DBA">
        <w:rPr>
          <w:sz w:val="24"/>
          <w:szCs w:val="24"/>
          <w:rtl/>
          <w:lang w:bidi="ar-EG"/>
        </w:rPr>
        <w:t xml:space="preserve"> للفقرة </w:t>
      </w:r>
      <w:r w:rsidR="00925CCE" w:rsidRPr="00A67DBA">
        <w:rPr>
          <w:sz w:val="24"/>
          <w:szCs w:val="24"/>
          <w:lang w:bidi="ar-EG"/>
        </w:rPr>
        <w:t>3</w:t>
      </w:r>
      <w:r w:rsidRPr="00A67DBA">
        <w:rPr>
          <w:sz w:val="24"/>
          <w:szCs w:val="24"/>
          <w:rtl/>
          <w:lang w:bidi="ar-EG"/>
        </w:rPr>
        <w:t xml:space="preserve"> من </w:t>
      </w:r>
      <w:r w:rsidR="00925CCE" w:rsidRPr="00A67DBA">
        <w:rPr>
          <w:rFonts w:hint="cs"/>
          <w:sz w:val="24"/>
          <w:szCs w:val="24"/>
          <w:rtl/>
        </w:rPr>
        <w:t>"</w:t>
      </w:r>
      <w:r w:rsidRPr="00A67DBA">
        <w:rPr>
          <w:i/>
          <w:iCs/>
          <w:sz w:val="24"/>
          <w:szCs w:val="24"/>
          <w:rtl/>
          <w:lang w:bidi="ar-EG"/>
        </w:rPr>
        <w:t>يكلف مكتب الاتصالات الراديوية</w:t>
      </w:r>
      <w:r w:rsidR="007258A6" w:rsidRPr="00A67DBA">
        <w:rPr>
          <w:rFonts w:hint="cs"/>
          <w:sz w:val="24"/>
          <w:szCs w:val="24"/>
          <w:rtl/>
          <w:lang w:bidi="ar-EG"/>
        </w:rPr>
        <w:t>"</w:t>
      </w:r>
      <w:r w:rsidRPr="00A67DBA">
        <w:rPr>
          <w:sz w:val="24"/>
          <w:szCs w:val="24"/>
          <w:rtl/>
          <w:lang w:bidi="ar-EG"/>
        </w:rPr>
        <w:t xml:space="preserve"> في هذا القرار.</w:t>
      </w:r>
    </w:p>
    <w:p w14:paraId="02A9312D" w14:textId="766013AC" w:rsidR="00FC72FF" w:rsidRPr="00A67DBA" w:rsidRDefault="00FC72FF" w:rsidP="00FC72FF">
      <w:pPr>
        <w:rPr>
          <w:sz w:val="24"/>
          <w:szCs w:val="24"/>
          <w:rtl/>
          <w:lang w:bidi="ar-EG"/>
        </w:rPr>
      </w:pPr>
      <w:r w:rsidRPr="00A67DBA">
        <w:rPr>
          <w:sz w:val="24"/>
          <w:szCs w:val="24"/>
          <w:rtl/>
          <w:lang w:bidi="ar-EG"/>
        </w:rPr>
        <w:t>وعلاوة</w:t>
      </w:r>
      <w:r w:rsidR="007258A6" w:rsidRPr="00A67DBA">
        <w:rPr>
          <w:rFonts w:hint="cs"/>
          <w:sz w:val="24"/>
          <w:szCs w:val="24"/>
          <w:rtl/>
          <w:lang w:bidi="ar-EG"/>
        </w:rPr>
        <w:t>ً</w:t>
      </w:r>
      <w:r w:rsidRPr="00A67DBA">
        <w:rPr>
          <w:sz w:val="24"/>
          <w:szCs w:val="24"/>
          <w:rtl/>
          <w:lang w:bidi="ar-EG"/>
        </w:rPr>
        <w:t xml:space="preserve"> على ذلك، يود المكتب أن يذكِّر الإدارات بأن المؤتمر العالمي للاتصالات الراديوية عام </w:t>
      </w:r>
      <w:r w:rsidRPr="00A67DBA">
        <w:rPr>
          <w:sz w:val="24"/>
          <w:szCs w:val="24"/>
          <w:lang w:bidi="ar-EG"/>
        </w:rPr>
        <w:t>2003</w:t>
      </w:r>
      <w:r w:rsidRPr="00A67DBA">
        <w:rPr>
          <w:sz w:val="24"/>
          <w:szCs w:val="24"/>
          <w:rtl/>
          <w:lang w:bidi="ar-EG"/>
        </w:rPr>
        <w:t xml:space="preserve"> اعتمد أيضا</w:t>
      </w:r>
      <w:r w:rsidR="00DF3C7C" w:rsidRPr="00A67DBA">
        <w:rPr>
          <w:rFonts w:hint="cs"/>
          <w:sz w:val="24"/>
          <w:szCs w:val="24"/>
          <w:rtl/>
          <w:lang w:bidi="ar-EG"/>
        </w:rPr>
        <w:t>ً</w:t>
      </w:r>
      <w:r w:rsidRPr="00A67DBA">
        <w:rPr>
          <w:sz w:val="24"/>
          <w:szCs w:val="24"/>
          <w:rtl/>
          <w:lang w:bidi="ar-EG"/>
        </w:rPr>
        <w:t xml:space="preserve"> بند بيانات جديد في الملحق </w:t>
      </w:r>
      <w:r w:rsidR="007258A6" w:rsidRPr="00A67DBA">
        <w:rPr>
          <w:sz w:val="24"/>
          <w:szCs w:val="24"/>
          <w:lang w:bidi="ar-EG"/>
        </w:rPr>
        <w:t>2</w:t>
      </w:r>
      <w:r w:rsidRPr="00A67DBA">
        <w:rPr>
          <w:sz w:val="24"/>
          <w:szCs w:val="24"/>
          <w:rtl/>
          <w:lang w:bidi="ar-EG"/>
        </w:rPr>
        <w:t xml:space="preserve"> بالتذييل </w:t>
      </w:r>
      <w:r w:rsidR="007258A6" w:rsidRPr="00A67DBA">
        <w:rPr>
          <w:b/>
          <w:bCs/>
          <w:sz w:val="24"/>
          <w:szCs w:val="24"/>
          <w:lang w:bidi="ar-EG"/>
        </w:rPr>
        <w:t>4</w:t>
      </w:r>
      <w:r w:rsidRPr="00A67DBA">
        <w:rPr>
          <w:sz w:val="24"/>
          <w:szCs w:val="24"/>
          <w:rtl/>
          <w:lang w:bidi="ar-EG"/>
        </w:rPr>
        <w:t xml:space="preserve">، يقابل بند البيانات الحالي </w:t>
      </w:r>
      <w:r w:rsidR="007258A6" w:rsidRPr="00A67DBA">
        <w:rPr>
          <w:b/>
          <w:bCs/>
          <w:sz w:val="24"/>
          <w:szCs w:val="24"/>
          <w:lang w:bidi="ar-EG"/>
        </w:rPr>
        <w:t>17.A</w:t>
      </w:r>
      <w:r w:rsidR="007258A6" w:rsidRPr="00A67DBA">
        <w:rPr>
          <w:rFonts w:hint="cs"/>
          <w:b/>
          <w:bCs/>
          <w:sz w:val="24"/>
          <w:szCs w:val="24"/>
          <w:rtl/>
          <w:lang w:bidi="ar-EG"/>
        </w:rPr>
        <w:t>.أ</w:t>
      </w:r>
      <w:r w:rsidRPr="00A67DBA">
        <w:rPr>
          <w:sz w:val="24"/>
          <w:szCs w:val="24"/>
          <w:rtl/>
          <w:lang w:bidi="ar-EG"/>
        </w:rPr>
        <w:t xml:space="preserve">، في نفس الوقت الذي اعتمد فيه هذا المؤتمر القرار </w:t>
      </w:r>
      <w:r w:rsidRPr="00A67DBA">
        <w:rPr>
          <w:b/>
          <w:bCs/>
          <w:sz w:val="24"/>
          <w:szCs w:val="24"/>
          <w:lang w:bidi="ar-EG"/>
        </w:rPr>
        <w:t>609</w:t>
      </w:r>
      <w:r w:rsidRPr="00A67DBA">
        <w:rPr>
          <w:sz w:val="24"/>
          <w:szCs w:val="24"/>
          <w:rtl/>
          <w:lang w:bidi="ar-EG"/>
        </w:rPr>
        <w:t xml:space="preserve"> والتوصية</w:t>
      </w:r>
      <w:r w:rsidR="007258A6" w:rsidRPr="00A67DBA">
        <w:rPr>
          <w:rFonts w:hint="cs"/>
          <w:sz w:val="24"/>
          <w:szCs w:val="24"/>
          <w:rtl/>
          <w:lang w:bidi="ar-EG"/>
        </w:rPr>
        <w:t> </w:t>
      </w:r>
      <w:r w:rsidRPr="00A67DBA">
        <w:rPr>
          <w:b/>
          <w:bCs/>
          <w:sz w:val="24"/>
          <w:szCs w:val="24"/>
          <w:lang w:bidi="ar-EG"/>
        </w:rPr>
        <w:t>608</w:t>
      </w:r>
      <w:r w:rsidRPr="00A67DBA">
        <w:rPr>
          <w:sz w:val="24"/>
          <w:szCs w:val="24"/>
          <w:rtl/>
          <w:lang w:bidi="ar-EG"/>
        </w:rPr>
        <w:t>. ووفقا</w:t>
      </w:r>
      <w:r w:rsidR="00DF3C7C" w:rsidRPr="00A67DBA">
        <w:rPr>
          <w:rFonts w:hint="cs"/>
          <w:sz w:val="24"/>
          <w:szCs w:val="24"/>
          <w:rtl/>
          <w:lang w:bidi="ar-EG"/>
        </w:rPr>
        <w:t>ً</w:t>
      </w:r>
      <w:r w:rsidRPr="00A67DBA">
        <w:rPr>
          <w:sz w:val="24"/>
          <w:szCs w:val="24"/>
          <w:rtl/>
          <w:lang w:bidi="ar-EG"/>
        </w:rPr>
        <w:t xml:space="preserve"> لبند البيانات هذا، بالنسبة للأنظمة الساتلية في خدمة الملاحة الراديوية الساتلية </w:t>
      </w:r>
      <w:r w:rsidRPr="00A67DBA">
        <w:rPr>
          <w:sz w:val="24"/>
          <w:szCs w:val="24"/>
          <w:lang w:bidi="ar-EG"/>
        </w:rPr>
        <w:t>(RNSS)</w:t>
      </w:r>
      <w:r w:rsidRPr="00A67DBA">
        <w:rPr>
          <w:sz w:val="24"/>
          <w:szCs w:val="24"/>
          <w:rtl/>
          <w:lang w:bidi="ar-EG"/>
        </w:rPr>
        <w:t xml:space="preserve"> العاملة في نطاق الترددات </w:t>
      </w:r>
      <w:r w:rsidR="007258A6" w:rsidRPr="00A67DBA">
        <w:rPr>
          <w:sz w:val="24"/>
          <w:szCs w:val="24"/>
        </w:rPr>
        <w:t>MHz 1 215-1 164</w:t>
      </w:r>
      <w:r w:rsidRPr="00A67DBA">
        <w:rPr>
          <w:sz w:val="24"/>
          <w:szCs w:val="24"/>
          <w:rtl/>
          <w:lang w:bidi="ar-EG"/>
        </w:rPr>
        <w:t>، يجب أن تقدم الإدارات تعهدا</w:t>
      </w:r>
      <w:r w:rsidR="00CC7C05" w:rsidRPr="00A67DBA">
        <w:rPr>
          <w:rFonts w:hint="cs"/>
          <w:sz w:val="24"/>
          <w:szCs w:val="24"/>
          <w:rtl/>
          <w:lang w:bidi="ar-EG"/>
        </w:rPr>
        <w:t>ً</w:t>
      </w:r>
      <w:r w:rsidRPr="00A67DBA">
        <w:rPr>
          <w:sz w:val="24"/>
          <w:szCs w:val="24"/>
          <w:rtl/>
          <w:lang w:bidi="ar-EG"/>
        </w:rPr>
        <w:t xml:space="preserve"> بالالتزام بمستوى كثافة تدفق القدرة لكل ساتل على سطح الأرض البالغ </w:t>
      </w:r>
      <w:r w:rsidR="007258A6" w:rsidRPr="00A67DBA">
        <w:rPr>
          <w:sz w:val="24"/>
          <w:szCs w:val="24"/>
        </w:rPr>
        <w:t>dB(W/m</w:t>
      </w:r>
      <w:proofErr w:type="gramStart"/>
      <w:r w:rsidR="007258A6" w:rsidRPr="00A67DBA">
        <w:rPr>
          <w:sz w:val="24"/>
          <w:szCs w:val="24"/>
          <w:vertAlign w:val="superscript"/>
        </w:rPr>
        <w:t>2</w:t>
      </w:r>
      <w:r w:rsidR="006C0953" w:rsidRPr="00A67DBA">
        <w:rPr>
          <w:sz w:val="24"/>
          <w:szCs w:val="24"/>
        </w:rPr>
        <w:t>.MHz</w:t>
      </w:r>
      <w:proofErr w:type="gramEnd"/>
      <w:r w:rsidR="007258A6" w:rsidRPr="00A67DBA">
        <w:rPr>
          <w:sz w:val="24"/>
          <w:szCs w:val="24"/>
        </w:rPr>
        <w:t>)</w:t>
      </w:r>
      <w:r w:rsidR="007258A6" w:rsidRPr="00A67DBA">
        <w:rPr>
          <w:sz w:val="24"/>
          <w:szCs w:val="24"/>
          <w:lang w:bidi="ar-EG"/>
        </w:rPr>
        <w:t> 129–</w:t>
      </w:r>
      <w:r w:rsidRPr="00A67DBA">
        <w:rPr>
          <w:sz w:val="24"/>
          <w:szCs w:val="24"/>
          <w:rtl/>
          <w:lang w:bidi="ar-EG"/>
        </w:rPr>
        <w:t xml:space="preserve"> في أي نطاق يبلغ </w:t>
      </w:r>
      <w:r w:rsidR="00D1667E" w:rsidRPr="00A67DBA">
        <w:rPr>
          <w:sz w:val="24"/>
          <w:szCs w:val="24"/>
          <w:lang w:bidi="ar-EG"/>
        </w:rPr>
        <w:t>MHz 1</w:t>
      </w:r>
      <w:r w:rsidRPr="00A67DBA">
        <w:rPr>
          <w:sz w:val="24"/>
          <w:szCs w:val="24"/>
          <w:rtl/>
          <w:lang w:bidi="ar-EG"/>
        </w:rPr>
        <w:t xml:space="preserve"> في شروط الانتشار في الفضاء الطلق.</w:t>
      </w:r>
    </w:p>
    <w:p w14:paraId="2FD04C03" w14:textId="0F288F3A" w:rsidR="00FC72FF" w:rsidRPr="00A67DBA" w:rsidRDefault="00FC72FF" w:rsidP="00FC72FF">
      <w:pPr>
        <w:rPr>
          <w:sz w:val="24"/>
          <w:szCs w:val="24"/>
          <w:rtl/>
          <w:lang w:bidi="ar-EG"/>
        </w:rPr>
      </w:pPr>
      <w:r w:rsidRPr="00A67DBA">
        <w:rPr>
          <w:sz w:val="24"/>
          <w:szCs w:val="24"/>
          <w:rtl/>
          <w:lang w:bidi="ar-EG"/>
        </w:rPr>
        <w:t>وبالتالي، في حين أن أي تجاوز لمستوى كثافة تدفق القدرة المحسوب من الخصائص التقنية المقدمة في بطاقة التبليغ قد لا</w:t>
      </w:r>
      <w:r w:rsidR="006C0953" w:rsidRPr="00A67DBA">
        <w:rPr>
          <w:rFonts w:hint="eastAsia"/>
          <w:sz w:val="24"/>
          <w:szCs w:val="24"/>
          <w:rtl/>
        </w:rPr>
        <w:t> </w:t>
      </w:r>
      <w:r w:rsidRPr="00A67DBA">
        <w:rPr>
          <w:sz w:val="24"/>
          <w:szCs w:val="24"/>
          <w:rtl/>
          <w:lang w:bidi="ar-EG"/>
        </w:rPr>
        <w:t xml:space="preserve">يؤدي إلى نتائج غير مؤاتية بموجب الرقمين </w:t>
      </w:r>
      <w:r w:rsidR="00C20D12" w:rsidRPr="00A67DBA">
        <w:rPr>
          <w:b/>
          <w:bCs/>
          <w:sz w:val="24"/>
          <w:szCs w:val="24"/>
          <w:lang w:bidi="ar-EG"/>
        </w:rPr>
        <w:t>31.11/35.9</w:t>
      </w:r>
      <w:r w:rsidRPr="00A67DBA">
        <w:rPr>
          <w:sz w:val="24"/>
          <w:szCs w:val="24"/>
          <w:rtl/>
          <w:lang w:bidi="ar-EG"/>
        </w:rPr>
        <w:t xml:space="preserve">، فإن تقديم التزام بالتقيد بالقيمة المبينة في البند </w:t>
      </w:r>
      <w:r w:rsidR="0006275D" w:rsidRPr="00A67DBA">
        <w:rPr>
          <w:b/>
          <w:bCs/>
          <w:sz w:val="24"/>
          <w:szCs w:val="24"/>
          <w:lang w:bidi="ar-EG"/>
        </w:rPr>
        <w:t>17.A</w:t>
      </w:r>
      <w:r w:rsidR="0006275D" w:rsidRPr="00A67DBA">
        <w:rPr>
          <w:rFonts w:hint="cs"/>
          <w:b/>
          <w:bCs/>
          <w:sz w:val="24"/>
          <w:szCs w:val="24"/>
          <w:rtl/>
        </w:rPr>
        <w:t>.أ</w:t>
      </w:r>
      <w:r w:rsidRPr="00A67DBA">
        <w:rPr>
          <w:sz w:val="24"/>
          <w:szCs w:val="24"/>
          <w:rtl/>
          <w:lang w:bidi="ar-EG"/>
        </w:rPr>
        <w:t xml:space="preserve"> من الملحق </w:t>
      </w:r>
      <w:r w:rsidR="0006275D" w:rsidRPr="00A67DBA">
        <w:rPr>
          <w:sz w:val="24"/>
          <w:szCs w:val="24"/>
          <w:lang w:bidi="ar-EG"/>
        </w:rPr>
        <w:t>2</w:t>
      </w:r>
      <w:r w:rsidRPr="00A67DBA">
        <w:rPr>
          <w:sz w:val="24"/>
          <w:szCs w:val="24"/>
          <w:rtl/>
          <w:lang w:bidi="ar-EG"/>
        </w:rPr>
        <w:t xml:space="preserve"> بالتذييل </w:t>
      </w:r>
      <w:r w:rsidR="0006275D" w:rsidRPr="00A67DBA">
        <w:rPr>
          <w:b/>
          <w:bCs/>
          <w:sz w:val="24"/>
          <w:szCs w:val="24"/>
          <w:lang w:bidi="ar-EG"/>
        </w:rPr>
        <w:t>4</w:t>
      </w:r>
      <w:r w:rsidRPr="00A67DBA">
        <w:rPr>
          <w:sz w:val="24"/>
          <w:szCs w:val="24"/>
          <w:rtl/>
          <w:lang w:bidi="ar-EG"/>
        </w:rPr>
        <w:t xml:space="preserve"> إلزامي. وأي بيان يقدَّم مع بطاقة التبليغ بعدم إيفاء النظام الساتلي/الشبكة الساتلية بمستوى كثافة تدفق القدرة هذا سيخل بالالتزام المطلوب. وفي هذه الحالة، أو بغياب هذا الالتزام الإلزامي في بطاقة تبليغ ذات صلة، سيُعتبر التبليغ عن النظام الساتلي أو الشبكة الساتلية عندئذ غير مكتمل بموجب الرقم </w:t>
      </w:r>
      <w:r w:rsidRPr="00A67DBA">
        <w:rPr>
          <w:b/>
          <w:bCs/>
          <w:sz w:val="24"/>
          <w:szCs w:val="24"/>
          <w:lang w:bidi="ar-EG"/>
        </w:rPr>
        <w:t>40A.9</w:t>
      </w:r>
      <w:r w:rsidRPr="00A67DBA">
        <w:rPr>
          <w:sz w:val="24"/>
          <w:szCs w:val="24"/>
          <w:rtl/>
          <w:lang w:bidi="ar-EG"/>
        </w:rPr>
        <w:t xml:space="preserve"> أو الرقم </w:t>
      </w:r>
      <w:r w:rsidR="003202B1" w:rsidRPr="00A67DBA">
        <w:rPr>
          <w:b/>
          <w:bCs/>
          <w:sz w:val="24"/>
          <w:szCs w:val="24"/>
          <w:lang w:bidi="ar-EG"/>
        </w:rPr>
        <w:t>27.11</w:t>
      </w:r>
      <w:r w:rsidRPr="00A67DBA">
        <w:rPr>
          <w:sz w:val="24"/>
          <w:szCs w:val="24"/>
          <w:rtl/>
          <w:lang w:bidi="ar-EG"/>
        </w:rPr>
        <w:t>.</w:t>
      </w:r>
    </w:p>
    <w:p w14:paraId="7B1D2739" w14:textId="0BEAA6E4" w:rsidR="00F16820" w:rsidRPr="00A67DBA" w:rsidRDefault="00FC72FF" w:rsidP="00FC72FF">
      <w:pPr>
        <w:rPr>
          <w:sz w:val="24"/>
          <w:szCs w:val="24"/>
          <w:rtl/>
          <w:lang w:bidi="ar-EG"/>
        </w:rPr>
      </w:pPr>
      <w:r w:rsidRPr="00A67DBA">
        <w:rPr>
          <w:sz w:val="24"/>
          <w:szCs w:val="24"/>
          <w:rtl/>
          <w:lang w:bidi="ar-EG"/>
        </w:rPr>
        <w:t>ويبقى المكتب على استعداد لتزويد إدارتكم بأي توضيح قد تطلبونه فيما يتعلق بالموضوعات التي تتناولها هذه الرسالة المعممة. وللحصول على أي مساعدة، ي</w:t>
      </w:r>
      <w:r w:rsidR="00BA0FE2" w:rsidRPr="00A67DBA">
        <w:rPr>
          <w:rFonts w:hint="cs"/>
          <w:sz w:val="24"/>
          <w:szCs w:val="24"/>
          <w:rtl/>
          <w:lang w:bidi="ar-EG"/>
        </w:rPr>
        <w:t>ُ</w:t>
      </w:r>
      <w:r w:rsidRPr="00A67DBA">
        <w:rPr>
          <w:sz w:val="24"/>
          <w:szCs w:val="24"/>
          <w:rtl/>
          <w:lang w:bidi="ar-EG"/>
        </w:rPr>
        <w:t xml:space="preserve">رجى الاتصال عبر البريد الإلكتروني </w:t>
      </w:r>
      <w:hyperlink r:id="rId10" w:history="1">
        <w:r w:rsidRPr="00A67DBA">
          <w:rPr>
            <w:rStyle w:val="Hyperlink"/>
            <w:sz w:val="24"/>
            <w:szCs w:val="24"/>
            <w:lang w:bidi="ar-EG"/>
          </w:rPr>
          <w:t>BRMAIL@itu.int</w:t>
        </w:r>
      </w:hyperlink>
      <w:r w:rsidRPr="00A67DBA">
        <w:rPr>
          <w:sz w:val="24"/>
          <w:szCs w:val="24"/>
          <w:rtl/>
          <w:lang w:bidi="ar-EG"/>
        </w:rPr>
        <w:t>.</w:t>
      </w:r>
    </w:p>
    <w:p w14:paraId="2876BE14" w14:textId="77777777" w:rsidR="00F16820" w:rsidRPr="00A67DBA" w:rsidRDefault="00F16820" w:rsidP="00F16820">
      <w:pPr>
        <w:spacing w:before="240"/>
        <w:rPr>
          <w:sz w:val="24"/>
          <w:szCs w:val="24"/>
          <w:rtl/>
          <w:lang w:bidi="ar-EG"/>
        </w:rPr>
      </w:pPr>
      <w:r w:rsidRPr="00A67DBA">
        <w:rPr>
          <w:rFonts w:hint="cs"/>
          <w:sz w:val="24"/>
          <w:szCs w:val="24"/>
          <w:rtl/>
          <w:lang w:bidi="ar-EG"/>
        </w:rPr>
        <w:t>وتفضلوا بقبول فائق التقدير والاحترام.</w:t>
      </w:r>
    </w:p>
    <w:p w14:paraId="6E66CF38" w14:textId="77777777" w:rsidR="00F16820" w:rsidRPr="00A67DBA" w:rsidRDefault="00F16820" w:rsidP="00F16820">
      <w:pPr>
        <w:spacing w:before="1440"/>
        <w:jc w:val="left"/>
        <w:rPr>
          <w:sz w:val="24"/>
          <w:szCs w:val="24"/>
          <w:rtl/>
        </w:rPr>
      </w:pPr>
      <w:r w:rsidRPr="00A67DBA">
        <w:rPr>
          <w:sz w:val="24"/>
          <w:szCs w:val="24"/>
          <w:rtl/>
        </w:rPr>
        <w:t>ماريو مانيفيتش</w:t>
      </w:r>
      <w:r w:rsidRPr="00A67DBA">
        <w:rPr>
          <w:sz w:val="24"/>
          <w:szCs w:val="24"/>
          <w:rtl/>
        </w:rPr>
        <w:br/>
      </w:r>
      <w:r w:rsidRPr="00A67DBA">
        <w:rPr>
          <w:rFonts w:hint="cs"/>
          <w:sz w:val="24"/>
          <w:szCs w:val="24"/>
          <w:rtl/>
        </w:rPr>
        <w:t>المدير</w:t>
      </w:r>
    </w:p>
    <w:p w14:paraId="69A956DD" w14:textId="77777777" w:rsidR="00FC72FF" w:rsidRPr="00FC72FF" w:rsidRDefault="00FC72FF" w:rsidP="00FC72FF">
      <w:pPr>
        <w:spacing w:before="1440"/>
        <w:rPr>
          <w:b/>
          <w:bCs/>
          <w:sz w:val="18"/>
          <w:szCs w:val="18"/>
          <w:u w:val="single"/>
          <w:rtl/>
        </w:rPr>
      </w:pPr>
      <w:r w:rsidRPr="00FC72FF">
        <w:rPr>
          <w:b/>
          <w:bCs/>
          <w:sz w:val="18"/>
          <w:szCs w:val="18"/>
          <w:u w:val="single"/>
          <w:rtl/>
        </w:rPr>
        <w:t>توزيع إلى</w:t>
      </w:r>
      <w:r w:rsidRPr="00FC72FF">
        <w:rPr>
          <w:b/>
          <w:bCs/>
          <w:sz w:val="18"/>
          <w:szCs w:val="18"/>
          <w:rtl/>
        </w:rPr>
        <w:t>:</w:t>
      </w:r>
    </w:p>
    <w:p w14:paraId="20763C45" w14:textId="77777777" w:rsidR="00FC72FF" w:rsidRPr="00FC72FF" w:rsidRDefault="00FC72FF" w:rsidP="00FC72FF">
      <w:pPr>
        <w:pStyle w:val="enumlev1"/>
        <w:rPr>
          <w:sz w:val="18"/>
          <w:szCs w:val="18"/>
          <w:rtl/>
        </w:rPr>
      </w:pPr>
      <w:r w:rsidRPr="00FC72FF">
        <w:rPr>
          <w:sz w:val="18"/>
          <w:szCs w:val="18"/>
          <w:rtl/>
        </w:rPr>
        <w:t>-</w:t>
      </w:r>
      <w:r w:rsidRPr="00FC72FF">
        <w:rPr>
          <w:sz w:val="18"/>
          <w:szCs w:val="18"/>
          <w:rtl/>
        </w:rPr>
        <w:tab/>
        <w:t>إدارات الدول الأعضاء في الاتحاد</w:t>
      </w:r>
    </w:p>
    <w:p w14:paraId="489103F5" w14:textId="34A46A73" w:rsidR="00BA4006" w:rsidRPr="005432BA" w:rsidRDefault="00FC72FF" w:rsidP="005432BA">
      <w:pPr>
        <w:pStyle w:val="enumlev1"/>
        <w:rPr>
          <w:sz w:val="18"/>
          <w:szCs w:val="18"/>
        </w:rPr>
      </w:pPr>
      <w:r w:rsidRPr="00FC72FF">
        <w:rPr>
          <w:sz w:val="18"/>
          <w:szCs w:val="18"/>
          <w:rtl/>
        </w:rPr>
        <w:t>-</w:t>
      </w:r>
      <w:r w:rsidRPr="00FC72FF">
        <w:rPr>
          <w:sz w:val="18"/>
          <w:szCs w:val="18"/>
          <w:rtl/>
        </w:rPr>
        <w:tab/>
        <w:t>أعضاء لجنة لوائح الراديو</w:t>
      </w:r>
    </w:p>
    <w:sectPr w:rsidR="00BA4006" w:rsidRPr="005432BA" w:rsidSect="006C3242">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8493" w14:textId="77777777" w:rsidR="00E36544" w:rsidRDefault="00E36544" w:rsidP="006C3242">
      <w:pPr>
        <w:spacing w:before="0" w:line="240" w:lineRule="auto"/>
      </w:pPr>
      <w:r>
        <w:separator/>
      </w:r>
    </w:p>
  </w:endnote>
  <w:endnote w:type="continuationSeparator" w:id="0">
    <w:p w14:paraId="755D1487" w14:textId="77777777" w:rsidR="00E36544" w:rsidRDefault="00E3654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A88F" w14:textId="77777777" w:rsidR="00A67DBA" w:rsidRDefault="00A6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4661" w14:textId="77777777" w:rsidR="00A67DBA" w:rsidRDefault="00A67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FC1C" w14:textId="1426BB60" w:rsidR="00FC09E8" w:rsidRPr="00D42E05" w:rsidRDefault="00FC09E8" w:rsidP="00D42E05">
    <w:pPr>
      <w:tabs>
        <w:tab w:val="clear" w:pos="794"/>
      </w:tabs>
      <w:bidi w:val="0"/>
      <w:spacing w:before="40" w:line="240" w:lineRule="auto"/>
      <w:ind w:left="-397" w:right="-397"/>
      <w:jc w:val="center"/>
      <w:rPr>
        <w:rFonts w:ascii="Calibri" w:eastAsia="Times New Roman" w:hAnsi="Calibri" w:cs="Calibri"/>
        <w:color w:val="4F81BD"/>
        <w:sz w:val="18"/>
        <w:szCs w:val="18"/>
        <w:lang w:val="fr-CH" w:eastAsia="en-US"/>
      </w:rPr>
    </w:pPr>
    <w:r w:rsidRPr="00D42E05">
      <w:rPr>
        <w:rFonts w:ascii="Calibri" w:eastAsia="Times New Roman" w:hAnsi="Calibri" w:cs="Calibri"/>
        <w:color w:val="4F81BD"/>
        <w:sz w:val="18"/>
        <w:szCs w:val="18"/>
        <w:lang w:val="fr-CH" w:eastAsia="en-US"/>
      </w:rPr>
      <w:t xml:space="preserve">International </w:t>
    </w:r>
    <w:proofErr w:type="spellStart"/>
    <w:r w:rsidRPr="00D42E05">
      <w:rPr>
        <w:rFonts w:ascii="Calibri" w:eastAsia="Times New Roman" w:hAnsi="Calibri" w:cs="Calibri"/>
        <w:color w:val="4F81BD"/>
        <w:sz w:val="18"/>
        <w:szCs w:val="18"/>
        <w:lang w:val="fr-CH" w:eastAsia="en-US"/>
      </w:rPr>
      <w:t>Telecommunication</w:t>
    </w:r>
    <w:proofErr w:type="spellEnd"/>
    <w:r w:rsidRPr="00D42E05">
      <w:rPr>
        <w:rFonts w:ascii="Calibri" w:eastAsia="Times New Roman" w:hAnsi="Calibri" w:cs="Calibri"/>
        <w:color w:val="4F81BD"/>
        <w:sz w:val="18"/>
        <w:szCs w:val="18"/>
        <w:lang w:val="fr-CH" w:eastAsia="en-US"/>
      </w:rPr>
      <w:t xml:space="preserve"> Union • Place des Nations, CH</w:t>
    </w:r>
    <w:r w:rsidRPr="00D42E05">
      <w:rPr>
        <w:rFonts w:ascii="Calibri" w:eastAsia="Times New Roman" w:hAnsi="Calibri" w:cs="Calibri"/>
        <w:color w:val="4F81BD"/>
        <w:sz w:val="18"/>
        <w:szCs w:val="18"/>
        <w:lang w:val="fr-CH" w:eastAsia="en-US"/>
      </w:rPr>
      <w:noBreakHyphen/>
      <w:t xml:space="preserve">1211 Geneva 20, </w:t>
    </w:r>
    <w:proofErr w:type="spellStart"/>
    <w:r w:rsidRPr="00D42E05">
      <w:rPr>
        <w:rFonts w:ascii="Calibri" w:eastAsia="Times New Roman" w:hAnsi="Calibri" w:cs="Calibri"/>
        <w:color w:val="4F81BD"/>
        <w:sz w:val="18"/>
        <w:szCs w:val="18"/>
        <w:lang w:val="fr-CH" w:eastAsia="en-US"/>
      </w:rPr>
      <w:t>Switzerland</w:t>
    </w:r>
    <w:proofErr w:type="spellEnd"/>
    <w:r w:rsidRPr="00D42E05">
      <w:rPr>
        <w:rFonts w:ascii="Calibri" w:eastAsia="Times New Roman" w:hAnsi="Calibri" w:cs="Calibri"/>
        <w:color w:val="4F81BD"/>
        <w:sz w:val="18"/>
        <w:szCs w:val="18"/>
        <w:lang w:val="fr-CH" w:eastAsia="en-US"/>
      </w:rPr>
      <w:t xml:space="preserve"> • </w:t>
    </w:r>
    <w:r w:rsidRPr="00D42E05">
      <w:rPr>
        <w:rFonts w:ascii="Calibri" w:eastAsia="Times New Roman" w:hAnsi="Calibri" w:cs="Calibri"/>
        <w:color w:val="4F81BD"/>
        <w:sz w:val="18"/>
        <w:szCs w:val="18"/>
        <w:lang w:val="fr-CH" w:eastAsia="en-US"/>
      </w:rPr>
      <w:br/>
    </w:r>
    <w:proofErr w:type="gramStart"/>
    <w:r w:rsidRPr="00D42E05">
      <w:rPr>
        <w:rFonts w:ascii="Calibri" w:eastAsia="Times New Roman" w:hAnsi="Calibri" w:cs="Calibri"/>
        <w:color w:val="4F81BD"/>
        <w:sz w:val="18"/>
        <w:szCs w:val="18"/>
        <w:lang w:val="fr-CH" w:eastAsia="en-US"/>
      </w:rPr>
      <w:t>Tel:</w:t>
    </w:r>
    <w:proofErr w:type="gramEnd"/>
    <w:r w:rsidRPr="00D42E05">
      <w:rPr>
        <w:rFonts w:ascii="Calibri" w:eastAsia="Times New Roman" w:hAnsi="Calibri" w:cs="Calibri"/>
        <w:color w:val="4F81BD"/>
        <w:sz w:val="18"/>
        <w:szCs w:val="18"/>
        <w:lang w:val="fr-CH" w:eastAsia="en-US"/>
      </w:rPr>
      <w:t xml:space="preserve"> +41 22 730 5111 • </w:t>
    </w:r>
    <w:proofErr w:type="gramStart"/>
    <w:r w:rsidRPr="00D42E05">
      <w:rPr>
        <w:rFonts w:ascii="Calibri" w:eastAsia="Times New Roman" w:hAnsi="Calibri" w:cs="Calibri"/>
        <w:color w:val="4F81BD"/>
        <w:sz w:val="18"/>
        <w:szCs w:val="18"/>
        <w:lang w:val="fr-CH" w:eastAsia="en-US"/>
      </w:rPr>
      <w:t>E-mail:</w:t>
    </w:r>
    <w:proofErr w:type="gramEnd"/>
    <w:r w:rsidRPr="00D42E05">
      <w:rPr>
        <w:rFonts w:ascii="Calibri" w:eastAsia="Times New Roman" w:hAnsi="Calibri" w:cs="Calibri"/>
        <w:color w:val="4F81BD"/>
        <w:sz w:val="18"/>
        <w:szCs w:val="18"/>
        <w:lang w:val="fr-CH" w:eastAsia="en-US"/>
      </w:rPr>
      <w:t xml:space="preserve"> </w:t>
    </w:r>
    <w:hyperlink r:id="rId1" w:history="1">
      <w:r w:rsidR="00D42E05" w:rsidRPr="00D42E05">
        <w:rPr>
          <w:rStyle w:val="Hyperlink"/>
          <w:sz w:val="18"/>
          <w:szCs w:val="18"/>
          <w:lang w:val="fr-CH"/>
        </w:rPr>
        <w:t>brmail@itu.int</w:t>
      </w:r>
    </w:hyperlink>
    <w:r w:rsidRPr="00D42E05">
      <w:rPr>
        <w:rFonts w:ascii="Calibri" w:eastAsia="Times New Roman" w:hAnsi="Calibri" w:cs="Calibri"/>
        <w:color w:val="4F81BD"/>
        <w:sz w:val="18"/>
        <w:szCs w:val="18"/>
        <w:lang w:val="fr-CH" w:eastAsia="en-US"/>
      </w:rPr>
      <w:t xml:space="preserve">  • </w:t>
    </w:r>
    <w:proofErr w:type="gramStart"/>
    <w:r w:rsidRPr="00D42E05">
      <w:rPr>
        <w:rFonts w:ascii="Calibri" w:eastAsia="Times New Roman" w:hAnsi="Calibri" w:cs="Calibri"/>
        <w:color w:val="3E8EDE"/>
        <w:sz w:val="18"/>
        <w:szCs w:val="18"/>
        <w:lang w:val="fr-CH" w:eastAsia="en-US"/>
      </w:rPr>
      <w:t>Fax:</w:t>
    </w:r>
    <w:proofErr w:type="gramEnd"/>
    <w:r w:rsidRPr="00D42E05">
      <w:rPr>
        <w:rFonts w:ascii="Calibri" w:eastAsia="Times New Roman" w:hAnsi="Calibri" w:cs="Calibri"/>
        <w:color w:val="3E8EDE"/>
        <w:sz w:val="18"/>
        <w:szCs w:val="18"/>
        <w:lang w:val="fr-CH" w:eastAsia="en-US"/>
      </w:rPr>
      <w:t xml:space="preserve"> +41 22 733 7256 </w:t>
    </w:r>
    <w:r w:rsidRPr="00D42E05">
      <w:rPr>
        <w:rFonts w:ascii="Calibri" w:eastAsia="Times New Roman" w:hAnsi="Calibri" w:cs="Calibri"/>
        <w:color w:val="4F81BD"/>
        <w:sz w:val="18"/>
        <w:szCs w:val="18"/>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D1D6" w14:textId="77777777" w:rsidR="00E36544" w:rsidRDefault="00E36544" w:rsidP="006C3242">
      <w:pPr>
        <w:spacing w:before="0" w:line="240" w:lineRule="auto"/>
      </w:pPr>
      <w:r>
        <w:separator/>
      </w:r>
    </w:p>
  </w:footnote>
  <w:footnote w:type="continuationSeparator" w:id="0">
    <w:p w14:paraId="42ECC423" w14:textId="77777777" w:rsidR="00E36544" w:rsidRDefault="00E3654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B38" w14:textId="77777777" w:rsidR="00A67DBA" w:rsidRDefault="00A67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8A45" w14:textId="77777777" w:rsidR="00447F32" w:rsidRPr="00A67DBA" w:rsidRDefault="00F16820" w:rsidP="0026373E">
    <w:pPr>
      <w:pStyle w:val="Header"/>
      <w:bidi w:val="0"/>
      <w:spacing w:before="120" w:after="240" w:line="192" w:lineRule="auto"/>
      <w:jc w:val="center"/>
      <w:rPr>
        <w:rFonts w:cs="Calibri"/>
        <w:sz w:val="18"/>
        <w:szCs w:val="18"/>
      </w:rPr>
    </w:pPr>
    <w:r w:rsidRPr="00A67DBA">
      <w:rPr>
        <w:sz w:val="18"/>
        <w:szCs w:val="18"/>
      </w:rPr>
      <w:t xml:space="preserve">- </w:t>
    </w:r>
    <w:sdt>
      <w:sdtPr>
        <w:rPr>
          <w:sz w:val="18"/>
          <w:szCs w:val="18"/>
        </w:rPr>
        <w:id w:val="-1375531529"/>
        <w:docPartObj>
          <w:docPartGallery w:val="Page Numbers (Top of Page)"/>
          <w:docPartUnique/>
        </w:docPartObj>
      </w:sdtPr>
      <w:sdtEndPr>
        <w:rPr>
          <w:rFonts w:cs="Calibri"/>
          <w:noProof/>
        </w:rPr>
      </w:sdtEndPr>
      <w:sdtContent>
        <w:r w:rsidR="00447F32" w:rsidRPr="00A67DBA">
          <w:rPr>
            <w:rFonts w:cs="Calibri"/>
            <w:sz w:val="18"/>
            <w:szCs w:val="18"/>
          </w:rPr>
          <w:fldChar w:fldCharType="begin"/>
        </w:r>
        <w:r w:rsidR="00447F32" w:rsidRPr="00A67DBA">
          <w:rPr>
            <w:rFonts w:cs="Calibri"/>
            <w:sz w:val="18"/>
            <w:szCs w:val="18"/>
          </w:rPr>
          <w:instrText xml:space="preserve"> PAGE   \* MERGEFORMAT </w:instrText>
        </w:r>
        <w:r w:rsidR="00447F32" w:rsidRPr="00A67DBA">
          <w:rPr>
            <w:rFonts w:cs="Calibri"/>
            <w:sz w:val="18"/>
            <w:szCs w:val="18"/>
          </w:rPr>
          <w:fldChar w:fldCharType="separate"/>
        </w:r>
        <w:r w:rsidR="00DC5FB0" w:rsidRPr="00A67DBA">
          <w:rPr>
            <w:rFonts w:cs="Calibri"/>
            <w:noProof/>
            <w:sz w:val="18"/>
            <w:szCs w:val="18"/>
          </w:rPr>
          <w:t>2</w:t>
        </w:r>
        <w:r w:rsidR="00447F32" w:rsidRPr="00A67DBA">
          <w:rPr>
            <w:rFonts w:cs="Calibri"/>
            <w:noProof/>
            <w:sz w:val="18"/>
            <w:szCs w:val="18"/>
          </w:rPr>
          <w:fldChar w:fldCharType="end"/>
        </w:r>
      </w:sdtContent>
    </w:sdt>
    <w:r w:rsidRPr="00A67DBA">
      <w:rPr>
        <w:rFonts w:cs="Calibri"/>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DD50" w14:textId="77777777" w:rsidR="004C39C6" w:rsidRDefault="00583181" w:rsidP="00583181">
    <w:pPr>
      <w:pStyle w:val="Header"/>
      <w:spacing w:before="120"/>
      <w:jc w:val="center"/>
    </w:pPr>
    <w:r>
      <w:rPr>
        <w:noProof/>
        <w:lang w:val="en-GB" w:eastAsia="en-GB"/>
      </w:rPr>
      <w:drawing>
        <wp:inline distT="0" distB="0" distL="0" distR="0" wp14:anchorId="657C54D7" wp14:editId="6DCFB53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0336126">
    <w:abstractNumId w:val="9"/>
  </w:num>
  <w:num w:numId="2" w16cid:durableId="1596861056">
    <w:abstractNumId w:val="7"/>
  </w:num>
  <w:num w:numId="3" w16cid:durableId="1284924486">
    <w:abstractNumId w:val="6"/>
  </w:num>
  <w:num w:numId="4" w16cid:durableId="1886526142">
    <w:abstractNumId w:val="5"/>
  </w:num>
  <w:num w:numId="5" w16cid:durableId="1912227241">
    <w:abstractNumId w:val="4"/>
  </w:num>
  <w:num w:numId="6" w16cid:durableId="293146343">
    <w:abstractNumId w:val="8"/>
  </w:num>
  <w:num w:numId="7" w16cid:durableId="1962685571">
    <w:abstractNumId w:val="3"/>
  </w:num>
  <w:num w:numId="8" w16cid:durableId="2146921478">
    <w:abstractNumId w:val="2"/>
  </w:num>
  <w:num w:numId="9" w16cid:durableId="402721252">
    <w:abstractNumId w:val="1"/>
  </w:num>
  <w:num w:numId="10" w16cid:durableId="1983071507">
    <w:abstractNumId w:val="0"/>
  </w:num>
  <w:num w:numId="11" w16cid:durableId="993601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AB"/>
    <w:rsid w:val="00014A33"/>
    <w:rsid w:val="00034819"/>
    <w:rsid w:val="0006275D"/>
    <w:rsid w:val="0006468A"/>
    <w:rsid w:val="000860A3"/>
    <w:rsid w:val="00090574"/>
    <w:rsid w:val="000C1C0E"/>
    <w:rsid w:val="000C548A"/>
    <w:rsid w:val="000F7BBE"/>
    <w:rsid w:val="00150DB9"/>
    <w:rsid w:val="001A5BE9"/>
    <w:rsid w:val="001C0169"/>
    <w:rsid w:val="001D1D50"/>
    <w:rsid w:val="001D41EE"/>
    <w:rsid w:val="001D6745"/>
    <w:rsid w:val="001E446E"/>
    <w:rsid w:val="002042A6"/>
    <w:rsid w:val="002154EE"/>
    <w:rsid w:val="002276D2"/>
    <w:rsid w:val="0023283D"/>
    <w:rsid w:val="0026373E"/>
    <w:rsid w:val="00271C43"/>
    <w:rsid w:val="00290728"/>
    <w:rsid w:val="002978F4"/>
    <w:rsid w:val="002B028D"/>
    <w:rsid w:val="002E6541"/>
    <w:rsid w:val="003202B1"/>
    <w:rsid w:val="00334924"/>
    <w:rsid w:val="003409BC"/>
    <w:rsid w:val="00357185"/>
    <w:rsid w:val="003704CA"/>
    <w:rsid w:val="00383829"/>
    <w:rsid w:val="003B5733"/>
    <w:rsid w:val="003F4B29"/>
    <w:rsid w:val="004111FB"/>
    <w:rsid w:val="0042686F"/>
    <w:rsid w:val="00431027"/>
    <w:rsid w:val="004317D8"/>
    <w:rsid w:val="00434183"/>
    <w:rsid w:val="00443869"/>
    <w:rsid w:val="00447F32"/>
    <w:rsid w:val="004563AF"/>
    <w:rsid w:val="004B2AFF"/>
    <w:rsid w:val="004C39C6"/>
    <w:rsid w:val="004E11DC"/>
    <w:rsid w:val="00525DDD"/>
    <w:rsid w:val="005409AC"/>
    <w:rsid w:val="005432BA"/>
    <w:rsid w:val="0055516A"/>
    <w:rsid w:val="00583181"/>
    <w:rsid w:val="0058491B"/>
    <w:rsid w:val="00592EA5"/>
    <w:rsid w:val="005A3170"/>
    <w:rsid w:val="005F784E"/>
    <w:rsid w:val="0060006D"/>
    <w:rsid w:val="00630A02"/>
    <w:rsid w:val="00677396"/>
    <w:rsid w:val="0069200F"/>
    <w:rsid w:val="006A65CB"/>
    <w:rsid w:val="006C0953"/>
    <w:rsid w:val="006C3242"/>
    <w:rsid w:val="006C7CC0"/>
    <w:rsid w:val="006E5F73"/>
    <w:rsid w:val="006F519D"/>
    <w:rsid w:val="006F63F7"/>
    <w:rsid w:val="007025C7"/>
    <w:rsid w:val="00706D7A"/>
    <w:rsid w:val="00722F0D"/>
    <w:rsid w:val="007258A6"/>
    <w:rsid w:val="0074025F"/>
    <w:rsid w:val="0074420E"/>
    <w:rsid w:val="00783E26"/>
    <w:rsid w:val="007C3BC7"/>
    <w:rsid w:val="007C3BCD"/>
    <w:rsid w:val="007D4ACF"/>
    <w:rsid w:val="007E6F0F"/>
    <w:rsid w:val="007F0787"/>
    <w:rsid w:val="00810B7B"/>
    <w:rsid w:val="00816EE9"/>
    <w:rsid w:val="0082358A"/>
    <w:rsid w:val="008235CD"/>
    <w:rsid w:val="008247DE"/>
    <w:rsid w:val="00840B10"/>
    <w:rsid w:val="008462B4"/>
    <w:rsid w:val="008513CB"/>
    <w:rsid w:val="00896B7D"/>
    <w:rsid w:val="008A4A32"/>
    <w:rsid w:val="008A7F84"/>
    <w:rsid w:val="008C544C"/>
    <w:rsid w:val="0091702E"/>
    <w:rsid w:val="00923B0C"/>
    <w:rsid w:val="00925CCE"/>
    <w:rsid w:val="0094021C"/>
    <w:rsid w:val="00952F86"/>
    <w:rsid w:val="00982B28"/>
    <w:rsid w:val="009D313F"/>
    <w:rsid w:val="00A0714A"/>
    <w:rsid w:val="00A07BA0"/>
    <w:rsid w:val="00A47A5A"/>
    <w:rsid w:val="00A644ED"/>
    <w:rsid w:val="00A6683B"/>
    <w:rsid w:val="00A67DBA"/>
    <w:rsid w:val="00A7177B"/>
    <w:rsid w:val="00A837DA"/>
    <w:rsid w:val="00A97F94"/>
    <w:rsid w:val="00AA7EA2"/>
    <w:rsid w:val="00B03099"/>
    <w:rsid w:val="00B05BC8"/>
    <w:rsid w:val="00B1143A"/>
    <w:rsid w:val="00B64B47"/>
    <w:rsid w:val="00B74B14"/>
    <w:rsid w:val="00BA0FE2"/>
    <w:rsid w:val="00BA4006"/>
    <w:rsid w:val="00C002DE"/>
    <w:rsid w:val="00C20D12"/>
    <w:rsid w:val="00C502CD"/>
    <w:rsid w:val="00C53BF8"/>
    <w:rsid w:val="00C66157"/>
    <w:rsid w:val="00C674FE"/>
    <w:rsid w:val="00C67501"/>
    <w:rsid w:val="00C75633"/>
    <w:rsid w:val="00CC7C05"/>
    <w:rsid w:val="00CD6EA0"/>
    <w:rsid w:val="00CE2EE1"/>
    <w:rsid w:val="00CE3349"/>
    <w:rsid w:val="00CE36E5"/>
    <w:rsid w:val="00CF27F5"/>
    <w:rsid w:val="00CF3FFD"/>
    <w:rsid w:val="00D10CCF"/>
    <w:rsid w:val="00D1667E"/>
    <w:rsid w:val="00D42E05"/>
    <w:rsid w:val="00D77D0F"/>
    <w:rsid w:val="00DA1CF0"/>
    <w:rsid w:val="00DC1E02"/>
    <w:rsid w:val="00DC24B4"/>
    <w:rsid w:val="00DC5FB0"/>
    <w:rsid w:val="00DF16DC"/>
    <w:rsid w:val="00DF3C7C"/>
    <w:rsid w:val="00E36544"/>
    <w:rsid w:val="00E45211"/>
    <w:rsid w:val="00E473C5"/>
    <w:rsid w:val="00E62AE0"/>
    <w:rsid w:val="00E92863"/>
    <w:rsid w:val="00EA202B"/>
    <w:rsid w:val="00EB796D"/>
    <w:rsid w:val="00EB7B32"/>
    <w:rsid w:val="00EE2134"/>
    <w:rsid w:val="00F058DC"/>
    <w:rsid w:val="00F16820"/>
    <w:rsid w:val="00F24FC4"/>
    <w:rsid w:val="00F2676C"/>
    <w:rsid w:val="00F84366"/>
    <w:rsid w:val="00F85089"/>
    <w:rsid w:val="00F974C5"/>
    <w:rsid w:val="00FA6F46"/>
    <w:rsid w:val="00FC09E8"/>
    <w:rsid w:val="00FC72FF"/>
    <w:rsid w:val="00FE00AB"/>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6E5E"/>
  <w15:chartTrackingRefBased/>
  <w15:docId w15:val="{3CAAB729-B0F2-4865-90D8-7CC84C3E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C72FF"/>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FC72FF"/>
    <w:rPr>
      <w:color w:val="605E5C"/>
      <w:shd w:val="clear" w:color="auto" w:fill="E1DFDD"/>
    </w:rPr>
  </w:style>
  <w:style w:type="character" w:styleId="FollowedHyperlink">
    <w:name w:val="FollowedHyperlink"/>
    <w:basedOn w:val="DefaultParagraphFont"/>
    <w:uiPriority w:val="99"/>
    <w:semiHidden/>
    <w:unhideWhenUsed/>
    <w:rsid w:val="001D4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space/Pages/res609.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en/ITU-R/space/Pages/RES-609-Subscription-Information.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4</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Marchetti, Caroline</cp:lastModifiedBy>
  <cp:revision>6</cp:revision>
  <cp:lastPrinted>2025-08-14T02:20:00Z</cp:lastPrinted>
  <dcterms:created xsi:type="dcterms:W3CDTF">2025-08-12T10:21:00Z</dcterms:created>
  <dcterms:modified xsi:type="dcterms:W3CDTF">2025-08-14T02:26:00Z</dcterms:modified>
</cp:coreProperties>
</file>