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4A0" w:firstRow="1" w:lastRow="0" w:firstColumn="1" w:lastColumn="0" w:noHBand="0" w:noVBand="1"/>
      </w:tblPr>
      <w:tblGrid>
        <w:gridCol w:w="1526"/>
        <w:gridCol w:w="5528"/>
        <w:gridCol w:w="2835"/>
        <w:gridCol w:w="34"/>
      </w:tblGrid>
      <w:tr w:rsidR="002F3EB5" w:rsidRPr="004408D0" w14:paraId="37EF11ED" w14:textId="77777777" w:rsidTr="00DA7E8E">
        <w:tc>
          <w:tcPr>
            <w:tcW w:w="9923" w:type="dxa"/>
            <w:gridSpan w:val="4"/>
            <w:shd w:val="clear" w:color="auto" w:fill="auto"/>
          </w:tcPr>
          <w:p w14:paraId="403B245E" w14:textId="77777777" w:rsidR="002F3EB5" w:rsidRPr="004408D0" w:rsidRDefault="002F3EB5" w:rsidP="00C5638A">
            <w:pPr>
              <w:spacing w:before="120"/>
              <w:jc w:val="left"/>
              <w:rPr>
                <w:rFonts w:cs="Times New Roman Bold"/>
                <w:b/>
                <w:bCs/>
                <w:color w:val="808080"/>
                <w:sz w:val="28"/>
                <w:szCs w:val="28"/>
              </w:rPr>
            </w:pPr>
            <w:bookmarkStart w:id="0" w:name="_Hlk122530706"/>
            <w:bookmarkStart w:id="1" w:name="_Hlk122529256"/>
            <w:r w:rsidRPr="004408D0">
              <w:rPr>
                <w:rFonts w:cstheme="minorHAnsi"/>
                <w:b/>
                <w:bCs/>
                <w:color w:val="808080"/>
                <w:sz w:val="28"/>
                <w:szCs w:val="28"/>
              </w:rPr>
              <w:t>Radiocommunication Bureau (BR)</w:t>
            </w:r>
          </w:p>
        </w:tc>
      </w:tr>
      <w:tr w:rsidR="002F3EB5" w:rsidRPr="004408D0" w14:paraId="405C672F" w14:textId="77777777" w:rsidTr="00DA7E8E">
        <w:tc>
          <w:tcPr>
            <w:tcW w:w="9923" w:type="dxa"/>
            <w:gridSpan w:val="4"/>
            <w:shd w:val="clear" w:color="auto" w:fill="auto"/>
          </w:tcPr>
          <w:p w14:paraId="698F7A86" w14:textId="77777777" w:rsidR="002F3EB5" w:rsidRPr="004408D0" w:rsidRDefault="002F3EB5" w:rsidP="0097336C">
            <w:pPr>
              <w:spacing w:before="0"/>
              <w:jc w:val="left"/>
            </w:pPr>
          </w:p>
        </w:tc>
      </w:tr>
      <w:bookmarkEnd w:id="0"/>
      <w:bookmarkEnd w:id="1"/>
      <w:tr w:rsidR="005607AC" w:rsidRPr="007204D3" w14:paraId="0098D489" w14:textId="77777777" w:rsidTr="00DA7E8E">
        <w:tblPrEx>
          <w:jc w:val="center"/>
        </w:tblPrEx>
        <w:trPr>
          <w:gridAfter w:val="1"/>
          <w:wAfter w:w="34" w:type="dxa"/>
          <w:jc w:val="center"/>
        </w:trPr>
        <w:tc>
          <w:tcPr>
            <w:tcW w:w="9889" w:type="dxa"/>
            <w:gridSpan w:val="3"/>
            <w:shd w:val="clear" w:color="auto" w:fill="auto"/>
          </w:tcPr>
          <w:p w14:paraId="555D8A8B" w14:textId="77777777" w:rsidR="005607AC" w:rsidRPr="007204D3" w:rsidRDefault="005607AC" w:rsidP="00C6670D">
            <w:pPr>
              <w:spacing w:before="0"/>
              <w:jc w:val="left"/>
              <w:rPr>
                <w:rFonts w:cs="Times New Roman Bold"/>
                <w:b/>
                <w:bCs/>
                <w:color w:val="808080"/>
                <w:sz w:val="28"/>
                <w:szCs w:val="28"/>
              </w:rPr>
            </w:pPr>
          </w:p>
        </w:tc>
      </w:tr>
      <w:tr w:rsidR="005607AC" w:rsidRPr="004967CA" w14:paraId="539140C1" w14:textId="77777777" w:rsidTr="00DA7E8E">
        <w:tblPrEx>
          <w:jc w:val="center"/>
        </w:tblPrEx>
        <w:trPr>
          <w:gridAfter w:val="1"/>
          <w:wAfter w:w="34" w:type="dxa"/>
          <w:jc w:val="center"/>
        </w:trPr>
        <w:tc>
          <w:tcPr>
            <w:tcW w:w="7054" w:type="dxa"/>
            <w:gridSpan w:val="2"/>
            <w:shd w:val="clear" w:color="auto" w:fill="auto"/>
          </w:tcPr>
          <w:p w14:paraId="021E3DAD" w14:textId="77777777" w:rsidR="005607AC" w:rsidRPr="00F15C60" w:rsidRDefault="005607AC" w:rsidP="00C6670D">
            <w:pPr>
              <w:spacing w:before="0"/>
              <w:jc w:val="left"/>
              <w:rPr>
                <w:rFonts w:asciiTheme="minorHAnsi" w:hAnsiTheme="minorHAnsi" w:cstheme="minorHAnsi"/>
                <w:sz w:val="24"/>
                <w:szCs w:val="24"/>
              </w:rPr>
            </w:pPr>
            <w:r w:rsidRPr="00F15C60">
              <w:rPr>
                <w:rFonts w:asciiTheme="minorHAnsi" w:hAnsiTheme="minorHAnsi" w:cstheme="minorHAnsi"/>
                <w:sz w:val="24"/>
                <w:szCs w:val="24"/>
              </w:rPr>
              <w:t>Circular Letter</w:t>
            </w:r>
          </w:p>
          <w:p w14:paraId="5D30C846" w14:textId="576BB708" w:rsidR="005607AC" w:rsidRPr="004967CA" w:rsidRDefault="005607AC" w:rsidP="00C6670D">
            <w:pPr>
              <w:spacing w:before="0"/>
              <w:jc w:val="left"/>
              <w:rPr>
                <w:rFonts w:asciiTheme="minorHAnsi" w:hAnsiTheme="minorHAnsi" w:cstheme="minorHAnsi"/>
                <w:b/>
                <w:bCs/>
                <w:sz w:val="24"/>
                <w:szCs w:val="24"/>
              </w:rPr>
            </w:pPr>
            <w:r w:rsidRPr="00F15C60">
              <w:rPr>
                <w:rFonts w:asciiTheme="minorHAnsi" w:hAnsiTheme="minorHAnsi" w:cstheme="minorHAnsi"/>
                <w:b/>
                <w:bCs/>
                <w:sz w:val="24"/>
                <w:szCs w:val="24"/>
              </w:rPr>
              <w:t>CR/</w:t>
            </w:r>
            <w:r w:rsidR="00FE1DC4" w:rsidRPr="00F15C60">
              <w:rPr>
                <w:rFonts w:asciiTheme="minorHAnsi" w:hAnsiTheme="minorHAnsi" w:cstheme="minorHAnsi"/>
                <w:b/>
                <w:bCs/>
                <w:sz w:val="24"/>
                <w:szCs w:val="24"/>
              </w:rPr>
              <w:t>51</w:t>
            </w:r>
            <w:r w:rsidR="003F4126" w:rsidRPr="00F15C60">
              <w:rPr>
                <w:rFonts w:asciiTheme="minorHAnsi" w:hAnsiTheme="minorHAnsi" w:cstheme="minorHAnsi"/>
                <w:b/>
                <w:bCs/>
                <w:sz w:val="24"/>
                <w:szCs w:val="24"/>
              </w:rPr>
              <w:t>3</w:t>
            </w:r>
          </w:p>
        </w:tc>
        <w:tc>
          <w:tcPr>
            <w:tcW w:w="2835" w:type="dxa"/>
            <w:shd w:val="clear" w:color="auto" w:fill="auto"/>
          </w:tcPr>
          <w:p w14:paraId="33801423" w14:textId="41FCBF78" w:rsidR="005607AC" w:rsidRPr="004967CA" w:rsidRDefault="005607AC" w:rsidP="00C6670D">
            <w:pPr>
              <w:tabs>
                <w:tab w:val="clear" w:pos="794"/>
                <w:tab w:val="clear" w:pos="1191"/>
                <w:tab w:val="clear" w:pos="1588"/>
                <w:tab w:val="clear" w:pos="1985"/>
              </w:tabs>
              <w:spacing w:before="0"/>
              <w:ind w:left="-137"/>
              <w:jc w:val="right"/>
              <w:rPr>
                <w:rFonts w:asciiTheme="minorHAnsi" w:hAnsiTheme="minorHAnsi" w:cstheme="minorHAnsi"/>
                <w:sz w:val="24"/>
                <w:szCs w:val="24"/>
              </w:rPr>
            </w:pPr>
            <w:r w:rsidRPr="004967CA">
              <w:rPr>
                <w:rFonts w:asciiTheme="minorHAnsi" w:hAnsiTheme="minorHAnsi" w:cstheme="minorHAnsi"/>
                <w:sz w:val="24"/>
                <w:szCs w:val="24"/>
              </w:rPr>
              <w:t xml:space="preserve">Geneva, </w:t>
            </w:r>
            <w:r w:rsidR="005E45EA">
              <w:rPr>
                <w:rFonts w:asciiTheme="minorHAnsi" w:hAnsiTheme="minorHAnsi" w:cstheme="minorHAnsi"/>
                <w:sz w:val="24"/>
                <w:szCs w:val="24"/>
              </w:rPr>
              <w:t>19</w:t>
            </w:r>
            <w:r w:rsidR="00823657">
              <w:rPr>
                <w:rFonts w:asciiTheme="minorHAnsi" w:hAnsiTheme="minorHAnsi" w:cstheme="minorHAnsi"/>
                <w:sz w:val="24"/>
                <w:szCs w:val="24"/>
              </w:rPr>
              <w:t xml:space="preserve"> </w:t>
            </w:r>
            <w:r w:rsidR="007502A4">
              <w:rPr>
                <w:rFonts w:asciiTheme="minorHAnsi" w:hAnsiTheme="minorHAnsi" w:cstheme="minorHAnsi"/>
                <w:sz w:val="24"/>
                <w:szCs w:val="24"/>
              </w:rPr>
              <w:t>December</w:t>
            </w:r>
            <w:r w:rsidR="002D78D7">
              <w:rPr>
                <w:rFonts w:asciiTheme="minorHAnsi" w:hAnsiTheme="minorHAnsi" w:cstheme="minorHAnsi"/>
                <w:sz w:val="24"/>
                <w:szCs w:val="24"/>
              </w:rPr>
              <w:t xml:space="preserve"> </w:t>
            </w:r>
            <w:r w:rsidR="00823657" w:rsidRPr="004967CA">
              <w:rPr>
                <w:rFonts w:asciiTheme="minorHAnsi" w:hAnsiTheme="minorHAnsi" w:cstheme="minorHAnsi"/>
                <w:sz w:val="24"/>
                <w:szCs w:val="24"/>
              </w:rPr>
              <w:t>202</w:t>
            </w:r>
            <w:r w:rsidR="00823657">
              <w:rPr>
                <w:rFonts w:asciiTheme="minorHAnsi" w:hAnsiTheme="minorHAnsi" w:cstheme="minorHAnsi"/>
                <w:sz w:val="24"/>
                <w:szCs w:val="24"/>
              </w:rPr>
              <w:t>4</w:t>
            </w:r>
          </w:p>
        </w:tc>
      </w:tr>
      <w:tr w:rsidR="005607AC" w:rsidRPr="004967CA" w14:paraId="483198EE" w14:textId="77777777" w:rsidTr="00DA7E8E">
        <w:tblPrEx>
          <w:jc w:val="center"/>
        </w:tblPrEx>
        <w:trPr>
          <w:gridAfter w:val="1"/>
          <w:wAfter w:w="34" w:type="dxa"/>
          <w:jc w:val="center"/>
        </w:trPr>
        <w:tc>
          <w:tcPr>
            <w:tcW w:w="9889" w:type="dxa"/>
            <w:gridSpan w:val="3"/>
            <w:shd w:val="clear" w:color="auto" w:fill="auto"/>
          </w:tcPr>
          <w:p w14:paraId="066E153E"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63E5E2BA" w14:textId="77777777" w:rsidTr="00DA7E8E">
        <w:tblPrEx>
          <w:jc w:val="center"/>
        </w:tblPrEx>
        <w:trPr>
          <w:gridAfter w:val="1"/>
          <w:wAfter w:w="34" w:type="dxa"/>
          <w:jc w:val="center"/>
        </w:trPr>
        <w:tc>
          <w:tcPr>
            <w:tcW w:w="9889" w:type="dxa"/>
            <w:gridSpan w:val="3"/>
            <w:shd w:val="clear" w:color="auto" w:fill="auto"/>
          </w:tcPr>
          <w:p w14:paraId="31C4BF26"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334AC2BC" w14:textId="77777777" w:rsidTr="00DA7E8E">
        <w:tblPrEx>
          <w:jc w:val="center"/>
        </w:tblPrEx>
        <w:trPr>
          <w:gridAfter w:val="1"/>
          <w:wAfter w:w="34" w:type="dxa"/>
          <w:jc w:val="center"/>
        </w:trPr>
        <w:tc>
          <w:tcPr>
            <w:tcW w:w="9889" w:type="dxa"/>
            <w:gridSpan w:val="3"/>
            <w:shd w:val="clear" w:color="auto" w:fill="auto"/>
          </w:tcPr>
          <w:p w14:paraId="0537F62E" w14:textId="77777777" w:rsidR="005607AC" w:rsidRPr="004967CA" w:rsidRDefault="005607AC" w:rsidP="00C6670D">
            <w:pPr>
              <w:spacing w:before="0"/>
              <w:jc w:val="left"/>
              <w:rPr>
                <w:rFonts w:asciiTheme="minorHAnsi" w:hAnsiTheme="minorHAnsi" w:cstheme="minorHAnsi"/>
                <w:b/>
                <w:bCs/>
                <w:sz w:val="24"/>
                <w:szCs w:val="24"/>
              </w:rPr>
            </w:pPr>
            <w:r w:rsidRPr="004967CA">
              <w:rPr>
                <w:rFonts w:asciiTheme="minorHAnsi" w:hAnsiTheme="minorHAnsi" w:cstheme="minorHAnsi"/>
                <w:b/>
                <w:bCs/>
                <w:sz w:val="24"/>
                <w:szCs w:val="24"/>
              </w:rPr>
              <w:t>To Administrations of Member States of the ITU</w:t>
            </w:r>
          </w:p>
          <w:p w14:paraId="4EEBF8CF" w14:textId="77777777" w:rsidR="005607AC" w:rsidRPr="004967CA" w:rsidRDefault="005607AC" w:rsidP="00C6670D">
            <w:pPr>
              <w:spacing w:before="0"/>
              <w:jc w:val="left"/>
              <w:rPr>
                <w:rFonts w:asciiTheme="minorHAnsi" w:hAnsiTheme="minorHAnsi" w:cstheme="minorHAnsi"/>
                <w:b/>
                <w:bCs/>
                <w:sz w:val="24"/>
                <w:szCs w:val="24"/>
              </w:rPr>
            </w:pPr>
          </w:p>
          <w:p w14:paraId="4DB4FC95" w14:textId="77777777" w:rsidR="005607AC" w:rsidRPr="004967CA" w:rsidRDefault="005607AC" w:rsidP="00C6670D">
            <w:pPr>
              <w:spacing w:before="0"/>
              <w:jc w:val="left"/>
              <w:rPr>
                <w:rFonts w:asciiTheme="minorHAnsi" w:hAnsiTheme="minorHAnsi" w:cstheme="minorHAnsi"/>
                <w:b/>
                <w:bCs/>
                <w:sz w:val="24"/>
                <w:szCs w:val="24"/>
              </w:rPr>
            </w:pPr>
          </w:p>
        </w:tc>
      </w:tr>
      <w:tr w:rsidR="005607AC" w:rsidRPr="004967CA" w14:paraId="45030DCD" w14:textId="77777777" w:rsidTr="00DA7E8E">
        <w:tblPrEx>
          <w:jc w:val="center"/>
        </w:tblPrEx>
        <w:trPr>
          <w:gridAfter w:val="1"/>
          <w:wAfter w:w="34" w:type="dxa"/>
          <w:jc w:val="center"/>
        </w:trPr>
        <w:tc>
          <w:tcPr>
            <w:tcW w:w="9889" w:type="dxa"/>
            <w:gridSpan w:val="3"/>
            <w:shd w:val="clear" w:color="auto" w:fill="auto"/>
          </w:tcPr>
          <w:p w14:paraId="561D81A2"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13AB5858" w14:textId="77777777" w:rsidTr="00DA7E8E">
        <w:tblPrEx>
          <w:jc w:val="center"/>
        </w:tblPrEx>
        <w:trPr>
          <w:gridAfter w:val="1"/>
          <w:wAfter w:w="34" w:type="dxa"/>
          <w:jc w:val="center"/>
        </w:trPr>
        <w:tc>
          <w:tcPr>
            <w:tcW w:w="9889" w:type="dxa"/>
            <w:gridSpan w:val="3"/>
            <w:shd w:val="clear" w:color="auto" w:fill="auto"/>
          </w:tcPr>
          <w:p w14:paraId="2135452B" w14:textId="77777777" w:rsidR="005607AC" w:rsidRPr="004967CA" w:rsidRDefault="005607AC" w:rsidP="00C6670D">
            <w:pPr>
              <w:spacing w:before="0"/>
              <w:jc w:val="left"/>
              <w:rPr>
                <w:rFonts w:asciiTheme="minorHAnsi" w:hAnsiTheme="minorHAnsi" w:cstheme="minorHAnsi"/>
                <w:sz w:val="24"/>
                <w:szCs w:val="24"/>
              </w:rPr>
            </w:pPr>
          </w:p>
        </w:tc>
      </w:tr>
      <w:tr w:rsidR="00DA7E8E" w:rsidRPr="0015761D" w14:paraId="65735960" w14:textId="77777777" w:rsidTr="00DA7E8E">
        <w:tblPrEx>
          <w:jc w:val="center"/>
        </w:tblPrEx>
        <w:trPr>
          <w:gridAfter w:val="1"/>
          <w:wAfter w:w="34" w:type="dxa"/>
          <w:jc w:val="center"/>
        </w:trPr>
        <w:tc>
          <w:tcPr>
            <w:tcW w:w="1526" w:type="dxa"/>
            <w:shd w:val="clear" w:color="auto" w:fill="auto"/>
          </w:tcPr>
          <w:p w14:paraId="49137073" w14:textId="77777777" w:rsidR="00DA7E8E" w:rsidRPr="0011048A" w:rsidRDefault="00DA7E8E" w:rsidP="00E31C51">
            <w:pPr>
              <w:spacing w:before="0"/>
              <w:jc w:val="left"/>
              <w:rPr>
                <w:b/>
                <w:bCs/>
                <w:sz w:val="24"/>
                <w:szCs w:val="24"/>
              </w:rPr>
            </w:pPr>
            <w:r w:rsidRPr="0011048A">
              <w:rPr>
                <w:b/>
                <w:bCs/>
                <w:sz w:val="24"/>
                <w:szCs w:val="24"/>
              </w:rPr>
              <w:t>Subject:</w:t>
            </w:r>
          </w:p>
        </w:tc>
        <w:tc>
          <w:tcPr>
            <w:tcW w:w="8363" w:type="dxa"/>
            <w:gridSpan w:val="2"/>
            <w:vMerge w:val="restart"/>
            <w:shd w:val="clear" w:color="auto" w:fill="auto"/>
          </w:tcPr>
          <w:p w14:paraId="09CDBB21" w14:textId="77777777" w:rsidR="00DA7E8E" w:rsidRPr="0015761D" w:rsidRDefault="00DA7E8E" w:rsidP="00E31C51">
            <w:pPr>
              <w:spacing w:before="0" w:after="120" w:line="240" w:lineRule="auto"/>
              <w:rPr>
                <w:b/>
                <w:bCs/>
                <w:sz w:val="24"/>
                <w:szCs w:val="24"/>
              </w:rPr>
            </w:pPr>
            <w:r w:rsidRPr="0015761D">
              <w:rPr>
                <w:b/>
                <w:bCs/>
                <w:sz w:val="24"/>
                <w:szCs w:val="24"/>
              </w:rPr>
              <w:t>Application of Article 12 of the Radio Regulations:</w:t>
            </w:r>
          </w:p>
          <w:p w14:paraId="4FCC84AB" w14:textId="45B73E0F" w:rsidR="001C4469" w:rsidRPr="007928E4" w:rsidRDefault="00DA7E8E" w:rsidP="00BA7FCB">
            <w:pPr>
              <w:pStyle w:val="ListParagraph"/>
              <w:numPr>
                <w:ilvl w:val="0"/>
                <w:numId w:val="1"/>
              </w:numPr>
              <w:tabs>
                <w:tab w:val="clear" w:pos="794"/>
                <w:tab w:val="left" w:pos="425"/>
              </w:tabs>
              <w:spacing w:before="120" w:after="120" w:line="240" w:lineRule="auto"/>
              <w:ind w:left="350"/>
              <w:jc w:val="left"/>
              <w:rPr>
                <w:b/>
                <w:bCs/>
                <w:sz w:val="24"/>
                <w:szCs w:val="24"/>
              </w:rPr>
            </w:pPr>
            <w:r w:rsidRPr="007928E4">
              <w:rPr>
                <w:b/>
                <w:bCs/>
                <w:sz w:val="24"/>
                <w:szCs w:val="24"/>
              </w:rPr>
              <w:t>Closing date</w:t>
            </w:r>
            <w:r w:rsidR="008F2E9F" w:rsidRPr="007928E4">
              <w:rPr>
                <w:b/>
                <w:bCs/>
                <w:sz w:val="24"/>
                <w:szCs w:val="24"/>
              </w:rPr>
              <w:t>s</w:t>
            </w:r>
            <w:r w:rsidRPr="007928E4">
              <w:rPr>
                <w:b/>
                <w:bCs/>
                <w:sz w:val="24"/>
                <w:szCs w:val="24"/>
              </w:rPr>
              <w:t xml:space="preserve"> for receipt of high frequency broadcasting schedules for </w:t>
            </w:r>
            <w:r w:rsidR="003A00AF">
              <w:rPr>
                <w:b/>
                <w:bCs/>
                <w:sz w:val="24"/>
                <w:szCs w:val="24"/>
              </w:rPr>
              <w:t xml:space="preserve">the </w:t>
            </w:r>
            <w:r w:rsidR="006D6FA7" w:rsidRPr="007928E4">
              <w:rPr>
                <w:b/>
                <w:bCs/>
                <w:sz w:val="24"/>
                <w:szCs w:val="24"/>
              </w:rPr>
              <w:t>Season A</w:t>
            </w:r>
            <w:r w:rsidR="008E4F4C" w:rsidRPr="007928E4">
              <w:rPr>
                <w:b/>
                <w:bCs/>
                <w:sz w:val="24"/>
                <w:szCs w:val="24"/>
              </w:rPr>
              <w:t>2</w:t>
            </w:r>
            <w:r w:rsidR="007502A4">
              <w:rPr>
                <w:b/>
                <w:bCs/>
                <w:sz w:val="24"/>
                <w:szCs w:val="24"/>
              </w:rPr>
              <w:t>5</w:t>
            </w:r>
            <w:r w:rsidRPr="007928E4">
              <w:rPr>
                <w:b/>
                <w:bCs/>
                <w:sz w:val="24"/>
                <w:szCs w:val="24"/>
              </w:rPr>
              <w:t xml:space="preserve"> (</w:t>
            </w:r>
            <w:r w:rsidR="007502A4">
              <w:rPr>
                <w:b/>
                <w:bCs/>
                <w:sz w:val="24"/>
                <w:szCs w:val="24"/>
              </w:rPr>
              <w:t>30</w:t>
            </w:r>
            <w:r w:rsidR="007502A4" w:rsidRPr="007928E4">
              <w:rPr>
                <w:b/>
                <w:bCs/>
                <w:sz w:val="24"/>
                <w:szCs w:val="24"/>
              </w:rPr>
              <w:t xml:space="preserve"> </w:t>
            </w:r>
            <w:r w:rsidRPr="007928E4">
              <w:rPr>
                <w:b/>
                <w:bCs/>
                <w:sz w:val="24"/>
                <w:szCs w:val="24"/>
              </w:rPr>
              <w:t>March 202</w:t>
            </w:r>
            <w:r w:rsidR="007502A4">
              <w:rPr>
                <w:b/>
                <w:bCs/>
                <w:sz w:val="24"/>
                <w:szCs w:val="24"/>
              </w:rPr>
              <w:t>5</w:t>
            </w:r>
            <w:r w:rsidRPr="007928E4">
              <w:rPr>
                <w:b/>
                <w:bCs/>
                <w:sz w:val="24"/>
                <w:szCs w:val="24"/>
              </w:rPr>
              <w:t xml:space="preserve"> – 2</w:t>
            </w:r>
            <w:r w:rsidR="007502A4">
              <w:rPr>
                <w:b/>
                <w:bCs/>
                <w:sz w:val="24"/>
                <w:szCs w:val="24"/>
              </w:rPr>
              <w:t>6</w:t>
            </w:r>
            <w:r w:rsidRPr="007928E4">
              <w:rPr>
                <w:b/>
                <w:bCs/>
                <w:sz w:val="24"/>
                <w:szCs w:val="24"/>
              </w:rPr>
              <w:t xml:space="preserve"> October 202</w:t>
            </w:r>
            <w:r w:rsidR="007502A4">
              <w:rPr>
                <w:b/>
                <w:bCs/>
                <w:sz w:val="24"/>
                <w:szCs w:val="24"/>
              </w:rPr>
              <w:t>5</w:t>
            </w:r>
            <w:r w:rsidRPr="007928E4">
              <w:rPr>
                <w:b/>
                <w:bCs/>
                <w:sz w:val="24"/>
                <w:szCs w:val="24"/>
              </w:rPr>
              <w:t xml:space="preserve">) and </w:t>
            </w:r>
            <w:r w:rsidR="005D725A" w:rsidRPr="007928E4">
              <w:rPr>
                <w:b/>
                <w:bCs/>
                <w:sz w:val="24"/>
                <w:szCs w:val="24"/>
              </w:rPr>
              <w:t>S</w:t>
            </w:r>
            <w:r w:rsidR="008F2E9F" w:rsidRPr="007928E4">
              <w:rPr>
                <w:b/>
                <w:bCs/>
                <w:sz w:val="24"/>
                <w:szCs w:val="24"/>
              </w:rPr>
              <w:t xml:space="preserve">eason </w:t>
            </w:r>
            <w:r w:rsidRPr="007928E4">
              <w:rPr>
                <w:b/>
                <w:bCs/>
                <w:sz w:val="24"/>
                <w:szCs w:val="24"/>
              </w:rPr>
              <w:t>B2</w:t>
            </w:r>
            <w:r w:rsidR="007502A4">
              <w:rPr>
                <w:b/>
                <w:bCs/>
                <w:sz w:val="24"/>
                <w:szCs w:val="24"/>
              </w:rPr>
              <w:t>5</w:t>
            </w:r>
            <w:r w:rsidRPr="007928E4">
              <w:rPr>
                <w:b/>
                <w:bCs/>
                <w:sz w:val="24"/>
                <w:szCs w:val="24"/>
              </w:rPr>
              <w:t xml:space="preserve"> (</w:t>
            </w:r>
            <w:r w:rsidR="007502A4" w:rsidRPr="007928E4">
              <w:rPr>
                <w:b/>
                <w:bCs/>
                <w:sz w:val="24"/>
                <w:szCs w:val="24"/>
              </w:rPr>
              <w:t>2</w:t>
            </w:r>
            <w:r w:rsidR="007502A4">
              <w:rPr>
                <w:b/>
                <w:bCs/>
                <w:sz w:val="24"/>
                <w:szCs w:val="24"/>
              </w:rPr>
              <w:t>6</w:t>
            </w:r>
            <w:r w:rsidR="007502A4" w:rsidRPr="007928E4">
              <w:rPr>
                <w:b/>
                <w:bCs/>
                <w:sz w:val="24"/>
                <w:szCs w:val="24"/>
              </w:rPr>
              <w:t xml:space="preserve"> </w:t>
            </w:r>
            <w:r w:rsidRPr="007928E4">
              <w:rPr>
                <w:b/>
                <w:bCs/>
                <w:sz w:val="24"/>
                <w:szCs w:val="24"/>
              </w:rPr>
              <w:t xml:space="preserve">October </w:t>
            </w:r>
            <w:r w:rsidR="007502A4" w:rsidRPr="007928E4">
              <w:rPr>
                <w:b/>
                <w:bCs/>
                <w:sz w:val="24"/>
                <w:szCs w:val="24"/>
              </w:rPr>
              <w:t>202</w:t>
            </w:r>
            <w:r w:rsidR="007502A4">
              <w:rPr>
                <w:b/>
                <w:bCs/>
                <w:sz w:val="24"/>
                <w:szCs w:val="24"/>
              </w:rPr>
              <w:t>5</w:t>
            </w:r>
            <w:r w:rsidR="007502A4" w:rsidRPr="007928E4">
              <w:rPr>
                <w:b/>
                <w:bCs/>
                <w:sz w:val="24"/>
                <w:szCs w:val="24"/>
              </w:rPr>
              <w:t xml:space="preserve"> </w:t>
            </w:r>
            <w:r w:rsidRPr="007928E4">
              <w:rPr>
                <w:b/>
                <w:bCs/>
                <w:sz w:val="24"/>
                <w:szCs w:val="24"/>
              </w:rPr>
              <w:t xml:space="preserve">– </w:t>
            </w:r>
            <w:r w:rsidR="007502A4">
              <w:rPr>
                <w:b/>
                <w:bCs/>
                <w:sz w:val="24"/>
                <w:szCs w:val="24"/>
              </w:rPr>
              <w:t>29</w:t>
            </w:r>
            <w:r w:rsidRPr="007928E4">
              <w:rPr>
                <w:b/>
                <w:bCs/>
                <w:sz w:val="24"/>
                <w:szCs w:val="24"/>
              </w:rPr>
              <w:t xml:space="preserve"> March </w:t>
            </w:r>
            <w:r w:rsidR="007502A4" w:rsidRPr="007928E4">
              <w:rPr>
                <w:b/>
                <w:bCs/>
                <w:sz w:val="24"/>
                <w:szCs w:val="24"/>
              </w:rPr>
              <w:t>202</w:t>
            </w:r>
            <w:r w:rsidR="007502A4">
              <w:rPr>
                <w:b/>
                <w:bCs/>
                <w:sz w:val="24"/>
                <w:szCs w:val="24"/>
              </w:rPr>
              <w:t>6</w:t>
            </w:r>
            <w:r w:rsidRPr="007928E4">
              <w:rPr>
                <w:b/>
                <w:bCs/>
                <w:sz w:val="24"/>
                <w:szCs w:val="24"/>
              </w:rPr>
              <w:t>)</w:t>
            </w:r>
          </w:p>
          <w:p w14:paraId="22CD3A8D" w14:textId="76C43679" w:rsidR="001C4469" w:rsidRPr="007928E4" w:rsidRDefault="00DA7E8E" w:rsidP="00BA7FCB">
            <w:pPr>
              <w:pStyle w:val="ListParagraph"/>
              <w:numPr>
                <w:ilvl w:val="0"/>
                <w:numId w:val="1"/>
              </w:numPr>
              <w:tabs>
                <w:tab w:val="clear" w:pos="794"/>
                <w:tab w:val="left" w:pos="425"/>
              </w:tabs>
              <w:spacing w:before="120" w:after="120" w:line="240" w:lineRule="auto"/>
              <w:ind w:left="350"/>
              <w:jc w:val="left"/>
              <w:rPr>
                <w:b/>
                <w:bCs/>
                <w:sz w:val="24"/>
                <w:szCs w:val="24"/>
              </w:rPr>
            </w:pPr>
            <w:r w:rsidRPr="007928E4">
              <w:rPr>
                <w:b/>
                <w:bCs/>
                <w:sz w:val="24"/>
                <w:szCs w:val="24"/>
              </w:rPr>
              <w:t>Regional coordination meetings, 202</w:t>
            </w:r>
            <w:r w:rsidR="007502A4">
              <w:rPr>
                <w:b/>
                <w:bCs/>
                <w:sz w:val="24"/>
                <w:szCs w:val="24"/>
              </w:rPr>
              <w:t>5</w:t>
            </w:r>
            <w:r w:rsidRPr="007928E4">
              <w:rPr>
                <w:b/>
                <w:bCs/>
                <w:sz w:val="24"/>
                <w:szCs w:val="24"/>
              </w:rPr>
              <w:t>/202</w:t>
            </w:r>
            <w:r w:rsidR="007502A4">
              <w:rPr>
                <w:b/>
                <w:bCs/>
                <w:sz w:val="24"/>
                <w:szCs w:val="24"/>
              </w:rPr>
              <w:t>6</w:t>
            </w:r>
          </w:p>
          <w:p w14:paraId="27B4769D" w14:textId="77777777" w:rsidR="00BC23AA" w:rsidRDefault="00DA7E8E" w:rsidP="00134DAB">
            <w:pPr>
              <w:pStyle w:val="ListParagraph"/>
              <w:numPr>
                <w:ilvl w:val="0"/>
                <w:numId w:val="1"/>
              </w:numPr>
              <w:tabs>
                <w:tab w:val="clear" w:pos="794"/>
                <w:tab w:val="left" w:pos="425"/>
              </w:tabs>
              <w:spacing w:before="120" w:after="120" w:line="240" w:lineRule="auto"/>
              <w:ind w:left="350"/>
              <w:jc w:val="left"/>
              <w:rPr>
                <w:b/>
                <w:bCs/>
                <w:sz w:val="24"/>
                <w:szCs w:val="24"/>
              </w:rPr>
            </w:pPr>
            <w:r w:rsidRPr="001C4469">
              <w:rPr>
                <w:b/>
                <w:bCs/>
                <w:sz w:val="24"/>
                <w:szCs w:val="24"/>
              </w:rPr>
              <w:t>International Radio for Disaster Relief (IRDR)</w:t>
            </w:r>
          </w:p>
          <w:p w14:paraId="4B55F0FA" w14:textId="606AAC27" w:rsidR="00134DAB" w:rsidRDefault="00BC23AA" w:rsidP="00134DAB">
            <w:pPr>
              <w:pStyle w:val="ListParagraph"/>
              <w:numPr>
                <w:ilvl w:val="0"/>
                <w:numId w:val="1"/>
              </w:numPr>
              <w:tabs>
                <w:tab w:val="clear" w:pos="794"/>
                <w:tab w:val="left" w:pos="425"/>
              </w:tabs>
              <w:spacing w:before="120" w:after="120" w:line="240" w:lineRule="auto"/>
              <w:ind w:left="350"/>
              <w:jc w:val="left"/>
              <w:rPr>
                <w:b/>
                <w:bCs/>
                <w:sz w:val="24"/>
                <w:szCs w:val="24"/>
              </w:rPr>
            </w:pPr>
            <w:proofErr w:type="spellStart"/>
            <w:r w:rsidRPr="00134DAB">
              <w:rPr>
                <w:b/>
                <w:bCs/>
                <w:sz w:val="24"/>
                <w:szCs w:val="24"/>
              </w:rPr>
              <w:t>eHFBC</w:t>
            </w:r>
            <w:proofErr w:type="spellEnd"/>
            <w:r w:rsidRPr="00134DAB">
              <w:rPr>
                <w:b/>
                <w:bCs/>
                <w:sz w:val="24"/>
                <w:szCs w:val="24"/>
              </w:rPr>
              <w:t xml:space="preserve"> online publication and tools</w:t>
            </w:r>
          </w:p>
          <w:p w14:paraId="1E9F6F08" w14:textId="55A39FB4" w:rsidR="00DA7E8E" w:rsidRPr="00134DAB" w:rsidRDefault="007502A4" w:rsidP="00F15C60">
            <w:pPr>
              <w:pStyle w:val="ListParagraph"/>
              <w:numPr>
                <w:ilvl w:val="0"/>
                <w:numId w:val="1"/>
              </w:numPr>
              <w:tabs>
                <w:tab w:val="clear" w:pos="794"/>
                <w:tab w:val="left" w:pos="425"/>
              </w:tabs>
              <w:spacing w:before="120" w:after="120" w:line="240" w:lineRule="auto"/>
              <w:ind w:left="350"/>
              <w:jc w:val="left"/>
              <w:rPr>
                <w:b/>
                <w:bCs/>
                <w:sz w:val="24"/>
                <w:szCs w:val="24"/>
              </w:rPr>
            </w:pPr>
            <w:r w:rsidRPr="00F15C60">
              <w:rPr>
                <w:b/>
                <w:bCs/>
                <w:sz w:val="24"/>
                <w:szCs w:val="24"/>
              </w:rPr>
              <w:t xml:space="preserve">Compliance with the RR for </w:t>
            </w:r>
            <w:r w:rsidR="001E39E4">
              <w:rPr>
                <w:b/>
                <w:bCs/>
                <w:sz w:val="24"/>
                <w:szCs w:val="24"/>
              </w:rPr>
              <w:t>the n</w:t>
            </w:r>
            <w:r w:rsidRPr="00F15C60">
              <w:rPr>
                <w:b/>
                <w:bCs/>
                <w:sz w:val="24"/>
                <w:szCs w:val="24"/>
              </w:rPr>
              <w:t xml:space="preserve">ecessary </w:t>
            </w:r>
            <w:r w:rsidR="001E39E4">
              <w:rPr>
                <w:b/>
                <w:bCs/>
                <w:sz w:val="24"/>
                <w:szCs w:val="24"/>
              </w:rPr>
              <w:t>b</w:t>
            </w:r>
            <w:r w:rsidRPr="00F15C60">
              <w:rPr>
                <w:b/>
                <w:bCs/>
                <w:sz w:val="24"/>
                <w:szCs w:val="24"/>
              </w:rPr>
              <w:t>andwidth and Start/Stop times</w:t>
            </w:r>
          </w:p>
        </w:tc>
      </w:tr>
      <w:tr w:rsidR="00DA7E8E" w:rsidRPr="0015761D" w14:paraId="3A51B119" w14:textId="77777777" w:rsidTr="00DA7E8E">
        <w:tblPrEx>
          <w:jc w:val="center"/>
        </w:tblPrEx>
        <w:trPr>
          <w:gridAfter w:val="1"/>
          <w:wAfter w:w="34" w:type="dxa"/>
          <w:jc w:val="center"/>
        </w:trPr>
        <w:tc>
          <w:tcPr>
            <w:tcW w:w="1526" w:type="dxa"/>
            <w:shd w:val="clear" w:color="auto" w:fill="auto"/>
          </w:tcPr>
          <w:p w14:paraId="15389F0E" w14:textId="77777777" w:rsidR="00DA7E8E" w:rsidRPr="0015761D" w:rsidRDefault="00DA7E8E" w:rsidP="00E31C51">
            <w:pPr>
              <w:spacing w:before="0"/>
              <w:jc w:val="left"/>
              <w:rPr>
                <w:b/>
                <w:bCs/>
                <w:sz w:val="24"/>
                <w:szCs w:val="24"/>
              </w:rPr>
            </w:pPr>
          </w:p>
        </w:tc>
        <w:tc>
          <w:tcPr>
            <w:tcW w:w="8363" w:type="dxa"/>
            <w:gridSpan w:val="2"/>
            <w:vMerge/>
            <w:shd w:val="clear" w:color="auto" w:fill="auto"/>
          </w:tcPr>
          <w:p w14:paraId="383A9422" w14:textId="77777777" w:rsidR="00DA7E8E" w:rsidRPr="0015761D" w:rsidRDefault="00DA7E8E" w:rsidP="00E31C51">
            <w:pPr>
              <w:spacing w:before="0"/>
              <w:rPr>
                <w:b/>
                <w:bCs/>
                <w:sz w:val="24"/>
                <w:szCs w:val="24"/>
              </w:rPr>
            </w:pPr>
          </w:p>
        </w:tc>
      </w:tr>
      <w:tr w:rsidR="00DA7E8E" w:rsidRPr="0015761D" w14:paraId="6639C4D8" w14:textId="77777777" w:rsidTr="00DA7E8E">
        <w:tblPrEx>
          <w:jc w:val="center"/>
        </w:tblPrEx>
        <w:trPr>
          <w:gridAfter w:val="1"/>
          <w:wAfter w:w="34" w:type="dxa"/>
          <w:jc w:val="center"/>
        </w:trPr>
        <w:tc>
          <w:tcPr>
            <w:tcW w:w="1526" w:type="dxa"/>
            <w:shd w:val="clear" w:color="auto" w:fill="auto"/>
          </w:tcPr>
          <w:p w14:paraId="6B03D044" w14:textId="77777777" w:rsidR="00DA7E8E" w:rsidRPr="0015761D" w:rsidRDefault="00DA7E8E" w:rsidP="00E31C51">
            <w:pPr>
              <w:spacing w:before="0"/>
              <w:jc w:val="left"/>
              <w:rPr>
                <w:b/>
                <w:bCs/>
                <w:sz w:val="24"/>
                <w:szCs w:val="24"/>
              </w:rPr>
            </w:pPr>
          </w:p>
        </w:tc>
        <w:tc>
          <w:tcPr>
            <w:tcW w:w="8363" w:type="dxa"/>
            <w:gridSpan w:val="2"/>
            <w:vMerge/>
            <w:shd w:val="clear" w:color="auto" w:fill="auto"/>
          </w:tcPr>
          <w:p w14:paraId="0C59A5C9" w14:textId="77777777" w:rsidR="00DA7E8E" w:rsidRPr="0015761D" w:rsidRDefault="00DA7E8E" w:rsidP="00E31C51">
            <w:pPr>
              <w:spacing w:before="0"/>
              <w:rPr>
                <w:b/>
                <w:bCs/>
                <w:sz w:val="24"/>
                <w:szCs w:val="24"/>
              </w:rPr>
            </w:pPr>
          </w:p>
        </w:tc>
      </w:tr>
      <w:tr w:rsidR="00DA7E8E" w:rsidRPr="0015761D" w14:paraId="5638409F" w14:textId="77777777" w:rsidTr="00DA7E8E">
        <w:tblPrEx>
          <w:jc w:val="center"/>
        </w:tblPrEx>
        <w:trPr>
          <w:gridAfter w:val="1"/>
          <w:wAfter w:w="34" w:type="dxa"/>
          <w:jc w:val="center"/>
        </w:trPr>
        <w:tc>
          <w:tcPr>
            <w:tcW w:w="9889" w:type="dxa"/>
            <w:gridSpan w:val="3"/>
            <w:shd w:val="clear" w:color="auto" w:fill="auto"/>
          </w:tcPr>
          <w:p w14:paraId="51416E7B" w14:textId="77777777" w:rsidR="00DA7E8E" w:rsidRPr="0015761D" w:rsidRDefault="00DA7E8E" w:rsidP="00E31C51">
            <w:pPr>
              <w:spacing w:before="0"/>
              <w:jc w:val="left"/>
              <w:rPr>
                <w:b/>
                <w:bCs/>
                <w:sz w:val="24"/>
                <w:szCs w:val="24"/>
              </w:rPr>
            </w:pPr>
          </w:p>
        </w:tc>
      </w:tr>
      <w:tr w:rsidR="00DA7E8E" w:rsidRPr="0015761D" w14:paraId="61D42706" w14:textId="77777777" w:rsidTr="00DA7E8E">
        <w:tblPrEx>
          <w:jc w:val="center"/>
        </w:tblPrEx>
        <w:trPr>
          <w:gridAfter w:val="1"/>
          <w:wAfter w:w="34" w:type="dxa"/>
          <w:jc w:val="center"/>
        </w:trPr>
        <w:tc>
          <w:tcPr>
            <w:tcW w:w="9889" w:type="dxa"/>
            <w:gridSpan w:val="3"/>
            <w:shd w:val="clear" w:color="auto" w:fill="auto"/>
          </w:tcPr>
          <w:p w14:paraId="4713E8BB" w14:textId="77777777" w:rsidR="00DA7E8E" w:rsidRPr="0015761D" w:rsidRDefault="00DA7E8E" w:rsidP="00E31C51">
            <w:pPr>
              <w:spacing w:before="0"/>
              <w:jc w:val="left"/>
              <w:rPr>
                <w:b/>
                <w:bCs/>
                <w:sz w:val="24"/>
                <w:szCs w:val="24"/>
              </w:rPr>
            </w:pPr>
          </w:p>
        </w:tc>
      </w:tr>
    </w:tbl>
    <w:p w14:paraId="02BED26F" w14:textId="01AA4143" w:rsidR="00DA7E8E" w:rsidRPr="00F15C60" w:rsidRDefault="00DA7E8E" w:rsidP="00F15C60">
      <w:pPr>
        <w:pStyle w:val="ListParagraph"/>
        <w:numPr>
          <w:ilvl w:val="0"/>
          <w:numId w:val="4"/>
        </w:numPr>
        <w:tabs>
          <w:tab w:val="clear" w:pos="794"/>
          <w:tab w:val="clear" w:pos="1191"/>
          <w:tab w:val="clear" w:pos="1588"/>
          <w:tab w:val="clear" w:pos="1985"/>
        </w:tabs>
        <w:spacing w:before="120" w:after="120" w:line="240" w:lineRule="auto"/>
        <w:ind w:left="0" w:firstLine="0"/>
        <w:rPr>
          <w:b/>
          <w:bCs/>
          <w:sz w:val="24"/>
          <w:szCs w:val="24"/>
        </w:rPr>
      </w:pPr>
      <w:r w:rsidRPr="00F15C60">
        <w:rPr>
          <w:b/>
          <w:bCs/>
          <w:sz w:val="24"/>
          <w:szCs w:val="24"/>
        </w:rPr>
        <w:t>Closing date</w:t>
      </w:r>
      <w:r w:rsidR="008F2E9F" w:rsidRPr="00F15C60">
        <w:rPr>
          <w:b/>
          <w:bCs/>
          <w:sz w:val="24"/>
          <w:szCs w:val="24"/>
        </w:rPr>
        <w:t>s</w:t>
      </w:r>
      <w:r w:rsidRPr="00F15C60">
        <w:rPr>
          <w:b/>
          <w:bCs/>
          <w:sz w:val="24"/>
          <w:szCs w:val="24"/>
        </w:rPr>
        <w:t xml:space="preserve"> for receipt of HF broadcasting schedules for the next seasons  </w:t>
      </w:r>
    </w:p>
    <w:p w14:paraId="6D9B9070" w14:textId="0774C2E4" w:rsidR="00DA7E8E" w:rsidRPr="0015761D" w:rsidRDefault="00DA7E8E" w:rsidP="00BA00F2">
      <w:pPr>
        <w:spacing w:before="120" w:after="120" w:line="240" w:lineRule="auto"/>
        <w:rPr>
          <w:sz w:val="24"/>
          <w:szCs w:val="24"/>
        </w:rPr>
      </w:pPr>
      <w:r w:rsidRPr="0015761D">
        <w:rPr>
          <w:sz w:val="24"/>
          <w:szCs w:val="24"/>
        </w:rPr>
        <w:t>In accordanc</w:t>
      </w:r>
      <w:bookmarkStart w:id="2" w:name="Formula"/>
      <w:bookmarkStart w:id="3" w:name="MainStory"/>
      <w:bookmarkEnd w:id="2"/>
      <w:bookmarkEnd w:id="3"/>
      <w:r w:rsidRPr="0015761D">
        <w:rPr>
          <w:sz w:val="24"/>
          <w:szCs w:val="24"/>
        </w:rPr>
        <w:t xml:space="preserve">e with provision No. </w:t>
      </w:r>
      <w:r w:rsidRPr="00BA7FCB">
        <w:rPr>
          <w:b/>
          <w:bCs/>
          <w:sz w:val="24"/>
          <w:szCs w:val="24"/>
        </w:rPr>
        <w:t>12.31</w:t>
      </w:r>
      <w:r w:rsidRPr="0015761D">
        <w:rPr>
          <w:sz w:val="24"/>
          <w:szCs w:val="24"/>
        </w:rPr>
        <w:t xml:space="preserve"> of the Radio Regulations (RR), I wish to inform you that the Radiocommunication Bureau has set the closing dates for receipt of the HFBC schedules for the next seasons, as indicated in Table</w:t>
      </w:r>
      <w:r w:rsidR="008E4F4C">
        <w:rPr>
          <w:sz w:val="24"/>
          <w:szCs w:val="24"/>
        </w:rPr>
        <w:t>s</w:t>
      </w:r>
      <w:r w:rsidRPr="0015761D">
        <w:rPr>
          <w:sz w:val="24"/>
          <w:szCs w:val="24"/>
        </w:rPr>
        <w:t xml:space="preserve"> 1 and 2 of the Annex 1 to this Circular.</w:t>
      </w:r>
    </w:p>
    <w:p w14:paraId="040107AA" w14:textId="77777777" w:rsidR="00DA7E8E" w:rsidRPr="0015761D" w:rsidRDefault="00DA7E8E" w:rsidP="001C4469">
      <w:pPr>
        <w:spacing w:before="120" w:after="120" w:line="240" w:lineRule="auto"/>
        <w:rPr>
          <w:sz w:val="24"/>
          <w:szCs w:val="24"/>
        </w:rPr>
      </w:pPr>
      <w:r w:rsidRPr="0015761D">
        <w:rPr>
          <w:sz w:val="24"/>
          <w:szCs w:val="24"/>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4" w:name="Signature"/>
      <w:bookmarkEnd w:id="4"/>
      <w:r w:rsidRPr="0015761D">
        <w:rPr>
          <w:sz w:val="24"/>
          <w:szCs w:val="24"/>
        </w:rPr>
        <w:t xml:space="preserve"> and the scope of the authorizations (see No. </w:t>
      </w:r>
      <w:r w:rsidRPr="0015761D">
        <w:rPr>
          <w:b/>
          <w:bCs/>
          <w:sz w:val="24"/>
          <w:szCs w:val="24"/>
        </w:rPr>
        <w:t>12.1</w:t>
      </w:r>
      <w:r w:rsidRPr="0015761D">
        <w:rPr>
          <w:sz w:val="24"/>
          <w:szCs w:val="24"/>
        </w:rPr>
        <w:t xml:space="preserve"> of the RR); otherwise, the requirements will not be accepted by the Bureau.</w:t>
      </w:r>
    </w:p>
    <w:p w14:paraId="368FA940" w14:textId="72557529" w:rsidR="00DA7E8E" w:rsidRPr="0015761D" w:rsidRDefault="00DA7E8E" w:rsidP="001C4469">
      <w:pPr>
        <w:spacing w:before="120" w:after="120" w:line="240" w:lineRule="auto"/>
        <w:rPr>
          <w:sz w:val="24"/>
          <w:szCs w:val="24"/>
        </w:rPr>
      </w:pPr>
      <w:r w:rsidRPr="0015761D">
        <w:rPr>
          <w:sz w:val="24"/>
          <w:szCs w:val="24"/>
        </w:rPr>
        <w:t xml:space="preserve">Requirements must be </w:t>
      </w:r>
      <w:r w:rsidRPr="0015761D">
        <w:rPr>
          <w:b/>
          <w:bCs/>
          <w:sz w:val="24"/>
          <w:szCs w:val="24"/>
        </w:rPr>
        <w:t>in electronic format only</w:t>
      </w:r>
      <w:r w:rsidRPr="0015761D">
        <w:rPr>
          <w:sz w:val="24"/>
          <w:szCs w:val="24"/>
        </w:rPr>
        <w:t>, and submitted via WISFAT (</w:t>
      </w:r>
      <w:hyperlink r:id="rId8" w:history="1">
        <w:r w:rsidRPr="0015761D">
          <w:rPr>
            <w:rStyle w:val="Hyperlink"/>
            <w:sz w:val="24"/>
            <w:szCs w:val="24"/>
          </w:rPr>
          <w:t>https://www.itu.int/en/ITU-R/terrestrial/tpr/Pages/Submission.aspx</w:t>
        </w:r>
      </w:hyperlink>
      <w:r w:rsidRPr="0015761D">
        <w:rPr>
          <w:sz w:val="24"/>
          <w:szCs w:val="24"/>
        </w:rPr>
        <w:t>)</w:t>
      </w:r>
      <w:r w:rsidR="00192ABC">
        <w:rPr>
          <w:sz w:val="24"/>
          <w:szCs w:val="24"/>
        </w:rPr>
        <w:t>,</w:t>
      </w:r>
      <w:r w:rsidRPr="0015761D">
        <w:rPr>
          <w:sz w:val="24"/>
          <w:szCs w:val="24"/>
        </w:rPr>
        <w:t xml:space="preserve"> the web interface for submission of frequency assignments/ allotments (terrestrial services) in accordance with Circular Letters </w:t>
      </w:r>
      <w:hyperlink r:id="rId9" w:history="1">
        <w:r w:rsidRPr="0015761D">
          <w:rPr>
            <w:rStyle w:val="Hyperlink"/>
            <w:sz w:val="24"/>
            <w:szCs w:val="24"/>
          </w:rPr>
          <w:t>CR/297</w:t>
        </w:r>
      </w:hyperlink>
      <w:r w:rsidRPr="0015761D">
        <w:rPr>
          <w:sz w:val="24"/>
          <w:szCs w:val="24"/>
        </w:rPr>
        <w:t xml:space="preserve"> and </w:t>
      </w:r>
      <w:hyperlink r:id="rId10" w:history="1">
        <w:r w:rsidRPr="0015761D">
          <w:rPr>
            <w:rStyle w:val="Hyperlink"/>
            <w:sz w:val="24"/>
            <w:szCs w:val="24"/>
          </w:rPr>
          <w:t>CR/308</w:t>
        </w:r>
      </w:hyperlink>
      <w:r w:rsidRPr="0015761D">
        <w:rPr>
          <w:sz w:val="24"/>
          <w:szCs w:val="24"/>
        </w:rPr>
        <w:t>.</w:t>
      </w:r>
    </w:p>
    <w:p w14:paraId="405CC156" w14:textId="15CB7264" w:rsidR="00DA7E8E" w:rsidRPr="0015761D" w:rsidRDefault="00DA7E8E" w:rsidP="001C4469">
      <w:pPr>
        <w:spacing w:before="120" w:after="120" w:line="240" w:lineRule="auto"/>
        <w:rPr>
          <w:sz w:val="24"/>
          <w:szCs w:val="24"/>
        </w:rPr>
      </w:pPr>
      <w:r w:rsidRPr="0015761D">
        <w:rPr>
          <w:sz w:val="24"/>
          <w:szCs w:val="24"/>
        </w:rPr>
        <w:t xml:space="preserve">A document describing the </w:t>
      </w:r>
      <w:r w:rsidRPr="0015761D">
        <w:rPr>
          <w:b/>
          <w:bCs/>
          <w:sz w:val="24"/>
          <w:szCs w:val="24"/>
        </w:rPr>
        <w:t>file format for submission of HFBC requirements,</w:t>
      </w:r>
      <w:r w:rsidRPr="0015761D">
        <w:rPr>
          <w:sz w:val="24"/>
          <w:szCs w:val="24"/>
        </w:rPr>
        <w:t xml:space="preserve"> in accordance with Article </w:t>
      </w:r>
      <w:r w:rsidRPr="00BA7FCB">
        <w:rPr>
          <w:b/>
          <w:bCs/>
          <w:sz w:val="24"/>
          <w:szCs w:val="24"/>
        </w:rPr>
        <w:t>12</w:t>
      </w:r>
      <w:r w:rsidRPr="0015761D">
        <w:rPr>
          <w:sz w:val="24"/>
          <w:szCs w:val="24"/>
        </w:rPr>
        <w:t xml:space="preserve"> of the RR, is available for download from the webpage: </w:t>
      </w:r>
      <w:hyperlink r:id="rId11" w:anchor="/about" w:history="1">
        <w:r w:rsidR="00150E86" w:rsidRPr="00150E86">
          <w:rPr>
            <w:rStyle w:val="Hyperlink"/>
            <w:sz w:val="24"/>
            <w:szCs w:val="24"/>
          </w:rPr>
          <w:t>https://www.itu.int/ITU-R/eTerrestrial/eBroadcasting/eHFBC#/about</w:t>
        </w:r>
      </w:hyperlink>
      <w:r w:rsidRPr="0015761D">
        <w:rPr>
          <w:sz w:val="24"/>
          <w:szCs w:val="24"/>
        </w:rPr>
        <w:t xml:space="preserve"> (in the Notification section). </w:t>
      </w:r>
    </w:p>
    <w:p w14:paraId="4171C5DA" w14:textId="2903FFA8" w:rsidR="00DA7E8E" w:rsidRPr="0015761D" w:rsidRDefault="00DA7E8E" w:rsidP="001C4469">
      <w:pPr>
        <w:spacing w:before="120" w:after="120" w:line="240" w:lineRule="auto"/>
        <w:rPr>
          <w:sz w:val="24"/>
          <w:szCs w:val="24"/>
        </w:rPr>
      </w:pPr>
      <w:r w:rsidRPr="0015761D">
        <w:rPr>
          <w:sz w:val="24"/>
          <w:szCs w:val="24"/>
        </w:rPr>
        <w:lastRenderedPageBreak/>
        <w:t>The foreseen dates of the online publications containing the updated schedule</w:t>
      </w:r>
      <w:r w:rsidR="0026570C">
        <w:rPr>
          <w:sz w:val="24"/>
          <w:szCs w:val="24"/>
        </w:rPr>
        <w:t>s</w:t>
      </w:r>
      <w:r w:rsidRPr="0015761D">
        <w:rPr>
          <w:sz w:val="24"/>
          <w:szCs w:val="24"/>
        </w:rPr>
        <w:t xml:space="preserve"> are indicated in the Annex 1, together with the dates by which updated schedules need to be received by the Bureau </w:t>
      </w:r>
      <w:proofErr w:type="gramStart"/>
      <w:r w:rsidRPr="0015761D">
        <w:rPr>
          <w:sz w:val="24"/>
          <w:szCs w:val="24"/>
        </w:rPr>
        <w:t>in order to</w:t>
      </w:r>
      <w:proofErr w:type="gramEnd"/>
      <w:r w:rsidRPr="0015761D">
        <w:rPr>
          <w:sz w:val="24"/>
          <w:szCs w:val="24"/>
        </w:rPr>
        <w:t xml:space="preserve"> be incorporated. </w:t>
      </w:r>
    </w:p>
    <w:p w14:paraId="44C00C38" w14:textId="77777777" w:rsidR="00DA7E8E" w:rsidRPr="0015761D" w:rsidRDefault="00DA7E8E" w:rsidP="001C4469">
      <w:pPr>
        <w:spacing w:before="120" w:after="120" w:line="240" w:lineRule="auto"/>
        <w:rPr>
          <w:sz w:val="24"/>
          <w:szCs w:val="24"/>
        </w:rPr>
      </w:pPr>
      <w:r w:rsidRPr="0015761D">
        <w:rPr>
          <w:sz w:val="24"/>
          <w:szCs w:val="24"/>
        </w:rPr>
        <w:t xml:space="preserve">The Bureau wishes to emphasize that submission of requirements before the closing date is necessary </w:t>
      </w:r>
      <w:proofErr w:type="gramStart"/>
      <w:r w:rsidRPr="0015761D">
        <w:rPr>
          <w:sz w:val="24"/>
          <w:szCs w:val="24"/>
        </w:rPr>
        <w:t>in order to</w:t>
      </w:r>
      <w:proofErr w:type="gramEnd"/>
      <w:r w:rsidRPr="0015761D">
        <w:rPr>
          <w:sz w:val="24"/>
          <w:szCs w:val="24"/>
        </w:rPr>
        <w:t xml:space="preserve"> obtain a complete and accurate tentative schedule together with compatibility analysis for effective coordination process.</w:t>
      </w:r>
    </w:p>
    <w:p w14:paraId="50994F43" w14:textId="77777777" w:rsidR="00DA7E8E" w:rsidRPr="0015761D" w:rsidRDefault="00DA7E8E" w:rsidP="001C4469">
      <w:pPr>
        <w:spacing w:before="120" w:after="120" w:line="240" w:lineRule="auto"/>
        <w:rPr>
          <w:b/>
          <w:bCs/>
          <w:sz w:val="24"/>
          <w:szCs w:val="24"/>
        </w:rPr>
      </w:pPr>
    </w:p>
    <w:p w14:paraId="2482A737" w14:textId="7B965E69" w:rsidR="00DA7E8E" w:rsidRPr="00F15C60" w:rsidRDefault="00DA7E8E" w:rsidP="00F15C60">
      <w:pPr>
        <w:pStyle w:val="ListParagraph"/>
        <w:numPr>
          <w:ilvl w:val="0"/>
          <w:numId w:val="4"/>
        </w:numPr>
        <w:tabs>
          <w:tab w:val="clear" w:pos="794"/>
          <w:tab w:val="clear" w:pos="1191"/>
          <w:tab w:val="clear" w:pos="1588"/>
          <w:tab w:val="clear" w:pos="1985"/>
        </w:tabs>
        <w:spacing w:before="120" w:after="120" w:line="240" w:lineRule="auto"/>
        <w:ind w:left="0" w:firstLine="0"/>
        <w:rPr>
          <w:b/>
          <w:bCs/>
          <w:sz w:val="24"/>
          <w:szCs w:val="24"/>
        </w:rPr>
      </w:pPr>
      <w:r w:rsidRPr="00F15C60">
        <w:rPr>
          <w:b/>
          <w:bCs/>
          <w:sz w:val="24"/>
          <w:szCs w:val="24"/>
        </w:rPr>
        <w:t>Regional coordination meetings</w:t>
      </w:r>
    </w:p>
    <w:p w14:paraId="4355B5B5" w14:textId="716A1F9E" w:rsidR="00DA7E8E" w:rsidRPr="0015761D" w:rsidRDefault="00DA7E8E" w:rsidP="001C4469">
      <w:pPr>
        <w:spacing w:before="120" w:after="120" w:line="240" w:lineRule="auto"/>
        <w:rPr>
          <w:rFonts w:asciiTheme="minorHAnsi" w:hAnsiTheme="minorHAnsi"/>
          <w:sz w:val="24"/>
          <w:szCs w:val="24"/>
        </w:rPr>
      </w:pPr>
      <w:r w:rsidRPr="0015761D">
        <w:rPr>
          <w:rFonts w:asciiTheme="minorHAnsi" w:hAnsiTheme="minorHAnsi"/>
          <w:sz w:val="24"/>
          <w:szCs w:val="24"/>
        </w:rPr>
        <w:t xml:space="preserve">Information of the upcoming meetings of regional coordination groups can be found on the webpage </w:t>
      </w:r>
      <w:hyperlink r:id="rId12" w:anchor="/about" w:history="1">
        <w:r w:rsidR="00192ABC" w:rsidRPr="00AE5B17">
          <w:rPr>
            <w:rStyle w:val="Hyperlink"/>
            <w:rFonts w:asciiTheme="minorHAnsi" w:hAnsiTheme="minorHAnsi" w:cstheme="minorHAnsi"/>
            <w:sz w:val="24"/>
            <w:szCs w:val="24"/>
          </w:rPr>
          <w:t>https://www.itu.int/ITU-R/eTerrestrial/eBroadcasting/eHFBC#/about</w:t>
        </w:r>
      </w:hyperlink>
      <w:r w:rsidRPr="0015761D">
        <w:rPr>
          <w:rFonts w:asciiTheme="minorHAnsi" w:hAnsiTheme="minorHAnsi"/>
          <w:sz w:val="24"/>
          <w:szCs w:val="24"/>
        </w:rPr>
        <w:t>.</w:t>
      </w:r>
    </w:p>
    <w:p w14:paraId="4A28BA98" w14:textId="77777777" w:rsidR="00DA7E8E" w:rsidRPr="0015761D" w:rsidRDefault="00DA7E8E" w:rsidP="001C4469">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15761D">
        <w:rPr>
          <w:rFonts w:asciiTheme="minorHAnsi" w:hAnsiTheme="minorHAnsi" w:cs="Aller"/>
          <w:sz w:val="24"/>
          <w:szCs w:val="24"/>
          <w:lang w:eastAsia="zh-CN"/>
        </w:rPr>
        <w:t xml:space="preserve">In this respect, your attention is drawn to the importance of participating in the regional coordination groups, which facilitate bilateral and multilateral coordination among administrations and broadcasters of various regions within the framework of Article </w:t>
      </w:r>
      <w:r w:rsidRPr="00A20081">
        <w:rPr>
          <w:rFonts w:asciiTheme="minorHAnsi" w:hAnsiTheme="minorHAnsi" w:cs="Aller"/>
          <w:b/>
          <w:bCs/>
          <w:sz w:val="24"/>
          <w:szCs w:val="24"/>
          <w:lang w:eastAsia="zh-CN"/>
        </w:rPr>
        <w:t>12</w:t>
      </w:r>
      <w:r w:rsidRPr="0015761D">
        <w:rPr>
          <w:rFonts w:asciiTheme="minorHAnsi" w:hAnsiTheme="minorHAnsi" w:cs="Aller"/>
          <w:sz w:val="24"/>
          <w:szCs w:val="24"/>
          <w:lang w:eastAsia="zh-CN"/>
        </w:rPr>
        <w:t xml:space="preserve"> of the RR. </w:t>
      </w:r>
    </w:p>
    <w:p w14:paraId="178B2AE5" w14:textId="77777777" w:rsidR="00DA7E8E" w:rsidRPr="0015761D" w:rsidRDefault="00DA7E8E" w:rsidP="001C4469">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15761D">
        <w:rPr>
          <w:rFonts w:asciiTheme="minorHAnsi" w:hAnsiTheme="minorHAnsi" w:cs="Aller"/>
          <w:sz w:val="24"/>
          <w:szCs w:val="24"/>
          <w:lang w:eastAsia="zh-CN"/>
        </w:rPr>
        <w:t xml:space="preserve">Therefore, the Bureau encourages your Administration to continue participating in such coordination meetings that prove to be an efficient mechanism in resolving overlapping HFBC requirements of different countries and thus ensures compatible operation of </w:t>
      </w:r>
      <w:r w:rsidRPr="0015761D">
        <w:rPr>
          <w:rFonts w:asciiTheme="minorHAnsi" w:eastAsiaTheme="minorEastAsia" w:hAnsiTheme="minorHAnsi" w:cs="TimesNewRomanPSMT"/>
          <w:sz w:val="24"/>
          <w:szCs w:val="24"/>
          <w:lang w:eastAsia="zh-CN"/>
        </w:rPr>
        <w:t>high frequency broadcasting stations</w:t>
      </w:r>
      <w:r w:rsidRPr="0015761D">
        <w:rPr>
          <w:rFonts w:asciiTheme="minorHAnsi" w:hAnsiTheme="minorHAnsi" w:cs="Aller"/>
          <w:sz w:val="24"/>
          <w:szCs w:val="24"/>
          <w:lang w:eastAsia="zh-CN"/>
        </w:rPr>
        <w:t>.</w:t>
      </w:r>
    </w:p>
    <w:p w14:paraId="50F94638" w14:textId="77777777" w:rsidR="00DA7E8E" w:rsidRPr="0015761D" w:rsidRDefault="00DA7E8E" w:rsidP="001C4469">
      <w:pPr>
        <w:spacing w:before="120" w:after="120" w:line="240" w:lineRule="auto"/>
        <w:rPr>
          <w:sz w:val="24"/>
          <w:szCs w:val="24"/>
        </w:rPr>
      </w:pPr>
      <w:r w:rsidRPr="0015761D">
        <w:rPr>
          <w:sz w:val="24"/>
          <w:szCs w:val="24"/>
        </w:rPr>
        <w:t>For additional information, please contact the regional coordination groups:</w:t>
      </w:r>
    </w:p>
    <w:p w14:paraId="0607A093" w14:textId="4784A3A3" w:rsidR="00DA7E8E" w:rsidRPr="0015761D" w:rsidRDefault="00DA7E8E" w:rsidP="007928E4">
      <w:pPr>
        <w:pStyle w:val="enumlev1"/>
        <w:tabs>
          <w:tab w:val="clear" w:pos="794"/>
          <w:tab w:val="clear" w:pos="1191"/>
          <w:tab w:val="clear" w:pos="1588"/>
          <w:tab w:val="clear" w:pos="1985"/>
        </w:tabs>
        <w:spacing w:before="0" w:line="240" w:lineRule="auto"/>
        <w:ind w:left="0" w:firstLine="0"/>
        <w:rPr>
          <w:sz w:val="24"/>
          <w:szCs w:val="24"/>
        </w:rPr>
      </w:pPr>
      <w:r w:rsidRPr="0015761D">
        <w:rPr>
          <w:sz w:val="24"/>
          <w:szCs w:val="24"/>
        </w:rPr>
        <w:t>•</w:t>
      </w:r>
      <w:r w:rsidRPr="0015761D">
        <w:rPr>
          <w:sz w:val="24"/>
          <w:szCs w:val="24"/>
        </w:rPr>
        <w:tab/>
      </w:r>
      <w:bookmarkStart w:id="5" w:name="_Hlk153267485"/>
      <w:r w:rsidRPr="0015761D">
        <w:rPr>
          <w:sz w:val="24"/>
          <w:szCs w:val="24"/>
        </w:rPr>
        <w:t xml:space="preserve">Arab States Broadcasting Union (ASBU): </w:t>
      </w:r>
      <w:hyperlink r:id="rId13" w:history="1">
        <w:r w:rsidR="0068013C" w:rsidRPr="00F64658">
          <w:rPr>
            <w:rStyle w:val="Hyperlink"/>
            <w:sz w:val="24"/>
            <w:szCs w:val="24"/>
          </w:rPr>
          <w:t>https://www.asbu.net</w:t>
        </w:r>
      </w:hyperlink>
    </w:p>
    <w:bookmarkEnd w:id="5"/>
    <w:p w14:paraId="6DA7CCCA" w14:textId="175D3D74" w:rsidR="00DA7E8E" w:rsidRPr="0015761D" w:rsidRDefault="00DA7E8E" w:rsidP="007928E4">
      <w:pPr>
        <w:pStyle w:val="enumlev1"/>
        <w:tabs>
          <w:tab w:val="clear" w:pos="794"/>
          <w:tab w:val="clear" w:pos="1191"/>
          <w:tab w:val="clear" w:pos="1588"/>
          <w:tab w:val="clear" w:pos="1985"/>
        </w:tabs>
        <w:spacing w:before="0" w:line="240" w:lineRule="auto"/>
        <w:ind w:left="709" w:hanging="709"/>
        <w:jc w:val="left"/>
        <w:rPr>
          <w:sz w:val="24"/>
          <w:szCs w:val="24"/>
        </w:rPr>
      </w:pPr>
      <w:r w:rsidRPr="0015761D">
        <w:rPr>
          <w:sz w:val="24"/>
          <w:szCs w:val="24"/>
        </w:rPr>
        <w:t>•</w:t>
      </w:r>
      <w:r w:rsidRPr="0015761D">
        <w:rPr>
          <w:sz w:val="24"/>
          <w:szCs w:val="24"/>
        </w:rPr>
        <w:tab/>
        <w:t xml:space="preserve">Asia-Pacific Broadcasting Union – High Frequency Coordination (ABU-HFC):  </w:t>
      </w:r>
      <w:hyperlink r:id="rId14" w:history="1">
        <w:r w:rsidRPr="0015761D">
          <w:rPr>
            <w:rStyle w:val="Hyperlink"/>
            <w:sz w:val="24"/>
            <w:szCs w:val="24"/>
          </w:rPr>
          <w:t>http://www.abu.org.my</w:t>
        </w:r>
      </w:hyperlink>
    </w:p>
    <w:p w14:paraId="596853B9" w14:textId="77777777" w:rsidR="00DA7E8E" w:rsidRPr="0015761D" w:rsidRDefault="00DA7E8E" w:rsidP="007928E4">
      <w:pPr>
        <w:pStyle w:val="enumlev1"/>
        <w:tabs>
          <w:tab w:val="clear" w:pos="794"/>
          <w:tab w:val="clear" w:pos="1191"/>
          <w:tab w:val="clear" w:pos="1588"/>
          <w:tab w:val="clear" w:pos="1985"/>
        </w:tabs>
        <w:spacing w:before="0" w:line="240" w:lineRule="auto"/>
        <w:ind w:left="0" w:firstLine="0"/>
        <w:rPr>
          <w:sz w:val="24"/>
          <w:szCs w:val="24"/>
        </w:rPr>
      </w:pPr>
      <w:r w:rsidRPr="0015761D">
        <w:rPr>
          <w:sz w:val="24"/>
          <w:szCs w:val="24"/>
        </w:rPr>
        <w:t>•</w:t>
      </w:r>
      <w:r w:rsidRPr="0015761D">
        <w:rPr>
          <w:sz w:val="24"/>
          <w:szCs w:val="24"/>
        </w:rPr>
        <w:tab/>
        <w:t xml:space="preserve">High Frequency Coordination Conference (HFCC): </w:t>
      </w:r>
      <w:hyperlink r:id="rId15" w:history="1">
        <w:r w:rsidRPr="0015761D">
          <w:rPr>
            <w:rStyle w:val="Hyperlink"/>
            <w:sz w:val="24"/>
            <w:szCs w:val="24"/>
          </w:rPr>
          <w:t>http://www.hfcc.org</w:t>
        </w:r>
      </w:hyperlink>
      <w:r w:rsidRPr="0015761D">
        <w:rPr>
          <w:sz w:val="24"/>
          <w:szCs w:val="24"/>
        </w:rPr>
        <w:t xml:space="preserve"> </w:t>
      </w:r>
    </w:p>
    <w:p w14:paraId="24E2239E" w14:textId="77777777" w:rsidR="00DA7E8E" w:rsidRPr="0015761D" w:rsidRDefault="00DA7E8E" w:rsidP="001C4469">
      <w:pPr>
        <w:spacing w:before="120" w:after="120" w:line="240" w:lineRule="auto"/>
        <w:rPr>
          <w:sz w:val="24"/>
          <w:szCs w:val="24"/>
        </w:rPr>
      </w:pPr>
    </w:p>
    <w:p w14:paraId="127D31CD" w14:textId="284B2B52" w:rsidR="00DA7E8E" w:rsidRPr="0015761D" w:rsidRDefault="00DA7E8E" w:rsidP="00F15C60">
      <w:pPr>
        <w:pStyle w:val="ListParagraph"/>
        <w:numPr>
          <w:ilvl w:val="0"/>
          <w:numId w:val="4"/>
        </w:numPr>
        <w:tabs>
          <w:tab w:val="clear" w:pos="794"/>
          <w:tab w:val="clear" w:pos="1191"/>
          <w:tab w:val="clear" w:pos="1588"/>
          <w:tab w:val="clear" w:pos="1985"/>
        </w:tabs>
        <w:spacing w:before="120" w:after="120" w:line="240" w:lineRule="auto"/>
        <w:ind w:left="0" w:firstLine="0"/>
        <w:rPr>
          <w:b/>
          <w:bCs/>
          <w:sz w:val="24"/>
          <w:szCs w:val="24"/>
        </w:rPr>
      </w:pPr>
      <w:r w:rsidRPr="0015761D">
        <w:rPr>
          <w:b/>
          <w:bCs/>
          <w:sz w:val="24"/>
          <w:szCs w:val="24"/>
        </w:rPr>
        <w:t>International Radio for Disaster Relief (IRDR)</w:t>
      </w:r>
    </w:p>
    <w:p w14:paraId="67EC514C" w14:textId="6F0B444F" w:rsidR="00DA7E8E" w:rsidRDefault="00DA7E8E" w:rsidP="007928E4">
      <w:pPr>
        <w:spacing w:before="120" w:line="240" w:lineRule="auto"/>
        <w:rPr>
          <w:bCs/>
          <w:sz w:val="24"/>
          <w:szCs w:val="24"/>
        </w:rPr>
      </w:pPr>
      <w:r w:rsidRPr="0015761D">
        <w:rPr>
          <w:sz w:val="24"/>
          <w:szCs w:val="24"/>
        </w:rPr>
        <w:t xml:space="preserve">In accordance with Recommendation </w:t>
      </w:r>
      <w:r w:rsidRPr="0015761D">
        <w:rPr>
          <w:rStyle w:val="href"/>
          <w:sz w:val="24"/>
          <w:szCs w:val="24"/>
        </w:rPr>
        <w:t>ITU-R BS.2107-</w:t>
      </w:r>
      <w:r w:rsidR="00850C9A">
        <w:rPr>
          <w:rStyle w:val="href"/>
          <w:sz w:val="24"/>
          <w:szCs w:val="24"/>
        </w:rPr>
        <w:t>1</w:t>
      </w:r>
      <w:r w:rsidR="00850C9A" w:rsidRPr="0015761D">
        <w:rPr>
          <w:rStyle w:val="href"/>
          <w:sz w:val="24"/>
          <w:szCs w:val="24"/>
        </w:rPr>
        <w:t xml:space="preserve"> </w:t>
      </w:r>
      <w:r w:rsidRPr="0015761D">
        <w:rPr>
          <w:sz w:val="24"/>
          <w:szCs w:val="24"/>
        </w:rPr>
        <w:t xml:space="preserve">defining the International Radio for Disaster Relief (IRDR) frequencies that may be used for High Frequency (HF) emergency broadcasts, the Bureau recommends </w:t>
      </w:r>
      <w:r w:rsidRPr="0015761D">
        <w:rPr>
          <w:bCs/>
          <w:sz w:val="24"/>
          <w:szCs w:val="24"/>
        </w:rPr>
        <w:t xml:space="preserve">that the IRDR </w:t>
      </w:r>
      <w:r w:rsidRPr="0015761D">
        <w:rPr>
          <w:sz w:val="24"/>
          <w:szCs w:val="24"/>
        </w:rPr>
        <w:t xml:space="preserve">frequencies listed </w:t>
      </w:r>
      <w:r w:rsidRPr="0015761D">
        <w:rPr>
          <w:bCs/>
          <w:sz w:val="24"/>
          <w:szCs w:val="24"/>
        </w:rPr>
        <w:t xml:space="preserve">in Annex 2 to this Circular be </w:t>
      </w:r>
      <w:r w:rsidRPr="00BC117B">
        <w:rPr>
          <w:bCs/>
          <w:sz w:val="24"/>
          <w:szCs w:val="24"/>
        </w:rPr>
        <w:t>reserved</w:t>
      </w:r>
      <w:r w:rsidR="00BC117B" w:rsidRPr="00BC117B">
        <w:rPr>
          <w:bCs/>
          <w:sz w:val="24"/>
          <w:szCs w:val="24"/>
        </w:rPr>
        <w:t xml:space="preserve"> </w:t>
      </w:r>
      <w:r w:rsidR="00BC117B" w:rsidRPr="007928E4">
        <w:rPr>
          <w:sz w:val="24"/>
          <w:szCs w:val="24"/>
        </w:rPr>
        <w:t>for 24 hours per day, 365 days per year</w:t>
      </w:r>
      <w:r w:rsidRPr="0015761D">
        <w:rPr>
          <w:bCs/>
          <w:sz w:val="24"/>
          <w:szCs w:val="24"/>
        </w:rPr>
        <w:t xml:space="preserve"> for emergency broadcasts in the High Frequency (HF) bands.</w:t>
      </w:r>
    </w:p>
    <w:p w14:paraId="1C4D3552" w14:textId="77777777" w:rsidR="00873D64" w:rsidRDefault="00873D64" w:rsidP="001C4469">
      <w:pPr>
        <w:spacing w:before="120" w:after="120" w:line="240" w:lineRule="auto"/>
        <w:rPr>
          <w:b/>
          <w:bCs/>
          <w:sz w:val="24"/>
          <w:szCs w:val="24"/>
        </w:rPr>
      </w:pPr>
    </w:p>
    <w:p w14:paraId="266346AF" w14:textId="73DFD513" w:rsidR="00873D64" w:rsidRPr="00F15C60" w:rsidRDefault="00873D64" w:rsidP="00F15C60">
      <w:pPr>
        <w:pStyle w:val="ListParagraph"/>
        <w:numPr>
          <w:ilvl w:val="0"/>
          <w:numId w:val="4"/>
        </w:numPr>
        <w:tabs>
          <w:tab w:val="clear" w:pos="794"/>
          <w:tab w:val="clear" w:pos="1191"/>
          <w:tab w:val="clear" w:pos="1588"/>
          <w:tab w:val="clear" w:pos="1985"/>
        </w:tabs>
        <w:spacing w:before="120" w:after="120" w:line="240" w:lineRule="auto"/>
        <w:ind w:left="0" w:firstLine="0"/>
        <w:rPr>
          <w:b/>
          <w:bCs/>
          <w:sz w:val="24"/>
          <w:szCs w:val="24"/>
        </w:rPr>
      </w:pPr>
      <w:proofErr w:type="spellStart"/>
      <w:r w:rsidRPr="007928E4">
        <w:rPr>
          <w:b/>
          <w:bCs/>
          <w:sz w:val="24"/>
          <w:szCs w:val="24"/>
        </w:rPr>
        <w:t>eHFBC</w:t>
      </w:r>
      <w:proofErr w:type="spellEnd"/>
      <w:r w:rsidRPr="007928E4">
        <w:rPr>
          <w:b/>
          <w:bCs/>
          <w:sz w:val="24"/>
          <w:szCs w:val="24"/>
        </w:rPr>
        <w:t xml:space="preserve"> online publication and tools</w:t>
      </w:r>
    </w:p>
    <w:p w14:paraId="6BE366A5" w14:textId="6CFE2905" w:rsidR="00873D64" w:rsidRDefault="00873D64" w:rsidP="001C4469">
      <w:pPr>
        <w:adjustRightInd/>
        <w:spacing w:before="120" w:after="120" w:line="240" w:lineRule="auto"/>
        <w:rPr>
          <w:sz w:val="24"/>
          <w:szCs w:val="24"/>
        </w:rPr>
      </w:pPr>
      <w:r w:rsidRPr="007928E4">
        <w:rPr>
          <w:sz w:val="24"/>
          <w:szCs w:val="24"/>
        </w:rPr>
        <w:t xml:space="preserve">The HFBC schedules and compatibility analysis results are free of charge online publications which have been integrated in the </w:t>
      </w:r>
      <w:proofErr w:type="spellStart"/>
      <w:r w:rsidRPr="007928E4">
        <w:rPr>
          <w:sz w:val="24"/>
          <w:szCs w:val="24"/>
        </w:rPr>
        <w:t>eTerrestrial</w:t>
      </w:r>
      <w:proofErr w:type="spellEnd"/>
      <w:r w:rsidRPr="007928E4">
        <w:rPr>
          <w:sz w:val="24"/>
          <w:szCs w:val="24"/>
        </w:rPr>
        <w:t xml:space="preserve"> portal and are available at </w:t>
      </w:r>
      <w:hyperlink r:id="rId16" w:anchor="/" w:history="1">
        <w:r w:rsidR="00CC551B" w:rsidRPr="00FF02FF">
          <w:rPr>
            <w:rStyle w:val="Hyperlink"/>
            <w:sz w:val="24"/>
            <w:szCs w:val="24"/>
          </w:rPr>
          <w:t>https://www.itu.int/ITU-R/eTerrestrial/eBroadcasting/eHFBC#/</w:t>
        </w:r>
      </w:hyperlink>
      <w:r w:rsidR="00CC551B">
        <w:rPr>
          <w:sz w:val="24"/>
          <w:szCs w:val="24"/>
        </w:rPr>
        <w:t xml:space="preserve"> </w:t>
      </w:r>
      <w:r w:rsidRPr="007928E4">
        <w:rPr>
          <w:sz w:val="24"/>
          <w:szCs w:val="24"/>
        </w:rPr>
        <w:t xml:space="preserve">(see Circular Letter </w:t>
      </w:r>
      <w:hyperlink r:id="rId17" w:history="1">
        <w:r w:rsidRPr="007928E4">
          <w:rPr>
            <w:rStyle w:val="Hyperlink"/>
            <w:sz w:val="24"/>
            <w:szCs w:val="24"/>
          </w:rPr>
          <w:t>CR/432</w:t>
        </w:r>
      </w:hyperlink>
      <w:r w:rsidRPr="007928E4">
        <w:rPr>
          <w:sz w:val="24"/>
          <w:szCs w:val="24"/>
        </w:rPr>
        <w:t>).</w:t>
      </w:r>
    </w:p>
    <w:p w14:paraId="22C21537" w14:textId="44C7ABF3" w:rsidR="00CE353C" w:rsidRPr="007928E4" w:rsidRDefault="00CE353C" w:rsidP="001C4469">
      <w:pPr>
        <w:adjustRightInd/>
        <w:spacing w:before="120" w:after="120" w:line="240" w:lineRule="auto"/>
        <w:rPr>
          <w:sz w:val="24"/>
          <w:szCs w:val="24"/>
        </w:rPr>
      </w:pPr>
      <w:r w:rsidRPr="00F15C60">
        <w:rPr>
          <w:sz w:val="24"/>
          <w:szCs w:val="24"/>
        </w:rPr>
        <w:t>Starting 1</w:t>
      </w:r>
      <w:r w:rsidRPr="00F15C60">
        <w:rPr>
          <w:sz w:val="24"/>
          <w:szCs w:val="24"/>
          <w:vertAlign w:val="superscript"/>
        </w:rPr>
        <w:t>st</w:t>
      </w:r>
      <w:r w:rsidR="00BC5DE9">
        <w:rPr>
          <w:sz w:val="24"/>
          <w:szCs w:val="24"/>
        </w:rPr>
        <w:t xml:space="preserve"> </w:t>
      </w:r>
      <w:r w:rsidR="00E61E02">
        <w:rPr>
          <w:sz w:val="24"/>
          <w:szCs w:val="24"/>
        </w:rPr>
        <w:t>of</w:t>
      </w:r>
      <w:r w:rsidR="00E61E02" w:rsidRPr="00E61E02">
        <w:rPr>
          <w:sz w:val="24"/>
          <w:szCs w:val="24"/>
        </w:rPr>
        <w:t xml:space="preserve"> Ma</w:t>
      </w:r>
      <w:r w:rsidR="00E61E02">
        <w:rPr>
          <w:sz w:val="24"/>
          <w:szCs w:val="24"/>
        </w:rPr>
        <w:t>rch</w:t>
      </w:r>
      <w:r w:rsidRPr="00F15C60">
        <w:rPr>
          <w:sz w:val="24"/>
          <w:szCs w:val="24"/>
        </w:rPr>
        <w:t xml:space="preserve"> 2025, to access the </w:t>
      </w:r>
      <w:proofErr w:type="spellStart"/>
      <w:r w:rsidRPr="00F15C60">
        <w:rPr>
          <w:sz w:val="24"/>
          <w:szCs w:val="24"/>
        </w:rPr>
        <w:t>eHFBC</w:t>
      </w:r>
      <w:proofErr w:type="spellEnd"/>
      <w:r w:rsidRPr="00F15C60">
        <w:rPr>
          <w:sz w:val="24"/>
          <w:szCs w:val="24"/>
        </w:rPr>
        <w:t xml:space="preserve"> platform users will need to adhere to the ITU’s standard access policy, which requires registration as TIES users.  All information about registration is available on the </w:t>
      </w:r>
      <w:hyperlink r:id="rId18" w:history="1">
        <w:r w:rsidRPr="00F15C60">
          <w:rPr>
            <w:rStyle w:val="Hyperlink"/>
          </w:rPr>
          <w:t>TIES webpage</w:t>
        </w:r>
      </w:hyperlink>
      <w:r w:rsidR="00BC5DE9">
        <w:rPr>
          <w:sz w:val="24"/>
          <w:szCs w:val="24"/>
        </w:rPr>
        <w:t>.</w:t>
      </w:r>
    </w:p>
    <w:p w14:paraId="15967AB9" w14:textId="77777777" w:rsidR="00873D64" w:rsidRDefault="00873D64" w:rsidP="001C4469">
      <w:pPr>
        <w:spacing w:line="240" w:lineRule="auto"/>
        <w:rPr>
          <w:bCs/>
          <w:sz w:val="24"/>
          <w:szCs w:val="24"/>
        </w:rPr>
      </w:pPr>
    </w:p>
    <w:p w14:paraId="5B07DE54" w14:textId="4DDD8ECB" w:rsidR="00831B00" w:rsidRPr="00F15C60" w:rsidRDefault="00831B00" w:rsidP="00F15C60">
      <w:pPr>
        <w:pStyle w:val="ListParagraph"/>
        <w:numPr>
          <w:ilvl w:val="0"/>
          <w:numId w:val="4"/>
        </w:numPr>
        <w:tabs>
          <w:tab w:val="clear" w:pos="794"/>
          <w:tab w:val="clear" w:pos="1191"/>
          <w:tab w:val="clear" w:pos="1588"/>
          <w:tab w:val="clear" w:pos="1985"/>
        </w:tabs>
        <w:spacing w:before="120" w:after="120" w:line="240" w:lineRule="auto"/>
        <w:ind w:left="0" w:firstLine="0"/>
        <w:rPr>
          <w:b/>
          <w:bCs/>
          <w:sz w:val="24"/>
          <w:szCs w:val="24"/>
        </w:rPr>
      </w:pPr>
      <w:r w:rsidRPr="00F15C60">
        <w:rPr>
          <w:b/>
          <w:bCs/>
          <w:sz w:val="24"/>
          <w:szCs w:val="24"/>
        </w:rPr>
        <w:t xml:space="preserve">Compliance with the RR for </w:t>
      </w:r>
      <w:r w:rsidR="001E39E4" w:rsidRPr="00F15C60">
        <w:rPr>
          <w:b/>
          <w:bCs/>
          <w:sz w:val="24"/>
          <w:szCs w:val="24"/>
        </w:rPr>
        <w:t>the n</w:t>
      </w:r>
      <w:r w:rsidRPr="00F15C60">
        <w:rPr>
          <w:b/>
          <w:bCs/>
          <w:sz w:val="24"/>
          <w:szCs w:val="24"/>
        </w:rPr>
        <w:t xml:space="preserve">ecessary </w:t>
      </w:r>
      <w:r w:rsidR="001E39E4" w:rsidRPr="00F15C60">
        <w:rPr>
          <w:b/>
          <w:bCs/>
          <w:sz w:val="24"/>
          <w:szCs w:val="24"/>
        </w:rPr>
        <w:t>b</w:t>
      </w:r>
      <w:r w:rsidRPr="00F15C60">
        <w:rPr>
          <w:b/>
          <w:bCs/>
          <w:sz w:val="24"/>
          <w:szCs w:val="24"/>
        </w:rPr>
        <w:t>andwidth and Start/Stop times</w:t>
      </w:r>
    </w:p>
    <w:p w14:paraId="3F32E347" w14:textId="17DA2E57" w:rsidR="00831B00" w:rsidRDefault="00831B00" w:rsidP="00831B00">
      <w:pPr>
        <w:pStyle w:val="xelementtoproof"/>
        <w:shd w:val="clear" w:color="auto" w:fill="FFFFFF"/>
        <w:spacing w:before="0" w:beforeAutospacing="0" w:after="0" w:afterAutospacing="0"/>
        <w:rPr>
          <w:rFonts w:asciiTheme="minorHAnsi" w:hAnsiTheme="minorHAnsi" w:cstheme="minorHAnsi"/>
          <w:color w:val="000000"/>
          <w:bdr w:val="none" w:sz="0" w:space="0" w:color="auto" w:frame="1"/>
        </w:rPr>
      </w:pPr>
      <w:r w:rsidRPr="00F15C60">
        <w:rPr>
          <w:rFonts w:asciiTheme="minorHAnsi" w:hAnsiTheme="minorHAnsi" w:cstheme="minorHAnsi"/>
          <w:color w:val="000000"/>
          <w:bdr w:val="none" w:sz="0" w:space="0" w:color="auto" w:frame="1"/>
        </w:rPr>
        <w:t xml:space="preserve">Your cooperation in ensuring compliance with </w:t>
      </w:r>
      <w:r>
        <w:rPr>
          <w:rFonts w:asciiTheme="minorHAnsi" w:hAnsiTheme="minorHAnsi" w:cstheme="minorHAnsi"/>
          <w:color w:val="000000"/>
          <w:bdr w:val="none" w:sz="0" w:space="0" w:color="auto" w:frame="1"/>
        </w:rPr>
        <w:t>the following</w:t>
      </w:r>
      <w:r w:rsidRPr="00F15C60">
        <w:rPr>
          <w:rFonts w:asciiTheme="minorHAnsi" w:hAnsiTheme="minorHAnsi" w:cstheme="minorHAnsi"/>
          <w:color w:val="000000"/>
          <w:bdr w:val="none" w:sz="0" w:space="0" w:color="auto" w:frame="1"/>
        </w:rPr>
        <w:t xml:space="preserve"> </w:t>
      </w:r>
      <w:r w:rsidR="00823657">
        <w:rPr>
          <w:rFonts w:asciiTheme="minorHAnsi" w:hAnsiTheme="minorHAnsi" w:cstheme="minorHAnsi"/>
          <w:color w:val="000000"/>
          <w:bdr w:val="none" w:sz="0" w:space="0" w:color="auto" w:frame="1"/>
        </w:rPr>
        <w:t>item</w:t>
      </w:r>
      <w:r w:rsidRPr="00F15C60">
        <w:rPr>
          <w:rFonts w:asciiTheme="minorHAnsi" w:hAnsiTheme="minorHAnsi" w:cstheme="minorHAnsi"/>
          <w:color w:val="000000"/>
          <w:bdr w:val="none" w:sz="0" w:space="0" w:color="auto" w:frame="1"/>
        </w:rPr>
        <w:t xml:space="preserve">s is </w:t>
      </w:r>
      <w:r w:rsidR="00823657">
        <w:rPr>
          <w:rFonts w:asciiTheme="minorHAnsi" w:hAnsiTheme="minorHAnsi" w:cstheme="minorHAnsi"/>
          <w:color w:val="000000"/>
          <w:bdr w:val="none" w:sz="0" w:space="0" w:color="auto" w:frame="1"/>
        </w:rPr>
        <w:t xml:space="preserve">highly recommended </w:t>
      </w:r>
      <w:r w:rsidRPr="00F15C60">
        <w:rPr>
          <w:rFonts w:asciiTheme="minorHAnsi" w:hAnsiTheme="minorHAnsi" w:cstheme="minorHAnsi"/>
          <w:color w:val="000000"/>
          <w:bdr w:val="none" w:sz="0" w:space="0" w:color="auto" w:frame="1"/>
        </w:rPr>
        <w:t>and will contribute to the efficient functioning of HF broadcasting transmissions</w:t>
      </w:r>
      <w:r w:rsidR="00823657">
        <w:rPr>
          <w:rFonts w:asciiTheme="minorHAnsi" w:hAnsiTheme="minorHAnsi" w:cstheme="minorHAnsi"/>
          <w:color w:val="000000"/>
          <w:bdr w:val="none" w:sz="0" w:space="0" w:color="auto" w:frame="1"/>
        </w:rPr>
        <w:t>:</w:t>
      </w:r>
    </w:p>
    <w:p w14:paraId="746DC20A" w14:textId="77777777" w:rsidR="004A751D" w:rsidRDefault="004A751D" w:rsidP="00831B00">
      <w:pPr>
        <w:pStyle w:val="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49D48A4F" w14:textId="77777777" w:rsidR="00D37E11" w:rsidRDefault="00D37E11" w:rsidP="00831B00">
      <w:pPr>
        <w:pStyle w:val="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24BD0BB0" w14:textId="2D6D3C08" w:rsidR="001C4469" w:rsidRPr="00F15C60" w:rsidRDefault="00831B00" w:rsidP="00F15C60">
      <w:pPr>
        <w:pStyle w:val="ListParagraph"/>
        <w:numPr>
          <w:ilvl w:val="1"/>
          <w:numId w:val="4"/>
        </w:numPr>
        <w:tabs>
          <w:tab w:val="clear" w:pos="794"/>
          <w:tab w:val="clear" w:pos="1191"/>
          <w:tab w:val="clear" w:pos="1588"/>
          <w:tab w:val="clear" w:pos="1985"/>
        </w:tabs>
        <w:spacing w:before="240" w:after="120" w:line="240" w:lineRule="auto"/>
        <w:ind w:left="0" w:firstLine="0"/>
        <w:rPr>
          <w:rFonts w:asciiTheme="minorHAnsi" w:hAnsiTheme="minorHAnsi" w:cstheme="minorHAnsi"/>
          <w:bCs/>
          <w:sz w:val="24"/>
          <w:szCs w:val="24"/>
        </w:rPr>
      </w:pPr>
      <w:r w:rsidRPr="00F15C60">
        <w:rPr>
          <w:rFonts w:asciiTheme="minorHAnsi" w:hAnsiTheme="minorHAnsi" w:cstheme="minorHAnsi"/>
          <w:b/>
          <w:bCs/>
          <w:color w:val="000000"/>
          <w:sz w:val="24"/>
          <w:szCs w:val="24"/>
        </w:rPr>
        <w:lastRenderedPageBreak/>
        <w:t xml:space="preserve">Necessary </w:t>
      </w:r>
      <w:r w:rsidR="00E61E02" w:rsidRPr="00F15C60">
        <w:rPr>
          <w:rFonts w:asciiTheme="minorHAnsi" w:hAnsiTheme="minorHAnsi" w:cstheme="minorHAnsi"/>
          <w:b/>
          <w:bCs/>
          <w:color w:val="000000"/>
          <w:sz w:val="24"/>
          <w:szCs w:val="24"/>
        </w:rPr>
        <w:t>b</w:t>
      </w:r>
      <w:r w:rsidRPr="00F15C60">
        <w:rPr>
          <w:rFonts w:asciiTheme="minorHAnsi" w:hAnsiTheme="minorHAnsi" w:cstheme="minorHAnsi"/>
          <w:b/>
          <w:bCs/>
          <w:color w:val="000000"/>
          <w:sz w:val="24"/>
          <w:szCs w:val="24"/>
        </w:rPr>
        <w:t xml:space="preserve">andwidth of </w:t>
      </w:r>
      <w:r w:rsidR="00E61E02" w:rsidRPr="00F15C60">
        <w:rPr>
          <w:rFonts w:asciiTheme="minorHAnsi" w:hAnsiTheme="minorHAnsi" w:cstheme="minorHAnsi"/>
          <w:b/>
          <w:bCs/>
          <w:color w:val="000000"/>
          <w:sz w:val="24"/>
          <w:szCs w:val="24"/>
        </w:rPr>
        <w:t>e</w:t>
      </w:r>
      <w:r w:rsidRPr="00F15C60">
        <w:rPr>
          <w:rFonts w:asciiTheme="minorHAnsi" w:hAnsiTheme="minorHAnsi" w:cstheme="minorHAnsi"/>
          <w:b/>
          <w:bCs/>
          <w:color w:val="000000"/>
          <w:sz w:val="24"/>
          <w:szCs w:val="24"/>
        </w:rPr>
        <w:t>mission</w:t>
      </w:r>
    </w:p>
    <w:p w14:paraId="5CB55FEC" w14:textId="4B0EE70E" w:rsidR="00831B00" w:rsidRPr="00F15C60" w:rsidRDefault="00831B00" w:rsidP="00BC23AA">
      <w:pPr>
        <w:shd w:val="clear" w:color="auto" w:fill="FFFFFF"/>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242424"/>
          <w:sz w:val="24"/>
          <w:szCs w:val="24"/>
          <w:lang w:eastAsia="en-GB"/>
        </w:rPr>
      </w:pPr>
      <w:r>
        <w:rPr>
          <w:rFonts w:asciiTheme="minorHAnsi" w:hAnsiTheme="minorHAnsi" w:cstheme="minorHAnsi"/>
          <w:color w:val="000000"/>
          <w:sz w:val="24"/>
          <w:szCs w:val="24"/>
          <w:bdr w:val="none" w:sz="0" w:space="0" w:color="auto" w:frame="1"/>
          <w:lang w:eastAsia="en-GB"/>
        </w:rPr>
        <w:t>M</w:t>
      </w:r>
      <w:r w:rsidRPr="00F15C60">
        <w:rPr>
          <w:rFonts w:asciiTheme="minorHAnsi" w:hAnsiTheme="minorHAnsi" w:cstheme="minorHAnsi"/>
          <w:color w:val="000000"/>
          <w:sz w:val="24"/>
          <w:szCs w:val="24"/>
          <w:bdr w:val="none" w:sz="0" w:space="0" w:color="auto" w:frame="1"/>
          <w:lang w:eastAsia="en-GB"/>
        </w:rPr>
        <w:t xml:space="preserve">embers </w:t>
      </w:r>
      <w:r>
        <w:rPr>
          <w:rFonts w:asciiTheme="minorHAnsi" w:hAnsiTheme="minorHAnsi" w:cstheme="minorHAnsi"/>
          <w:color w:val="000000"/>
          <w:sz w:val="24"/>
          <w:szCs w:val="24"/>
          <w:bdr w:val="none" w:sz="0" w:space="0" w:color="auto" w:frame="1"/>
          <w:lang w:eastAsia="en-GB"/>
        </w:rPr>
        <w:t xml:space="preserve">are urged to </w:t>
      </w:r>
      <w:r w:rsidRPr="00F15C60">
        <w:rPr>
          <w:rFonts w:asciiTheme="minorHAnsi" w:hAnsiTheme="minorHAnsi" w:cstheme="minorHAnsi"/>
          <w:color w:val="000000"/>
          <w:sz w:val="24"/>
          <w:szCs w:val="24"/>
          <w:bdr w:val="none" w:sz="0" w:space="0" w:color="auto" w:frame="1"/>
          <w:lang w:eastAsia="en-GB"/>
        </w:rPr>
        <w:t xml:space="preserve">adhere strictly to the </w:t>
      </w:r>
      <w:r>
        <w:rPr>
          <w:rFonts w:asciiTheme="minorHAnsi" w:hAnsiTheme="minorHAnsi" w:cstheme="minorHAnsi"/>
          <w:color w:val="000000"/>
          <w:sz w:val="24"/>
          <w:szCs w:val="24"/>
          <w:bdr w:val="none" w:sz="0" w:space="0" w:color="auto" w:frame="1"/>
          <w:lang w:eastAsia="en-GB"/>
        </w:rPr>
        <w:t>specification</w:t>
      </w:r>
      <w:r w:rsidR="00B006A0">
        <w:rPr>
          <w:rFonts w:asciiTheme="minorHAnsi" w:hAnsiTheme="minorHAnsi" w:cstheme="minorHAnsi"/>
          <w:color w:val="000000"/>
          <w:sz w:val="24"/>
          <w:szCs w:val="24"/>
          <w:bdr w:val="none" w:sz="0" w:space="0" w:color="auto" w:frame="1"/>
          <w:lang w:eastAsia="en-GB"/>
        </w:rPr>
        <w:t>s</w:t>
      </w:r>
      <w:r w:rsidRPr="00F15C60">
        <w:rPr>
          <w:rFonts w:asciiTheme="minorHAnsi" w:hAnsiTheme="minorHAnsi" w:cstheme="minorHAnsi"/>
          <w:color w:val="000000"/>
          <w:sz w:val="24"/>
          <w:szCs w:val="24"/>
          <w:bdr w:val="none" w:sz="0" w:space="0" w:color="auto" w:frame="1"/>
          <w:lang w:eastAsia="en-GB"/>
        </w:rPr>
        <w:t xml:space="preserve"> outlined in APPENDIX 11 of the RR</w:t>
      </w:r>
      <w:r w:rsidR="00B006A0">
        <w:rPr>
          <w:rFonts w:asciiTheme="minorHAnsi" w:hAnsiTheme="minorHAnsi" w:cstheme="minorHAnsi"/>
          <w:color w:val="000000"/>
          <w:sz w:val="24"/>
          <w:szCs w:val="24"/>
          <w:bdr w:val="none" w:sz="0" w:space="0" w:color="auto" w:frame="1"/>
          <w:lang w:eastAsia="en-GB"/>
        </w:rPr>
        <w:t xml:space="preserve"> concerning</w:t>
      </w:r>
      <w:r>
        <w:rPr>
          <w:rFonts w:asciiTheme="minorHAnsi" w:hAnsiTheme="minorHAnsi" w:cstheme="minorHAnsi"/>
          <w:color w:val="000000"/>
          <w:sz w:val="24"/>
          <w:szCs w:val="24"/>
          <w:bdr w:val="none" w:sz="0" w:space="0" w:color="auto" w:frame="1"/>
          <w:lang w:eastAsia="en-GB"/>
        </w:rPr>
        <w:t xml:space="preserve"> the </w:t>
      </w:r>
      <w:r w:rsidRPr="00F15C60">
        <w:rPr>
          <w:rFonts w:asciiTheme="minorHAnsi" w:hAnsiTheme="minorHAnsi" w:cstheme="minorHAnsi"/>
          <w:color w:val="000000"/>
          <w:sz w:val="24"/>
          <w:szCs w:val="24"/>
          <w:bdr w:val="none" w:sz="0" w:space="0" w:color="auto" w:frame="1"/>
          <w:lang w:eastAsia="en-GB"/>
        </w:rPr>
        <w:t xml:space="preserve">necessary bandwidth </w:t>
      </w:r>
      <w:r>
        <w:rPr>
          <w:rFonts w:asciiTheme="minorHAnsi" w:hAnsiTheme="minorHAnsi" w:cstheme="minorHAnsi"/>
          <w:color w:val="000000"/>
          <w:sz w:val="24"/>
          <w:szCs w:val="24"/>
          <w:bdr w:val="none" w:sz="0" w:space="0" w:color="auto" w:frame="1"/>
          <w:lang w:eastAsia="en-GB"/>
        </w:rPr>
        <w:t>of</w:t>
      </w:r>
      <w:r w:rsidRPr="00F15C60">
        <w:rPr>
          <w:rFonts w:asciiTheme="minorHAnsi" w:hAnsiTheme="minorHAnsi" w:cstheme="minorHAnsi"/>
          <w:color w:val="000000"/>
          <w:sz w:val="24"/>
          <w:szCs w:val="24"/>
          <w:bdr w:val="none" w:sz="0" w:space="0" w:color="auto" w:frame="1"/>
          <w:lang w:eastAsia="en-GB"/>
        </w:rPr>
        <w:t xml:space="preserve"> emissions</w:t>
      </w:r>
      <w:r>
        <w:rPr>
          <w:rFonts w:asciiTheme="minorHAnsi" w:hAnsiTheme="minorHAnsi" w:cstheme="minorHAnsi"/>
          <w:color w:val="000000"/>
          <w:sz w:val="24"/>
          <w:szCs w:val="24"/>
          <w:bdr w:val="none" w:sz="0" w:space="0" w:color="auto" w:frame="1"/>
          <w:lang w:eastAsia="en-GB"/>
        </w:rPr>
        <w:t xml:space="preserve">, </w:t>
      </w:r>
      <w:r w:rsidR="00B006A0" w:rsidRPr="00B006A0">
        <w:rPr>
          <w:rFonts w:asciiTheme="minorHAnsi" w:hAnsiTheme="minorHAnsi" w:cstheme="minorHAnsi"/>
          <w:color w:val="000000"/>
          <w:sz w:val="24"/>
          <w:szCs w:val="24"/>
          <w:bdr w:val="none" w:sz="0" w:space="0" w:color="auto" w:frame="1"/>
          <w:lang w:eastAsia="en-GB"/>
        </w:rPr>
        <w:t>as detailed below</w:t>
      </w:r>
      <w:r w:rsidRPr="00F15C60">
        <w:rPr>
          <w:rFonts w:asciiTheme="minorHAnsi" w:hAnsiTheme="minorHAnsi" w:cstheme="minorHAnsi"/>
          <w:color w:val="000000"/>
          <w:sz w:val="24"/>
          <w:szCs w:val="24"/>
          <w:bdr w:val="none" w:sz="0" w:space="0" w:color="auto" w:frame="1"/>
          <w:lang w:eastAsia="en-GB"/>
        </w:rPr>
        <w:t>:</w:t>
      </w:r>
      <w:r w:rsidRPr="00F15C60">
        <w:rPr>
          <w:rFonts w:asciiTheme="minorHAnsi" w:hAnsiTheme="minorHAnsi" w:cstheme="minorHAnsi"/>
          <w:color w:val="000000"/>
          <w:sz w:val="24"/>
          <w:szCs w:val="24"/>
          <w:bdr w:val="none" w:sz="0" w:space="0" w:color="auto" w:frame="1"/>
          <w:lang w:eastAsia="en-GB"/>
        </w:rPr>
        <w:br/>
      </w:r>
    </w:p>
    <w:p w14:paraId="352DD89F" w14:textId="77777777" w:rsidR="00831B00" w:rsidRPr="00F15C60" w:rsidRDefault="00831B00" w:rsidP="00831B00">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 w:val="24"/>
          <w:szCs w:val="24"/>
          <w:lang w:eastAsia="en-GB"/>
        </w:rPr>
      </w:pPr>
      <w:r w:rsidRPr="00F15C60">
        <w:rPr>
          <w:rFonts w:asciiTheme="minorHAnsi" w:hAnsiTheme="minorHAnsi" w:cstheme="minorHAnsi"/>
          <w:color w:val="000000"/>
          <w:sz w:val="24"/>
          <w:szCs w:val="24"/>
          <w:bdr w:val="none" w:sz="0" w:space="0" w:color="auto" w:frame="1"/>
          <w:lang w:eastAsia="en-GB"/>
        </w:rPr>
        <w:t>For Double-sideband (DSB) systems, the bandwidth shall not exceed 9 kHz.</w:t>
      </w:r>
    </w:p>
    <w:p w14:paraId="3ADC1737" w14:textId="77777777" w:rsidR="00831B00" w:rsidRPr="00F15C60" w:rsidRDefault="00831B00" w:rsidP="00831B00">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 w:val="24"/>
          <w:szCs w:val="24"/>
          <w:lang w:eastAsia="en-GB"/>
        </w:rPr>
      </w:pPr>
      <w:r w:rsidRPr="00F15C60">
        <w:rPr>
          <w:rFonts w:asciiTheme="minorHAnsi" w:hAnsiTheme="minorHAnsi" w:cstheme="minorHAnsi"/>
          <w:color w:val="000000"/>
          <w:sz w:val="24"/>
          <w:szCs w:val="24"/>
          <w:bdr w:val="none" w:sz="0" w:space="0" w:color="auto" w:frame="1"/>
          <w:lang w:eastAsia="en-GB"/>
        </w:rPr>
        <w:t>For Single-sideband (SSB) systems, the bandwidth shall not exceed 4.5 kHz.</w:t>
      </w:r>
    </w:p>
    <w:p w14:paraId="28736F73" w14:textId="52A4C2B7" w:rsidR="00831B00" w:rsidRPr="00F15C60" w:rsidRDefault="00831B00" w:rsidP="00F15C60">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color w:val="000000"/>
          <w:sz w:val="24"/>
          <w:szCs w:val="24"/>
          <w:lang w:eastAsia="en-GB"/>
        </w:rPr>
      </w:pPr>
      <w:r w:rsidRPr="00F15C60">
        <w:rPr>
          <w:rFonts w:asciiTheme="minorHAnsi" w:hAnsiTheme="minorHAnsi" w:cstheme="minorHAnsi"/>
          <w:color w:val="000000"/>
          <w:sz w:val="24"/>
          <w:szCs w:val="24"/>
          <w:bdr w:val="none" w:sz="0" w:space="0" w:color="auto" w:frame="1"/>
          <w:lang w:eastAsia="en-GB"/>
        </w:rPr>
        <w:t>A full digitally modulated emission should maintain a 10 kHz bandwidth with its centre</w:t>
      </w:r>
      <w:r w:rsidR="00E61E02" w:rsidRPr="00E61E02">
        <w:rPr>
          <w:rFonts w:asciiTheme="minorHAnsi" w:hAnsiTheme="minorHAnsi" w:cstheme="minorHAnsi"/>
          <w:color w:val="000000"/>
          <w:sz w:val="24"/>
          <w:szCs w:val="24"/>
          <w:bdr w:val="none" w:sz="0" w:space="0" w:color="auto" w:frame="1"/>
          <w:lang w:eastAsia="en-GB"/>
        </w:rPr>
        <w:t xml:space="preserve"> </w:t>
      </w:r>
      <w:r w:rsidRPr="00F15C60">
        <w:rPr>
          <w:rFonts w:asciiTheme="minorHAnsi" w:hAnsiTheme="minorHAnsi" w:cstheme="minorHAnsi"/>
          <w:color w:val="000000"/>
          <w:sz w:val="24"/>
          <w:szCs w:val="24"/>
          <w:bdr w:val="none" w:sz="0" w:space="0" w:color="auto" w:frame="1"/>
          <w:lang w:eastAsia="en-GB"/>
        </w:rPr>
        <w:t>frequency at any of the 5 kHz centre frequency locations in the channel raster currently in use within the HFBC bands.</w:t>
      </w:r>
    </w:p>
    <w:p w14:paraId="0C99CDB8" w14:textId="1A860B56" w:rsidR="00B006A0" w:rsidRPr="00F15C60" w:rsidRDefault="00B006A0" w:rsidP="00F15C60">
      <w:pPr>
        <w:spacing w:before="240" w:line="240" w:lineRule="auto"/>
        <w:rPr>
          <w:rFonts w:asciiTheme="minorHAnsi" w:hAnsiTheme="minorHAnsi" w:cstheme="minorHAnsi"/>
          <w:color w:val="000000"/>
          <w:sz w:val="24"/>
          <w:szCs w:val="24"/>
          <w:bdr w:val="none" w:sz="0" w:space="0" w:color="auto" w:frame="1"/>
          <w:lang w:eastAsia="en-GB"/>
        </w:rPr>
      </w:pPr>
      <w:r w:rsidRPr="00F15C60">
        <w:rPr>
          <w:sz w:val="24"/>
          <w:szCs w:val="24"/>
          <w:lang w:eastAsia="en-GB"/>
        </w:rPr>
        <w:t>For detailed system specifications, please refer to</w:t>
      </w:r>
      <w:r w:rsidR="00823657">
        <w:rPr>
          <w:sz w:val="24"/>
          <w:szCs w:val="24"/>
          <w:lang w:eastAsia="en-GB"/>
        </w:rPr>
        <w:t xml:space="preserve"> </w:t>
      </w:r>
      <w:r w:rsidRPr="00F15C60">
        <w:rPr>
          <w:rFonts w:asciiTheme="minorHAnsi" w:hAnsiTheme="minorHAnsi" w:cstheme="minorHAnsi"/>
          <w:color w:val="000000"/>
          <w:sz w:val="24"/>
          <w:szCs w:val="24"/>
          <w:bdr w:val="none" w:sz="0" w:space="0" w:color="auto" w:frame="1"/>
          <w:lang w:eastAsia="en-GB"/>
        </w:rPr>
        <w:t xml:space="preserve">Appendix </w:t>
      </w:r>
      <w:r w:rsidRPr="00F15C60">
        <w:rPr>
          <w:rFonts w:asciiTheme="minorHAnsi" w:hAnsiTheme="minorHAnsi" w:cstheme="minorHAnsi"/>
          <w:b/>
          <w:bCs/>
          <w:color w:val="000000"/>
          <w:sz w:val="24"/>
          <w:szCs w:val="24"/>
          <w:bdr w:val="none" w:sz="0" w:space="0" w:color="auto" w:frame="1"/>
          <w:lang w:eastAsia="en-GB"/>
        </w:rPr>
        <w:t>11</w:t>
      </w:r>
      <w:r w:rsidRPr="00F15C60">
        <w:rPr>
          <w:rFonts w:asciiTheme="minorHAnsi" w:hAnsiTheme="minorHAnsi" w:cstheme="minorHAnsi"/>
          <w:color w:val="000000"/>
          <w:sz w:val="24"/>
          <w:szCs w:val="24"/>
          <w:bdr w:val="none" w:sz="0" w:space="0" w:color="auto" w:frame="1"/>
          <w:lang w:eastAsia="en-GB"/>
        </w:rPr>
        <w:t xml:space="preserve"> of the RR</w:t>
      </w:r>
      <w:r w:rsidR="00851E1F" w:rsidRPr="009067D7">
        <w:rPr>
          <w:rFonts w:asciiTheme="minorHAnsi" w:hAnsiTheme="minorHAnsi" w:cstheme="minorHAnsi"/>
          <w:color w:val="000000"/>
          <w:sz w:val="24"/>
          <w:szCs w:val="24"/>
          <w:bdr w:val="none" w:sz="0" w:space="0" w:color="auto" w:frame="1"/>
          <w:lang w:eastAsia="en-GB"/>
        </w:rPr>
        <w:t xml:space="preserve"> </w:t>
      </w:r>
      <w:r w:rsidRPr="00F15C60">
        <w:rPr>
          <w:rFonts w:asciiTheme="minorHAnsi" w:hAnsiTheme="minorHAnsi" w:cstheme="minorHAnsi"/>
          <w:color w:val="000000"/>
          <w:sz w:val="24"/>
          <w:szCs w:val="24"/>
          <w:bdr w:val="none" w:sz="0" w:space="0" w:color="auto" w:frame="1"/>
          <w:lang w:eastAsia="en-GB"/>
        </w:rPr>
        <w:t>(REV.WRC-19)</w:t>
      </w:r>
      <w:r w:rsidR="00CE353C">
        <w:rPr>
          <w:rFonts w:asciiTheme="minorHAnsi" w:hAnsiTheme="minorHAnsi" w:cstheme="minorHAnsi"/>
          <w:color w:val="000000"/>
          <w:sz w:val="24"/>
          <w:szCs w:val="24"/>
          <w:bdr w:val="none" w:sz="0" w:space="0" w:color="auto" w:frame="1"/>
          <w:lang w:eastAsia="en-GB"/>
        </w:rPr>
        <w:t xml:space="preserve"> and</w:t>
      </w:r>
      <w:r w:rsidR="00823657">
        <w:rPr>
          <w:rFonts w:asciiTheme="minorHAnsi" w:hAnsiTheme="minorHAnsi" w:cstheme="minorHAnsi"/>
          <w:color w:val="000000"/>
          <w:sz w:val="24"/>
          <w:szCs w:val="24"/>
          <w:bdr w:val="none" w:sz="0" w:space="0" w:color="auto" w:frame="1"/>
          <w:lang w:eastAsia="en-GB"/>
        </w:rPr>
        <w:t xml:space="preserve"> </w:t>
      </w:r>
      <w:r w:rsidRPr="00F15C60">
        <w:rPr>
          <w:rFonts w:asciiTheme="minorHAnsi" w:hAnsiTheme="minorHAnsi" w:cstheme="minorHAnsi"/>
          <w:color w:val="000000"/>
          <w:sz w:val="24"/>
          <w:szCs w:val="24"/>
          <w:bdr w:val="none" w:sz="0" w:space="0" w:color="auto" w:frame="1"/>
          <w:lang w:eastAsia="en-GB"/>
        </w:rPr>
        <w:t>Recommendation</w:t>
      </w:r>
      <w:r w:rsidR="00823657">
        <w:rPr>
          <w:rFonts w:asciiTheme="minorHAnsi" w:hAnsiTheme="minorHAnsi" w:cstheme="minorHAnsi"/>
          <w:color w:val="000000"/>
          <w:sz w:val="24"/>
          <w:szCs w:val="24"/>
          <w:bdr w:val="none" w:sz="0" w:space="0" w:color="auto" w:frame="1"/>
          <w:lang w:eastAsia="en-GB"/>
        </w:rPr>
        <w:t>s</w:t>
      </w:r>
      <w:r w:rsidRPr="00F15C60">
        <w:rPr>
          <w:rFonts w:asciiTheme="minorHAnsi" w:hAnsiTheme="minorHAnsi" w:cstheme="minorHAnsi"/>
          <w:color w:val="000000"/>
          <w:sz w:val="24"/>
          <w:szCs w:val="24"/>
          <w:bdr w:val="none" w:sz="0" w:space="0" w:color="auto" w:frame="1"/>
          <w:lang w:eastAsia="en-GB"/>
        </w:rPr>
        <w:t xml:space="preserve"> ITU-R BS.639</w:t>
      </w:r>
      <w:r w:rsidR="00CE353C">
        <w:rPr>
          <w:rFonts w:asciiTheme="minorHAnsi" w:hAnsiTheme="minorHAnsi" w:cstheme="minorHAnsi"/>
          <w:color w:val="000000"/>
          <w:sz w:val="24"/>
          <w:szCs w:val="24"/>
          <w:bdr w:val="none" w:sz="0" w:space="0" w:color="auto" w:frame="1"/>
          <w:lang w:eastAsia="en-GB"/>
        </w:rPr>
        <w:t xml:space="preserve"> </w:t>
      </w:r>
      <w:r w:rsidR="00823657">
        <w:rPr>
          <w:rFonts w:asciiTheme="minorHAnsi" w:hAnsiTheme="minorHAnsi" w:cstheme="minorHAnsi"/>
          <w:color w:val="000000"/>
          <w:sz w:val="24"/>
          <w:szCs w:val="24"/>
          <w:bdr w:val="none" w:sz="0" w:space="0" w:color="auto" w:frame="1"/>
          <w:lang w:eastAsia="en-GB"/>
        </w:rPr>
        <w:t xml:space="preserve">and </w:t>
      </w:r>
      <w:r w:rsidRPr="00F15C60">
        <w:rPr>
          <w:rFonts w:asciiTheme="minorHAnsi" w:hAnsiTheme="minorHAnsi" w:cstheme="minorHAnsi"/>
          <w:color w:val="000000"/>
          <w:sz w:val="24"/>
          <w:szCs w:val="24"/>
          <w:bdr w:val="none" w:sz="0" w:space="0" w:color="auto" w:frame="1"/>
          <w:lang w:eastAsia="en-GB"/>
        </w:rPr>
        <w:t>ITU-R BS.1514</w:t>
      </w:r>
      <w:r w:rsidR="00823657">
        <w:rPr>
          <w:rFonts w:asciiTheme="minorHAnsi" w:hAnsiTheme="minorHAnsi" w:cstheme="minorHAnsi"/>
          <w:color w:val="000000"/>
          <w:sz w:val="24"/>
          <w:szCs w:val="24"/>
          <w:bdr w:val="none" w:sz="0" w:space="0" w:color="auto" w:frame="1"/>
          <w:lang w:eastAsia="en-GB"/>
        </w:rPr>
        <w:t>.</w:t>
      </w:r>
    </w:p>
    <w:p w14:paraId="1DFB5DC0" w14:textId="236DB57D" w:rsidR="00831B00" w:rsidRPr="00F15C60" w:rsidRDefault="00831B00" w:rsidP="00F15C60">
      <w:pPr>
        <w:pStyle w:val="ListParagraph"/>
        <w:numPr>
          <w:ilvl w:val="1"/>
          <w:numId w:val="4"/>
        </w:numPr>
        <w:tabs>
          <w:tab w:val="clear" w:pos="794"/>
          <w:tab w:val="clear" w:pos="1191"/>
          <w:tab w:val="clear" w:pos="1588"/>
          <w:tab w:val="clear" w:pos="1985"/>
        </w:tabs>
        <w:spacing w:before="240" w:after="120" w:line="240" w:lineRule="auto"/>
        <w:ind w:left="0" w:firstLine="0"/>
        <w:rPr>
          <w:rFonts w:asciiTheme="minorHAnsi" w:hAnsiTheme="minorHAnsi" w:cstheme="minorHAnsi"/>
          <w:b/>
          <w:bCs/>
          <w:color w:val="000000"/>
          <w:sz w:val="24"/>
          <w:szCs w:val="24"/>
        </w:rPr>
      </w:pPr>
      <w:r w:rsidRPr="00F15C60">
        <w:rPr>
          <w:rFonts w:asciiTheme="minorHAnsi" w:hAnsiTheme="minorHAnsi" w:cstheme="minorHAnsi"/>
          <w:b/>
          <w:bCs/>
          <w:color w:val="000000"/>
          <w:sz w:val="24"/>
          <w:szCs w:val="24"/>
        </w:rPr>
        <w:t>Start – Stop Time</w:t>
      </w:r>
      <w:r w:rsidR="00C00E06" w:rsidRPr="00F15C60">
        <w:rPr>
          <w:rFonts w:asciiTheme="minorHAnsi" w:hAnsiTheme="minorHAnsi" w:cstheme="minorHAnsi"/>
          <w:b/>
          <w:bCs/>
          <w:color w:val="000000"/>
          <w:sz w:val="24"/>
          <w:szCs w:val="24"/>
        </w:rPr>
        <w:t>s</w:t>
      </w:r>
    </w:p>
    <w:p w14:paraId="4F48467F" w14:textId="2DCD486E" w:rsidR="00831B00" w:rsidRDefault="00823657">
      <w:pPr>
        <w:pStyle w:val="NormalWeb"/>
        <w:shd w:val="clear" w:color="auto" w:fill="FFFFFF"/>
        <w:spacing w:before="0" w:beforeAutospacing="0" w:after="0" w:afterAutospacing="0"/>
        <w:jc w:val="both"/>
        <w:rPr>
          <w:rFonts w:asciiTheme="minorHAnsi" w:hAnsiTheme="minorHAnsi" w:cstheme="minorHAnsi"/>
          <w:color w:val="000000"/>
          <w:bdr w:val="none" w:sz="0" w:space="0" w:color="auto" w:frame="1"/>
        </w:rPr>
      </w:pPr>
      <w:r w:rsidRPr="003D2076">
        <w:rPr>
          <w:rFonts w:asciiTheme="minorHAnsi" w:hAnsiTheme="minorHAnsi" w:cstheme="minorHAnsi"/>
          <w:color w:val="000000"/>
          <w:bdr w:val="none" w:sz="0" w:space="0" w:color="auto" w:frame="1"/>
        </w:rPr>
        <w:t>Members are urged to operate</w:t>
      </w:r>
      <w:r>
        <w:rPr>
          <w:rFonts w:asciiTheme="minorHAnsi" w:hAnsiTheme="minorHAnsi" w:cstheme="minorHAnsi"/>
          <w:color w:val="000000"/>
          <w:bdr w:val="none" w:sz="0" w:space="0" w:color="auto" w:frame="1"/>
        </w:rPr>
        <w:t xml:space="preserve"> transmissions</w:t>
      </w:r>
      <w:r w:rsidRPr="003D2076">
        <w:rPr>
          <w:rFonts w:asciiTheme="minorHAnsi" w:hAnsiTheme="minorHAnsi" w:cstheme="minorHAnsi"/>
          <w:color w:val="000000"/>
          <w:bdr w:val="none" w:sz="0" w:space="0" w:color="auto" w:frame="1"/>
        </w:rPr>
        <w:t xml:space="preserve"> in strict compliance with the </w:t>
      </w:r>
      <w:r w:rsidRPr="009067D7">
        <w:rPr>
          <w:rFonts w:asciiTheme="minorHAnsi" w:hAnsiTheme="minorHAnsi" w:cstheme="minorHAnsi"/>
          <w:color w:val="000000"/>
          <w:bdr w:val="none" w:sz="0" w:space="0" w:color="auto" w:frame="1"/>
        </w:rPr>
        <w:t>submi</w:t>
      </w:r>
      <w:r w:rsidR="00BC5DE9" w:rsidRPr="009067D7">
        <w:rPr>
          <w:rFonts w:asciiTheme="minorHAnsi" w:hAnsiTheme="minorHAnsi" w:cstheme="minorHAnsi"/>
          <w:color w:val="000000"/>
          <w:bdr w:val="none" w:sz="0" w:space="0" w:color="auto" w:frame="1"/>
        </w:rPr>
        <w:t xml:space="preserve">tted </w:t>
      </w:r>
      <w:r w:rsidR="00C8161B" w:rsidRPr="00F15C60">
        <w:rPr>
          <w:rFonts w:asciiTheme="minorHAnsi" w:hAnsiTheme="minorHAnsi" w:cstheme="minorHAnsi"/>
          <w:color w:val="000000"/>
          <w:bdr w:val="none" w:sz="0" w:space="0" w:color="auto" w:frame="1"/>
        </w:rPr>
        <w:t>requirements</w:t>
      </w:r>
      <w:r w:rsidRPr="009067D7">
        <w:rPr>
          <w:rFonts w:asciiTheme="minorHAnsi" w:hAnsiTheme="minorHAnsi" w:cstheme="minorHAnsi"/>
          <w:color w:val="000000"/>
          <w:bdr w:val="none" w:sz="0" w:space="0" w:color="auto" w:frame="1"/>
        </w:rPr>
        <w:t xml:space="preserve"> or to notify the correct broadcasting times, accounting for warm-up and cool-down periods, as u</w:t>
      </w:r>
      <w:r w:rsidR="00B006A0" w:rsidRPr="009067D7">
        <w:rPr>
          <w:rFonts w:asciiTheme="minorHAnsi" w:hAnsiTheme="minorHAnsi" w:cstheme="minorHAnsi"/>
          <w:color w:val="000000"/>
          <w:bdr w:val="none" w:sz="0" w:space="0" w:color="auto" w:frame="1"/>
        </w:rPr>
        <w:t xml:space="preserve">nexpected interference may occur due to emissions that commence earlier than or extend beyond the specified Start–Stop </w:t>
      </w:r>
      <w:r w:rsidR="002D78D7" w:rsidRPr="009067D7">
        <w:rPr>
          <w:rFonts w:asciiTheme="minorHAnsi" w:hAnsiTheme="minorHAnsi" w:cstheme="minorHAnsi"/>
          <w:color w:val="000000"/>
          <w:bdr w:val="none" w:sz="0" w:space="0" w:color="auto" w:frame="1"/>
        </w:rPr>
        <w:t>T</w:t>
      </w:r>
      <w:r w:rsidR="00B006A0" w:rsidRPr="009067D7">
        <w:rPr>
          <w:rFonts w:asciiTheme="minorHAnsi" w:hAnsiTheme="minorHAnsi" w:cstheme="minorHAnsi"/>
          <w:color w:val="000000"/>
          <w:bdr w:val="none" w:sz="0" w:space="0" w:color="auto" w:frame="1"/>
        </w:rPr>
        <w:t>ime</w:t>
      </w:r>
      <w:r w:rsidR="00C00E06" w:rsidRPr="009067D7">
        <w:rPr>
          <w:rFonts w:asciiTheme="minorHAnsi" w:hAnsiTheme="minorHAnsi" w:cstheme="minorHAnsi"/>
          <w:color w:val="000000"/>
          <w:bdr w:val="none" w:sz="0" w:space="0" w:color="auto" w:frame="1"/>
        </w:rPr>
        <w:t>s</w:t>
      </w:r>
      <w:r w:rsidR="00B006A0" w:rsidRPr="009067D7">
        <w:rPr>
          <w:rFonts w:asciiTheme="minorHAnsi" w:hAnsiTheme="minorHAnsi" w:cstheme="minorHAnsi"/>
          <w:color w:val="000000"/>
          <w:bdr w:val="none" w:sz="0" w:space="0" w:color="auto" w:frame="1"/>
        </w:rPr>
        <w:t xml:space="preserve"> </w:t>
      </w:r>
      <w:r w:rsidR="00BC5DE9" w:rsidRPr="009067D7">
        <w:rPr>
          <w:rFonts w:asciiTheme="minorHAnsi" w:hAnsiTheme="minorHAnsi" w:cstheme="minorHAnsi"/>
          <w:color w:val="000000"/>
          <w:bdr w:val="none" w:sz="0" w:space="0" w:color="auto" w:frame="1"/>
        </w:rPr>
        <w:t>than the submitted ones.</w:t>
      </w:r>
      <w:r w:rsidR="00831B00" w:rsidRPr="00F15C60">
        <w:rPr>
          <w:rFonts w:asciiTheme="minorHAnsi" w:hAnsiTheme="minorHAnsi" w:cstheme="minorHAnsi"/>
          <w:color w:val="000000"/>
          <w:bdr w:val="none" w:sz="0" w:space="0" w:color="auto" w:frame="1"/>
        </w:rPr>
        <w:t xml:space="preserve"> </w:t>
      </w:r>
    </w:p>
    <w:p w14:paraId="52CB6BF0" w14:textId="1E3C6C8D" w:rsidR="001C4469" w:rsidRPr="003A00AF" w:rsidRDefault="00CE353C" w:rsidP="00F15C60">
      <w:pPr>
        <w:spacing w:before="120" w:after="120" w:line="240" w:lineRule="auto"/>
        <w:rPr>
          <w:sz w:val="24"/>
          <w:szCs w:val="24"/>
        </w:rPr>
      </w:pPr>
      <w:r w:rsidRPr="0015761D">
        <w:rPr>
          <w:sz w:val="24"/>
          <w:szCs w:val="24"/>
        </w:rPr>
        <w:t xml:space="preserve">The Bureau remains at the disposal of your Administration for any clarification you may require with respect to the subject covered in this Circular Letter. For any assistance, please contact </w:t>
      </w:r>
      <w:hyperlink r:id="rId19" w:history="1">
        <w:r w:rsidRPr="0015761D">
          <w:rPr>
            <w:rStyle w:val="Hyperlink"/>
            <w:sz w:val="24"/>
            <w:szCs w:val="24"/>
          </w:rPr>
          <w:t>BRMAIL@itu.int</w:t>
        </w:r>
      </w:hyperlink>
      <w:r w:rsidRPr="0015761D">
        <w:rPr>
          <w:sz w:val="24"/>
          <w:szCs w:val="24"/>
        </w:rPr>
        <w:t>.</w:t>
      </w:r>
    </w:p>
    <w:p w14:paraId="6DDF2E2C" w14:textId="77777777" w:rsidR="00CE353C" w:rsidRPr="0015761D" w:rsidRDefault="00CE353C" w:rsidP="001C4469">
      <w:pPr>
        <w:spacing w:line="240" w:lineRule="auto"/>
        <w:rPr>
          <w:bCs/>
          <w:sz w:val="24"/>
          <w:szCs w:val="24"/>
        </w:rPr>
      </w:pPr>
    </w:p>
    <w:p w14:paraId="3474ADCE" w14:textId="77777777" w:rsidR="004A751D" w:rsidRDefault="004A751D" w:rsidP="00DA7E8E">
      <w:pPr>
        <w:spacing w:before="0" w:line="240" w:lineRule="auto"/>
        <w:jc w:val="left"/>
        <w:rPr>
          <w:rFonts w:asciiTheme="minorHAnsi" w:hAnsiTheme="minorHAnsi" w:cstheme="minorHAnsi"/>
          <w:sz w:val="24"/>
          <w:szCs w:val="24"/>
        </w:rPr>
      </w:pPr>
    </w:p>
    <w:p w14:paraId="4427BD0D" w14:textId="77777777" w:rsidR="004A751D" w:rsidRDefault="004A751D" w:rsidP="00DA7E8E">
      <w:pPr>
        <w:spacing w:before="0" w:line="240" w:lineRule="auto"/>
        <w:jc w:val="left"/>
        <w:rPr>
          <w:rFonts w:asciiTheme="minorHAnsi" w:hAnsiTheme="minorHAnsi" w:cstheme="minorHAnsi"/>
          <w:sz w:val="24"/>
          <w:szCs w:val="24"/>
        </w:rPr>
      </w:pPr>
    </w:p>
    <w:p w14:paraId="78CA4CAA" w14:textId="77777777" w:rsidR="004A751D" w:rsidRDefault="004A751D" w:rsidP="00DA7E8E">
      <w:pPr>
        <w:spacing w:before="0" w:line="240" w:lineRule="auto"/>
        <w:jc w:val="left"/>
        <w:rPr>
          <w:rFonts w:asciiTheme="minorHAnsi" w:hAnsiTheme="minorHAnsi" w:cstheme="minorHAnsi"/>
          <w:sz w:val="24"/>
          <w:szCs w:val="24"/>
        </w:rPr>
      </w:pPr>
    </w:p>
    <w:p w14:paraId="52E81EE3" w14:textId="77777777" w:rsidR="004A751D" w:rsidRDefault="004A751D" w:rsidP="00DA7E8E">
      <w:pPr>
        <w:spacing w:before="0" w:line="240" w:lineRule="auto"/>
        <w:jc w:val="left"/>
        <w:rPr>
          <w:rFonts w:asciiTheme="minorHAnsi" w:hAnsiTheme="minorHAnsi" w:cstheme="minorHAnsi"/>
          <w:sz w:val="24"/>
          <w:szCs w:val="24"/>
        </w:rPr>
      </w:pPr>
    </w:p>
    <w:p w14:paraId="6E730265" w14:textId="4629F6A6" w:rsidR="00DA7E8E" w:rsidRPr="0015761D" w:rsidRDefault="00DA7E8E" w:rsidP="00DA7E8E">
      <w:pPr>
        <w:spacing w:before="0" w:line="240" w:lineRule="auto"/>
        <w:jc w:val="left"/>
        <w:rPr>
          <w:rFonts w:asciiTheme="minorHAnsi" w:hAnsiTheme="minorHAnsi" w:cstheme="minorHAnsi"/>
          <w:sz w:val="24"/>
          <w:szCs w:val="24"/>
        </w:rPr>
      </w:pPr>
      <w:r w:rsidRPr="0015761D">
        <w:rPr>
          <w:rFonts w:asciiTheme="minorHAnsi" w:hAnsiTheme="minorHAnsi" w:cstheme="minorHAnsi"/>
          <w:sz w:val="24"/>
          <w:szCs w:val="24"/>
        </w:rPr>
        <w:t>Mario Maniewicz</w:t>
      </w:r>
    </w:p>
    <w:p w14:paraId="4D2FBCC0" w14:textId="77777777" w:rsidR="00DA7E8E" w:rsidRPr="0015761D" w:rsidRDefault="00DA7E8E" w:rsidP="00DA7E8E">
      <w:pPr>
        <w:spacing w:before="0" w:line="240" w:lineRule="auto"/>
        <w:jc w:val="left"/>
        <w:rPr>
          <w:rFonts w:asciiTheme="minorHAnsi" w:hAnsiTheme="minorHAnsi" w:cstheme="minorHAnsi"/>
          <w:sz w:val="24"/>
          <w:szCs w:val="24"/>
        </w:rPr>
      </w:pPr>
      <w:r w:rsidRPr="0015761D">
        <w:rPr>
          <w:rFonts w:asciiTheme="minorHAnsi" w:hAnsiTheme="minorHAnsi" w:cstheme="minorHAnsi"/>
          <w:sz w:val="24"/>
          <w:szCs w:val="24"/>
        </w:rPr>
        <w:t>Director</w:t>
      </w:r>
    </w:p>
    <w:p w14:paraId="3B68E67F" w14:textId="77777777" w:rsidR="00DA7E8E" w:rsidRDefault="00DA7E8E" w:rsidP="00DA7E8E">
      <w:pPr>
        <w:spacing w:before="0" w:after="120" w:line="240" w:lineRule="auto"/>
        <w:jc w:val="left"/>
        <w:rPr>
          <w:rFonts w:asciiTheme="minorHAnsi" w:hAnsiTheme="minorHAnsi" w:cstheme="minorHAnsi"/>
          <w:b/>
          <w:bCs/>
          <w:szCs w:val="24"/>
        </w:rPr>
      </w:pPr>
    </w:p>
    <w:p w14:paraId="5F18E0DE" w14:textId="77777777" w:rsidR="00DA7E8E" w:rsidRPr="00D1705D" w:rsidRDefault="00DA7E8E" w:rsidP="00B97BA1">
      <w:pPr>
        <w:spacing w:before="2040" w:after="120" w:line="240" w:lineRule="auto"/>
        <w:jc w:val="left"/>
        <w:rPr>
          <w:rFonts w:asciiTheme="minorHAnsi" w:hAnsiTheme="minorHAnsi" w:cstheme="minorHAnsi"/>
          <w:b/>
          <w:bCs/>
          <w:sz w:val="18"/>
          <w:szCs w:val="18"/>
        </w:rPr>
      </w:pPr>
      <w:r w:rsidRPr="00D1705D">
        <w:rPr>
          <w:rFonts w:asciiTheme="minorHAnsi" w:hAnsiTheme="minorHAnsi" w:cstheme="minorHAnsi"/>
          <w:b/>
          <w:bCs/>
          <w:sz w:val="18"/>
          <w:szCs w:val="18"/>
        </w:rPr>
        <w:t>Distribution:</w:t>
      </w:r>
    </w:p>
    <w:p w14:paraId="58777FC3" w14:textId="77777777" w:rsidR="00DA7E8E" w:rsidRPr="007204D3" w:rsidRDefault="00DA7E8E" w:rsidP="00DA7E8E">
      <w:pPr>
        <w:tabs>
          <w:tab w:val="clear" w:pos="794"/>
          <w:tab w:val="left" w:pos="426"/>
        </w:tabs>
        <w:spacing w:before="0" w:line="240" w:lineRule="auto"/>
        <w:ind w:left="425"/>
        <w:jc w:val="left"/>
        <w:rPr>
          <w:sz w:val="18"/>
          <w:szCs w:val="18"/>
        </w:rPr>
      </w:pPr>
      <w:r w:rsidRPr="007204D3">
        <w:rPr>
          <w:sz w:val="18"/>
          <w:szCs w:val="18"/>
        </w:rPr>
        <w:t>–</w:t>
      </w:r>
      <w:r w:rsidRPr="007204D3">
        <w:rPr>
          <w:sz w:val="18"/>
          <w:szCs w:val="18"/>
        </w:rPr>
        <w:tab/>
        <w:t>Administrations of Member States of ITU</w:t>
      </w:r>
      <w:r w:rsidRPr="007204D3">
        <w:rPr>
          <w:sz w:val="18"/>
          <w:szCs w:val="18"/>
        </w:rPr>
        <w:br/>
        <w:t>–</w:t>
      </w:r>
      <w:r w:rsidRPr="007204D3">
        <w:rPr>
          <w:sz w:val="18"/>
          <w:szCs w:val="18"/>
        </w:rPr>
        <w:tab/>
        <w:t>Members of the Radio Regulations Board</w:t>
      </w:r>
    </w:p>
    <w:p w14:paraId="7B6D30E1" w14:textId="77777777" w:rsidR="00DA7E8E" w:rsidRPr="007204D3" w:rsidRDefault="00DA7E8E" w:rsidP="00DA7E8E">
      <w:pPr>
        <w:tabs>
          <w:tab w:val="clear" w:pos="794"/>
          <w:tab w:val="left" w:pos="426"/>
        </w:tabs>
        <w:spacing w:before="0"/>
        <w:jc w:val="left"/>
        <w:rPr>
          <w:sz w:val="18"/>
          <w:szCs w:val="18"/>
        </w:rPr>
      </w:pPr>
    </w:p>
    <w:p w14:paraId="7C46108D" w14:textId="77777777" w:rsidR="00831B00" w:rsidRDefault="00831B00" w:rsidP="00DA7E8E">
      <w:pPr>
        <w:pStyle w:val="AnnexNoTitle"/>
        <w:spacing w:before="480"/>
        <w:rPr>
          <w:szCs w:val="24"/>
        </w:rPr>
      </w:pPr>
      <w:r>
        <w:rPr>
          <w:szCs w:val="24"/>
        </w:rPr>
        <w:br w:type="page"/>
      </w:r>
    </w:p>
    <w:p w14:paraId="26F92E29" w14:textId="226E4B28" w:rsidR="00DA7E8E" w:rsidRPr="007204D3" w:rsidRDefault="00DA7E8E" w:rsidP="00DA7E8E">
      <w:pPr>
        <w:pStyle w:val="AnnexNoTitle"/>
        <w:spacing w:before="480"/>
        <w:rPr>
          <w:szCs w:val="24"/>
        </w:rPr>
      </w:pPr>
      <w:r w:rsidRPr="007204D3">
        <w:rPr>
          <w:szCs w:val="24"/>
        </w:rPr>
        <w:lastRenderedPageBreak/>
        <w:t xml:space="preserve">Annex </w:t>
      </w:r>
      <w:r>
        <w:rPr>
          <w:szCs w:val="24"/>
        </w:rPr>
        <w:t>1</w:t>
      </w:r>
    </w:p>
    <w:p w14:paraId="406CAFA4" w14:textId="77777777" w:rsidR="00DA7E8E" w:rsidRDefault="00DA7E8E" w:rsidP="00DA7E8E">
      <w:pPr>
        <w:pStyle w:val="AnnexNoTitle"/>
        <w:spacing w:before="480" w:after="0"/>
        <w:rPr>
          <w:szCs w:val="24"/>
        </w:rPr>
      </w:pPr>
      <w:r w:rsidRPr="007204D3">
        <w:rPr>
          <w:szCs w:val="24"/>
        </w:rPr>
        <w:t xml:space="preserve">Table 1: </w:t>
      </w:r>
      <w:r w:rsidRPr="00EE224F">
        <w:rPr>
          <w:szCs w:val="24"/>
        </w:rPr>
        <w:t xml:space="preserve">List of schedules and closing dates for submissions </w:t>
      </w:r>
    </w:p>
    <w:p w14:paraId="249AEAC4" w14:textId="3F04A207" w:rsidR="00DA7E8E" w:rsidRPr="007204D3" w:rsidRDefault="00DA7E8E" w:rsidP="00DA7E8E">
      <w:pPr>
        <w:pStyle w:val="AnnexNoTitle"/>
        <w:spacing w:before="0"/>
        <w:rPr>
          <w:rFonts w:asciiTheme="minorHAnsi" w:hAnsiTheme="minorHAnsi" w:cstheme="minorHAnsi"/>
          <w:szCs w:val="24"/>
        </w:rPr>
      </w:pPr>
      <w:r w:rsidRPr="007204D3">
        <w:rPr>
          <w:szCs w:val="24"/>
        </w:rPr>
        <w:t xml:space="preserve">HFBC Schedule – </w:t>
      </w:r>
      <w:r w:rsidRPr="00DC53EC">
        <w:rPr>
          <w:szCs w:val="24"/>
        </w:rPr>
        <w:t>A2</w:t>
      </w:r>
      <w:r w:rsidR="007502A4">
        <w:rPr>
          <w:szCs w:val="24"/>
        </w:rPr>
        <w:t>5</w:t>
      </w:r>
      <w:r w:rsidRPr="00DC53EC">
        <w:rPr>
          <w:szCs w:val="24"/>
        </w:rPr>
        <w:t xml:space="preserve"> (</w:t>
      </w:r>
      <w:r w:rsidR="005E1B65">
        <w:rPr>
          <w:szCs w:val="24"/>
        </w:rPr>
        <w:t>3</w:t>
      </w:r>
      <w:r w:rsidR="007502A4">
        <w:rPr>
          <w:szCs w:val="24"/>
        </w:rPr>
        <w:t>0</w:t>
      </w:r>
      <w:r w:rsidRPr="00DC53EC">
        <w:rPr>
          <w:szCs w:val="24"/>
        </w:rPr>
        <w:t xml:space="preserve"> March 202</w:t>
      </w:r>
      <w:r w:rsidR="007502A4">
        <w:rPr>
          <w:szCs w:val="24"/>
        </w:rPr>
        <w:t>5</w:t>
      </w:r>
      <w:r w:rsidRPr="00DC53EC">
        <w:rPr>
          <w:szCs w:val="24"/>
        </w:rPr>
        <w:t xml:space="preserve"> – 2</w:t>
      </w:r>
      <w:r w:rsidR="007502A4">
        <w:rPr>
          <w:szCs w:val="24"/>
        </w:rPr>
        <w:t>6</w:t>
      </w:r>
      <w:r w:rsidRPr="00DC53EC">
        <w:rPr>
          <w:szCs w:val="24"/>
        </w:rPr>
        <w:t xml:space="preserve"> October 202</w:t>
      </w:r>
      <w:r w:rsidR="007502A4">
        <w:rPr>
          <w:szCs w:val="24"/>
        </w:rPr>
        <w:t>5</w:t>
      </w:r>
      <w:r w:rsidRPr="00DC53EC">
        <w:rPr>
          <w:szCs w:val="24"/>
        </w:rPr>
        <w:t>)</w:t>
      </w:r>
      <w:r w:rsidRPr="00EE224F">
        <w:rPr>
          <w:szCs w:val="24"/>
        </w:rPr>
        <w:t>:</w:t>
      </w:r>
    </w:p>
    <w:p w14:paraId="662D1FEB" w14:textId="77777777" w:rsidR="00DA7E8E" w:rsidRPr="007204D3" w:rsidRDefault="00DA7E8E" w:rsidP="00DA7E8E">
      <w:pPr>
        <w:spacing w:before="0" w:line="240" w:lineRule="auto"/>
        <w:jc w:val="left"/>
        <w:rPr>
          <w:rFonts w:asciiTheme="minorHAnsi" w:hAnsiTheme="minorHAnsi" w:cstheme="minorHAnsi"/>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DA7E8E" w:rsidRPr="007204D3" w14:paraId="26BD7FF3" w14:textId="77777777" w:rsidTr="00E31C51">
        <w:trPr>
          <w:trHeight w:val="446"/>
          <w:jc w:val="center"/>
        </w:trPr>
        <w:tc>
          <w:tcPr>
            <w:tcW w:w="892" w:type="dxa"/>
          </w:tcPr>
          <w:p w14:paraId="6C2E557B" w14:textId="77777777" w:rsidR="00DA7E8E" w:rsidRPr="007204D3" w:rsidRDefault="00DA7E8E" w:rsidP="00E31C51">
            <w:pPr>
              <w:pStyle w:val="Tablehead"/>
              <w:rPr>
                <w:sz w:val="24"/>
                <w:szCs w:val="24"/>
              </w:rPr>
            </w:pPr>
          </w:p>
        </w:tc>
        <w:tc>
          <w:tcPr>
            <w:tcW w:w="2070" w:type="dxa"/>
            <w:vAlign w:val="center"/>
          </w:tcPr>
          <w:p w14:paraId="48924B17" w14:textId="77777777" w:rsidR="00DA7E8E" w:rsidRPr="007204D3" w:rsidRDefault="00DA7E8E" w:rsidP="00E31C51">
            <w:pPr>
              <w:pStyle w:val="Tablehead"/>
              <w:rPr>
                <w:sz w:val="24"/>
                <w:szCs w:val="24"/>
              </w:rPr>
            </w:pPr>
            <w:r w:rsidRPr="007204D3">
              <w:rPr>
                <w:sz w:val="24"/>
                <w:szCs w:val="24"/>
              </w:rPr>
              <w:t>Schedule title</w:t>
            </w:r>
          </w:p>
        </w:tc>
        <w:tc>
          <w:tcPr>
            <w:tcW w:w="2545" w:type="dxa"/>
            <w:vAlign w:val="center"/>
          </w:tcPr>
          <w:p w14:paraId="2F57917D" w14:textId="77777777" w:rsidR="00DA7E8E" w:rsidRPr="007204D3" w:rsidRDefault="00DA7E8E" w:rsidP="00E31C51">
            <w:pPr>
              <w:pStyle w:val="Tablehead"/>
              <w:rPr>
                <w:sz w:val="24"/>
                <w:szCs w:val="24"/>
              </w:rPr>
            </w:pPr>
            <w:r w:rsidRPr="007204D3">
              <w:rPr>
                <w:sz w:val="24"/>
                <w:szCs w:val="24"/>
              </w:rPr>
              <w:t>Date of publication</w:t>
            </w:r>
          </w:p>
        </w:tc>
        <w:tc>
          <w:tcPr>
            <w:tcW w:w="2315" w:type="dxa"/>
            <w:vAlign w:val="center"/>
          </w:tcPr>
          <w:p w14:paraId="4D7543F9" w14:textId="77777777" w:rsidR="00DA7E8E" w:rsidRPr="007204D3" w:rsidRDefault="00DA7E8E" w:rsidP="00E31C51">
            <w:pPr>
              <w:pStyle w:val="Tablehead"/>
              <w:rPr>
                <w:sz w:val="24"/>
                <w:szCs w:val="24"/>
              </w:rPr>
            </w:pPr>
            <w:r w:rsidRPr="007204D3">
              <w:rPr>
                <w:sz w:val="24"/>
                <w:szCs w:val="24"/>
              </w:rPr>
              <w:t xml:space="preserve">Date limit for </w:t>
            </w:r>
            <w:r w:rsidRPr="007204D3">
              <w:rPr>
                <w:sz w:val="24"/>
                <w:szCs w:val="24"/>
              </w:rPr>
              <w:br/>
              <w:t>submissions</w:t>
            </w:r>
          </w:p>
        </w:tc>
      </w:tr>
      <w:tr w:rsidR="00DA7E8E" w:rsidRPr="007204D3" w14:paraId="0268E5E4" w14:textId="77777777" w:rsidTr="00E31C51">
        <w:trPr>
          <w:trHeight w:val="223"/>
          <w:jc w:val="center"/>
        </w:trPr>
        <w:tc>
          <w:tcPr>
            <w:tcW w:w="892" w:type="dxa"/>
          </w:tcPr>
          <w:p w14:paraId="4EE2549C" w14:textId="77777777" w:rsidR="00DA7E8E" w:rsidRPr="007204D3" w:rsidRDefault="00DA7E8E" w:rsidP="00E31C51">
            <w:pPr>
              <w:pStyle w:val="Tabletext"/>
              <w:ind w:left="189"/>
              <w:rPr>
                <w:sz w:val="24"/>
                <w:szCs w:val="24"/>
              </w:rPr>
            </w:pPr>
            <w:r w:rsidRPr="00EE224F">
              <w:rPr>
                <w:sz w:val="24"/>
                <w:szCs w:val="24"/>
              </w:rPr>
              <w:t>1.1</w:t>
            </w:r>
          </w:p>
        </w:tc>
        <w:tc>
          <w:tcPr>
            <w:tcW w:w="2070" w:type="dxa"/>
            <w:vAlign w:val="center"/>
          </w:tcPr>
          <w:p w14:paraId="5BD4BB83" w14:textId="427B0D6E" w:rsidR="00DA7E8E" w:rsidRPr="007204D3" w:rsidRDefault="00DA7E8E" w:rsidP="00E31C51">
            <w:pPr>
              <w:pStyle w:val="Tabletext"/>
              <w:ind w:left="189"/>
              <w:rPr>
                <w:sz w:val="24"/>
                <w:szCs w:val="24"/>
              </w:rPr>
            </w:pPr>
            <w:r>
              <w:rPr>
                <w:sz w:val="24"/>
                <w:szCs w:val="24"/>
              </w:rPr>
              <w:t>A2</w:t>
            </w:r>
            <w:r w:rsidR="007502A4">
              <w:rPr>
                <w:sz w:val="24"/>
                <w:szCs w:val="24"/>
              </w:rPr>
              <w:t>5</w:t>
            </w:r>
            <w:r w:rsidRPr="007204D3">
              <w:rPr>
                <w:sz w:val="24"/>
                <w:szCs w:val="24"/>
              </w:rPr>
              <w:t xml:space="preserve"> Tentative 1</w:t>
            </w:r>
            <w:r w:rsidRPr="007204D3">
              <w:rPr>
                <w:sz w:val="24"/>
                <w:szCs w:val="24"/>
              </w:rPr>
              <w:br/>
            </w:r>
            <w:r>
              <w:rPr>
                <w:sz w:val="24"/>
                <w:szCs w:val="24"/>
              </w:rPr>
              <w:t>(A2</w:t>
            </w:r>
            <w:r w:rsidR="007502A4">
              <w:rPr>
                <w:sz w:val="24"/>
                <w:szCs w:val="24"/>
              </w:rPr>
              <w:t>5</w:t>
            </w:r>
            <w:r>
              <w:rPr>
                <w:sz w:val="24"/>
                <w:szCs w:val="24"/>
              </w:rPr>
              <w:t>T1)</w:t>
            </w:r>
          </w:p>
        </w:tc>
        <w:tc>
          <w:tcPr>
            <w:tcW w:w="2545" w:type="dxa"/>
            <w:vAlign w:val="center"/>
          </w:tcPr>
          <w:p w14:paraId="0B2A7E70" w14:textId="05BF121A" w:rsidR="00DA7E8E" w:rsidRPr="007204D3" w:rsidRDefault="00DA7E8E" w:rsidP="00E31C51">
            <w:pPr>
              <w:pStyle w:val="Tabletext"/>
              <w:ind w:left="128"/>
              <w:rPr>
                <w:sz w:val="24"/>
                <w:szCs w:val="24"/>
              </w:rPr>
            </w:pPr>
            <w:r w:rsidRPr="007204D3">
              <w:rPr>
                <w:sz w:val="24"/>
                <w:szCs w:val="24"/>
              </w:rPr>
              <w:t xml:space="preserve">End of </w:t>
            </w:r>
            <w:r>
              <w:rPr>
                <w:sz w:val="24"/>
                <w:szCs w:val="24"/>
              </w:rPr>
              <w:t>January</w:t>
            </w:r>
            <w:r w:rsidRPr="007204D3">
              <w:rPr>
                <w:sz w:val="24"/>
                <w:szCs w:val="24"/>
              </w:rPr>
              <w:t xml:space="preserve"> </w:t>
            </w:r>
            <w:r>
              <w:rPr>
                <w:sz w:val="24"/>
                <w:szCs w:val="24"/>
              </w:rPr>
              <w:t>202</w:t>
            </w:r>
            <w:r w:rsidR="007502A4">
              <w:rPr>
                <w:sz w:val="24"/>
                <w:szCs w:val="24"/>
              </w:rPr>
              <w:t>5</w:t>
            </w:r>
          </w:p>
        </w:tc>
        <w:tc>
          <w:tcPr>
            <w:tcW w:w="2315" w:type="dxa"/>
            <w:vAlign w:val="center"/>
          </w:tcPr>
          <w:p w14:paraId="78414D1A" w14:textId="4C08E34C" w:rsidR="00DA7E8E" w:rsidRPr="007204D3" w:rsidRDefault="007502A4" w:rsidP="00E31C51">
            <w:pPr>
              <w:pStyle w:val="Tabletext"/>
              <w:ind w:left="189"/>
              <w:rPr>
                <w:sz w:val="24"/>
                <w:szCs w:val="24"/>
              </w:rPr>
            </w:pPr>
            <w:r>
              <w:rPr>
                <w:sz w:val="24"/>
                <w:szCs w:val="24"/>
              </w:rPr>
              <w:t>19</w:t>
            </w:r>
            <w:r w:rsidRPr="007204D3">
              <w:rPr>
                <w:sz w:val="24"/>
                <w:szCs w:val="24"/>
              </w:rPr>
              <w:t xml:space="preserve"> </w:t>
            </w:r>
            <w:r w:rsidR="00DA7E8E">
              <w:rPr>
                <w:sz w:val="24"/>
                <w:szCs w:val="24"/>
              </w:rPr>
              <w:t>January</w:t>
            </w:r>
            <w:r w:rsidR="00DA7E8E" w:rsidRPr="007204D3">
              <w:rPr>
                <w:sz w:val="24"/>
                <w:szCs w:val="24"/>
              </w:rPr>
              <w:t xml:space="preserve"> </w:t>
            </w:r>
            <w:r w:rsidR="00DA7E8E">
              <w:rPr>
                <w:sz w:val="24"/>
                <w:szCs w:val="24"/>
              </w:rPr>
              <w:t>202</w:t>
            </w:r>
            <w:r>
              <w:rPr>
                <w:sz w:val="24"/>
                <w:szCs w:val="24"/>
              </w:rPr>
              <w:t>5</w:t>
            </w:r>
          </w:p>
          <w:p w14:paraId="7C37C40B" w14:textId="6A5F5FD6" w:rsidR="00DA7E8E" w:rsidRPr="00761E42" w:rsidRDefault="0087730B" w:rsidP="00E31C51">
            <w:pPr>
              <w:pStyle w:val="Tabletext"/>
              <w:ind w:left="189"/>
              <w:rPr>
                <w:sz w:val="24"/>
                <w:szCs w:val="24"/>
              </w:rPr>
            </w:pPr>
            <w:r>
              <w:rPr>
                <w:sz w:val="24"/>
                <w:szCs w:val="24"/>
              </w:rPr>
              <w:t>12</w:t>
            </w:r>
            <w:r w:rsidR="007502A4" w:rsidRPr="00761E42">
              <w:rPr>
                <w:sz w:val="24"/>
                <w:szCs w:val="24"/>
              </w:rPr>
              <w:t xml:space="preserve"> </w:t>
            </w:r>
            <w:r w:rsidR="00DA7E8E" w:rsidRPr="00761E42">
              <w:rPr>
                <w:sz w:val="24"/>
                <w:szCs w:val="24"/>
              </w:rPr>
              <w:t>January 202</w:t>
            </w:r>
            <w:r w:rsidR="007502A4">
              <w:rPr>
                <w:sz w:val="24"/>
                <w:szCs w:val="24"/>
              </w:rPr>
              <w:t>5</w:t>
            </w:r>
            <w:r w:rsidR="00DA7E8E" w:rsidRPr="00761E42">
              <w:rPr>
                <w:sz w:val="24"/>
                <w:szCs w:val="24"/>
              </w:rPr>
              <w:t>*</w:t>
            </w:r>
          </w:p>
        </w:tc>
      </w:tr>
      <w:tr w:rsidR="00DA7E8E" w:rsidRPr="007204D3" w14:paraId="2FEF9237" w14:textId="77777777" w:rsidTr="00E31C51">
        <w:trPr>
          <w:trHeight w:val="223"/>
          <w:jc w:val="center"/>
        </w:trPr>
        <w:tc>
          <w:tcPr>
            <w:tcW w:w="892" w:type="dxa"/>
          </w:tcPr>
          <w:p w14:paraId="0D48141A" w14:textId="77777777" w:rsidR="00DA7E8E" w:rsidRPr="007204D3" w:rsidRDefault="00DA7E8E" w:rsidP="00E31C51">
            <w:pPr>
              <w:pStyle w:val="Tabletext"/>
              <w:ind w:left="189"/>
              <w:rPr>
                <w:sz w:val="24"/>
                <w:szCs w:val="24"/>
              </w:rPr>
            </w:pPr>
            <w:r w:rsidRPr="007204D3">
              <w:rPr>
                <w:sz w:val="24"/>
                <w:szCs w:val="24"/>
              </w:rPr>
              <w:t>1.2</w:t>
            </w:r>
          </w:p>
        </w:tc>
        <w:tc>
          <w:tcPr>
            <w:tcW w:w="2070" w:type="dxa"/>
            <w:vAlign w:val="center"/>
          </w:tcPr>
          <w:p w14:paraId="2137ECBC" w14:textId="78886BB0" w:rsidR="00DA7E8E" w:rsidRPr="007204D3" w:rsidRDefault="00DA7E8E" w:rsidP="00E31C51">
            <w:pPr>
              <w:pStyle w:val="Tabletext"/>
              <w:ind w:left="189"/>
              <w:rPr>
                <w:sz w:val="24"/>
                <w:szCs w:val="24"/>
              </w:rPr>
            </w:pPr>
            <w:r>
              <w:rPr>
                <w:sz w:val="24"/>
                <w:szCs w:val="24"/>
              </w:rPr>
              <w:t>A2</w:t>
            </w:r>
            <w:r w:rsidR="007502A4">
              <w:rPr>
                <w:sz w:val="24"/>
                <w:szCs w:val="24"/>
              </w:rPr>
              <w:t>5</w:t>
            </w:r>
            <w:r w:rsidRPr="007204D3">
              <w:rPr>
                <w:sz w:val="24"/>
                <w:szCs w:val="24"/>
              </w:rPr>
              <w:t xml:space="preserve"> Tentative 2</w:t>
            </w:r>
            <w:r w:rsidRPr="007204D3">
              <w:rPr>
                <w:sz w:val="24"/>
                <w:szCs w:val="24"/>
              </w:rPr>
              <w:br/>
            </w:r>
            <w:r>
              <w:rPr>
                <w:sz w:val="24"/>
                <w:szCs w:val="24"/>
              </w:rPr>
              <w:t>(A2</w:t>
            </w:r>
            <w:r w:rsidR="007502A4">
              <w:rPr>
                <w:sz w:val="24"/>
                <w:szCs w:val="24"/>
              </w:rPr>
              <w:t>5</w:t>
            </w:r>
            <w:r>
              <w:rPr>
                <w:sz w:val="24"/>
                <w:szCs w:val="24"/>
              </w:rPr>
              <w:t>T2)</w:t>
            </w:r>
          </w:p>
        </w:tc>
        <w:tc>
          <w:tcPr>
            <w:tcW w:w="2545" w:type="dxa"/>
            <w:vAlign w:val="center"/>
          </w:tcPr>
          <w:p w14:paraId="7981B71C" w14:textId="24984031" w:rsidR="00DA7E8E" w:rsidRPr="007204D3" w:rsidRDefault="00DA7E8E" w:rsidP="00E31C51">
            <w:pPr>
              <w:pStyle w:val="Tabletext"/>
              <w:ind w:left="128"/>
              <w:rPr>
                <w:sz w:val="24"/>
                <w:szCs w:val="24"/>
              </w:rPr>
            </w:pPr>
            <w:r w:rsidRPr="007204D3">
              <w:rPr>
                <w:sz w:val="24"/>
                <w:szCs w:val="24"/>
              </w:rPr>
              <w:t xml:space="preserve">End of </w:t>
            </w:r>
            <w:r>
              <w:rPr>
                <w:sz w:val="24"/>
                <w:szCs w:val="24"/>
              </w:rPr>
              <w:t>February 202</w:t>
            </w:r>
            <w:r w:rsidR="007502A4">
              <w:rPr>
                <w:sz w:val="24"/>
                <w:szCs w:val="24"/>
              </w:rPr>
              <w:t>5</w:t>
            </w:r>
          </w:p>
        </w:tc>
        <w:tc>
          <w:tcPr>
            <w:tcW w:w="2315" w:type="dxa"/>
            <w:vAlign w:val="center"/>
          </w:tcPr>
          <w:p w14:paraId="005AA16D" w14:textId="789F6E74" w:rsidR="00DA7E8E" w:rsidRPr="007204D3" w:rsidRDefault="007502A4" w:rsidP="00E31C51">
            <w:pPr>
              <w:pStyle w:val="Tabletext"/>
              <w:ind w:left="189"/>
              <w:rPr>
                <w:sz w:val="24"/>
                <w:szCs w:val="24"/>
              </w:rPr>
            </w:pPr>
            <w:r>
              <w:rPr>
                <w:sz w:val="24"/>
                <w:szCs w:val="24"/>
              </w:rPr>
              <w:t>16</w:t>
            </w:r>
            <w:r w:rsidRPr="007204D3">
              <w:rPr>
                <w:sz w:val="24"/>
                <w:szCs w:val="24"/>
              </w:rPr>
              <w:t xml:space="preserve"> </w:t>
            </w:r>
            <w:r w:rsidR="00DA7E8E">
              <w:rPr>
                <w:sz w:val="24"/>
                <w:szCs w:val="24"/>
              </w:rPr>
              <w:t>February</w:t>
            </w:r>
            <w:r w:rsidR="00DA7E8E" w:rsidRPr="007204D3">
              <w:rPr>
                <w:sz w:val="24"/>
                <w:szCs w:val="24"/>
              </w:rPr>
              <w:t xml:space="preserve"> </w:t>
            </w:r>
            <w:r w:rsidR="00DA7E8E">
              <w:rPr>
                <w:sz w:val="24"/>
                <w:szCs w:val="24"/>
              </w:rPr>
              <w:t>202</w:t>
            </w:r>
            <w:r>
              <w:rPr>
                <w:sz w:val="24"/>
                <w:szCs w:val="24"/>
              </w:rPr>
              <w:t>5</w:t>
            </w:r>
          </w:p>
        </w:tc>
      </w:tr>
      <w:tr w:rsidR="00DA7E8E" w:rsidRPr="007204D3" w14:paraId="6273461C" w14:textId="77777777" w:rsidTr="00E31C51">
        <w:trPr>
          <w:trHeight w:val="223"/>
          <w:jc w:val="center"/>
        </w:trPr>
        <w:tc>
          <w:tcPr>
            <w:tcW w:w="892" w:type="dxa"/>
          </w:tcPr>
          <w:p w14:paraId="14C903A1" w14:textId="77777777" w:rsidR="00DA7E8E" w:rsidRPr="007204D3" w:rsidRDefault="00DA7E8E" w:rsidP="00E31C51">
            <w:pPr>
              <w:pStyle w:val="Tabletext"/>
              <w:ind w:left="189"/>
              <w:rPr>
                <w:sz w:val="24"/>
                <w:szCs w:val="24"/>
              </w:rPr>
            </w:pPr>
            <w:r w:rsidRPr="007204D3">
              <w:rPr>
                <w:sz w:val="24"/>
                <w:szCs w:val="24"/>
              </w:rPr>
              <w:t>1.3</w:t>
            </w:r>
          </w:p>
        </w:tc>
        <w:tc>
          <w:tcPr>
            <w:tcW w:w="2070" w:type="dxa"/>
            <w:vAlign w:val="center"/>
          </w:tcPr>
          <w:p w14:paraId="7E9CE976" w14:textId="733B37E7" w:rsidR="00DA7E8E" w:rsidRPr="007204D3" w:rsidRDefault="00DA7E8E" w:rsidP="00E31C51">
            <w:pPr>
              <w:pStyle w:val="Tabletext"/>
              <w:ind w:left="189"/>
              <w:rPr>
                <w:sz w:val="24"/>
                <w:szCs w:val="24"/>
              </w:rPr>
            </w:pPr>
            <w:r>
              <w:rPr>
                <w:sz w:val="24"/>
                <w:szCs w:val="24"/>
              </w:rPr>
              <w:t>A2</w:t>
            </w:r>
            <w:r w:rsidR="007502A4">
              <w:rPr>
                <w:sz w:val="24"/>
                <w:szCs w:val="24"/>
              </w:rPr>
              <w:t>5</w:t>
            </w:r>
            <w:r w:rsidRPr="007204D3">
              <w:rPr>
                <w:sz w:val="24"/>
                <w:szCs w:val="24"/>
              </w:rPr>
              <w:t xml:space="preserve"> Schedule 1</w:t>
            </w:r>
            <w:r w:rsidRPr="007204D3">
              <w:rPr>
                <w:sz w:val="24"/>
                <w:szCs w:val="24"/>
              </w:rPr>
              <w:br/>
            </w:r>
            <w:r>
              <w:rPr>
                <w:sz w:val="24"/>
                <w:szCs w:val="24"/>
              </w:rPr>
              <w:t>(A2</w:t>
            </w:r>
            <w:r w:rsidR="007502A4">
              <w:rPr>
                <w:sz w:val="24"/>
                <w:szCs w:val="24"/>
              </w:rPr>
              <w:t>5</w:t>
            </w:r>
            <w:r>
              <w:rPr>
                <w:sz w:val="24"/>
                <w:szCs w:val="24"/>
              </w:rPr>
              <w:t>S1)</w:t>
            </w:r>
          </w:p>
        </w:tc>
        <w:tc>
          <w:tcPr>
            <w:tcW w:w="2545" w:type="dxa"/>
            <w:vAlign w:val="center"/>
          </w:tcPr>
          <w:p w14:paraId="64B559FD" w14:textId="41DC8C4F" w:rsidR="00DA7E8E" w:rsidRPr="007204D3" w:rsidRDefault="00DA7E8E" w:rsidP="00E31C51">
            <w:pPr>
              <w:pStyle w:val="Tabletext"/>
              <w:ind w:left="128"/>
              <w:rPr>
                <w:sz w:val="24"/>
                <w:szCs w:val="24"/>
              </w:rPr>
            </w:pPr>
            <w:r w:rsidRPr="007204D3">
              <w:rPr>
                <w:sz w:val="24"/>
                <w:szCs w:val="24"/>
              </w:rPr>
              <w:t xml:space="preserve">End of </w:t>
            </w:r>
            <w:r>
              <w:rPr>
                <w:sz w:val="24"/>
                <w:szCs w:val="24"/>
              </w:rPr>
              <w:t>March</w:t>
            </w:r>
            <w:r w:rsidRPr="007204D3">
              <w:rPr>
                <w:sz w:val="24"/>
                <w:szCs w:val="24"/>
              </w:rPr>
              <w:t xml:space="preserve"> </w:t>
            </w:r>
            <w:r>
              <w:rPr>
                <w:sz w:val="24"/>
                <w:szCs w:val="24"/>
              </w:rPr>
              <w:t>202</w:t>
            </w:r>
            <w:r w:rsidR="007502A4">
              <w:rPr>
                <w:sz w:val="24"/>
                <w:szCs w:val="24"/>
              </w:rPr>
              <w:t>5</w:t>
            </w:r>
          </w:p>
        </w:tc>
        <w:tc>
          <w:tcPr>
            <w:tcW w:w="2315" w:type="dxa"/>
            <w:vAlign w:val="center"/>
          </w:tcPr>
          <w:p w14:paraId="1C4A1E26" w14:textId="54F8EDE8" w:rsidR="00DA7E8E" w:rsidRPr="007204D3" w:rsidRDefault="007502A4" w:rsidP="00E31C51">
            <w:pPr>
              <w:pStyle w:val="Tabletext"/>
              <w:ind w:left="189"/>
              <w:rPr>
                <w:sz w:val="24"/>
                <w:szCs w:val="24"/>
              </w:rPr>
            </w:pPr>
            <w:r>
              <w:rPr>
                <w:sz w:val="24"/>
                <w:szCs w:val="24"/>
              </w:rPr>
              <w:t>16</w:t>
            </w:r>
            <w:r w:rsidRPr="007204D3">
              <w:rPr>
                <w:sz w:val="24"/>
                <w:szCs w:val="24"/>
              </w:rPr>
              <w:t xml:space="preserve"> </w:t>
            </w:r>
            <w:r w:rsidR="00DA7E8E">
              <w:rPr>
                <w:sz w:val="24"/>
                <w:szCs w:val="24"/>
              </w:rPr>
              <w:t>March</w:t>
            </w:r>
            <w:r w:rsidR="00DA7E8E" w:rsidRPr="007204D3">
              <w:rPr>
                <w:sz w:val="24"/>
                <w:szCs w:val="24"/>
              </w:rPr>
              <w:t xml:space="preserve"> </w:t>
            </w:r>
            <w:r w:rsidR="00DA7E8E">
              <w:rPr>
                <w:sz w:val="24"/>
                <w:szCs w:val="24"/>
              </w:rPr>
              <w:t>202</w:t>
            </w:r>
            <w:r>
              <w:rPr>
                <w:sz w:val="24"/>
                <w:szCs w:val="24"/>
              </w:rPr>
              <w:t>5</w:t>
            </w:r>
          </w:p>
        </w:tc>
      </w:tr>
      <w:tr w:rsidR="00DA7E8E" w:rsidRPr="007204D3" w14:paraId="1CC17E1E" w14:textId="77777777" w:rsidTr="00E31C51">
        <w:trPr>
          <w:trHeight w:val="223"/>
          <w:jc w:val="center"/>
        </w:trPr>
        <w:tc>
          <w:tcPr>
            <w:tcW w:w="892" w:type="dxa"/>
          </w:tcPr>
          <w:p w14:paraId="7B5583C0" w14:textId="77777777" w:rsidR="00DA7E8E" w:rsidRPr="007204D3" w:rsidRDefault="00DA7E8E" w:rsidP="00E31C51">
            <w:pPr>
              <w:pStyle w:val="Tabletext"/>
              <w:ind w:left="189"/>
              <w:rPr>
                <w:sz w:val="24"/>
                <w:szCs w:val="24"/>
              </w:rPr>
            </w:pPr>
            <w:r w:rsidRPr="007204D3">
              <w:rPr>
                <w:sz w:val="24"/>
                <w:szCs w:val="24"/>
              </w:rPr>
              <w:t>1.4</w:t>
            </w:r>
          </w:p>
        </w:tc>
        <w:tc>
          <w:tcPr>
            <w:tcW w:w="2070" w:type="dxa"/>
            <w:vAlign w:val="center"/>
          </w:tcPr>
          <w:p w14:paraId="1AAC45F4" w14:textId="6105D1DC" w:rsidR="00DA7E8E" w:rsidRPr="007204D3" w:rsidRDefault="00DA7E8E" w:rsidP="00E31C51">
            <w:pPr>
              <w:pStyle w:val="Tabletext"/>
              <w:ind w:left="189"/>
              <w:rPr>
                <w:sz w:val="24"/>
                <w:szCs w:val="24"/>
              </w:rPr>
            </w:pPr>
            <w:r>
              <w:rPr>
                <w:sz w:val="24"/>
                <w:szCs w:val="24"/>
              </w:rPr>
              <w:t>A2</w:t>
            </w:r>
            <w:r w:rsidR="007502A4">
              <w:rPr>
                <w:sz w:val="24"/>
                <w:szCs w:val="24"/>
              </w:rPr>
              <w:t>5</w:t>
            </w:r>
            <w:r w:rsidRPr="007204D3">
              <w:rPr>
                <w:sz w:val="24"/>
                <w:szCs w:val="24"/>
              </w:rPr>
              <w:t xml:space="preserve"> Schedule 2</w:t>
            </w:r>
            <w:r w:rsidRPr="007204D3">
              <w:rPr>
                <w:sz w:val="24"/>
                <w:szCs w:val="24"/>
              </w:rPr>
              <w:br/>
            </w:r>
            <w:r>
              <w:rPr>
                <w:sz w:val="24"/>
                <w:szCs w:val="24"/>
              </w:rPr>
              <w:t>(A2</w:t>
            </w:r>
            <w:r w:rsidR="007502A4">
              <w:rPr>
                <w:sz w:val="24"/>
                <w:szCs w:val="24"/>
              </w:rPr>
              <w:t>5</w:t>
            </w:r>
            <w:r>
              <w:rPr>
                <w:sz w:val="24"/>
                <w:szCs w:val="24"/>
              </w:rPr>
              <w:t>S2)</w:t>
            </w:r>
          </w:p>
        </w:tc>
        <w:tc>
          <w:tcPr>
            <w:tcW w:w="2545" w:type="dxa"/>
            <w:vAlign w:val="center"/>
          </w:tcPr>
          <w:p w14:paraId="5E045604" w14:textId="3750CC40" w:rsidR="00DA7E8E" w:rsidRPr="007204D3" w:rsidRDefault="00DA7E8E" w:rsidP="00E31C51">
            <w:pPr>
              <w:pStyle w:val="Tabletext"/>
              <w:ind w:left="128"/>
              <w:rPr>
                <w:sz w:val="24"/>
                <w:szCs w:val="24"/>
              </w:rPr>
            </w:pPr>
            <w:r w:rsidRPr="007204D3">
              <w:rPr>
                <w:sz w:val="24"/>
                <w:szCs w:val="24"/>
              </w:rPr>
              <w:t xml:space="preserve">End of </w:t>
            </w:r>
            <w:r>
              <w:rPr>
                <w:sz w:val="24"/>
                <w:szCs w:val="24"/>
              </w:rPr>
              <w:t>May</w:t>
            </w:r>
            <w:r w:rsidRPr="007204D3">
              <w:rPr>
                <w:sz w:val="24"/>
                <w:szCs w:val="24"/>
              </w:rPr>
              <w:t xml:space="preserve"> </w:t>
            </w:r>
            <w:r>
              <w:rPr>
                <w:sz w:val="24"/>
                <w:szCs w:val="24"/>
              </w:rPr>
              <w:t>202</w:t>
            </w:r>
            <w:r w:rsidR="007502A4">
              <w:rPr>
                <w:sz w:val="24"/>
                <w:szCs w:val="24"/>
              </w:rPr>
              <w:t>5</w:t>
            </w:r>
          </w:p>
        </w:tc>
        <w:tc>
          <w:tcPr>
            <w:tcW w:w="2315" w:type="dxa"/>
            <w:vAlign w:val="center"/>
          </w:tcPr>
          <w:p w14:paraId="6764B004" w14:textId="302AB1E8" w:rsidR="00DA7E8E" w:rsidRPr="007204D3" w:rsidRDefault="007502A4" w:rsidP="00E31C51">
            <w:pPr>
              <w:pStyle w:val="Tabletext"/>
              <w:ind w:left="189"/>
              <w:rPr>
                <w:sz w:val="24"/>
                <w:szCs w:val="24"/>
              </w:rPr>
            </w:pPr>
            <w:r>
              <w:rPr>
                <w:sz w:val="24"/>
                <w:szCs w:val="24"/>
              </w:rPr>
              <w:t>18</w:t>
            </w:r>
            <w:r w:rsidRPr="007204D3">
              <w:rPr>
                <w:sz w:val="24"/>
                <w:szCs w:val="24"/>
              </w:rPr>
              <w:t xml:space="preserve"> </w:t>
            </w:r>
            <w:r w:rsidR="00DA7E8E">
              <w:rPr>
                <w:sz w:val="24"/>
                <w:szCs w:val="24"/>
              </w:rPr>
              <w:t>May</w:t>
            </w:r>
            <w:r w:rsidR="00DA7E8E" w:rsidRPr="007204D3">
              <w:rPr>
                <w:sz w:val="24"/>
                <w:szCs w:val="24"/>
              </w:rPr>
              <w:t xml:space="preserve"> </w:t>
            </w:r>
            <w:r w:rsidR="00DA7E8E">
              <w:rPr>
                <w:sz w:val="24"/>
                <w:szCs w:val="24"/>
              </w:rPr>
              <w:t>202</w:t>
            </w:r>
            <w:r>
              <w:rPr>
                <w:sz w:val="24"/>
                <w:szCs w:val="24"/>
              </w:rPr>
              <w:t>5</w:t>
            </w:r>
          </w:p>
        </w:tc>
      </w:tr>
      <w:tr w:rsidR="00DA7E8E" w:rsidRPr="007204D3" w14:paraId="485145C3" w14:textId="77777777" w:rsidTr="00E31C51">
        <w:trPr>
          <w:trHeight w:val="223"/>
          <w:jc w:val="center"/>
        </w:trPr>
        <w:tc>
          <w:tcPr>
            <w:tcW w:w="892" w:type="dxa"/>
          </w:tcPr>
          <w:p w14:paraId="4610179F" w14:textId="77777777" w:rsidR="00DA7E8E" w:rsidRPr="007204D3" w:rsidRDefault="00DA7E8E" w:rsidP="00E31C51">
            <w:pPr>
              <w:pStyle w:val="Tabletext"/>
              <w:ind w:left="189"/>
              <w:rPr>
                <w:sz w:val="24"/>
                <w:szCs w:val="24"/>
              </w:rPr>
            </w:pPr>
            <w:r>
              <w:rPr>
                <w:sz w:val="24"/>
                <w:szCs w:val="24"/>
              </w:rPr>
              <w:t>1.5</w:t>
            </w:r>
          </w:p>
        </w:tc>
        <w:tc>
          <w:tcPr>
            <w:tcW w:w="2070" w:type="dxa"/>
            <w:vAlign w:val="center"/>
          </w:tcPr>
          <w:p w14:paraId="7266F69D" w14:textId="72A4CEB0" w:rsidR="00DA7E8E" w:rsidRPr="007204D3" w:rsidDel="00003FDD" w:rsidRDefault="00DA7E8E" w:rsidP="00E31C51">
            <w:pPr>
              <w:pStyle w:val="Tabletext"/>
              <w:ind w:left="189"/>
              <w:rPr>
                <w:sz w:val="24"/>
                <w:szCs w:val="24"/>
              </w:rPr>
            </w:pPr>
            <w:r>
              <w:rPr>
                <w:sz w:val="24"/>
                <w:szCs w:val="24"/>
              </w:rPr>
              <w:t>A2</w:t>
            </w:r>
            <w:r w:rsidR="007502A4">
              <w:rPr>
                <w:sz w:val="24"/>
                <w:szCs w:val="24"/>
              </w:rPr>
              <w:t>5</w:t>
            </w:r>
            <w:r>
              <w:rPr>
                <w:sz w:val="24"/>
                <w:szCs w:val="24"/>
              </w:rPr>
              <w:t xml:space="preserve"> Schedule 3 (A2</w:t>
            </w:r>
            <w:r w:rsidR="007502A4">
              <w:rPr>
                <w:sz w:val="24"/>
                <w:szCs w:val="24"/>
              </w:rPr>
              <w:t>5</w:t>
            </w:r>
            <w:r>
              <w:rPr>
                <w:sz w:val="24"/>
                <w:szCs w:val="24"/>
              </w:rPr>
              <w:t>S3)</w:t>
            </w:r>
          </w:p>
        </w:tc>
        <w:tc>
          <w:tcPr>
            <w:tcW w:w="2545" w:type="dxa"/>
            <w:vAlign w:val="center"/>
          </w:tcPr>
          <w:p w14:paraId="730FECA7" w14:textId="379A353E" w:rsidR="00DA7E8E" w:rsidRPr="007204D3" w:rsidRDefault="00DA7E8E" w:rsidP="00E31C51">
            <w:pPr>
              <w:pStyle w:val="Tabletext"/>
              <w:ind w:left="128"/>
              <w:rPr>
                <w:sz w:val="24"/>
                <w:szCs w:val="24"/>
              </w:rPr>
            </w:pPr>
            <w:r>
              <w:rPr>
                <w:sz w:val="24"/>
                <w:szCs w:val="24"/>
              </w:rPr>
              <w:t>End of July 202</w:t>
            </w:r>
            <w:r w:rsidR="007502A4">
              <w:rPr>
                <w:sz w:val="24"/>
                <w:szCs w:val="24"/>
              </w:rPr>
              <w:t>5</w:t>
            </w:r>
          </w:p>
        </w:tc>
        <w:tc>
          <w:tcPr>
            <w:tcW w:w="2315" w:type="dxa"/>
            <w:vAlign w:val="center"/>
          </w:tcPr>
          <w:p w14:paraId="44F6BA2E" w14:textId="7CDB11C2" w:rsidR="00DA7E8E" w:rsidRPr="007204D3" w:rsidDel="00003FDD" w:rsidRDefault="007502A4" w:rsidP="00E31C51">
            <w:pPr>
              <w:pStyle w:val="Tabletext"/>
              <w:ind w:left="189"/>
              <w:rPr>
                <w:sz w:val="24"/>
                <w:szCs w:val="24"/>
              </w:rPr>
            </w:pPr>
            <w:r>
              <w:rPr>
                <w:sz w:val="24"/>
                <w:szCs w:val="24"/>
              </w:rPr>
              <w:t xml:space="preserve">20 </w:t>
            </w:r>
            <w:r w:rsidR="00DA7E8E">
              <w:rPr>
                <w:sz w:val="24"/>
                <w:szCs w:val="24"/>
              </w:rPr>
              <w:t>July 202</w:t>
            </w:r>
            <w:r>
              <w:rPr>
                <w:sz w:val="24"/>
                <w:szCs w:val="24"/>
              </w:rPr>
              <w:t>5</w:t>
            </w:r>
          </w:p>
        </w:tc>
      </w:tr>
      <w:tr w:rsidR="00DA7E8E" w:rsidRPr="007204D3" w14:paraId="4964BAD9" w14:textId="77777777" w:rsidTr="00E31C51">
        <w:trPr>
          <w:trHeight w:val="223"/>
          <w:jc w:val="center"/>
        </w:trPr>
        <w:tc>
          <w:tcPr>
            <w:tcW w:w="892" w:type="dxa"/>
          </w:tcPr>
          <w:p w14:paraId="70EE1584" w14:textId="77777777" w:rsidR="00DA7E8E" w:rsidRPr="007204D3" w:rsidRDefault="00DA7E8E" w:rsidP="00E31C51">
            <w:pPr>
              <w:pStyle w:val="Tabletext"/>
              <w:ind w:left="189"/>
              <w:rPr>
                <w:sz w:val="24"/>
                <w:szCs w:val="24"/>
              </w:rPr>
            </w:pPr>
            <w:r>
              <w:rPr>
                <w:sz w:val="24"/>
                <w:szCs w:val="24"/>
              </w:rPr>
              <w:t>1.6</w:t>
            </w:r>
          </w:p>
        </w:tc>
        <w:tc>
          <w:tcPr>
            <w:tcW w:w="2070" w:type="dxa"/>
            <w:vAlign w:val="center"/>
          </w:tcPr>
          <w:p w14:paraId="78BC5452" w14:textId="293038D4" w:rsidR="00DA7E8E" w:rsidRPr="007204D3" w:rsidRDefault="00DA7E8E" w:rsidP="00E31C51">
            <w:pPr>
              <w:pStyle w:val="Tabletext"/>
              <w:ind w:left="189"/>
              <w:rPr>
                <w:sz w:val="24"/>
                <w:szCs w:val="24"/>
              </w:rPr>
            </w:pPr>
            <w:r>
              <w:rPr>
                <w:sz w:val="24"/>
                <w:szCs w:val="24"/>
              </w:rPr>
              <w:t>A2</w:t>
            </w:r>
            <w:r w:rsidR="007502A4">
              <w:rPr>
                <w:sz w:val="24"/>
                <w:szCs w:val="24"/>
              </w:rPr>
              <w:t>5</w:t>
            </w:r>
            <w:r w:rsidRPr="007204D3">
              <w:rPr>
                <w:sz w:val="24"/>
                <w:szCs w:val="24"/>
              </w:rPr>
              <w:t xml:space="preserve"> Final</w:t>
            </w:r>
            <w:r w:rsidRPr="007204D3">
              <w:rPr>
                <w:sz w:val="24"/>
                <w:szCs w:val="24"/>
              </w:rPr>
              <w:br/>
            </w:r>
            <w:r>
              <w:rPr>
                <w:sz w:val="24"/>
                <w:szCs w:val="24"/>
              </w:rPr>
              <w:t>(A2</w:t>
            </w:r>
            <w:r w:rsidR="007502A4">
              <w:rPr>
                <w:sz w:val="24"/>
                <w:szCs w:val="24"/>
              </w:rPr>
              <w:t>5</w:t>
            </w:r>
            <w:r>
              <w:rPr>
                <w:sz w:val="24"/>
                <w:szCs w:val="24"/>
              </w:rPr>
              <w:t>F)</w:t>
            </w:r>
          </w:p>
        </w:tc>
        <w:tc>
          <w:tcPr>
            <w:tcW w:w="2545" w:type="dxa"/>
            <w:vAlign w:val="center"/>
          </w:tcPr>
          <w:p w14:paraId="6BFBD93A" w14:textId="3A00D2E4" w:rsidR="00DA7E8E" w:rsidRPr="007204D3" w:rsidRDefault="00DA7E8E" w:rsidP="00E31C51">
            <w:pPr>
              <w:pStyle w:val="Tabletext"/>
              <w:ind w:left="128"/>
              <w:rPr>
                <w:sz w:val="24"/>
                <w:szCs w:val="24"/>
              </w:rPr>
            </w:pPr>
            <w:r w:rsidRPr="007204D3">
              <w:rPr>
                <w:sz w:val="24"/>
                <w:szCs w:val="24"/>
              </w:rPr>
              <w:t xml:space="preserve">End of </w:t>
            </w:r>
            <w:r>
              <w:rPr>
                <w:sz w:val="24"/>
                <w:szCs w:val="24"/>
              </w:rPr>
              <w:t>November 202</w:t>
            </w:r>
            <w:r w:rsidR="007502A4">
              <w:rPr>
                <w:sz w:val="24"/>
                <w:szCs w:val="24"/>
              </w:rPr>
              <w:t>5</w:t>
            </w:r>
          </w:p>
        </w:tc>
        <w:tc>
          <w:tcPr>
            <w:tcW w:w="2315" w:type="dxa"/>
            <w:vAlign w:val="center"/>
          </w:tcPr>
          <w:p w14:paraId="37C9879F" w14:textId="4477C48D" w:rsidR="00DA7E8E" w:rsidRPr="007204D3" w:rsidRDefault="007502A4" w:rsidP="00E31C51">
            <w:pPr>
              <w:pStyle w:val="Tabletext"/>
              <w:ind w:left="189"/>
              <w:rPr>
                <w:sz w:val="24"/>
                <w:szCs w:val="24"/>
              </w:rPr>
            </w:pPr>
            <w:r>
              <w:rPr>
                <w:sz w:val="24"/>
                <w:szCs w:val="24"/>
              </w:rPr>
              <w:t>16</w:t>
            </w:r>
            <w:r w:rsidRPr="007204D3">
              <w:rPr>
                <w:sz w:val="24"/>
                <w:szCs w:val="24"/>
              </w:rPr>
              <w:t xml:space="preserve"> </w:t>
            </w:r>
            <w:r w:rsidR="00DA7E8E">
              <w:rPr>
                <w:sz w:val="24"/>
                <w:szCs w:val="24"/>
              </w:rPr>
              <w:t xml:space="preserve">November </w:t>
            </w:r>
            <w:r w:rsidR="00DA7E8E" w:rsidRPr="007204D3">
              <w:rPr>
                <w:sz w:val="24"/>
                <w:szCs w:val="24"/>
              </w:rPr>
              <w:t>202</w:t>
            </w:r>
            <w:r>
              <w:rPr>
                <w:sz w:val="24"/>
                <w:szCs w:val="24"/>
              </w:rPr>
              <w:t>5</w:t>
            </w:r>
          </w:p>
        </w:tc>
      </w:tr>
    </w:tbl>
    <w:p w14:paraId="3860F9BD" w14:textId="59B28169" w:rsidR="00DA7E8E" w:rsidRPr="007204D3" w:rsidRDefault="00DA7E8E" w:rsidP="00DA7E8E">
      <w:pPr>
        <w:pStyle w:val="AnnexNoTitle"/>
        <w:spacing w:before="480"/>
        <w:rPr>
          <w:szCs w:val="24"/>
        </w:rPr>
      </w:pPr>
      <w:r w:rsidRPr="007204D3">
        <w:rPr>
          <w:szCs w:val="24"/>
        </w:rPr>
        <w:t xml:space="preserve">Table </w:t>
      </w:r>
      <w:r w:rsidRPr="00EE224F">
        <w:rPr>
          <w:szCs w:val="24"/>
        </w:rPr>
        <w:t>2</w:t>
      </w:r>
      <w:r w:rsidRPr="007204D3">
        <w:rPr>
          <w:szCs w:val="24"/>
        </w:rPr>
        <w:t xml:space="preserve">: </w:t>
      </w:r>
      <w:r w:rsidRPr="007204D3">
        <w:rPr>
          <w:rFonts w:asciiTheme="minorHAnsi" w:hAnsiTheme="minorHAnsi" w:cstheme="minorHAnsi"/>
          <w:szCs w:val="24"/>
        </w:rPr>
        <w:t xml:space="preserve">List of schedules and closing dates for submissions </w:t>
      </w:r>
      <w:r w:rsidRPr="007204D3">
        <w:rPr>
          <w:szCs w:val="24"/>
        </w:rPr>
        <w:br/>
        <w:t xml:space="preserve">HFBC Schedule – </w:t>
      </w:r>
      <w:r>
        <w:rPr>
          <w:szCs w:val="24"/>
        </w:rPr>
        <w:t>B2</w:t>
      </w:r>
      <w:r w:rsidR="007502A4">
        <w:rPr>
          <w:szCs w:val="24"/>
        </w:rPr>
        <w:t>5</w:t>
      </w:r>
      <w:r w:rsidRPr="00EE224F">
        <w:rPr>
          <w:szCs w:val="24"/>
        </w:rPr>
        <w:t xml:space="preserve"> (2</w:t>
      </w:r>
      <w:r w:rsidR="007502A4">
        <w:rPr>
          <w:szCs w:val="24"/>
        </w:rPr>
        <w:t>6</w:t>
      </w:r>
      <w:r w:rsidRPr="00EE224F">
        <w:rPr>
          <w:szCs w:val="24"/>
        </w:rPr>
        <w:t xml:space="preserve"> October 202</w:t>
      </w:r>
      <w:r w:rsidR="007502A4">
        <w:rPr>
          <w:szCs w:val="24"/>
        </w:rPr>
        <w:t>5</w:t>
      </w:r>
      <w:r>
        <w:rPr>
          <w:szCs w:val="24"/>
        </w:rPr>
        <w:t xml:space="preserve"> – </w:t>
      </w:r>
      <w:r w:rsidR="007502A4">
        <w:rPr>
          <w:szCs w:val="24"/>
        </w:rPr>
        <w:t>29</w:t>
      </w:r>
      <w:r>
        <w:rPr>
          <w:szCs w:val="24"/>
        </w:rPr>
        <w:t xml:space="preserve"> March 202</w:t>
      </w:r>
      <w:r w:rsidR="007502A4">
        <w:rPr>
          <w:szCs w:val="24"/>
        </w:rPr>
        <w:t>6</w:t>
      </w:r>
      <w:r w:rsidRPr="00EE224F">
        <w:rPr>
          <w:szCs w:val="24"/>
        </w:rPr>
        <w:t>)</w:t>
      </w:r>
    </w:p>
    <w:p w14:paraId="7B599881" w14:textId="77777777" w:rsidR="00DA7E8E" w:rsidRPr="007204D3" w:rsidRDefault="00DA7E8E" w:rsidP="00DA7E8E">
      <w:pPr>
        <w:spacing w:before="0" w:line="240" w:lineRule="auto"/>
        <w:jc w:val="left"/>
        <w:rPr>
          <w:rFonts w:asciiTheme="minorHAnsi" w:hAnsiTheme="minorHAnsi" w:cstheme="minorHAnsi"/>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DA7E8E" w:rsidRPr="007204D3" w14:paraId="3D99BC23" w14:textId="77777777" w:rsidTr="00E31C51">
        <w:trPr>
          <w:trHeight w:val="446"/>
          <w:jc w:val="center"/>
        </w:trPr>
        <w:tc>
          <w:tcPr>
            <w:tcW w:w="892" w:type="dxa"/>
          </w:tcPr>
          <w:p w14:paraId="373C8CB1" w14:textId="77777777" w:rsidR="00DA7E8E" w:rsidRPr="007204D3" w:rsidRDefault="00DA7E8E" w:rsidP="00E31C51">
            <w:pPr>
              <w:pStyle w:val="Tablehead"/>
              <w:rPr>
                <w:sz w:val="24"/>
                <w:szCs w:val="24"/>
              </w:rPr>
            </w:pPr>
          </w:p>
        </w:tc>
        <w:tc>
          <w:tcPr>
            <w:tcW w:w="2070" w:type="dxa"/>
            <w:vAlign w:val="center"/>
          </w:tcPr>
          <w:p w14:paraId="28EE37A5" w14:textId="77777777" w:rsidR="00DA7E8E" w:rsidRPr="007204D3" w:rsidRDefault="00DA7E8E" w:rsidP="00E31C51">
            <w:pPr>
              <w:pStyle w:val="Tablehead"/>
              <w:rPr>
                <w:sz w:val="24"/>
                <w:szCs w:val="24"/>
              </w:rPr>
            </w:pPr>
            <w:r w:rsidRPr="007204D3">
              <w:rPr>
                <w:sz w:val="24"/>
                <w:szCs w:val="24"/>
              </w:rPr>
              <w:t>Schedule title</w:t>
            </w:r>
          </w:p>
        </w:tc>
        <w:tc>
          <w:tcPr>
            <w:tcW w:w="2545" w:type="dxa"/>
            <w:vAlign w:val="center"/>
          </w:tcPr>
          <w:p w14:paraId="55D98A82" w14:textId="77777777" w:rsidR="00DA7E8E" w:rsidRPr="007204D3" w:rsidRDefault="00DA7E8E" w:rsidP="00E31C51">
            <w:pPr>
              <w:pStyle w:val="Tablehead"/>
              <w:rPr>
                <w:sz w:val="24"/>
                <w:szCs w:val="24"/>
              </w:rPr>
            </w:pPr>
            <w:r w:rsidRPr="007204D3">
              <w:rPr>
                <w:sz w:val="24"/>
                <w:szCs w:val="24"/>
              </w:rPr>
              <w:t>Date of publication</w:t>
            </w:r>
          </w:p>
        </w:tc>
        <w:tc>
          <w:tcPr>
            <w:tcW w:w="2315" w:type="dxa"/>
            <w:vAlign w:val="center"/>
          </w:tcPr>
          <w:p w14:paraId="15A387B4" w14:textId="77777777" w:rsidR="00DA7E8E" w:rsidRPr="007204D3" w:rsidRDefault="00DA7E8E" w:rsidP="00E31C51">
            <w:pPr>
              <w:pStyle w:val="Tablehead"/>
              <w:rPr>
                <w:sz w:val="24"/>
                <w:szCs w:val="24"/>
              </w:rPr>
            </w:pPr>
            <w:r w:rsidRPr="007204D3">
              <w:rPr>
                <w:sz w:val="24"/>
                <w:szCs w:val="24"/>
              </w:rPr>
              <w:t xml:space="preserve">Date limit for </w:t>
            </w:r>
            <w:r w:rsidRPr="007204D3">
              <w:rPr>
                <w:sz w:val="24"/>
                <w:szCs w:val="24"/>
              </w:rPr>
              <w:br/>
              <w:t>submissions</w:t>
            </w:r>
          </w:p>
        </w:tc>
      </w:tr>
      <w:tr w:rsidR="00DA7E8E" w:rsidRPr="007204D3" w14:paraId="6B2F25CD" w14:textId="77777777" w:rsidTr="00E31C51">
        <w:trPr>
          <w:trHeight w:val="223"/>
          <w:jc w:val="center"/>
        </w:trPr>
        <w:tc>
          <w:tcPr>
            <w:tcW w:w="892" w:type="dxa"/>
          </w:tcPr>
          <w:p w14:paraId="4DD369F3" w14:textId="77777777" w:rsidR="00DA7E8E" w:rsidRPr="007204D3" w:rsidRDefault="00DA7E8E" w:rsidP="00E31C51">
            <w:pPr>
              <w:pStyle w:val="Tabletext"/>
              <w:ind w:left="189"/>
              <w:rPr>
                <w:sz w:val="24"/>
                <w:szCs w:val="24"/>
              </w:rPr>
            </w:pPr>
            <w:r w:rsidRPr="007204D3">
              <w:rPr>
                <w:sz w:val="24"/>
                <w:szCs w:val="24"/>
              </w:rPr>
              <w:t>1.1</w:t>
            </w:r>
          </w:p>
        </w:tc>
        <w:tc>
          <w:tcPr>
            <w:tcW w:w="2070" w:type="dxa"/>
            <w:vAlign w:val="center"/>
          </w:tcPr>
          <w:p w14:paraId="429463F2" w14:textId="2B5899B7" w:rsidR="00DA7E8E" w:rsidRPr="00EE224F" w:rsidRDefault="00DA7E8E" w:rsidP="00E31C51">
            <w:pPr>
              <w:pStyle w:val="Tabletext"/>
              <w:ind w:left="189"/>
              <w:rPr>
                <w:sz w:val="24"/>
                <w:szCs w:val="24"/>
              </w:rPr>
            </w:pPr>
            <w:r>
              <w:rPr>
                <w:sz w:val="24"/>
                <w:szCs w:val="24"/>
              </w:rPr>
              <w:t>B2</w:t>
            </w:r>
            <w:r w:rsidR="007502A4">
              <w:rPr>
                <w:sz w:val="24"/>
                <w:szCs w:val="24"/>
              </w:rPr>
              <w:t>5</w:t>
            </w:r>
            <w:r w:rsidRPr="00EE224F">
              <w:rPr>
                <w:sz w:val="24"/>
                <w:szCs w:val="24"/>
              </w:rPr>
              <w:t xml:space="preserve"> Tentative 1</w:t>
            </w:r>
            <w:r w:rsidRPr="00EE224F">
              <w:rPr>
                <w:sz w:val="24"/>
                <w:szCs w:val="24"/>
              </w:rPr>
              <w:br/>
            </w:r>
            <w:r>
              <w:rPr>
                <w:sz w:val="24"/>
                <w:szCs w:val="24"/>
              </w:rPr>
              <w:t>(B2</w:t>
            </w:r>
            <w:r w:rsidR="007502A4">
              <w:rPr>
                <w:sz w:val="24"/>
                <w:szCs w:val="24"/>
              </w:rPr>
              <w:t>5</w:t>
            </w:r>
            <w:r>
              <w:rPr>
                <w:sz w:val="24"/>
                <w:szCs w:val="24"/>
              </w:rPr>
              <w:t>T1)</w:t>
            </w:r>
          </w:p>
        </w:tc>
        <w:tc>
          <w:tcPr>
            <w:tcW w:w="2545" w:type="dxa"/>
            <w:vAlign w:val="center"/>
          </w:tcPr>
          <w:p w14:paraId="51CB1E7E" w14:textId="010DD508" w:rsidR="00DA7E8E" w:rsidRPr="00DE70FA" w:rsidRDefault="00DA7E8E" w:rsidP="00E31C51">
            <w:pPr>
              <w:pStyle w:val="Tabletext"/>
              <w:ind w:left="128"/>
              <w:rPr>
                <w:sz w:val="24"/>
                <w:szCs w:val="24"/>
              </w:rPr>
            </w:pPr>
            <w:r w:rsidRPr="00DE70FA">
              <w:rPr>
                <w:sz w:val="24"/>
                <w:szCs w:val="24"/>
              </w:rPr>
              <w:t>End of August 202</w:t>
            </w:r>
            <w:r w:rsidR="007502A4">
              <w:rPr>
                <w:sz w:val="24"/>
                <w:szCs w:val="24"/>
              </w:rPr>
              <w:t>5</w:t>
            </w:r>
          </w:p>
        </w:tc>
        <w:tc>
          <w:tcPr>
            <w:tcW w:w="2315" w:type="dxa"/>
            <w:vAlign w:val="center"/>
          </w:tcPr>
          <w:p w14:paraId="785DB0F8" w14:textId="2814EBD6" w:rsidR="00DA7E8E" w:rsidRPr="00DE70FA" w:rsidRDefault="007502A4" w:rsidP="00E31C51">
            <w:pPr>
              <w:pStyle w:val="Tabletext"/>
              <w:ind w:left="189"/>
              <w:rPr>
                <w:sz w:val="24"/>
                <w:szCs w:val="24"/>
              </w:rPr>
            </w:pPr>
            <w:r>
              <w:rPr>
                <w:sz w:val="24"/>
                <w:szCs w:val="24"/>
              </w:rPr>
              <w:t>17</w:t>
            </w:r>
            <w:r w:rsidRPr="00DE70FA">
              <w:rPr>
                <w:sz w:val="24"/>
                <w:szCs w:val="24"/>
              </w:rPr>
              <w:t xml:space="preserve"> </w:t>
            </w:r>
            <w:r w:rsidR="00DA7E8E" w:rsidRPr="00DE70FA">
              <w:rPr>
                <w:sz w:val="24"/>
                <w:szCs w:val="24"/>
              </w:rPr>
              <w:t>August 202</w:t>
            </w:r>
            <w:r>
              <w:rPr>
                <w:sz w:val="24"/>
                <w:szCs w:val="24"/>
              </w:rPr>
              <w:t>5</w:t>
            </w:r>
          </w:p>
          <w:p w14:paraId="3D5B1B32" w14:textId="1BB406D6" w:rsidR="00DA7E8E" w:rsidRPr="00761E42" w:rsidRDefault="008E1E3E" w:rsidP="00E31C51">
            <w:pPr>
              <w:pStyle w:val="Tabletext"/>
              <w:ind w:left="189"/>
              <w:rPr>
                <w:sz w:val="24"/>
                <w:szCs w:val="24"/>
              </w:rPr>
            </w:pPr>
            <w:r>
              <w:rPr>
                <w:sz w:val="24"/>
                <w:szCs w:val="24"/>
              </w:rPr>
              <w:t>10</w:t>
            </w:r>
            <w:r w:rsidRPr="00761E42">
              <w:rPr>
                <w:sz w:val="24"/>
                <w:szCs w:val="24"/>
              </w:rPr>
              <w:t xml:space="preserve"> </w:t>
            </w:r>
            <w:r w:rsidR="00DA7E8E" w:rsidRPr="00761E42">
              <w:rPr>
                <w:sz w:val="24"/>
                <w:szCs w:val="24"/>
              </w:rPr>
              <w:t>August 202</w:t>
            </w:r>
            <w:r w:rsidR="007502A4">
              <w:rPr>
                <w:sz w:val="24"/>
                <w:szCs w:val="24"/>
              </w:rPr>
              <w:t>5</w:t>
            </w:r>
            <w:r w:rsidR="00DA7E8E" w:rsidRPr="00761E42">
              <w:rPr>
                <w:sz w:val="24"/>
                <w:szCs w:val="24"/>
              </w:rPr>
              <w:t>*</w:t>
            </w:r>
          </w:p>
        </w:tc>
      </w:tr>
      <w:tr w:rsidR="00DA7E8E" w:rsidRPr="007204D3" w14:paraId="7C8A3ED4" w14:textId="77777777" w:rsidTr="00E31C51">
        <w:trPr>
          <w:trHeight w:val="223"/>
          <w:jc w:val="center"/>
        </w:trPr>
        <w:tc>
          <w:tcPr>
            <w:tcW w:w="892" w:type="dxa"/>
          </w:tcPr>
          <w:p w14:paraId="0ACA251C" w14:textId="77777777" w:rsidR="00DA7E8E" w:rsidRPr="007204D3" w:rsidRDefault="00DA7E8E" w:rsidP="00E31C51">
            <w:pPr>
              <w:pStyle w:val="Tabletext"/>
              <w:ind w:left="189"/>
              <w:rPr>
                <w:sz w:val="24"/>
                <w:szCs w:val="24"/>
              </w:rPr>
            </w:pPr>
            <w:r w:rsidRPr="007204D3">
              <w:rPr>
                <w:sz w:val="24"/>
                <w:szCs w:val="24"/>
              </w:rPr>
              <w:t>1.2</w:t>
            </w:r>
          </w:p>
        </w:tc>
        <w:tc>
          <w:tcPr>
            <w:tcW w:w="2070" w:type="dxa"/>
            <w:vAlign w:val="center"/>
          </w:tcPr>
          <w:p w14:paraId="07FE4B90" w14:textId="45265CF1" w:rsidR="00DA7E8E" w:rsidRPr="00EE224F" w:rsidRDefault="00DA7E8E" w:rsidP="00E31C51">
            <w:pPr>
              <w:pStyle w:val="Tabletext"/>
              <w:ind w:left="189"/>
              <w:rPr>
                <w:sz w:val="24"/>
                <w:szCs w:val="24"/>
              </w:rPr>
            </w:pPr>
            <w:r>
              <w:rPr>
                <w:sz w:val="24"/>
                <w:szCs w:val="24"/>
              </w:rPr>
              <w:t>B2</w:t>
            </w:r>
            <w:r w:rsidR="007502A4">
              <w:rPr>
                <w:sz w:val="24"/>
                <w:szCs w:val="24"/>
              </w:rPr>
              <w:t>5</w:t>
            </w:r>
            <w:r w:rsidRPr="00EE224F">
              <w:rPr>
                <w:sz w:val="24"/>
                <w:szCs w:val="24"/>
              </w:rPr>
              <w:t xml:space="preserve"> Tentative 2</w:t>
            </w:r>
            <w:r w:rsidRPr="00EE224F">
              <w:rPr>
                <w:sz w:val="24"/>
                <w:szCs w:val="24"/>
              </w:rPr>
              <w:br/>
            </w:r>
            <w:r>
              <w:rPr>
                <w:sz w:val="24"/>
                <w:szCs w:val="24"/>
              </w:rPr>
              <w:t>B2</w:t>
            </w:r>
            <w:r w:rsidR="007502A4">
              <w:rPr>
                <w:sz w:val="24"/>
                <w:szCs w:val="24"/>
              </w:rPr>
              <w:t>5</w:t>
            </w:r>
            <w:r>
              <w:rPr>
                <w:sz w:val="24"/>
                <w:szCs w:val="24"/>
              </w:rPr>
              <w:t>T2)</w:t>
            </w:r>
          </w:p>
        </w:tc>
        <w:tc>
          <w:tcPr>
            <w:tcW w:w="2545" w:type="dxa"/>
            <w:vAlign w:val="center"/>
          </w:tcPr>
          <w:p w14:paraId="41A5831E" w14:textId="6BC870BA" w:rsidR="00DA7E8E" w:rsidRPr="00DE70FA" w:rsidRDefault="00DA7E8E" w:rsidP="00E31C51">
            <w:pPr>
              <w:pStyle w:val="Tabletext"/>
              <w:ind w:left="128"/>
              <w:rPr>
                <w:sz w:val="24"/>
                <w:szCs w:val="24"/>
              </w:rPr>
            </w:pPr>
            <w:r w:rsidRPr="00DE70FA">
              <w:rPr>
                <w:sz w:val="24"/>
                <w:szCs w:val="24"/>
              </w:rPr>
              <w:t>End of September 202</w:t>
            </w:r>
            <w:r w:rsidR="007502A4">
              <w:rPr>
                <w:sz w:val="24"/>
                <w:szCs w:val="24"/>
              </w:rPr>
              <w:t>5</w:t>
            </w:r>
          </w:p>
        </w:tc>
        <w:tc>
          <w:tcPr>
            <w:tcW w:w="2315" w:type="dxa"/>
            <w:vAlign w:val="center"/>
          </w:tcPr>
          <w:p w14:paraId="05A3EB65" w14:textId="59406F05" w:rsidR="00DA7E8E" w:rsidRPr="00DE70FA" w:rsidRDefault="008E1E3E" w:rsidP="00E31C51">
            <w:pPr>
              <w:pStyle w:val="Tabletext"/>
              <w:ind w:left="189"/>
              <w:rPr>
                <w:sz w:val="24"/>
                <w:szCs w:val="24"/>
              </w:rPr>
            </w:pPr>
            <w:r>
              <w:rPr>
                <w:sz w:val="24"/>
                <w:szCs w:val="24"/>
              </w:rPr>
              <w:t>14</w:t>
            </w:r>
            <w:r w:rsidRPr="00DE70FA">
              <w:rPr>
                <w:sz w:val="24"/>
                <w:szCs w:val="24"/>
              </w:rPr>
              <w:t xml:space="preserve"> </w:t>
            </w:r>
            <w:r w:rsidR="00DA7E8E" w:rsidRPr="00DE70FA">
              <w:rPr>
                <w:sz w:val="24"/>
                <w:szCs w:val="24"/>
              </w:rPr>
              <w:t>September 202</w:t>
            </w:r>
            <w:r w:rsidR="007502A4">
              <w:rPr>
                <w:sz w:val="24"/>
                <w:szCs w:val="24"/>
              </w:rPr>
              <w:t>5</w:t>
            </w:r>
          </w:p>
        </w:tc>
      </w:tr>
      <w:tr w:rsidR="00DA7E8E" w:rsidRPr="007204D3" w14:paraId="3568C8F3" w14:textId="77777777" w:rsidTr="00E31C51">
        <w:trPr>
          <w:trHeight w:val="223"/>
          <w:jc w:val="center"/>
        </w:trPr>
        <w:tc>
          <w:tcPr>
            <w:tcW w:w="892" w:type="dxa"/>
          </w:tcPr>
          <w:p w14:paraId="5E99539C" w14:textId="77777777" w:rsidR="00DA7E8E" w:rsidRPr="007204D3" w:rsidRDefault="00DA7E8E" w:rsidP="00E31C51">
            <w:pPr>
              <w:pStyle w:val="Tabletext"/>
              <w:ind w:left="189"/>
              <w:rPr>
                <w:sz w:val="24"/>
                <w:szCs w:val="24"/>
              </w:rPr>
            </w:pPr>
            <w:r w:rsidRPr="007204D3">
              <w:rPr>
                <w:sz w:val="24"/>
                <w:szCs w:val="24"/>
              </w:rPr>
              <w:t>1.3</w:t>
            </w:r>
          </w:p>
        </w:tc>
        <w:tc>
          <w:tcPr>
            <w:tcW w:w="2070" w:type="dxa"/>
            <w:vAlign w:val="center"/>
          </w:tcPr>
          <w:p w14:paraId="3B29669B" w14:textId="6A879881" w:rsidR="00DA7E8E" w:rsidRPr="00EE224F" w:rsidRDefault="00DA7E8E" w:rsidP="00E31C51">
            <w:pPr>
              <w:pStyle w:val="Tabletext"/>
              <w:ind w:left="189"/>
              <w:rPr>
                <w:sz w:val="24"/>
                <w:szCs w:val="24"/>
              </w:rPr>
            </w:pPr>
            <w:r>
              <w:rPr>
                <w:sz w:val="24"/>
                <w:szCs w:val="24"/>
              </w:rPr>
              <w:t>B2</w:t>
            </w:r>
            <w:r w:rsidR="007502A4">
              <w:rPr>
                <w:sz w:val="24"/>
                <w:szCs w:val="24"/>
              </w:rPr>
              <w:t>5</w:t>
            </w:r>
            <w:r w:rsidRPr="00EE224F">
              <w:rPr>
                <w:sz w:val="24"/>
                <w:szCs w:val="24"/>
              </w:rPr>
              <w:t xml:space="preserve"> Schedule 1</w:t>
            </w:r>
            <w:r w:rsidRPr="00EE224F">
              <w:rPr>
                <w:sz w:val="24"/>
                <w:szCs w:val="24"/>
              </w:rPr>
              <w:br/>
            </w:r>
            <w:r>
              <w:rPr>
                <w:sz w:val="24"/>
                <w:szCs w:val="24"/>
              </w:rPr>
              <w:t>(B2</w:t>
            </w:r>
            <w:r w:rsidR="007502A4">
              <w:rPr>
                <w:sz w:val="24"/>
                <w:szCs w:val="24"/>
              </w:rPr>
              <w:t>5</w:t>
            </w:r>
            <w:r>
              <w:rPr>
                <w:sz w:val="24"/>
                <w:szCs w:val="24"/>
              </w:rPr>
              <w:t>S1)</w:t>
            </w:r>
          </w:p>
        </w:tc>
        <w:tc>
          <w:tcPr>
            <w:tcW w:w="2545" w:type="dxa"/>
            <w:vAlign w:val="center"/>
          </w:tcPr>
          <w:p w14:paraId="3E522778" w14:textId="6EF26CEB" w:rsidR="00DA7E8E" w:rsidRPr="00DE70FA" w:rsidRDefault="00DA7E8E" w:rsidP="00E31C51">
            <w:pPr>
              <w:pStyle w:val="Tabletext"/>
              <w:ind w:left="128"/>
              <w:rPr>
                <w:sz w:val="24"/>
                <w:szCs w:val="24"/>
              </w:rPr>
            </w:pPr>
            <w:r w:rsidRPr="00DE70FA">
              <w:rPr>
                <w:sz w:val="24"/>
                <w:szCs w:val="24"/>
              </w:rPr>
              <w:t>End of October 202</w:t>
            </w:r>
            <w:r w:rsidR="007502A4">
              <w:rPr>
                <w:sz w:val="24"/>
                <w:szCs w:val="24"/>
              </w:rPr>
              <w:t>5</w:t>
            </w:r>
          </w:p>
        </w:tc>
        <w:tc>
          <w:tcPr>
            <w:tcW w:w="2315" w:type="dxa"/>
            <w:vAlign w:val="center"/>
          </w:tcPr>
          <w:p w14:paraId="70C0F44B" w14:textId="0942BDD2" w:rsidR="00DA7E8E" w:rsidRPr="00DE70FA" w:rsidRDefault="008E1E3E" w:rsidP="00E31C51">
            <w:pPr>
              <w:pStyle w:val="Tabletext"/>
              <w:ind w:left="189"/>
              <w:rPr>
                <w:sz w:val="24"/>
                <w:szCs w:val="24"/>
              </w:rPr>
            </w:pPr>
            <w:r>
              <w:rPr>
                <w:sz w:val="24"/>
                <w:szCs w:val="24"/>
              </w:rPr>
              <w:t>19</w:t>
            </w:r>
            <w:r w:rsidRPr="00DE70FA">
              <w:rPr>
                <w:sz w:val="24"/>
                <w:szCs w:val="24"/>
              </w:rPr>
              <w:t xml:space="preserve"> </w:t>
            </w:r>
            <w:r w:rsidR="00DA7E8E" w:rsidRPr="00DE70FA">
              <w:rPr>
                <w:sz w:val="24"/>
                <w:szCs w:val="24"/>
              </w:rPr>
              <w:t>October 202</w:t>
            </w:r>
            <w:r w:rsidR="007502A4">
              <w:rPr>
                <w:sz w:val="24"/>
                <w:szCs w:val="24"/>
              </w:rPr>
              <w:t>5</w:t>
            </w:r>
          </w:p>
        </w:tc>
      </w:tr>
      <w:tr w:rsidR="00DA7E8E" w:rsidRPr="007204D3" w14:paraId="498FAA10" w14:textId="77777777" w:rsidTr="00E31C51">
        <w:trPr>
          <w:trHeight w:val="223"/>
          <w:jc w:val="center"/>
        </w:trPr>
        <w:tc>
          <w:tcPr>
            <w:tcW w:w="892" w:type="dxa"/>
          </w:tcPr>
          <w:p w14:paraId="0FF1D4BE" w14:textId="77777777" w:rsidR="00DA7E8E" w:rsidRPr="007204D3" w:rsidRDefault="00DA7E8E" w:rsidP="00E31C51">
            <w:pPr>
              <w:pStyle w:val="Tabletext"/>
              <w:ind w:left="189"/>
              <w:rPr>
                <w:sz w:val="24"/>
                <w:szCs w:val="24"/>
              </w:rPr>
            </w:pPr>
            <w:r w:rsidRPr="007204D3">
              <w:rPr>
                <w:sz w:val="24"/>
                <w:szCs w:val="24"/>
              </w:rPr>
              <w:t>1.4</w:t>
            </w:r>
          </w:p>
        </w:tc>
        <w:tc>
          <w:tcPr>
            <w:tcW w:w="2070" w:type="dxa"/>
            <w:vAlign w:val="center"/>
          </w:tcPr>
          <w:p w14:paraId="4B7B34EB" w14:textId="15FD3B16" w:rsidR="00DA7E8E" w:rsidRPr="00EE224F" w:rsidRDefault="00DA7E8E" w:rsidP="00E31C51">
            <w:pPr>
              <w:pStyle w:val="Tabletext"/>
              <w:ind w:left="189"/>
              <w:rPr>
                <w:sz w:val="24"/>
                <w:szCs w:val="24"/>
              </w:rPr>
            </w:pPr>
            <w:r>
              <w:rPr>
                <w:sz w:val="24"/>
                <w:szCs w:val="24"/>
              </w:rPr>
              <w:t>B2</w:t>
            </w:r>
            <w:r w:rsidR="007502A4">
              <w:rPr>
                <w:sz w:val="24"/>
                <w:szCs w:val="24"/>
              </w:rPr>
              <w:t>5</w:t>
            </w:r>
            <w:r w:rsidRPr="00EE224F">
              <w:rPr>
                <w:sz w:val="24"/>
                <w:szCs w:val="24"/>
              </w:rPr>
              <w:t xml:space="preserve"> Schedule 2</w:t>
            </w:r>
            <w:r w:rsidRPr="00EE224F">
              <w:rPr>
                <w:sz w:val="24"/>
                <w:szCs w:val="24"/>
              </w:rPr>
              <w:br/>
            </w:r>
            <w:r>
              <w:rPr>
                <w:sz w:val="24"/>
                <w:szCs w:val="24"/>
              </w:rPr>
              <w:t>(B2</w:t>
            </w:r>
            <w:r w:rsidR="007502A4">
              <w:rPr>
                <w:sz w:val="24"/>
                <w:szCs w:val="24"/>
              </w:rPr>
              <w:t>5</w:t>
            </w:r>
            <w:r>
              <w:rPr>
                <w:sz w:val="24"/>
                <w:szCs w:val="24"/>
              </w:rPr>
              <w:t>S2)</w:t>
            </w:r>
          </w:p>
        </w:tc>
        <w:tc>
          <w:tcPr>
            <w:tcW w:w="2545" w:type="dxa"/>
            <w:vAlign w:val="center"/>
          </w:tcPr>
          <w:p w14:paraId="50AA088A" w14:textId="2ED07404" w:rsidR="00DA7E8E" w:rsidRPr="00DE70FA" w:rsidRDefault="00DA7E8E" w:rsidP="00E31C51">
            <w:pPr>
              <w:pStyle w:val="Tabletext"/>
              <w:ind w:left="128"/>
              <w:rPr>
                <w:sz w:val="24"/>
                <w:szCs w:val="24"/>
              </w:rPr>
            </w:pPr>
            <w:r w:rsidRPr="00DE70FA">
              <w:rPr>
                <w:sz w:val="24"/>
                <w:szCs w:val="24"/>
              </w:rPr>
              <w:t>End of December 202</w:t>
            </w:r>
            <w:r w:rsidR="007502A4">
              <w:rPr>
                <w:sz w:val="24"/>
                <w:szCs w:val="24"/>
              </w:rPr>
              <w:t>5</w:t>
            </w:r>
          </w:p>
        </w:tc>
        <w:tc>
          <w:tcPr>
            <w:tcW w:w="2315" w:type="dxa"/>
            <w:vAlign w:val="center"/>
          </w:tcPr>
          <w:p w14:paraId="261688ED" w14:textId="378452F3" w:rsidR="00DA7E8E" w:rsidRPr="00DE70FA" w:rsidRDefault="008E1E3E" w:rsidP="00E31C51">
            <w:pPr>
              <w:pStyle w:val="Tabletext"/>
              <w:ind w:left="189"/>
              <w:rPr>
                <w:sz w:val="24"/>
                <w:szCs w:val="24"/>
              </w:rPr>
            </w:pPr>
            <w:r>
              <w:rPr>
                <w:sz w:val="24"/>
                <w:szCs w:val="24"/>
              </w:rPr>
              <w:t>14</w:t>
            </w:r>
            <w:r w:rsidRPr="00DE70FA">
              <w:rPr>
                <w:sz w:val="24"/>
                <w:szCs w:val="24"/>
              </w:rPr>
              <w:t xml:space="preserve"> </w:t>
            </w:r>
            <w:r w:rsidR="00DA7E8E" w:rsidRPr="00DE70FA">
              <w:rPr>
                <w:sz w:val="24"/>
                <w:szCs w:val="24"/>
              </w:rPr>
              <w:t>December 202</w:t>
            </w:r>
            <w:r w:rsidR="007502A4">
              <w:rPr>
                <w:sz w:val="24"/>
                <w:szCs w:val="24"/>
              </w:rPr>
              <w:t>5</w:t>
            </w:r>
          </w:p>
        </w:tc>
      </w:tr>
      <w:tr w:rsidR="00DA7E8E" w:rsidRPr="007204D3" w14:paraId="51593AFF" w14:textId="77777777" w:rsidTr="00E31C51">
        <w:trPr>
          <w:trHeight w:val="223"/>
          <w:jc w:val="center"/>
        </w:trPr>
        <w:tc>
          <w:tcPr>
            <w:tcW w:w="892" w:type="dxa"/>
          </w:tcPr>
          <w:p w14:paraId="277C09F8" w14:textId="77777777" w:rsidR="00DA7E8E" w:rsidRPr="007204D3" w:rsidRDefault="00DA7E8E" w:rsidP="00E31C51">
            <w:pPr>
              <w:pStyle w:val="Tabletext"/>
              <w:ind w:left="189"/>
              <w:rPr>
                <w:sz w:val="24"/>
                <w:szCs w:val="24"/>
              </w:rPr>
            </w:pPr>
            <w:r>
              <w:rPr>
                <w:sz w:val="24"/>
                <w:szCs w:val="24"/>
              </w:rPr>
              <w:t>1.5</w:t>
            </w:r>
          </w:p>
        </w:tc>
        <w:tc>
          <w:tcPr>
            <w:tcW w:w="2070" w:type="dxa"/>
            <w:vAlign w:val="center"/>
          </w:tcPr>
          <w:p w14:paraId="5C9746FC" w14:textId="4091B12D" w:rsidR="00DA7E8E" w:rsidRDefault="00DA7E8E" w:rsidP="00E31C51">
            <w:pPr>
              <w:pStyle w:val="Tabletext"/>
              <w:ind w:left="189"/>
              <w:rPr>
                <w:sz w:val="24"/>
                <w:szCs w:val="24"/>
              </w:rPr>
            </w:pPr>
            <w:r>
              <w:rPr>
                <w:sz w:val="24"/>
                <w:szCs w:val="24"/>
              </w:rPr>
              <w:t>B2</w:t>
            </w:r>
            <w:r w:rsidR="007502A4">
              <w:rPr>
                <w:sz w:val="24"/>
                <w:szCs w:val="24"/>
              </w:rPr>
              <w:t>5</w:t>
            </w:r>
            <w:r>
              <w:rPr>
                <w:sz w:val="24"/>
                <w:szCs w:val="24"/>
              </w:rPr>
              <w:t xml:space="preserve"> Final (B2</w:t>
            </w:r>
            <w:r w:rsidR="007502A4">
              <w:rPr>
                <w:sz w:val="24"/>
                <w:szCs w:val="24"/>
              </w:rPr>
              <w:t>5</w:t>
            </w:r>
            <w:r>
              <w:rPr>
                <w:sz w:val="24"/>
                <w:szCs w:val="24"/>
              </w:rPr>
              <w:t>F)</w:t>
            </w:r>
          </w:p>
        </w:tc>
        <w:tc>
          <w:tcPr>
            <w:tcW w:w="2545" w:type="dxa"/>
            <w:vAlign w:val="center"/>
          </w:tcPr>
          <w:p w14:paraId="328B0DDC" w14:textId="3046DD65" w:rsidR="00DA7E8E" w:rsidRPr="00DE70FA" w:rsidRDefault="00DA7E8E" w:rsidP="00E31C51">
            <w:pPr>
              <w:pStyle w:val="Tabletext"/>
              <w:ind w:left="128"/>
              <w:rPr>
                <w:sz w:val="24"/>
                <w:szCs w:val="24"/>
              </w:rPr>
            </w:pPr>
            <w:r w:rsidRPr="00DE70FA">
              <w:rPr>
                <w:sz w:val="24"/>
                <w:szCs w:val="24"/>
              </w:rPr>
              <w:t>End of April 202</w:t>
            </w:r>
            <w:r w:rsidR="00695FDF">
              <w:rPr>
                <w:sz w:val="24"/>
                <w:szCs w:val="24"/>
              </w:rPr>
              <w:t>6</w:t>
            </w:r>
          </w:p>
        </w:tc>
        <w:tc>
          <w:tcPr>
            <w:tcW w:w="2315" w:type="dxa"/>
            <w:vAlign w:val="center"/>
          </w:tcPr>
          <w:p w14:paraId="1B9F825F" w14:textId="7A2CA072" w:rsidR="00DA7E8E" w:rsidRPr="00DE70FA" w:rsidRDefault="008E1E3E" w:rsidP="00E31C51">
            <w:pPr>
              <w:pStyle w:val="Tabletext"/>
              <w:ind w:left="189"/>
              <w:rPr>
                <w:sz w:val="24"/>
                <w:szCs w:val="24"/>
              </w:rPr>
            </w:pPr>
            <w:r>
              <w:rPr>
                <w:sz w:val="24"/>
                <w:szCs w:val="24"/>
              </w:rPr>
              <w:t>19</w:t>
            </w:r>
            <w:r w:rsidRPr="00DE70FA">
              <w:rPr>
                <w:sz w:val="24"/>
                <w:szCs w:val="24"/>
              </w:rPr>
              <w:t xml:space="preserve"> </w:t>
            </w:r>
            <w:r w:rsidR="00DA7E8E" w:rsidRPr="00DE70FA">
              <w:rPr>
                <w:sz w:val="24"/>
                <w:szCs w:val="24"/>
              </w:rPr>
              <w:t>April 202</w:t>
            </w:r>
            <w:r w:rsidR="007502A4">
              <w:rPr>
                <w:sz w:val="24"/>
                <w:szCs w:val="24"/>
              </w:rPr>
              <w:t>6</w:t>
            </w:r>
          </w:p>
        </w:tc>
      </w:tr>
    </w:tbl>
    <w:p w14:paraId="67392339" w14:textId="77777777" w:rsidR="00DA7E8E" w:rsidRPr="007204D3" w:rsidRDefault="00DA7E8E" w:rsidP="00DA7E8E">
      <w:pPr>
        <w:spacing w:before="120" w:after="120" w:line="240" w:lineRule="auto"/>
        <w:rPr>
          <w:b/>
          <w:bCs/>
        </w:rPr>
      </w:pPr>
    </w:p>
    <w:p w14:paraId="160932B4" w14:textId="2C623440" w:rsidR="00DA7E8E" w:rsidRPr="00DB17C0" w:rsidRDefault="00DA7E8E" w:rsidP="00DA7E8E">
      <w:pPr>
        <w:spacing w:before="120" w:after="120" w:line="240" w:lineRule="auto"/>
        <w:rPr>
          <w:b/>
          <w:bCs/>
          <w:sz w:val="24"/>
          <w:szCs w:val="24"/>
        </w:rPr>
      </w:pPr>
      <w:r w:rsidRPr="00DB17C0">
        <w:rPr>
          <w:sz w:val="24"/>
          <w:szCs w:val="24"/>
        </w:rPr>
        <w:t>*</w:t>
      </w:r>
      <w:proofErr w:type="gramStart"/>
      <w:r w:rsidRPr="00DB17C0">
        <w:rPr>
          <w:sz w:val="24"/>
          <w:szCs w:val="24"/>
        </w:rPr>
        <w:t>In order to</w:t>
      </w:r>
      <w:proofErr w:type="gramEnd"/>
      <w:r w:rsidRPr="00DB17C0">
        <w:rPr>
          <w:sz w:val="24"/>
          <w:szCs w:val="24"/>
        </w:rPr>
        <w:t xml:space="preserve"> issue the first tentative schedules (A2</w:t>
      </w:r>
      <w:r w:rsidR="007502A4">
        <w:rPr>
          <w:sz w:val="24"/>
          <w:szCs w:val="24"/>
        </w:rPr>
        <w:t>5</w:t>
      </w:r>
      <w:r w:rsidRPr="00DB17C0">
        <w:rPr>
          <w:sz w:val="24"/>
          <w:szCs w:val="24"/>
        </w:rPr>
        <w:t>T1/B2</w:t>
      </w:r>
      <w:r w:rsidR="007502A4">
        <w:rPr>
          <w:sz w:val="24"/>
          <w:szCs w:val="24"/>
        </w:rPr>
        <w:t>5</w:t>
      </w:r>
      <w:r w:rsidRPr="00DB17C0">
        <w:rPr>
          <w:sz w:val="24"/>
          <w:szCs w:val="24"/>
        </w:rPr>
        <w:t xml:space="preserve">T1) and publish it two months ahead of the implementation date (No. 12.34 of the RR), administrations and authorized organizations are urged to send their tentative schedules one week </w:t>
      </w:r>
      <w:r w:rsidRPr="00DB17C0">
        <w:rPr>
          <w:b/>
          <w:bCs/>
          <w:sz w:val="24"/>
          <w:szCs w:val="24"/>
        </w:rPr>
        <w:t xml:space="preserve">before the closing dates. </w:t>
      </w:r>
    </w:p>
    <w:p w14:paraId="79EAD391" w14:textId="6FA5657B" w:rsidR="00DA7E8E" w:rsidRPr="007204D3" w:rsidRDefault="00D62E78" w:rsidP="00D62E78">
      <w:pPr>
        <w:tabs>
          <w:tab w:val="clear" w:pos="1191"/>
          <w:tab w:val="clear" w:pos="1588"/>
          <w:tab w:val="clear" w:pos="1985"/>
        </w:tabs>
        <w:spacing w:before="120" w:after="120" w:line="240" w:lineRule="auto"/>
        <w:rPr>
          <w:b/>
          <w:bCs/>
        </w:rPr>
      </w:pPr>
      <w:r>
        <w:rPr>
          <w:b/>
          <w:bCs/>
        </w:rPr>
        <w:tab/>
      </w:r>
    </w:p>
    <w:p w14:paraId="40C35A03" w14:textId="77777777" w:rsidR="00DA7E8E" w:rsidRDefault="00DA7E8E" w:rsidP="00DA7E8E">
      <w:pPr>
        <w:pStyle w:val="AnnexNoTitle"/>
        <w:rPr>
          <w:szCs w:val="28"/>
        </w:rPr>
      </w:pPr>
      <w:bookmarkStart w:id="6" w:name="_Hlk117515571"/>
      <w:r w:rsidRPr="001E608F">
        <w:lastRenderedPageBreak/>
        <w:t>Annex 2</w:t>
      </w:r>
      <w:r>
        <w:t xml:space="preserve"> </w:t>
      </w:r>
      <w:r>
        <w:br/>
      </w:r>
      <w:r>
        <w:br/>
        <w:t>IRDR frequencies for emergency broadcasts in the High Frequency (HF) bands</w:t>
      </w:r>
    </w:p>
    <w:bookmarkEnd w:id="6"/>
    <w:p w14:paraId="74D3E13B" w14:textId="77777777" w:rsidR="00DA7E8E" w:rsidRDefault="00DA7E8E" w:rsidP="00DA7E8E">
      <w:pPr>
        <w:pStyle w:val="Tablefin"/>
      </w:pPr>
    </w:p>
    <w:tbl>
      <w:tblPr>
        <w:tblStyle w:val="TableGrid"/>
        <w:tblW w:w="5036" w:type="dxa"/>
        <w:jc w:val="center"/>
        <w:tblLayout w:type="fixed"/>
        <w:tblLook w:val="04A0" w:firstRow="1" w:lastRow="0" w:firstColumn="1" w:lastColumn="0" w:noHBand="0" w:noVBand="1"/>
      </w:tblPr>
      <w:tblGrid>
        <w:gridCol w:w="2318"/>
        <w:gridCol w:w="2718"/>
      </w:tblGrid>
      <w:tr w:rsidR="0068013C" w:rsidRPr="00572880" w14:paraId="326CAEC3" w14:textId="77777777" w:rsidTr="00DA3167">
        <w:trPr>
          <w:jc w:val="center"/>
        </w:trPr>
        <w:tc>
          <w:tcPr>
            <w:tcW w:w="2318" w:type="dxa"/>
            <w:vAlign w:val="center"/>
          </w:tcPr>
          <w:p w14:paraId="5B6CC3EB" w14:textId="77777777" w:rsidR="0068013C" w:rsidRPr="00D62E78" w:rsidRDefault="0068013C" w:rsidP="00DA3167">
            <w:pPr>
              <w:pStyle w:val="Tablehead"/>
              <w:rPr>
                <w:sz w:val="24"/>
                <w:szCs w:val="24"/>
              </w:rPr>
            </w:pPr>
            <w:r w:rsidRPr="00D62E78">
              <w:rPr>
                <w:sz w:val="24"/>
                <w:szCs w:val="24"/>
              </w:rPr>
              <w:t>Band (MHz)</w:t>
            </w:r>
          </w:p>
        </w:tc>
        <w:tc>
          <w:tcPr>
            <w:tcW w:w="2718" w:type="dxa"/>
            <w:vAlign w:val="center"/>
          </w:tcPr>
          <w:p w14:paraId="76A4FC37" w14:textId="2814C3C3" w:rsidR="0068013C" w:rsidRPr="00D62E78" w:rsidRDefault="0068013C" w:rsidP="00DA3167">
            <w:pPr>
              <w:pStyle w:val="Tablehead"/>
              <w:rPr>
                <w:sz w:val="24"/>
                <w:szCs w:val="24"/>
              </w:rPr>
            </w:pPr>
            <w:r w:rsidRPr="00D62E78">
              <w:rPr>
                <w:sz w:val="24"/>
                <w:szCs w:val="24"/>
              </w:rPr>
              <w:t>IRDR frequency (kHz)</w:t>
            </w:r>
            <w:r w:rsidR="00D021EA" w:rsidRPr="00D62E78">
              <w:rPr>
                <w:rStyle w:val="FootnoteReference"/>
                <w:sz w:val="24"/>
                <w:szCs w:val="24"/>
              </w:rPr>
              <w:footnoteReference w:id="1"/>
            </w:r>
          </w:p>
        </w:tc>
      </w:tr>
      <w:tr w:rsidR="0068013C" w:rsidRPr="00572880" w14:paraId="602AA632" w14:textId="77777777" w:rsidTr="00DA3167">
        <w:trPr>
          <w:jc w:val="center"/>
        </w:trPr>
        <w:tc>
          <w:tcPr>
            <w:tcW w:w="2318" w:type="dxa"/>
          </w:tcPr>
          <w:p w14:paraId="0E792E28" w14:textId="77777777" w:rsidR="0068013C" w:rsidRPr="00D62E78" w:rsidRDefault="0068013C" w:rsidP="00DA3167">
            <w:pPr>
              <w:pStyle w:val="Tabletext"/>
              <w:jc w:val="center"/>
              <w:rPr>
                <w:sz w:val="24"/>
                <w:szCs w:val="24"/>
              </w:rPr>
            </w:pPr>
            <w:r w:rsidRPr="00D62E78">
              <w:rPr>
                <w:sz w:val="24"/>
                <w:szCs w:val="24"/>
              </w:rPr>
              <w:t>6</w:t>
            </w:r>
          </w:p>
        </w:tc>
        <w:tc>
          <w:tcPr>
            <w:tcW w:w="2718" w:type="dxa"/>
          </w:tcPr>
          <w:p w14:paraId="59EC7AAA" w14:textId="696C2CAD" w:rsidR="0068013C" w:rsidRPr="00D62E78" w:rsidRDefault="0068013C" w:rsidP="00DA3167">
            <w:pPr>
              <w:pStyle w:val="Tabletext"/>
              <w:jc w:val="center"/>
              <w:rPr>
                <w:sz w:val="24"/>
                <w:szCs w:val="24"/>
              </w:rPr>
            </w:pPr>
            <w:r w:rsidRPr="00D62E78">
              <w:rPr>
                <w:sz w:val="24"/>
                <w:szCs w:val="24"/>
              </w:rPr>
              <w:t>5 910</w:t>
            </w:r>
          </w:p>
        </w:tc>
      </w:tr>
      <w:tr w:rsidR="0068013C" w:rsidRPr="00572880" w14:paraId="4BDF8136" w14:textId="77777777" w:rsidTr="00DA3167">
        <w:trPr>
          <w:jc w:val="center"/>
        </w:trPr>
        <w:tc>
          <w:tcPr>
            <w:tcW w:w="2318" w:type="dxa"/>
          </w:tcPr>
          <w:p w14:paraId="5F36AF38" w14:textId="77777777" w:rsidR="0068013C" w:rsidRPr="00D62E78" w:rsidRDefault="0068013C" w:rsidP="00DA3167">
            <w:pPr>
              <w:pStyle w:val="Tabletext"/>
              <w:jc w:val="center"/>
              <w:rPr>
                <w:sz w:val="24"/>
                <w:szCs w:val="24"/>
              </w:rPr>
            </w:pPr>
            <w:r w:rsidRPr="00D62E78">
              <w:rPr>
                <w:sz w:val="24"/>
                <w:szCs w:val="24"/>
              </w:rPr>
              <w:t>7</w:t>
            </w:r>
          </w:p>
        </w:tc>
        <w:tc>
          <w:tcPr>
            <w:tcW w:w="2718" w:type="dxa"/>
          </w:tcPr>
          <w:p w14:paraId="4FECD621" w14:textId="77777777" w:rsidR="0068013C" w:rsidRPr="00D62E78" w:rsidRDefault="0068013C" w:rsidP="00DA3167">
            <w:pPr>
              <w:pStyle w:val="Tabletext"/>
              <w:jc w:val="center"/>
              <w:rPr>
                <w:sz w:val="24"/>
                <w:szCs w:val="24"/>
              </w:rPr>
            </w:pPr>
            <w:r w:rsidRPr="00D62E78">
              <w:rPr>
                <w:sz w:val="24"/>
                <w:szCs w:val="24"/>
              </w:rPr>
              <w:t>7 400</w:t>
            </w:r>
          </w:p>
        </w:tc>
      </w:tr>
      <w:tr w:rsidR="0068013C" w:rsidRPr="00572880" w14:paraId="03AC856D" w14:textId="77777777" w:rsidTr="00DA3167">
        <w:trPr>
          <w:jc w:val="center"/>
        </w:trPr>
        <w:tc>
          <w:tcPr>
            <w:tcW w:w="2318" w:type="dxa"/>
          </w:tcPr>
          <w:p w14:paraId="586CCA8F" w14:textId="77777777" w:rsidR="0068013C" w:rsidRPr="00D62E78" w:rsidRDefault="0068013C" w:rsidP="00DA3167">
            <w:pPr>
              <w:pStyle w:val="Tabletext"/>
              <w:jc w:val="center"/>
              <w:rPr>
                <w:sz w:val="24"/>
                <w:szCs w:val="24"/>
              </w:rPr>
            </w:pPr>
            <w:r w:rsidRPr="00D62E78">
              <w:rPr>
                <w:sz w:val="24"/>
                <w:szCs w:val="24"/>
              </w:rPr>
              <w:t>9</w:t>
            </w:r>
          </w:p>
        </w:tc>
        <w:tc>
          <w:tcPr>
            <w:tcW w:w="2718" w:type="dxa"/>
          </w:tcPr>
          <w:p w14:paraId="60A3B6E6" w14:textId="77777777" w:rsidR="0068013C" w:rsidRPr="00D62E78" w:rsidRDefault="0068013C" w:rsidP="00DA3167">
            <w:pPr>
              <w:pStyle w:val="Tabletext"/>
              <w:jc w:val="center"/>
              <w:rPr>
                <w:sz w:val="24"/>
                <w:szCs w:val="24"/>
              </w:rPr>
            </w:pPr>
            <w:r w:rsidRPr="00D62E78">
              <w:rPr>
                <w:sz w:val="24"/>
                <w:szCs w:val="24"/>
              </w:rPr>
              <w:t>9 430</w:t>
            </w:r>
          </w:p>
        </w:tc>
      </w:tr>
      <w:tr w:rsidR="0068013C" w:rsidRPr="00572880" w14:paraId="75756C2F" w14:textId="77777777" w:rsidTr="00DA3167">
        <w:trPr>
          <w:jc w:val="center"/>
        </w:trPr>
        <w:tc>
          <w:tcPr>
            <w:tcW w:w="2318" w:type="dxa"/>
          </w:tcPr>
          <w:p w14:paraId="0C876158" w14:textId="77777777" w:rsidR="0068013C" w:rsidRPr="00D62E78" w:rsidRDefault="0068013C" w:rsidP="00DA3167">
            <w:pPr>
              <w:pStyle w:val="Tabletext"/>
              <w:jc w:val="center"/>
              <w:rPr>
                <w:sz w:val="24"/>
                <w:szCs w:val="24"/>
              </w:rPr>
            </w:pPr>
            <w:r w:rsidRPr="00D62E78">
              <w:rPr>
                <w:sz w:val="24"/>
                <w:szCs w:val="24"/>
              </w:rPr>
              <w:t>11</w:t>
            </w:r>
          </w:p>
        </w:tc>
        <w:tc>
          <w:tcPr>
            <w:tcW w:w="2718" w:type="dxa"/>
          </w:tcPr>
          <w:p w14:paraId="40AE3008" w14:textId="77777777" w:rsidR="0068013C" w:rsidRPr="00D62E78" w:rsidRDefault="0068013C" w:rsidP="00DA3167">
            <w:pPr>
              <w:pStyle w:val="Tabletext"/>
              <w:jc w:val="center"/>
              <w:rPr>
                <w:sz w:val="24"/>
                <w:szCs w:val="24"/>
              </w:rPr>
            </w:pPr>
            <w:r w:rsidRPr="00D62E78">
              <w:rPr>
                <w:sz w:val="24"/>
                <w:szCs w:val="24"/>
              </w:rPr>
              <w:t>11 840</w:t>
            </w:r>
          </w:p>
        </w:tc>
      </w:tr>
      <w:tr w:rsidR="0068013C" w:rsidRPr="00572880" w14:paraId="577C8664" w14:textId="77777777" w:rsidTr="00DA3167">
        <w:trPr>
          <w:jc w:val="center"/>
        </w:trPr>
        <w:tc>
          <w:tcPr>
            <w:tcW w:w="2318" w:type="dxa"/>
          </w:tcPr>
          <w:p w14:paraId="34C439A4" w14:textId="77777777" w:rsidR="0068013C" w:rsidRPr="00D62E78" w:rsidRDefault="0068013C" w:rsidP="00DA3167">
            <w:pPr>
              <w:pStyle w:val="Tabletext"/>
              <w:jc w:val="center"/>
              <w:rPr>
                <w:sz w:val="24"/>
                <w:szCs w:val="24"/>
              </w:rPr>
            </w:pPr>
            <w:r w:rsidRPr="00D62E78">
              <w:rPr>
                <w:sz w:val="24"/>
                <w:szCs w:val="24"/>
              </w:rPr>
              <w:t>13</w:t>
            </w:r>
          </w:p>
        </w:tc>
        <w:tc>
          <w:tcPr>
            <w:tcW w:w="2718" w:type="dxa"/>
          </w:tcPr>
          <w:p w14:paraId="66E41813" w14:textId="77777777" w:rsidR="0068013C" w:rsidRPr="00D62E78" w:rsidRDefault="0068013C" w:rsidP="00DA3167">
            <w:pPr>
              <w:pStyle w:val="Tabletext"/>
              <w:jc w:val="center"/>
              <w:rPr>
                <w:sz w:val="24"/>
                <w:szCs w:val="24"/>
              </w:rPr>
            </w:pPr>
            <w:r w:rsidRPr="00D62E78">
              <w:rPr>
                <w:sz w:val="24"/>
                <w:szCs w:val="24"/>
              </w:rPr>
              <w:t>13 620</w:t>
            </w:r>
          </w:p>
        </w:tc>
      </w:tr>
      <w:tr w:rsidR="0068013C" w:rsidRPr="00572880" w14:paraId="62995C21" w14:textId="77777777" w:rsidTr="00DA3167">
        <w:trPr>
          <w:jc w:val="center"/>
        </w:trPr>
        <w:tc>
          <w:tcPr>
            <w:tcW w:w="2318" w:type="dxa"/>
          </w:tcPr>
          <w:p w14:paraId="5F3C7CF9" w14:textId="77777777" w:rsidR="0068013C" w:rsidRPr="00D62E78" w:rsidRDefault="0068013C" w:rsidP="00DA3167">
            <w:pPr>
              <w:pStyle w:val="Tabletext"/>
              <w:jc w:val="center"/>
              <w:rPr>
                <w:sz w:val="24"/>
                <w:szCs w:val="24"/>
              </w:rPr>
            </w:pPr>
            <w:r w:rsidRPr="00D62E78">
              <w:rPr>
                <w:sz w:val="24"/>
                <w:szCs w:val="24"/>
              </w:rPr>
              <w:t>15</w:t>
            </w:r>
          </w:p>
        </w:tc>
        <w:tc>
          <w:tcPr>
            <w:tcW w:w="2718" w:type="dxa"/>
          </w:tcPr>
          <w:p w14:paraId="2E9343B6" w14:textId="77777777" w:rsidR="0068013C" w:rsidRPr="00D62E78" w:rsidRDefault="0068013C" w:rsidP="00DA3167">
            <w:pPr>
              <w:pStyle w:val="Tabletext"/>
              <w:jc w:val="center"/>
              <w:rPr>
                <w:sz w:val="24"/>
                <w:szCs w:val="24"/>
              </w:rPr>
            </w:pPr>
            <w:r w:rsidRPr="00D62E78">
              <w:rPr>
                <w:sz w:val="24"/>
                <w:szCs w:val="24"/>
              </w:rPr>
              <w:t>15 650</w:t>
            </w:r>
          </w:p>
        </w:tc>
      </w:tr>
      <w:tr w:rsidR="0068013C" w:rsidRPr="00572880" w14:paraId="1352CDCC" w14:textId="77777777" w:rsidTr="00DA3167">
        <w:trPr>
          <w:jc w:val="center"/>
        </w:trPr>
        <w:tc>
          <w:tcPr>
            <w:tcW w:w="2318" w:type="dxa"/>
          </w:tcPr>
          <w:p w14:paraId="307054FA" w14:textId="77777777" w:rsidR="0068013C" w:rsidRPr="00D62E78" w:rsidRDefault="0068013C" w:rsidP="00DA3167">
            <w:pPr>
              <w:pStyle w:val="Tabletext"/>
              <w:jc w:val="center"/>
              <w:rPr>
                <w:sz w:val="24"/>
                <w:szCs w:val="24"/>
              </w:rPr>
            </w:pPr>
            <w:r w:rsidRPr="00D62E78">
              <w:rPr>
                <w:sz w:val="24"/>
                <w:szCs w:val="24"/>
              </w:rPr>
              <w:t>17</w:t>
            </w:r>
          </w:p>
        </w:tc>
        <w:tc>
          <w:tcPr>
            <w:tcW w:w="2718" w:type="dxa"/>
          </w:tcPr>
          <w:p w14:paraId="6078BF61" w14:textId="77777777" w:rsidR="0068013C" w:rsidRPr="00D62E78" w:rsidRDefault="0068013C" w:rsidP="00DA3167">
            <w:pPr>
              <w:pStyle w:val="Tabletext"/>
              <w:jc w:val="center"/>
              <w:rPr>
                <w:sz w:val="24"/>
                <w:szCs w:val="24"/>
              </w:rPr>
            </w:pPr>
            <w:r w:rsidRPr="00D62E78">
              <w:rPr>
                <w:sz w:val="24"/>
                <w:szCs w:val="24"/>
              </w:rPr>
              <w:t>17 500</w:t>
            </w:r>
          </w:p>
        </w:tc>
      </w:tr>
      <w:tr w:rsidR="0068013C" w:rsidRPr="00572880" w14:paraId="67BAFEE0" w14:textId="77777777" w:rsidTr="00DA3167">
        <w:trPr>
          <w:jc w:val="center"/>
        </w:trPr>
        <w:tc>
          <w:tcPr>
            <w:tcW w:w="2318" w:type="dxa"/>
          </w:tcPr>
          <w:p w14:paraId="6AADD19D" w14:textId="77777777" w:rsidR="0068013C" w:rsidRPr="00D62E78" w:rsidRDefault="0068013C" w:rsidP="00DA3167">
            <w:pPr>
              <w:pStyle w:val="Tabletext"/>
              <w:jc w:val="center"/>
              <w:rPr>
                <w:sz w:val="24"/>
                <w:szCs w:val="24"/>
              </w:rPr>
            </w:pPr>
            <w:r w:rsidRPr="00D62E78">
              <w:rPr>
                <w:sz w:val="24"/>
                <w:szCs w:val="24"/>
              </w:rPr>
              <w:t>19</w:t>
            </w:r>
          </w:p>
        </w:tc>
        <w:tc>
          <w:tcPr>
            <w:tcW w:w="2718" w:type="dxa"/>
          </w:tcPr>
          <w:p w14:paraId="294F7151" w14:textId="77777777" w:rsidR="0068013C" w:rsidRPr="00D62E78" w:rsidRDefault="0068013C" w:rsidP="00DA3167">
            <w:pPr>
              <w:pStyle w:val="Tabletext"/>
              <w:jc w:val="center"/>
              <w:rPr>
                <w:sz w:val="24"/>
                <w:szCs w:val="24"/>
              </w:rPr>
            </w:pPr>
            <w:r w:rsidRPr="00D62E78">
              <w:rPr>
                <w:sz w:val="24"/>
                <w:szCs w:val="24"/>
              </w:rPr>
              <w:t>18 950</w:t>
            </w:r>
          </w:p>
        </w:tc>
      </w:tr>
      <w:tr w:rsidR="0068013C" w:rsidRPr="00572880" w14:paraId="2D95F01C" w14:textId="77777777" w:rsidTr="00DA3167">
        <w:trPr>
          <w:jc w:val="center"/>
        </w:trPr>
        <w:tc>
          <w:tcPr>
            <w:tcW w:w="2318" w:type="dxa"/>
          </w:tcPr>
          <w:p w14:paraId="0BD0B809" w14:textId="77777777" w:rsidR="0068013C" w:rsidRPr="00D62E78" w:rsidRDefault="0068013C" w:rsidP="00DA3167">
            <w:pPr>
              <w:pStyle w:val="Tabletext"/>
              <w:jc w:val="center"/>
              <w:rPr>
                <w:sz w:val="24"/>
                <w:szCs w:val="24"/>
              </w:rPr>
            </w:pPr>
            <w:r w:rsidRPr="00D62E78">
              <w:rPr>
                <w:sz w:val="24"/>
                <w:szCs w:val="24"/>
              </w:rPr>
              <w:t>21</w:t>
            </w:r>
          </w:p>
        </w:tc>
        <w:tc>
          <w:tcPr>
            <w:tcW w:w="2718" w:type="dxa"/>
          </w:tcPr>
          <w:p w14:paraId="6130F0E2" w14:textId="77777777" w:rsidR="0068013C" w:rsidRPr="00D62E78" w:rsidRDefault="0068013C" w:rsidP="00DA3167">
            <w:pPr>
              <w:pStyle w:val="Tabletext"/>
              <w:jc w:val="center"/>
              <w:rPr>
                <w:sz w:val="24"/>
                <w:szCs w:val="24"/>
              </w:rPr>
            </w:pPr>
            <w:r w:rsidRPr="00D62E78">
              <w:rPr>
                <w:sz w:val="24"/>
                <w:szCs w:val="24"/>
              </w:rPr>
              <w:t>21 840</w:t>
            </w:r>
          </w:p>
        </w:tc>
      </w:tr>
      <w:tr w:rsidR="0068013C" w:rsidRPr="00572880" w14:paraId="3670318F" w14:textId="77777777" w:rsidTr="00DA3167">
        <w:trPr>
          <w:jc w:val="center"/>
        </w:trPr>
        <w:tc>
          <w:tcPr>
            <w:tcW w:w="2318" w:type="dxa"/>
          </w:tcPr>
          <w:p w14:paraId="6C292C20" w14:textId="77777777" w:rsidR="0068013C" w:rsidRPr="00D62E78" w:rsidRDefault="0068013C" w:rsidP="00DA3167">
            <w:pPr>
              <w:pStyle w:val="Tabletext"/>
              <w:jc w:val="center"/>
              <w:rPr>
                <w:sz w:val="24"/>
                <w:szCs w:val="24"/>
              </w:rPr>
            </w:pPr>
            <w:r w:rsidRPr="00D62E78">
              <w:rPr>
                <w:sz w:val="24"/>
                <w:szCs w:val="24"/>
              </w:rPr>
              <w:t>26</w:t>
            </w:r>
          </w:p>
        </w:tc>
        <w:tc>
          <w:tcPr>
            <w:tcW w:w="2718" w:type="dxa"/>
          </w:tcPr>
          <w:p w14:paraId="028EAC2F" w14:textId="77777777" w:rsidR="0068013C" w:rsidRPr="00D62E78" w:rsidRDefault="0068013C" w:rsidP="00DA3167">
            <w:pPr>
              <w:pStyle w:val="Tabletext"/>
              <w:jc w:val="center"/>
              <w:rPr>
                <w:sz w:val="24"/>
                <w:szCs w:val="24"/>
              </w:rPr>
            </w:pPr>
            <w:r w:rsidRPr="00D62E78">
              <w:rPr>
                <w:sz w:val="24"/>
                <w:szCs w:val="24"/>
              </w:rPr>
              <w:t>26 010</w:t>
            </w:r>
          </w:p>
        </w:tc>
      </w:tr>
    </w:tbl>
    <w:p w14:paraId="3A82E2EB" w14:textId="77777777" w:rsidR="00DA7E8E" w:rsidRDefault="00DA7E8E" w:rsidP="00DA7E8E">
      <w:pPr>
        <w:tabs>
          <w:tab w:val="clear" w:pos="794"/>
          <w:tab w:val="clear" w:pos="1191"/>
          <w:tab w:val="clear" w:pos="1588"/>
          <w:tab w:val="clear" w:pos="1985"/>
        </w:tabs>
        <w:spacing w:before="0"/>
        <w:ind w:left="425"/>
        <w:jc w:val="left"/>
        <w:rPr>
          <w:rFonts w:asciiTheme="minorHAnsi" w:hAnsiTheme="minorHAnsi" w:cstheme="minorHAnsi"/>
          <w:szCs w:val="24"/>
        </w:rPr>
      </w:pPr>
    </w:p>
    <w:p w14:paraId="5EA3EAF9" w14:textId="77777777" w:rsidR="004A751D" w:rsidRDefault="004A751D" w:rsidP="00DA7E8E">
      <w:pPr>
        <w:jc w:val="center"/>
        <w:rPr>
          <w:rFonts w:asciiTheme="minorHAnsi" w:hAnsiTheme="minorHAnsi" w:cstheme="minorHAnsi"/>
          <w:szCs w:val="24"/>
        </w:rPr>
      </w:pPr>
    </w:p>
    <w:p w14:paraId="343222B3" w14:textId="77777777" w:rsidR="004A751D" w:rsidRDefault="004A751D" w:rsidP="00DA7E8E">
      <w:pPr>
        <w:jc w:val="center"/>
        <w:rPr>
          <w:rFonts w:asciiTheme="minorHAnsi" w:hAnsiTheme="minorHAnsi" w:cstheme="minorHAnsi"/>
          <w:szCs w:val="24"/>
        </w:rPr>
      </w:pPr>
    </w:p>
    <w:p w14:paraId="57A75B6D" w14:textId="77777777" w:rsidR="004A751D" w:rsidRDefault="004A751D" w:rsidP="00DA7E8E">
      <w:pPr>
        <w:jc w:val="center"/>
        <w:rPr>
          <w:rFonts w:asciiTheme="minorHAnsi" w:hAnsiTheme="minorHAnsi" w:cstheme="minorHAnsi"/>
          <w:szCs w:val="24"/>
        </w:rPr>
      </w:pPr>
    </w:p>
    <w:p w14:paraId="4A481242" w14:textId="6110AC1A" w:rsidR="00DA7E8E" w:rsidRPr="00CE06B5" w:rsidRDefault="00DA7E8E" w:rsidP="00DA7E8E">
      <w:pPr>
        <w:jc w:val="center"/>
        <w:rPr>
          <w:rFonts w:asciiTheme="minorHAnsi" w:hAnsiTheme="minorHAnsi" w:cstheme="minorHAnsi"/>
          <w:szCs w:val="24"/>
        </w:rPr>
      </w:pPr>
      <w:r>
        <w:rPr>
          <w:rFonts w:asciiTheme="minorHAnsi" w:hAnsiTheme="minorHAnsi" w:cstheme="minorHAnsi"/>
          <w:szCs w:val="24"/>
        </w:rPr>
        <w:t>_____________________</w:t>
      </w:r>
    </w:p>
    <w:p w14:paraId="66B0C91B" w14:textId="5B0CFDC8" w:rsidR="003D3ACB" w:rsidRDefault="003D3ACB" w:rsidP="009C1A09">
      <w:pPr>
        <w:spacing w:before="0"/>
        <w:jc w:val="center"/>
      </w:pPr>
    </w:p>
    <w:sectPr w:rsidR="003D3ACB" w:rsidSect="005607AC">
      <w:headerReference w:type="even" r:id="rId20"/>
      <w:headerReference w:type="default" r:id="rId21"/>
      <w:headerReference w:type="first" r:id="rId22"/>
      <w:footerReference w:type="first" r:id="rId23"/>
      <w:pgSz w:w="11906" w:h="16838"/>
      <w:pgMar w:top="1134" w:right="1134" w:bottom="99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F566" w14:textId="77777777" w:rsidR="00C7215F" w:rsidRDefault="00C7215F" w:rsidP="0078471C">
      <w:pPr>
        <w:spacing w:before="0" w:line="240" w:lineRule="auto"/>
      </w:pPr>
      <w:r>
        <w:separator/>
      </w:r>
    </w:p>
  </w:endnote>
  <w:endnote w:type="continuationSeparator" w:id="0">
    <w:p w14:paraId="3ABCF3AD" w14:textId="77777777" w:rsidR="00C7215F" w:rsidRDefault="00C7215F" w:rsidP="007847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74C5" w14:textId="77777777" w:rsidR="00CE0A67" w:rsidRPr="009B2EC3" w:rsidRDefault="00CE0A67" w:rsidP="00CE0A67">
    <w:pPr>
      <w:pStyle w:val="FirstFooter"/>
      <w:spacing w:line="240" w:lineRule="auto"/>
      <w:ind w:left="-397" w:right="-397"/>
      <w:jc w:val="center"/>
      <w:rPr>
        <w:color w:val="4472C4" w:themeColor="accent1"/>
        <w:sz w:val="19"/>
        <w:szCs w:val="19"/>
        <w:lang w:val="fr-CH"/>
      </w:rPr>
    </w:pPr>
    <w:r w:rsidRPr="009B2EC3">
      <w:rPr>
        <w:color w:val="4472C4" w:themeColor="accent1"/>
        <w:sz w:val="19"/>
        <w:szCs w:val="19"/>
        <w:lang w:val="fr-CH"/>
      </w:rPr>
      <w:t xml:space="preserve">International </w:t>
    </w:r>
    <w:proofErr w:type="spellStart"/>
    <w:r w:rsidRPr="009B2EC3">
      <w:rPr>
        <w:color w:val="4472C4" w:themeColor="accent1"/>
        <w:sz w:val="19"/>
        <w:szCs w:val="19"/>
        <w:lang w:val="fr-CH"/>
      </w:rPr>
      <w:t>Telecommunication</w:t>
    </w:r>
    <w:proofErr w:type="spellEnd"/>
    <w:r w:rsidRPr="009B2EC3">
      <w:rPr>
        <w:color w:val="4472C4" w:themeColor="accent1"/>
        <w:sz w:val="19"/>
        <w:szCs w:val="19"/>
        <w:lang w:val="fr-CH"/>
      </w:rPr>
      <w:t xml:space="preserve"> Union • Place des Nations, CH</w:t>
    </w:r>
    <w:r w:rsidRPr="009B2EC3">
      <w:rPr>
        <w:color w:val="4472C4" w:themeColor="accent1"/>
        <w:sz w:val="19"/>
        <w:szCs w:val="19"/>
        <w:lang w:val="fr-CH"/>
      </w:rPr>
      <w:noBreakHyphen/>
      <w:t xml:space="preserve">1211 Geneva 20, </w:t>
    </w:r>
    <w:proofErr w:type="spellStart"/>
    <w:r w:rsidRPr="009B2EC3">
      <w:rPr>
        <w:color w:val="4472C4" w:themeColor="accent1"/>
        <w:sz w:val="19"/>
        <w:szCs w:val="19"/>
        <w:lang w:val="fr-CH"/>
      </w:rPr>
      <w:t>Switzerland</w:t>
    </w:r>
    <w:proofErr w:type="spellEnd"/>
    <w:r w:rsidRPr="009B2EC3">
      <w:rPr>
        <w:color w:val="4472C4" w:themeColor="accent1"/>
        <w:sz w:val="19"/>
        <w:szCs w:val="19"/>
        <w:lang w:val="fr-CH"/>
      </w:rPr>
      <w:t xml:space="preserve"> • </w:t>
    </w:r>
    <w:r w:rsidRPr="009B2EC3">
      <w:rPr>
        <w:color w:val="4472C4" w:themeColor="accent1"/>
        <w:sz w:val="19"/>
        <w:szCs w:val="19"/>
        <w:lang w:val="fr-CH"/>
      </w:rPr>
      <w:br/>
    </w:r>
    <w:proofErr w:type="gramStart"/>
    <w:r w:rsidRPr="009B2EC3">
      <w:rPr>
        <w:color w:val="4472C4" w:themeColor="accent1"/>
        <w:sz w:val="19"/>
        <w:szCs w:val="19"/>
        <w:lang w:val="fr-CH"/>
      </w:rPr>
      <w:t>Tel:</w:t>
    </w:r>
    <w:proofErr w:type="gramEnd"/>
    <w:r w:rsidRPr="009B2EC3">
      <w:rPr>
        <w:color w:val="4472C4" w:themeColor="accent1"/>
        <w:sz w:val="19"/>
        <w:szCs w:val="19"/>
        <w:lang w:val="fr-CH"/>
      </w:rPr>
      <w:t xml:space="preserve"> +41 22 730 5</w:t>
    </w:r>
    <w:r>
      <w:rPr>
        <w:color w:val="4472C4" w:themeColor="accent1"/>
        <w:sz w:val="19"/>
        <w:szCs w:val="19"/>
        <w:lang w:val="fr-CH"/>
      </w:rPr>
      <w:t>111</w:t>
    </w:r>
    <w:r w:rsidRPr="009B2EC3">
      <w:rPr>
        <w:color w:val="4472C4"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472C4" w:themeColor="accent1"/>
        <w:sz w:val="19"/>
        <w:szCs w:val="19"/>
        <w:lang w:val="fr-CH"/>
      </w:rPr>
      <w:t xml:space="preserve">  • </w:t>
    </w:r>
    <w:r w:rsidRPr="00FB65BC">
      <w:rPr>
        <w:color w:val="3E8EDE"/>
        <w:sz w:val="18"/>
        <w:szCs w:val="18"/>
        <w:lang w:val="fr-CH"/>
      </w:rPr>
      <w:t xml:space="preserve">Fax: +41 22 733 7256 </w:t>
    </w:r>
    <w:r w:rsidRPr="009B2EC3">
      <w:rPr>
        <w:color w:val="4472C4" w:themeColor="accent1"/>
        <w:sz w:val="19"/>
        <w:szCs w:val="19"/>
        <w:lang w:val="fr-CH"/>
      </w:rPr>
      <w:t xml:space="preserve">• </w:t>
    </w:r>
    <w:r>
      <w:rPr>
        <w:color w:val="4472C4" w:themeColor="accent1"/>
        <w:sz w:val="19"/>
        <w:szCs w:val="19"/>
        <w:lang w:val="fr-CH"/>
      </w:rPr>
      <w:t>www.itu.int</w:t>
    </w:r>
  </w:p>
  <w:p w14:paraId="709D8BB4" w14:textId="77777777" w:rsidR="00CE0A67" w:rsidRDefault="00CE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3D8B6" w14:textId="77777777" w:rsidR="00C7215F" w:rsidRDefault="00C7215F" w:rsidP="0078471C">
      <w:pPr>
        <w:spacing w:before="0" w:line="240" w:lineRule="auto"/>
      </w:pPr>
      <w:r>
        <w:separator/>
      </w:r>
    </w:p>
  </w:footnote>
  <w:footnote w:type="continuationSeparator" w:id="0">
    <w:p w14:paraId="40849479" w14:textId="77777777" w:rsidR="00C7215F" w:rsidRDefault="00C7215F" w:rsidP="0078471C">
      <w:pPr>
        <w:spacing w:before="0" w:line="240" w:lineRule="auto"/>
      </w:pPr>
      <w:r>
        <w:continuationSeparator/>
      </w:r>
    </w:p>
  </w:footnote>
  <w:footnote w:id="1">
    <w:p w14:paraId="3FA6D84C" w14:textId="44924B80" w:rsidR="00D021EA" w:rsidRPr="007928E4" w:rsidRDefault="00D021EA">
      <w:pPr>
        <w:pStyle w:val="FootnoteText"/>
        <w:rPr>
          <w:lang w:val="en-US"/>
        </w:rPr>
      </w:pPr>
      <w:r>
        <w:rPr>
          <w:rStyle w:val="FootnoteReference"/>
        </w:rPr>
        <w:footnoteRef/>
      </w:r>
      <w:r>
        <w:t xml:space="preserve"> </w:t>
      </w:r>
      <w:r w:rsidRPr="00D021EA">
        <w:t>The frequency channel adjacent to these frequencies should also be clear (± 5 kHz)</w:t>
      </w:r>
      <w:r w:rsidR="005065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330450"/>
      <w:docPartObj>
        <w:docPartGallery w:val="Page Numbers (Top of Page)"/>
        <w:docPartUnique/>
      </w:docPartObj>
    </w:sdtPr>
    <w:sdtEndPr>
      <w:rPr>
        <w:noProof/>
      </w:rPr>
    </w:sdtEndPr>
    <w:sdtContent>
      <w:p w14:paraId="2A2EC9EF" w14:textId="2FF709FD" w:rsidR="003D3ACB" w:rsidRPr="00D62E78" w:rsidRDefault="005C4E87">
        <w:pPr>
          <w:pStyle w:val="Header"/>
          <w:jc w:val="center"/>
          <w:rPr>
            <w:sz w:val="18"/>
            <w:szCs w:val="18"/>
          </w:rPr>
        </w:pPr>
        <w:r w:rsidRPr="00D62E78">
          <w:rPr>
            <w:sz w:val="18"/>
            <w:szCs w:val="18"/>
          </w:rPr>
          <w:t xml:space="preserve">- </w:t>
        </w:r>
        <w:r w:rsidR="003D3ACB" w:rsidRPr="00D62E78">
          <w:rPr>
            <w:sz w:val="18"/>
            <w:szCs w:val="18"/>
          </w:rPr>
          <w:fldChar w:fldCharType="begin"/>
        </w:r>
        <w:r w:rsidR="003D3ACB" w:rsidRPr="00D62E78">
          <w:rPr>
            <w:sz w:val="18"/>
            <w:szCs w:val="18"/>
          </w:rPr>
          <w:instrText xml:space="preserve"> PAGE   \* MERGEFORMAT </w:instrText>
        </w:r>
        <w:r w:rsidR="003D3ACB" w:rsidRPr="00D62E78">
          <w:rPr>
            <w:sz w:val="18"/>
            <w:szCs w:val="18"/>
          </w:rPr>
          <w:fldChar w:fldCharType="separate"/>
        </w:r>
        <w:r w:rsidR="003D3ACB" w:rsidRPr="00D62E78">
          <w:rPr>
            <w:noProof/>
            <w:sz w:val="18"/>
            <w:szCs w:val="18"/>
          </w:rPr>
          <w:t>2</w:t>
        </w:r>
        <w:r w:rsidR="003D3ACB" w:rsidRPr="00D62E78">
          <w:rPr>
            <w:noProof/>
            <w:sz w:val="18"/>
            <w:szCs w:val="18"/>
          </w:rPr>
          <w:fldChar w:fldCharType="end"/>
        </w:r>
        <w:r w:rsidRPr="00D62E78">
          <w:rPr>
            <w:noProof/>
            <w:sz w:val="18"/>
            <w:szCs w:val="18"/>
          </w:rPr>
          <w:t xml:space="preserve"> -</w:t>
        </w:r>
      </w:p>
    </w:sdtContent>
  </w:sdt>
  <w:p w14:paraId="57998885" w14:textId="77777777" w:rsidR="003D3ACB" w:rsidRDefault="003D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140867"/>
      <w:docPartObj>
        <w:docPartGallery w:val="Page Numbers (Top of Page)"/>
        <w:docPartUnique/>
      </w:docPartObj>
    </w:sdtPr>
    <w:sdtEndPr>
      <w:rPr>
        <w:noProof/>
        <w:sz w:val="18"/>
        <w:szCs w:val="18"/>
      </w:rPr>
    </w:sdtEndPr>
    <w:sdtContent>
      <w:p w14:paraId="27B913AC" w14:textId="7730D919" w:rsidR="00CF59A4" w:rsidRPr="005C4E87" w:rsidRDefault="005C4E87">
        <w:pPr>
          <w:pStyle w:val="Header"/>
          <w:jc w:val="center"/>
          <w:rPr>
            <w:sz w:val="18"/>
            <w:szCs w:val="18"/>
          </w:rPr>
        </w:pPr>
        <w:r w:rsidRPr="005C4E87">
          <w:rPr>
            <w:sz w:val="18"/>
            <w:szCs w:val="18"/>
          </w:rPr>
          <w:t xml:space="preserve">- </w:t>
        </w:r>
        <w:r w:rsidR="00CF59A4" w:rsidRPr="005C4E87">
          <w:rPr>
            <w:sz w:val="18"/>
            <w:szCs w:val="18"/>
          </w:rPr>
          <w:fldChar w:fldCharType="begin"/>
        </w:r>
        <w:r w:rsidR="00CF59A4" w:rsidRPr="005C4E87">
          <w:rPr>
            <w:sz w:val="18"/>
            <w:szCs w:val="18"/>
          </w:rPr>
          <w:instrText xml:space="preserve"> PAGE   \* MERGEFORMAT </w:instrText>
        </w:r>
        <w:r w:rsidR="00CF59A4" w:rsidRPr="005C4E87">
          <w:rPr>
            <w:sz w:val="18"/>
            <w:szCs w:val="18"/>
          </w:rPr>
          <w:fldChar w:fldCharType="separate"/>
        </w:r>
        <w:r w:rsidR="00CF59A4" w:rsidRPr="005C4E87">
          <w:rPr>
            <w:noProof/>
            <w:sz w:val="18"/>
            <w:szCs w:val="18"/>
          </w:rPr>
          <w:t>2</w:t>
        </w:r>
        <w:r w:rsidR="00CF59A4" w:rsidRPr="005C4E87">
          <w:rPr>
            <w:noProof/>
            <w:sz w:val="18"/>
            <w:szCs w:val="18"/>
          </w:rPr>
          <w:fldChar w:fldCharType="end"/>
        </w:r>
        <w:r w:rsidRPr="005C4E87">
          <w:rPr>
            <w:noProof/>
            <w:sz w:val="18"/>
            <w:szCs w:val="18"/>
          </w:rPr>
          <w:t xml:space="preserve"> -</w:t>
        </w:r>
      </w:p>
    </w:sdtContent>
  </w:sdt>
  <w:p w14:paraId="7813DD5F" w14:textId="0E019049" w:rsidR="0078471C" w:rsidRDefault="0078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gridCol w:w="709"/>
    </w:tblGrid>
    <w:tr w:rsidR="00C00E06" w14:paraId="56861B06" w14:textId="77777777" w:rsidTr="00F15C60">
      <w:tc>
        <w:tcPr>
          <w:tcW w:w="9781" w:type="dxa"/>
          <w:noWrap/>
        </w:tcPr>
        <w:p w14:paraId="5790936E" w14:textId="77777777" w:rsidR="00C00E06" w:rsidRDefault="00C00E06" w:rsidP="00C00E06">
          <w:pPr>
            <w:pStyle w:val="Header"/>
            <w:spacing w:before="240" w:line="360" w:lineRule="auto"/>
            <w:jc w:val="center"/>
          </w:pPr>
          <w:r>
            <w:rPr>
              <w:noProof/>
              <w:lang w:eastAsia="en-GB"/>
            </w:rPr>
            <w:drawing>
              <wp:inline distT="0" distB="0" distL="0" distR="0" wp14:anchorId="5CD2C049" wp14:editId="1C27A4F6">
                <wp:extent cx="765175" cy="765175"/>
                <wp:effectExtent l="0" t="0" r="0" b="0"/>
                <wp:docPr id="1820156348" name="Picture 182015634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56348" name="Picture 1820156348"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709" w:type="dxa"/>
        </w:tcPr>
        <w:p w14:paraId="705EF93E" w14:textId="42FF4F43" w:rsidR="00C00E06" w:rsidRDefault="00C00E06" w:rsidP="00F15C60">
          <w:pPr>
            <w:pStyle w:val="Header"/>
            <w:spacing w:before="240" w:line="360" w:lineRule="auto"/>
            <w:jc w:val="center"/>
          </w:pPr>
        </w:p>
      </w:tc>
    </w:tr>
  </w:tbl>
  <w:p w14:paraId="57BD8BE3" w14:textId="77777777" w:rsidR="005607AC" w:rsidRDefault="00560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82959"/>
    <w:multiLevelType w:val="multilevel"/>
    <w:tmpl w:val="BEEAD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40A960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2445A6"/>
    <w:multiLevelType w:val="multilevel"/>
    <w:tmpl w:val="8DB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16CB2"/>
    <w:multiLevelType w:val="hybridMultilevel"/>
    <w:tmpl w:val="6E6A5F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1169E9"/>
    <w:multiLevelType w:val="multilevel"/>
    <w:tmpl w:val="A32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658472">
    <w:abstractNumId w:val="3"/>
  </w:num>
  <w:num w:numId="2" w16cid:durableId="58215183">
    <w:abstractNumId w:val="4"/>
  </w:num>
  <w:num w:numId="3" w16cid:durableId="531916606">
    <w:abstractNumId w:val="2"/>
  </w:num>
  <w:num w:numId="4" w16cid:durableId="1424493909">
    <w:abstractNumId w:val="0"/>
  </w:num>
  <w:num w:numId="5" w16cid:durableId="158368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A2"/>
    <w:rsid w:val="000035DD"/>
    <w:rsid w:val="000040DC"/>
    <w:rsid w:val="00016C0F"/>
    <w:rsid w:val="00041372"/>
    <w:rsid w:val="0004493A"/>
    <w:rsid w:val="00057641"/>
    <w:rsid w:val="00061349"/>
    <w:rsid w:val="00087CDF"/>
    <w:rsid w:val="000B7551"/>
    <w:rsid w:val="000C3B3B"/>
    <w:rsid w:val="000C7CA3"/>
    <w:rsid w:val="000D6EFD"/>
    <w:rsid w:val="0011048A"/>
    <w:rsid w:val="00114D5D"/>
    <w:rsid w:val="0011677F"/>
    <w:rsid w:val="00125C5D"/>
    <w:rsid w:val="00134DAB"/>
    <w:rsid w:val="0013644A"/>
    <w:rsid w:val="00141F7C"/>
    <w:rsid w:val="001500E3"/>
    <w:rsid w:val="00150E86"/>
    <w:rsid w:val="0015524B"/>
    <w:rsid w:val="0015761D"/>
    <w:rsid w:val="001717E1"/>
    <w:rsid w:val="00174E2B"/>
    <w:rsid w:val="00184020"/>
    <w:rsid w:val="00186764"/>
    <w:rsid w:val="00192ABC"/>
    <w:rsid w:val="00194CE8"/>
    <w:rsid w:val="001C4469"/>
    <w:rsid w:val="001E39E4"/>
    <w:rsid w:val="0026570C"/>
    <w:rsid w:val="0027136F"/>
    <w:rsid w:val="0027234E"/>
    <w:rsid w:val="00285879"/>
    <w:rsid w:val="002B5650"/>
    <w:rsid w:val="002C5E79"/>
    <w:rsid w:val="002C5EA4"/>
    <w:rsid w:val="002D5242"/>
    <w:rsid w:val="002D78D7"/>
    <w:rsid w:val="002E0129"/>
    <w:rsid w:val="002F2EA3"/>
    <w:rsid w:val="002F3EB5"/>
    <w:rsid w:val="003119E0"/>
    <w:rsid w:val="00312237"/>
    <w:rsid w:val="00321523"/>
    <w:rsid w:val="00323BF7"/>
    <w:rsid w:val="003647B8"/>
    <w:rsid w:val="00381E9B"/>
    <w:rsid w:val="0038257C"/>
    <w:rsid w:val="003901E2"/>
    <w:rsid w:val="00397D47"/>
    <w:rsid w:val="003A00AF"/>
    <w:rsid w:val="003A3C19"/>
    <w:rsid w:val="003C34AD"/>
    <w:rsid w:val="003D3ACB"/>
    <w:rsid w:val="003E76A2"/>
    <w:rsid w:val="003F28B7"/>
    <w:rsid w:val="003F4126"/>
    <w:rsid w:val="003F7183"/>
    <w:rsid w:val="00411504"/>
    <w:rsid w:val="00411755"/>
    <w:rsid w:val="0043049F"/>
    <w:rsid w:val="004330A3"/>
    <w:rsid w:val="004408D0"/>
    <w:rsid w:val="00457719"/>
    <w:rsid w:val="00466E65"/>
    <w:rsid w:val="00477E45"/>
    <w:rsid w:val="004807D1"/>
    <w:rsid w:val="004967CA"/>
    <w:rsid w:val="004A0AC5"/>
    <w:rsid w:val="004A751D"/>
    <w:rsid w:val="004C6894"/>
    <w:rsid w:val="004E1473"/>
    <w:rsid w:val="004E6345"/>
    <w:rsid w:val="004F43ED"/>
    <w:rsid w:val="004F474D"/>
    <w:rsid w:val="00506528"/>
    <w:rsid w:val="005607AC"/>
    <w:rsid w:val="005760E1"/>
    <w:rsid w:val="00581A49"/>
    <w:rsid w:val="00583656"/>
    <w:rsid w:val="005843EA"/>
    <w:rsid w:val="005B3B93"/>
    <w:rsid w:val="005C4E87"/>
    <w:rsid w:val="005D725A"/>
    <w:rsid w:val="005E1B65"/>
    <w:rsid w:val="005E45EA"/>
    <w:rsid w:val="005E6861"/>
    <w:rsid w:val="00606466"/>
    <w:rsid w:val="00610BAA"/>
    <w:rsid w:val="006339E4"/>
    <w:rsid w:val="00653E47"/>
    <w:rsid w:val="0065453D"/>
    <w:rsid w:val="00662D6F"/>
    <w:rsid w:val="0068013C"/>
    <w:rsid w:val="00695698"/>
    <w:rsid w:val="00695FDF"/>
    <w:rsid w:val="006B2BD9"/>
    <w:rsid w:val="006C02EC"/>
    <w:rsid w:val="006D6FA7"/>
    <w:rsid w:val="006D7EB0"/>
    <w:rsid w:val="006E798C"/>
    <w:rsid w:val="006F119D"/>
    <w:rsid w:val="006F2938"/>
    <w:rsid w:val="00706D00"/>
    <w:rsid w:val="00733605"/>
    <w:rsid w:val="00741BA6"/>
    <w:rsid w:val="007502A4"/>
    <w:rsid w:val="0075783F"/>
    <w:rsid w:val="00761E42"/>
    <w:rsid w:val="00770336"/>
    <w:rsid w:val="00774C7A"/>
    <w:rsid w:val="00777370"/>
    <w:rsid w:val="0078471C"/>
    <w:rsid w:val="00787410"/>
    <w:rsid w:val="007928E4"/>
    <w:rsid w:val="007B10E5"/>
    <w:rsid w:val="007B6C1C"/>
    <w:rsid w:val="007C2C9F"/>
    <w:rsid w:val="007C4A96"/>
    <w:rsid w:val="007D3C34"/>
    <w:rsid w:val="007D4F6C"/>
    <w:rsid w:val="007E67AF"/>
    <w:rsid w:val="00820F9B"/>
    <w:rsid w:val="00823657"/>
    <w:rsid w:val="008304C5"/>
    <w:rsid w:val="00831B00"/>
    <w:rsid w:val="00850C9A"/>
    <w:rsid w:val="00851E1F"/>
    <w:rsid w:val="00873D64"/>
    <w:rsid w:val="0087730B"/>
    <w:rsid w:val="00884B64"/>
    <w:rsid w:val="0088587F"/>
    <w:rsid w:val="008874CE"/>
    <w:rsid w:val="008923CB"/>
    <w:rsid w:val="00892B3F"/>
    <w:rsid w:val="008A3DBE"/>
    <w:rsid w:val="008A5BB2"/>
    <w:rsid w:val="008C2D82"/>
    <w:rsid w:val="008C4AF7"/>
    <w:rsid w:val="008C4DDD"/>
    <w:rsid w:val="008E1E3E"/>
    <w:rsid w:val="008E4F4C"/>
    <w:rsid w:val="008E5FC4"/>
    <w:rsid w:val="008F2E9F"/>
    <w:rsid w:val="00900B88"/>
    <w:rsid w:val="009067D7"/>
    <w:rsid w:val="009153F1"/>
    <w:rsid w:val="00925765"/>
    <w:rsid w:val="00936CAF"/>
    <w:rsid w:val="009445F8"/>
    <w:rsid w:val="0094790C"/>
    <w:rsid w:val="00970A4C"/>
    <w:rsid w:val="00971BB5"/>
    <w:rsid w:val="009733B4"/>
    <w:rsid w:val="00974A2A"/>
    <w:rsid w:val="009831C3"/>
    <w:rsid w:val="009A3EED"/>
    <w:rsid w:val="009B1D5D"/>
    <w:rsid w:val="009C1A09"/>
    <w:rsid w:val="009E0618"/>
    <w:rsid w:val="009E6CB1"/>
    <w:rsid w:val="00A05937"/>
    <w:rsid w:val="00A16175"/>
    <w:rsid w:val="00A20081"/>
    <w:rsid w:val="00A264B7"/>
    <w:rsid w:val="00A5275D"/>
    <w:rsid w:val="00A74861"/>
    <w:rsid w:val="00A85FCF"/>
    <w:rsid w:val="00AA7817"/>
    <w:rsid w:val="00AD3B76"/>
    <w:rsid w:val="00AE33B7"/>
    <w:rsid w:val="00AE729B"/>
    <w:rsid w:val="00AF7185"/>
    <w:rsid w:val="00B006A0"/>
    <w:rsid w:val="00B12E80"/>
    <w:rsid w:val="00B45FE0"/>
    <w:rsid w:val="00B630CF"/>
    <w:rsid w:val="00B97BA1"/>
    <w:rsid w:val="00BA00F2"/>
    <w:rsid w:val="00BA3B0A"/>
    <w:rsid w:val="00BA7FCB"/>
    <w:rsid w:val="00BB7110"/>
    <w:rsid w:val="00BC117B"/>
    <w:rsid w:val="00BC23AA"/>
    <w:rsid w:val="00BC31C5"/>
    <w:rsid w:val="00BC5DE9"/>
    <w:rsid w:val="00BF53BC"/>
    <w:rsid w:val="00BF5D1D"/>
    <w:rsid w:val="00C00E06"/>
    <w:rsid w:val="00C51112"/>
    <w:rsid w:val="00C53027"/>
    <w:rsid w:val="00C5638A"/>
    <w:rsid w:val="00C7215F"/>
    <w:rsid w:val="00C8161B"/>
    <w:rsid w:val="00C97B58"/>
    <w:rsid w:val="00CA7988"/>
    <w:rsid w:val="00CC459C"/>
    <w:rsid w:val="00CC5378"/>
    <w:rsid w:val="00CC551B"/>
    <w:rsid w:val="00CD28CB"/>
    <w:rsid w:val="00CE0A67"/>
    <w:rsid w:val="00CE353C"/>
    <w:rsid w:val="00CF46C9"/>
    <w:rsid w:val="00CF59A4"/>
    <w:rsid w:val="00D021EA"/>
    <w:rsid w:val="00D04B7D"/>
    <w:rsid w:val="00D07A83"/>
    <w:rsid w:val="00D1088D"/>
    <w:rsid w:val="00D1705D"/>
    <w:rsid w:val="00D337C0"/>
    <w:rsid w:val="00D34903"/>
    <w:rsid w:val="00D378BA"/>
    <w:rsid w:val="00D37E11"/>
    <w:rsid w:val="00D40404"/>
    <w:rsid w:val="00D5791D"/>
    <w:rsid w:val="00D62E78"/>
    <w:rsid w:val="00D708B9"/>
    <w:rsid w:val="00D7210A"/>
    <w:rsid w:val="00D80AEE"/>
    <w:rsid w:val="00D846B3"/>
    <w:rsid w:val="00D8775B"/>
    <w:rsid w:val="00D978A9"/>
    <w:rsid w:val="00DA7E8E"/>
    <w:rsid w:val="00DB17C0"/>
    <w:rsid w:val="00DB5EAB"/>
    <w:rsid w:val="00DB72E9"/>
    <w:rsid w:val="00E03FC7"/>
    <w:rsid w:val="00E1182F"/>
    <w:rsid w:val="00E147AB"/>
    <w:rsid w:val="00E24622"/>
    <w:rsid w:val="00E61E02"/>
    <w:rsid w:val="00E701BB"/>
    <w:rsid w:val="00E706A8"/>
    <w:rsid w:val="00E74987"/>
    <w:rsid w:val="00E94D2E"/>
    <w:rsid w:val="00EA4051"/>
    <w:rsid w:val="00ED13F2"/>
    <w:rsid w:val="00ED5E23"/>
    <w:rsid w:val="00F15C60"/>
    <w:rsid w:val="00F16DB5"/>
    <w:rsid w:val="00F305E9"/>
    <w:rsid w:val="00F51B74"/>
    <w:rsid w:val="00F622CD"/>
    <w:rsid w:val="00F64658"/>
    <w:rsid w:val="00F7495C"/>
    <w:rsid w:val="00F82B1B"/>
    <w:rsid w:val="00FA04AD"/>
    <w:rsid w:val="00FA23FD"/>
    <w:rsid w:val="00FC66A8"/>
    <w:rsid w:val="00FD4157"/>
    <w:rsid w:val="00FE1DC4"/>
    <w:rsid w:val="00FF42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D958"/>
  <w15:chartTrackingRefBased/>
  <w15:docId w15:val="{CECA4B55-49A0-434A-B167-A05E1154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B5"/>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rPr>
  </w:style>
  <w:style w:type="paragraph" w:styleId="Heading1">
    <w:name w:val="heading 1"/>
    <w:basedOn w:val="Normal"/>
    <w:next w:val="Normal"/>
    <w:link w:val="Heading1Char"/>
    <w:qFormat/>
    <w:rsid w:val="00016C0F"/>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016C0F"/>
    <w:pPr>
      <w:spacing w:before="360"/>
      <w:outlineLvl w:val="1"/>
    </w:pPr>
  </w:style>
  <w:style w:type="paragraph" w:styleId="Heading3">
    <w:name w:val="heading 3"/>
    <w:basedOn w:val="Heading1"/>
    <w:next w:val="Normal"/>
    <w:link w:val="Heading3Char"/>
    <w:qFormat/>
    <w:rsid w:val="00016C0F"/>
    <w:pPr>
      <w:spacing w:before="240"/>
      <w:outlineLvl w:val="2"/>
    </w:pPr>
  </w:style>
  <w:style w:type="paragraph" w:styleId="Heading4">
    <w:name w:val="heading 4"/>
    <w:basedOn w:val="Heading3"/>
    <w:next w:val="Normal"/>
    <w:link w:val="Heading4Char"/>
    <w:qFormat/>
    <w:rsid w:val="00016C0F"/>
    <w:pPr>
      <w:tabs>
        <w:tab w:val="clear" w:pos="794"/>
        <w:tab w:val="left" w:pos="1021"/>
      </w:tabs>
      <w:ind w:left="1021" w:hanging="1021"/>
      <w:outlineLvl w:val="3"/>
    </w:pPr>
  </w:style>
  <w:style w:type="paragraph" w:styleId="Heading5">
    <w:name w:val="heading 5"/>
    <w:basedOn w:val="Heading4"/>
    <w:next w:val="Normal"/>
    <w:link w:val="Heading5Char"/>
    <w:qFormat/>
    <w:rsid w:val="00016C0F"/>
    <w:pPr>
      <w:outlineLvl w:val="4"/>
    </w:pPr>
  </w:style>
  <w:style w:type="paragraph" w:styleId="Heading6">
    <w:name w:val="heading 6"/>
    <w:basedOn w:val="Heading4"/>
    <w:next w:val="Normal"/>
    <w:link w:val="Heading6Char"/>
    <w:qFormat/>
    <w:rsid w:val="00016C0F"/>
    <w:pPr>
      <w:tabs>
        <w:tab w:val="clear" w:pos="1021"/>
        <w:tab w:val="clear" w:pos="1191"/>
      </w:tabs>
      <w:ind w:left="1588" w:hanging="1588"/>
      <w:outlineLvl w:val="5"/>
    </w:pPr>
  </w:style>
  <w:style w:type="paragraph" w:styleId="Heading7">
    <w:name w:val="heading 7"/>
    <w:basedOn w:val="Heading6"/>
    <w:next w:val="Normal"/>
    <w:link w:val="Heading7Char"/>
    <w:qFormat/>
    <w:rsid w:val="00016C0F"/>
    <w:pPr>
      <w:outlineLvl w:val="6"/>
    </w:pPr>
  </w:style>
  <w:style w:type="paragraph" w:styleId="Heading8">
    <w:name w:val="heading 8"/>
    <w:basedOn w:val="Heading6"/>
    <w:next w:val="Normal"/>
    <w:link w:val="Heading8Char"/>
    <w:qFormat/>
    <w:rsid w:val="00016C0F"/>
    <w:pPr>
      <w:outlineLvl w:val="7"/>
    </w:pPr>
  </w:style>
  <w:style w:type="paragraph" w:styleId="Heading9">
    <w:name w:val="heading 9"/>
    <w:basedOn w:val="Heading6"/>
    <w:next w:val="Normal"/>
    <w:link w:val="Heading9Char"/>
    <w:qFormat/>
    <w:rsid w:val="00016C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Title"/>
    <w:basedOn w:val="Normal"/>
    <w:next w:val="Normal"/>
    <w:rsid w:val="00016C0F"/>
    <w:pPr>
      <w:keepNext/>
      <w:keepLines/>
      <w:spacing w:before="720" w:after="120"/>
      <w:jc w:val="center"/>
    </w:pPr>
    <w:rPr>
      <w:b/>
      <w:sz w:val="24"/>
    </w:rPr>
  </w:style>
  <w:style w:type="paragraph" w:customStyle="1" w:styleId="AppendixNoTitle">
    <w:name w:val="Appendix_NoTitle"/>
    <w:basedOn w:val="AnnexNoTitle"/>
    <w:next w:val="Normal"/>
    <w:rsid w:val="00016C0F"/>
  </w:style>
  <w:style w:type="paragraph" w:customStyle="1" w:styleId="Artheading">
    <w:name w:val="Art_heading"/>
    <w:basedOn w:val="Normal"/>
    <w:next w:val="Normal"/>
    <w:rsid w:val="00016C0F"/>
    <w:pPr>
      <w:spacing w:before="480"/>
      <w:jc w:val="center"/>
    </w:pPr>
    <w:rPr>
      <w:b/>
      <w:sz w:val="28"/>
    </w:rPr>
  </w:style>
  <w:style w:type="paragraph" w:customStyle="1" w:styleId="ArtNo">
    <w:name w:val="Art_No"/>
    <w:basedOn w:val="Normal"/>
    <w:next w:val="Normal"/>
    <w:rsid w:val="00016C0F"/>
    <w:pPr>
      <w:keepNext/>
      <w:keepLines/>
      <w:spacing w:before="480"/>
      <w:jc w:val="center"/>
    </w:pPr>
    <w:rPr>
      <w:caps/>
      <w:sz w:val="28"/>
    </w:rPr>
  </w:style>
  <w:style w:type="paragraph" w:customStyle="1" w:styleId="Arttitle">
    <w:name w:val="Art_title"/>
    <w:basedOn w:val="Normal"/>
    <w:next w:val="Normal"/>
    <w:rsid w:val="00016C0F"/>
    <w:pPr>
      <w:keepNext/>
      <w:keepLines/>
      <w:spacing w:before="240"/>
      <w:jc w:val="center"/>
    </w:pPr>
    <w:rPr>
      <w:b/>
      <w:sz w:val="28"/>
    </w:rPr>
  </w:style>
  <w:style w:type="paragraph" w:customStyle="1" w:styleId="ASN1">
    <w:name w:val="ASN.1"/>
    <w:rsid w:val="00016C0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BalloonText">
    <w:name w:val="Balloon Text"/>
    <w:basedOn w:val="Normal"/>
    <w:link w:val="BalloonTextChar"/>
    <w:rsid w:val="00016C0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16C0F"/>
    <w:rPr>
      <w:rFonts w:ascii="Tahoma" w:eastAsia="Times New Roman" w:hAnsi="Tahoma" w:cs="Tahoma"/>
      <w:sz w:val="16"/>
      <w:szCs w:val="16"/>
      <w:lang w:val="en-US"/>
    </w:rPr>
  </w:style>
  <w:style w:type="paragraph" w:customStyle="1" w:styleId="Call">
    <w:name w:val="Call"/>
    <w:basedOn w:val="Normal"/>
    <w:next w:val="Normal"/>
    <w:rsid w:val="00016C0F"/>
    <w:pPr>
      <w:keepNext/>
      <w:keepLines/>
      <w:spacing w:before="240"/>
      <w:ind w:left="794"/>
      <w:jc w:val="left"/>
    </w:pPr>
    <w:rPr>
      <w:i/>
    </w:rPr>
  </w:style>
  <w:style w:type="paragraph" w:customStyle="1" w:styleId="ChapNo">
    <w:name w:val="Chap_No"/>
    <w:basedOn w:val="Normal"/>
    <w:next w:val="Normal"/>
    <w:rsid w:val="00016C0F"/>
    <w:pPr>
      <w:keepNext/>
      <w:keepLines/>
      <w:tabs>
        <w:tab w:val="clear" w:pos="794"/>
        <w:tab w:val="clear" w:pos="1191"/>
        <w:tab w:val="clear" w:pos="1588"/>
        <w:tab w:val="clear" w:pos="1985"/>
      </w:tabs>
      <w:spacing w:before="720" w:line="320" w:lineRule="exact"/>
      <w:jc w:val="center"/>
    </w:pPr>
    <w:rPr>
      <w:b/>
      <w:sz w:val="28"/>
    </w:rPr>
  </w:style>
  <w:style w:type="paragraph" w:customStyle="1" w:styleId="Chaptitle">
    <w:name w:val="Chap_title"/>
    <w:basedOn w:val="Normal"/>
    <w:next w:val="Normal"/>
    <w:rsid w:val="00016C0F"/>
    <w:pPr>
      <w:keepNext/>
      <w:keepLines/>
      <w:tabs>
        <w:tab w:val="clear" w:pos="794"/>
        <w:tab w:val="clear" w:pos="1191"/>
        <w:tab w:val="clear" w:pos="1588"/>
        <w:tab w:val="clear" w:pos="1985"/>
      </w:tabs>
      <w:spacing w:before="480"/>
      <w:jc w:val="center"/>
    </w:pPr>
    <w:rPr>
      <w:b/>
      <w:sz w:val="24"/>
    </w:rPr>
  </w:style>
  <w:style w:type="character" w:styleId="CommentReference">
    <w:name w:val="annotation reference"/>
    <w:basedOn w:val="DefaultParagraphFont"/>
    <w:semiHidden/>
    <w:rsid w:val="00016C0F"/>
    <w:rPr>
      <w:sz w:val="16"/>
      <w:szCs w:val="16"/>
    </w:rPr>
  </w:style>
  <w:style w:type="paragraph" w:styleId="CommentText">
    <w:name w:val="annotation text"/>
    <w:basedOn w:val="Normal"/>
    <w:link w:val="CommentTextChar"/>
    <w:semiHidden/>
    <w:rsid w:val="00016C0F"/>
    <w:rPr>
      <w:sz w:val="20"/>
    </w:rPr>
  </w:style>
  <w:style w:type="character" w:customStyle="1" w:styleId="CommentTextChar">
    <w:name w:val="Comment Text Char"/>
    <w:basedOn w:val="DefaultParagraphFont"/>
    <w:link w:val="CommentText"/>
    <w:semiHidden/>
    <w:rsid w:val="00016C0F"/>
    <w:rPr>
      <w:rFonts w:ascii="Calibri" w:eastAsia="Times New Roman" w:hAnsi="Calibri" w:cs="Calibri"/>
      <w:sz w:val="20"/>
      <w:lang w:val="en-US"/>
    </w:rPr>
  </w:style>
  <w:style w:type="paragraph" w:customStyle="1" w:styleId="Default">
    <w:name w:val="Default"/>
    <w:rsid w:val="00016C0F"/>
    <w:pPr>
      <w:autoSpaceDE w:val="0"/>
      <w:autoSpaceDN w:val="0"/>
      <w:adjustRightInd w:val="0"/>
      <w:spacing w:after="0" w:line="240" w:lineRule="auto"/>
    </w:pPr>
    <w:rPr>
      <w:rFonts w:ascii="Verdana" w:eastAsia="Times New Roman" w:hAnsi="Verdana" w:cs="Verdana"/>
      <w:color w:val="000000"/>
      <w:sz w:val="24"/>
      <w:szCs w:val="24"/>
      <w:lang w:val="en-US" w:eastAsia="zh-CN"/>
    </w:rPr>
  </w:style>
  <w:style w:type="paragraph" w:customStyle="1" w:styleId="enumlev1">
    <w:name w:val="enumlev1"/>
    <w:basedOn w:val="Normal"/>
    <w:rsid w:val="00016C0F"/>
    <w:pPr>
      <w:spacing w:before="80"/>
      <w:ind w:left="794" w:hanging="794"/>
    </w:pPr>
  </w:style>
  <w:style w:type="paragraph" w:customStyle="1" w:styleId="enumlev2">
    <w:name w:val="enumlev2"/>
    <w:basedOn w:val="enumlev1"/>
    <w:rsid w:val="00016C0F"/>
    <w:pPr>
      <w:ind w:left="1191" w:hanging="397"/>
    </w:pPr>
  </w:style>
  <w:style w:type="paragraph" w:customStyle="1" w:styleId="enumlev3">
    <w:name w:val="enumlev3"/>
    <w:basedOn w:val="enumlev2"/>
    <w:rsid w:val="00016C0F"/>
    <w:pPr>
      <w:ind w:left="1588"/>
    </w:pPr>
  </w:style>
  <w:style w:type="paragraph" w:customStyle="1" w:styleId="Equation">
    <w:name w:val="Equation"/>
    <w:basedOn w:val="Normal"/>
    <w:rsid w:val="00016C0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16C0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16C0F"/>
    <w:pPr>
      <w:keepNext/>
      <w:keepLines/>
      <w:spacing w:before="240" w:after="120" w:line="240" w:lineRule="auto"/>
      <w:jc w:val="center"/>
    </w:pPr>
  </w:style>
  <w:style w:type="paragraph" w:customStyle="1" w:styleId="Figurelegend">
    <w:name w:val="Figure_legend"/>
    <w:basedOn w:val="Normal"/>
    <w:rsid w:val="00016C0F"/>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
    <w:rsid w:val="00016C0F"/>
    <w:pPr>
      <w:keepLines/>
      <w:spacing w:before="240" w:after="120"/>
      <w:jc w:val="center"/>
    </w:pPr>
    <w:rPr>
      <w:b/>
    </w:rPr>
  </w:style>
  <w:style w:type="paragraph" w:customStyle="1" w:styleId="Figurewithouttitle">
    <w:name w:val="Figure_without_title"/>
    <w:basedOn w:val="Normal"/>
    <w:next w:val="Normal"/>
    <w:rsid w:val="00016C0F"/>
    <w:pPr>
      <w:keepLines/>
      <w:spacing w:before="240" w:after="120"/>
      <w:jc w:val="center"/>
    </w:pPr>
  </w:style>
  <w:style w:type="paragraph" w:customStyle="1" w:styleId="FirstFooter">
    <w:name w:val="FirstFooter"/>
    <w:basedOn w:val="Normal"/>
    <w:rsid w:val="00016C0F"/>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styleId="Footer">
    <w:name w:val="footer"/>
    <w:basedOn w:val="Normal"/>
    <w:link w:val="FooterChar"/>
    <w:uiPriority w:val="99"/>
    <w:rsid w:val="00016C0F"/>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016C0F"/>
    <w:rPr>
      <w:rFonts w:ascii="Calibri" w:eastAsia="Times New Roman" w:hAnsi="Calibri" w:cs="Calibri"/>
      <w:lang w:val="en-US"/>
    </w:rPr>
  </w:style>
  <w:style w:type="paragraph" w:customStyle="1" w:styleId="FooterQP">
    <w:name w:val="Footer_QP"/>
    <w:basedOn w:val="Normal"/>
    <w:rsid w:val="00016C0F"/>
    <w:pPr>
      <w:tabs>
        <w:tab w:val="clear" w:pos="794"/>
        <w:tab w:val="clear" w:pos="1191"/>
        <w:tab w:val="clear" w:pos="1588"/>
        <w:tab w:val="clear" w:pos="1985"/>
        <w:tab w:val="left" w:pos="907"/>
        <w:tab w:val="right" w:pos="8789"/>
        <w:tab w:val="right" w:pos="9639"/>
      </w:tabs>
      <w:spacing w:before="0"/>
      <w:jc w:val="left"/>
    </w:pPr>
    <w:rPr>
      <w:b/>
    </w:rPr>
  </w:style>
  <w:style w:type="character" w:styleId="FootnoteReference">
    <w:name w:val="footnote reference"/>
    <w:basedOn w:val="DefaultParagraphFont"/>
    <w:qFormat/>
    <w:rsid w:val="00016C0F"/>
    <w:rPr>
      <w:position w:val="6"/>
      <w:sz w:val="18"/>
    </w:rPr>
  </w:style>
  <w:style w:type="paragraph" w:customStyle="1" w:styleId="Note">
    <w:name w:val="Note"/>
    <w:basedOn w:val="Normal"/>
    <w:rsid w:val="00016C0F"/>
    <w:pPr>
      <w:spacing w:before="80" w:line="240" w:lineRule="exact"/>
    </w:pPr>
    <w:rPr>
      <w:sz w:val="20"/>
    </w:rPr>
  </w:style>
  <w:style w:type="paragraph" w:styleId="FootnoteText">
    <w:name w:val="footnote text"/>
    <w:basedOn w:val="Note"/>
    <w:link w:val="FootnoteTextChar"/>
    <w:rsid w:val="00016C0F"/>
    <w:pPr>
      <w:keepLines/>
      <w:tabs>
        <w:tab w:val="left" w:pos="255"/>
      </w:tabs>
      <w:ind w:left="255" w:hanging="255"/>
    </w:pPr>
  </w:style>
  <w:style w:type="character" w:customStyle="1" w:styleId="FootnoteTextChar">
    <w:name w:val="Footnote Text Char"/>
    <w:basedOn w:val="DefaultParagraphFont"/>
    <w:link w:val="FootnoteText"/>
    <w:rsid w:val="00016C0F"/>
    <w:rPr>
      <w:rFonts w:ascii="Calibri" w:eastAsia="Times New Roman" w:hAnsi="Calibri" w:cs="Calibri"/>
      <w:sz w:val="20"/>
      <w:lang w:val="en-US"/>
    </w:rPr>
  </w:style>
  <w:style w:type="paragraph" w:customStyle="1" w:styleId="Formal">
    <w:name w:val="Formal"/>
    <w:basedOn w:val="ASN1"/>
    <w:rsid w:val="00016C0F"/>
    <w:rPr>
      <w:b w:val="0"/>
    </w:rPr>
  </w:style>
  <w:style w:type="paragraph" w:customStyle="1" w:styleId="FromRef">
    <w:name w:val="FromRef"/>
    <w:basedOn w:val="Normal"/>
    <w:uiPriority w:val="99"/>
    <w:rsid w:val="00016C0F"/>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character" w:customStyle="1" w:styleId="h21">
    <w:name w:val="h21"/>
    <w:basedOn w:val="DefaultParagraphFont"/>
    <w:rsid w:val="00016C0F"/>
    <w:rPr>
      <w:b/>
      <w:bCs/>
      <w:color w:val="3366CC"/>
      <w:sz w:val="36"/>
      <w:szCs w:val="36"/>
    </w:rPr>
  </w:style>
  <w:style w:type="paragraph" w:styleId="Header">
    <w:name w:val="header"/>
    <w:basedOn w:val="Normal"/>
    <w:link w:val="HeaderChar"/>
    <w:rsid w:val="00016C0F"/>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016C0F"/>
    <w:rPr>
      <w:rFonts w:ascii="Calibri" w:eastAsia="Times New Roman" w:hAnsi="Calibri" w:cs="Calibri"/>
      <w:lang w:val="en-US"/>
    </w:rPr>
  </w:style>
  <w:style w:type="character" w:customStyle="1" w:styleId="Heading1Char">
    <w:name w:val="Heading 1 Char"/>
    <w:basedOn w:val="DefaultParagraphFont"/>
    <w:link w:val="Heading1"/>
    <w:rsid w:val="00016C0F"/>
    <w:rPr>
      <w:rFonts w:ascii="Calibri" w:eastAsia="Times New Roman" w:hAnsi="Calibri" w:cs="Calibri"/>
      <w:b/>
      <w:sz w:val="24"/>
      <w:lang w:val="en-US"/>
    </w:rPr>
  </w:style>
  <w:style w:type="character" w:customStyle="1" w:styleId="Heading2Char">
    <w:name w:val="Heading 2 Char"/>
    <w:basedOn w:val="DefaultParagraphFont"/>
    <w:link w:val="Heading2"/>
    <w:rsid w:val="00016C0F"/>
    <w:rPr>
      <w:rFonts w:ascii="Calibri" w:eastAsia="Times New Roman" w:hAnsi="Calibri" w:cs="Calibri"/>
      <w:b/>
      <w:sz w:val="24"/>
      <w:lang w:val="en-US"/>
    </w:rPr>
  </w:style>
  <w:style w:type="character" w:customStyle="1" w:styleId="Heading3Char">
    <w:name w:val="Heading 3 Char"/>
    <w:basedOn w:val="DefaultParagraphFont"/>
    <w:link w:val="Heading3"/>
    <w:rsid w:val="00016C0F"/>
    <w:rPr>
      <w:rFonts w:ascii="Calibri" w:eastAsia="Times New Roman" w:hAnsi="Calibri" w:cs="Calibri"/>
      <w:b/>
      <w:sz w:val="24"/>
      <w:lang w:val="en-US"/>
    </w:rPr>
  </w:style>
  <w:style w:type="character" w:customStyle="1" w:styleId="Heading4Char">
    <w:name w:val="Heading 4 Char"/>
    <w:basedOn w:val="DefaultParagraphFont"/>
    <w:link w:val="Heading4"/>
    <w:rsid w:val="00016C0F"/>
    <w:rPr>
      <w:rFonts w:ascii="Calibri" w:eastAsia="Times New Roman" w:hAnsi="Calibri" w:cs="Calibri"/>
      <w:b/>
      <w:sz w:val="24"/>
      <w:lang w:val="en-US"/>
    </w:rPr>
  </w:style>
  <w:style w:type="character" w:customStyle="1" w:styleId="Heading5Char">
    <w:name w:val="Heading 5 Char"/>
    <w:basedOn w:val="DefaultParagraphFont"/>
    <w:link w:val="Heading5"/>
    <w:rsid w:val="00016C0F"/>
    <w:rPr>
      <w:rFonts w:ascii="Calibri" w:eastAsia="Times New Roman" w:hAnsi="Calibri" w:cs="Calibri"/>
      <w:b/>
      <w:sz w:val="24"/>
      <w:lang w:val="en-US"/>
    </w:rPr>
  </w:style>
  <w:style w:type="character" w:customStyle="1" w:styleId="Heading6Char">
    <w:name w:val="Heading 6 Char"/>
    <w:basedOn w:val="DefaultParagraphFont"/>
    <w:link w:val="Heading6"/>
    <w:rsid w:val="00016C0F"/>
    <w:rPr>
      <w:rFonts w:ascii="Calibri" w:eastAsia="Times New Roman" w:hAnsi="Calibri" w:cs="Calibri"/>
      <w:b/>
      <w:sz w:val="24"/>
      <w:lang w:val="en-US"/>
    </w:rPr>
  </w:style>
  <w:style w:type="character" w:customStyle="1" w:styleId="Heading7Char">
    <w:name w:val="Heading 7 Char"/>
    <w:basedOn w:val="DefaultParagraphFont"/>
    <w:link w:val="Heading7"/>
    <w:rsid w:val="00016C0F"/>
    <w:rPr>
      <w:rFonts w:ascii="Calibri" w:eastAsia="Times New Roman" w:hAnsi="Calibri" w:cs="Calibri"/>
      <w:b/>
      <w:sz w:val="24"/>
      <w:lang w:val="en-US"/>
    </w:rPr>
  </w:style>
  <w:style w:type="character" w:customStyle="1" w:styleId="Heading8Char">
    <w:name w:val="Heading 8 Char"/>
    <w:basedOn w:val="DefaultParagraphFont"/>
    <w:link w:val="Heading8"/>
    <w:rsid w:val="00016C0F"/>
    <w:rPr>
      <w:rFonts w:ascii="Calibri" w:eastAsia="Times New Roman" w:hAnsi="Calibri" w:cs="Calibri"/>
      <w:b/>
      <w:sz w:val="24"/>
      <w:lang w:val="en-US"/>
    </w:rPr>
  </w:style>
  <w:style w:type="character" w:customStyle="1" w:styleId="Heading9Char">
    <w:name w:val="Heading 9 Char"/>
    <w:basedOn w:val="DefaultParagraphFont"/>
    <w:link w:val="Heading9"/>
    <w:rsid w:val="00016C0F"/>
    <w:rPr>
      <w:rFonts w:ascii="Calibri" w:eastAsia="Times New Roman" w:hAnsi="Calibri" w:cs="Calibri"/>
      <w:b/>
      <w:sz w:val="24"/>
      <w:lang w:val="en-US"/>
    </w:rPr>
  </w:style>
  <w:style w:type="paragraph" w:customStyle="1" w:styleId="Headingb">
    <w:name w:val="Heading_b"/>
    <w:basedOn w:val="Normal"/>
    <w:next w:val="Normal"/>
    <w:rsid w:val="00016C0F"/>
    <w:pPr>
      <w:keepNext/>
      <w:spacing w:before="240"/>
      <w:ind w:left="794" w:hanging="794"/>
    </w:pPr>
    <w:rPr>
      <w:b/>
    </w:rPr>
  </w:style>
  <w:style w:type="paragraph" w:customStyle="1" w:styleId="Headingi">
    <w:name w:val="Heading_i"/>
    <w:basedOn w:val="Normal"/>
    <w:next w:val="Normal"/>
    <w:rsid w:val="00016C0F"/>
    <w:pPr>
      <w:keepNext/>
      <w:spacing w:before="240"/>
      <w:jc w:val="left"/>
    </w:pPr>
    <w:rPr>
      <w:i/>
    </w:rPr>
  </w:style>
  <w:style w:type="character" w:customStyle="1" w:styleId="href">
    <w:name w:val="href"/>
    <w:basedOn w:val="DefaultParagraphFont"/>
    <w:rsid w:val="00016C0F"/>
  </w:style>
  <w:style w:type="character" w:styleId="Hyperlink">
    <w:name w:val="Hyperlink"/>
    <w:aliases w:val="CEO_Hyperlink"/>
    <w:basedOn w:val="DefaultParagraphFont"/>
    <w:rsid w:val="00016C0F"/>
    <w:rPr>
      <w:color w:val="0000FF"/>
      <w:u w:val="single"/>
    </w:rPr>
  </w:style>
  <w:style w:type="paragraph" w:styleId="Index1">
    <w:name w:val="index 1"/>
    <w:basedOn w:val="Normal"/>
    <w:next w:val="Normal"/>
    <w:semiHidden/>
    <w:rsid w:val="00016C0F"/>
    <w:pPr>
      <w:jc w:val="left"/>
    </w:pPr>
  </w:style>
  <w:style w:type="paragraph" w:styleId="Index2">
    <w:name w:val="index 2"/>
    <w:basedOn w:val="Normal"/>
    <w:next w:val="Normal"/>
    <w:semiHidden/>
    <w:rsid w:val="00016C0F"/>
    <w:pPr>
      <w:ind w:left="284"/>
      <w:jc w:val="left"/>
    </w:pPr>
  </w:style>
  <w:style w:type="paragraph" w:styleId="Index3">
    <w:name w:val="index 3"/>
    <w:basedOn w:val="Normal"/>
    <w:next w:val="Normal"/>
    <w:semiHidden/>
    <w:rsid w:val="00016C0F"/>
    <w:pPr>
      <w:ind w:left="567"/>
      <w:jc w:val="left"/>
    </w:pPr>
  </w:style>
  <w:style w:type="paragraph" w:customStyle="1" w:styleId="Normalaftertitle">
    <w:name w:val="Normal_after_title"/>
    <w:basedOn w:val="Normal"/>
    <w:next w:val="Normal"/>
    <w:rsid w:val="00016C0F"/>
    <w:pPr>
      <w:spacing w:before="400"/>
    </w:pPr>
  </w:style>
  <w:style w:type="paragraph" w:customStyle="1" w:styleId="NormalIndent">
    <w:name w:val="Normal_Indent"/>
    <w:basedOn w:val="Normal"/>
    <w:rsid w:val="00016C0F"/>
    <w:pPr>
      <w:tabs>
        <w:tab w:val="clear" w:pos="1191"/>
        <w:tab w:val="clear" w:pos="1588"/>
        <w:tab w:val="clear" w:pos="1985"/>
        <w:tab w:val="left" w:pos="2693"/>
        <w:tab w:val="left" w:pos="7655"/>
      </w:tabs>
      <w:spacing w:before="120"/>
      <w:ind w:left="794"/>
      <w:jc w:val="left"/>
    </w:pPr>
  </w:style>
  <w:style w:type="paragraph" w:customStyle="1" w:styleId="Object">
    <w:name w:val="Object"/>
    <w:basedOn w:val="Normal"/>
    <w:uiPriority w:val="99"/>
    <w:rsid w:val="00016C0F"/>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Origin">
    <w:name w:val="Origin"/>
    <w:basedOn w:val="Normal"/>
    <w:rsid w:val="00016C0F"/>
    <w:pPr>
      <w:spacing w:before="600" w:line="312" w:lineRule="auto"/>
      <w:jc w:val="left"/>
    </w:pPr>
    <w:rPr>
      <w:rFonts w:ascii="Arial" w:eastAsia="SimSun" w:hAnsi="Arial" w:cs="Simplified Arabic"/>
      <w:b/>
      <w:color w:val="808080"/>
      <w:sz w:val="26"/>
    </w:rPr>
  </w:style>
  <w:style w:type="character" w:styleId="PageNumber">
    <w:name w:val="page number"/>
    <w:basedOn w:val="DefaultParagraphFont"/>
    <w:rsid w:val="00016C0F"/>
  </w:style>
  <w:style w:type="paragraph" w:customStyle="1" w:styleId="PartNo">
    <w:name w:val="Part_No"/>
    <w:basedOn w:val="Normal"/>
    <w:next w:val="Normal"/>
    <w:rsid w:val="00016C0F"/>
    <w:pPr>
      <w:keepNext/>
      <w:keepLines/>
      <w:spacing w:before="480" w:after="80"/>
    </w:pPr>
    <w:rPr>
      <w:caps/>
      <w:sz w:val="24"/>
    </w:rPr>
  </w:style>
  <w:style w:type="paragraph" w:customStyle="1" w:styleId="Partref">
    <w:name w:val="Part_ref"/>
    <w:basedOn w:val="Normal"/>
    <w:next w:val="Normal"/>
    <w:rsid w:val="00016C0F"/>
    <w:pPr>
      <w:keepNext/>
      <w:keepLines/>
      <w:spacing w:before="280"/>
      <w:jc w:val="center"/>
    </w:pPr>
  </w:style>
  <w:style w:type="paragraph" w:customStyle="1" w:styleId="Parttitle">
    <w:name w:val="Part_title"/>
    <w:basedOn w:val="Normal"/>
    <w:next w:val="Normalaftertitle"/>
    <w:rsid w:val="00016C0F"/>
    <w:pPr>
      <w:keepNext/>
      <w:keepLines/>
      <w:spacing w:before="240" w:after="280" w:line="320" w:lineRule="exact"/>
      <w:jc w:val="center"/>
    </w:pPr>
    <w:rPr>
      <w:b/>
      <w:sz w:val="24"/>
    </w:rPr>
  </w:style>
  <w:style w:type="character" w:styleId="PlaceholderText">
    <w:name w:val="Placeholder Text"/>
    <w:basedOn w:val="DefaultParagraphFont"/>
    <w:uiPriority w:val="99"/>
    <w:semiHidden/>
    <w:rsid w:val="00016C0F"/>
    <w:rPr>
      <w:color w:val="808080"/>
    </w:rPr>
  </w:style>
  <w:style w:type="paragraph" w:styleId="PlainText">
    <w:name w:val="Plain Text"/>
    <w:basedOn w:val="Normal"/>
    <w:link w:val="PlainTextChar"/>
    <w:uiPriority w:val="99"/>
    <w:unhideWhenUsed/>
    <w:rsid w:val="00016C0F"/>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16C0F"/>
    <w:rPr>
      <w:rFonts w:ascii="Calibri" w:eastAsia="SimSun" w:hAnsi="Calibri" w:cs="Calibri"/>
      <w:lang w:val="en-US" w:eastAsia="zh-CN"/>
    </w:rPr>
  </w:style>
  <w:style w:type="paragraph" w:customStyle="1" w:styleId="Recdate">
    <w:name w:val="Rec_date"/>
    <w:basedOn w:val="Normal"/>
    <w:next w:val="Normalaftertitle"/>
    <w:rsid w:val="00016C0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16C0F"/>
  </w:style>
  <w:style w:type="paragraph" w:customStyle="1" w:styleId="RecNo">
    <w:name w:val="Rec_No"/>
    <w:basedOn w:val="Normal"/>
    <w:next w:val="Normal"/>
    <w:rsid w:val="00016C0F"/>
    <w:pPr>
      <w:keepNext/>
      <w:keepLines/>
      <w:spacing w:before="0"/>
      <w:jc w:val="left"/>
    </w:pPr>
    <w:rPr>
      <w:b/>
      <w:sz w:val="28"/>
    </w:rPr>
  </w:style>
  <w:style w:type="paragraph" w:customStyle="1" w:styleId="QuestionNo">
    <w:name w:val="Question_No"/>
    <w:basedOn w:val="RecNo"/>
    <w:next w:val="Normal"/>
    <w:rsid w:val="00016C0F"/>
  </w:style>
  <w:style w:type="paragraph" w:customStyle="1" w:styleId="Recref">
    <w:name w:val="Rec_ref"/>
    <w:basedOn w:val="Normal"/>
    <w:next w:val="Recdate"/>
    <w:rsid w:val="00016C0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16C0F"/>
  </w:style>
  <w:style w:type="paragraph" w:customStyle="1" w:styleId="Rectitle">
    <w:name w:val="Rec_title"/>
    <w:basedOn w:val="Normal"/>
    <w:next w:val="Normalaftertitle"/>
    <w:rsid w:val="00016C0F"/>
    <w:pPr>
      <w:keepNext/>
      <w:keepLines/>
      <w:spacing w:before="360" w:line="240" w:lineRule="auto"/>
      <w:jc w:val="center"/>
    </w:pPr>
    <w:rPr>
      <w:b/>
      <w:sz w:val="28"/>
    </w:rPr>
  </w:style>
  <w:style w:type="paragraph" w:customStyle="1" w:styleId="Questiontitle">
    <w:name w:val="Question_title"/>
    <w:basedOn w:val="Rectitle"/>
    <w:next w:val="Questionref"/>
    <w:rsid w:val="00016C0F"/>
  </w:style>
  <w:style w:type="paragraph" w:customStyle="1" w:styleId="Reftext">
    <w:name w:val="Ref_text"/>
    <w:basedOn w:val="Normal"/>
    <w:rsid w:val="00016C0F"/>
    <w:pPr>
      <w:ind w:left="794" w:hanging="794"/>
      <w:jc w:val="left"/>
    </w:pPr>
  </w:style>
  <w:style w:type="paragraph" w:customStyle="1" w:styleId="Reftitle">
    <w:name w:val="Ref_title"/>
    <w:basedOn w:val="Normal"/>
    <w:next w:val="Reftext"/>
    <w:rsid w:val="00016C0F"/>
    <w:pPr>
      <w:spacing w:before="480"/>
      <w:jc w:val="center"/>
    </w:pPr>
    <w:rPr>
      <w:b/>
    </w:rPr>
  </w:style>
  <w:style w:type="paragraph" w:customStyle="1" w:styleId="Repdate">
    <w:name w:val="Rep_date"/>
    <w:basedOn w:val="Recdate"/>
    <w:next w:val="Normalaftertitle"/>
    <w:rsid w:val="00016C0F"/>
  </w:style>
  <w:style w:type="paragraph" w:customStyle="1" w:styleId="RepNo">
    <w:name w:val="Rep_No"/>
    <w:basedOn w:val="RecNo"/>
    <w:next w:val="Normal"/>
    <w:rsid w:val="00016C0F"/>
  </w:style>
  <w:style w:type="paragraph" w:customStyle="1" w:styleId="Repref">
    <w:name w:val="Rep_ref"/>
    <w:basedOn w:val="Recref"/>
    <w:next w:val="Repdate"/>
    <w:rsid w:val="00016C0F"/>
  </w:style>
  <w:style w:type="paragraph" w:customStyle="1" w:styleId="Reptitle">
    <w:name w:val="Rep_title"/>
    <w:basedOn w:val="Rectitle"/>
    <w:next w:val="Repref"/>
    <w:rsid w:val="00016C0F"/>
  </w:style>
  <w:style w:type="paragraph" w:customStyle="1" w:styleId="Resdate">
    <w:name w:val="Res_date"/>
    <w:basedOn w:val="Recdate"/>
    <w:next w:val="Normalaftertitle"/>
    <w:rsid w:val="00016C0F"/>
  </w:style>
  <w:style w:type="paragraph" w:customStyle="1" w:styleId="ResNo">
    <w:name w:val="Res_No"/>
    <w:basedOn w:val="RecNo"/>
    <w:next w:val="Normal"/>
    <w:rsid w:val="00016C0F"/>
    <w:pPr>
      <w:tabs>
        <w:tab w:val="clear" w:pos="794"/>
        <w:tab w:val="clear" w:pos="1191"/>
        <w:tab w:val="clear" w:pos="1588"/>
        <w:tab w:val="clear" w:pos="1985"/>
      </w:tabs>
      <w:jc w:val="center"/>
    </w:pPr>
    <w:rPr>
      <w:b w:val="0"/>
      <w:caps/>
    </w:rPr>
  </w:style>
  <w:style w:type="paragraph" w:customStyle="1" w:styleId="Resref">
    <w:name w:val="Res_ref"/>
    <w:basedOn w:val="Recref"/>
    <w:next w:val="Resdate"/>
    <w:rsid w:val="00016C0F"/>
  </w:style>
  <w:style w:type="paragraph" w:customStyle="1" w:styleId="Restitle">
    <w:name w:val="Res_title"/>
    <w:basedOn w:val="Rectitle"/>
    <w:next w:val="Resref"/>
    <w:rsid w:val="00016C0F"/>
  </w:style>
  <w:style w:type="paragraph" w:customStyle="1" w:styleId="Section1">
    <w:name w:val="Section_1"/>
    <w:basedOn w:val="Normal"/>
    <w:next w:val="Normal"/>
    <w:rsid w:val="00016C0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16C0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16C0F"/>
    <w:pPr>
      <w:keepNext/>
      <w:keepLines/>
      <w:spacing w:before="720" w:line="320" w:lineRule="exact"/>
      <w:jc w:val="center"/>
    </w:pPr>
    <w:rPr>
      <w:caps/>
      <w:sz w:val="28"/>
    </w:rPr>
  </w:style>
  <w:style w:type="paragraph" w:customStyle="1" w:styleId="Sectiontitle">
    <w:name w:val="Section_title"/>
    <w:basedOn w:val="Normal"/>
    <w:next w:val="Normalaftertitle"/>
    <w:rsid w:val="00016C0F"/>
    <w:pPr>
      <w:keepNext/>
      <w:keepLines/>
      <w:spacing w:before="360" w:after="120" w:line="320" w:lineRule="exact"/>
      <w:jc w:val="center"/>
    </w:pPr>
    <w:rPr>
      <w:b/>
      <w:sz w:val="28"/>
    </w:rPr>
  </w:style>
  <w:style w:type="paragraph" w:customStyle="1" w:styleId="Source">
    <w:name w:val="Source"/>
    <w:basedOn w:val="Normal"/>
    <w:next w:val="Normalaftertitle"/>
    <w:rsid w:val="00016C0F"/>
    <w:pPr>
      <w:spacing w:before="840" w:after="200"/>
      <w:jc w:val="center"/>
    </w:pPr>
    <w:rPr>
      <w:b/>
      <w:sz w:val="28"/>
    </w:rPr>
  </w:style>
  <w:style w:type="paragraph" w:customStyle="1" w:styleId="SpecialFooter">
    <w:name w:val="Special Footer"/>
    <w:basedOn w:val="Normal"/>
    <w:rsid w:val="00016C0F"/>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Normal"/>
    <w:rsid w:val="00016C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legend">
    <w:name w:val="Table_legend"/>
    <w:basedOn w:val="Normal"/>
    <w:rsid w:val="0001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016C0F"/>
    <w:pPr>
      <w:keepNext/>
      <w:keepLines/>
      <w:spacing w:before="360" w:after="120" w:line="240" w:lineRule="exact"/>
      <w:jc w:val="center"/>
    </w:pPr>
    <w:rPr>
      <w:b/>
      <w:sz w:val="20"/>
    </w:rPr>
  </w:style>
  <w:style w:type="paragraph" w:customStyle="1" w:styleId="Tabletext">
    <w:name w:val="Table_text"/>
    <w:basedOn w:val="Normal"/>
    <w:rsid w:val="0001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itle1">
    <w:name w:val="Title 1"/>
    <w:basedOn w:val="Source"/>
    <w:next w:val="Normal"/>
    <w:rsid w:val="00016C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16C0F"/>
  </w:style>
  <w:style w:type="paragraph" w:customStyle="1" w:styleId="Title3">
    <w:name w:val="Title 3"/>
    <w:basedOn w:val="Title2"/>
    <w:next w:val="Normal"/>
    <w:rsid w:val="00016C0F"/>
    <w:rPr>
      <w:caps w:val="0"/>
    </w:rPr>
  </w:style>
  <w:style w:type="paragraph" w:customStyle="1" w:styleId="Title4">
    <w:name w:val="Title 4"/>
    <w:basedOn w:val="Title3"/>
    <w:next w:val="Heading1"/>
    <w:rsid w:val="00016C0F"/>
    <w:rPr>
      <w:b/>
    </w:rPr>
  </w:style>
  <w:style w:type="paragraph" w:customStyle="1" w:styleId="toc0">
    <w:name w:val="toc 0"/>
    <w:basedOn w:val="Normal"/>
    <w:next w:val="TOC1"/>
    <w:rsid w:val="00016C0F"/>
    <w:pPr>
      <w:keepLines/>
      <w:tabs>
        <w:tab w:val="clear" w:pos="794"/>
        <w:tab w:val="clear" w:pos="1191"/>
        <w:tab w:val="clear" w:pos="1588"/>
        <w:tab w:val="clear" w:pos="1985"/>
        <w:tab w:val="right" w:pos="9639"/>
      </w:tabs>
      <w:jc w:val="left"/>
    </w:pPr>
    <w:rPr>
      <w:b/>
    </w:rPr>
  </w:style>
  <w:style w:type="paragraph" w:styleId="TOC1">
    <w:name w:val="toc 1"/>
    <w:basedOn w:val="Normal"/>
    <w:semiHidden/>
    <w:rsid w:val="00016C0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semiHidden/>
    <w:rsid w:val="00016C0F"/>
    <w:pPr>
      <w:spacing w:before="80"/>
      <w:ind w:left="1531" w:hanging="851"/>
    </w:pPr>
  </w:style>
  <w:style w:type="paragraph" w:styleId="TOC3">
    <w:name w:val="toc 3"/>
    <w:basedOn w:val="TOC2"/>
    <w:semiHidden/>
    <w:rsid w:val="00016C0F"/>
  </w:style>
  <w:style w:type="paragraph" w:styleId="TOC4">
    <w:name w:val="toc 4"/>
    <w:basedOn w:val="TOC3"/>
    <w:semiHidden/>
    <w:rsid w:val="00016C0F"/>
  </w:style>
  <w:style w:type="paragraph" w:styleId="TOC5">
    <w:name w:val="toc 5"/>
    <w:basedOn w:val="TOC4"/>
    <w:semiHidden/>
    <w:rsid w:val="00016C0F"/>
  </w:style>
  <w:style w:type="paragraph" w:styleId="TOC6">
    <w:name w:val="toc 6"/>
    <w:basedOn w:val="TOC4"/>
    <w:semiHidden/>
    <w:rsid w:val="00016C0F"/>
  </w:style>
  <w:style w:type="paragraph" w:styleId="TOC7">
    <w:name w:val="toc 7"/>
    <w:basedOn w:val="TOC4"/>
    <w:semiHidden/>
    <w:rsid w:val="00016C0F"/>
  </w:style>
  <w:style w:type="paragraph" w:styleId="TOC8">
    <w:name w:val="toc 8"/>
    <w:basedOn w:val="TOC4"/>
    <w:semiHidden/>
    <w:rsid w:val="00016C0F"/>
  </w:style>
  <w:style w:type="paragraph" w:styleId="TOC9">
    <w:name w:val="toc 9"/>
    <w:basedOn w:val="TOC3"/>
    <w:semiHidden/>
    <w:rsid w:val="00016C0F"/>
  </w:style>
  <w:style w:type="table" w:styleId="TableGrid">
    <w:name w:val="Table Grid"/>
    <w:basedOn w:val="TableNormal"/>
    <w:rsid w:val="0078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9"/>
    <w:unhideWhenUsed/>
    <w:rsid w:val="00D846B3"/>
    <w:pPr>
      <w:spacing w:before="1200" w:line="240" w:lineRule="auto"/>
    </w:pPr>
  </w:style>
  <w:style w:type="character" w:customStyle="1" w:styleId="SignatureChar">
    <w:name w:val="Signature Char"/>
    <w:basedOn w:val="DefaultParagraphFont"/>
    <w:link w:val="Signature"/>
    <w:uiPriority w:val="99"/>
    <w:rsid w:val="00D846B3"/>
    <w:rPr>
      <w:rFonts w:ascii="Calibri" w:eastAsia="Times New Roman" w:hAnsi="Calibri" w:cs="Calibri"/>
    </w:rPr>
  </w:style>
  <w:style w:type="character" w:styleId="UnresolvedMention">
    <w:name w:val="Unresolved Mention"/>
    <w:basedOn w:val="DefaultParagraphFont"/>
    <w:uiPriority w:val="99"/>
    <w:semiHidden/>
    <w:unhideWhenUsed/>
    <w:rsid w:val="00B45FE0"/>
    <w:rPr>
      <w:color w:val="605E5C"/>
      <w:shd w:val="clear" w:color="auto" w:fill="E1DFDD"/>
    </w:rPr>
  </w:style>
  <w:style w:type="paragraph" w:customStyle="1" w:styleId="Message">
    <w:name w:val="Message"/>
    <w:rsid w:val="006F2938"/>
    <w:pPr>
      <w:spacing w:before="240" w:after="0" w:line="300" w:lineRule="exact"/>
      <w:ind w:left="794" w:right="794"/>
    </w:pPr>
    <w:rPr>
      <w:rFonts w:ascii="Arial" w:eastAsia="Times New Roman" w:hAnsi="Arial" w:cs="Times New Roman"/>
      <w:szCs w:val="20"/>
      <w:lang w:val="en-US" w:bidi="he-IL"/>
    </w:rPr>
  </w:style>
  <w:style w:type="paragraph" w:customStyle="1" w:styleId="Tablefin">
    <w:name w:val="Table_fin"/>
    <w:basedOn w:val="Normal"/>
    <w:next w:val="Normal"/>
    <w:rsid w:val="005607AC"/>
    <w:pPr>
      <w:spacing w:before="0" w:line="240" w:lineRule="auto"/>
    </w:pPr>
    <w:rPr>
      <w:rFonts w:ascii="Times New Roman" w:hAnsi="Times New Roman" w:cs="Times New Roman"/>
      <w:sz w:val="20"/>
      <w:szCs w:val="20"/>
    </w:rPr>
  </w:style>
  <w:style w:type="paragraph" w:styleId="Revision">
    <w:name w:val="Revision"/>
    <w:hidden/>
    <w:uiPriority w:val="99"/>
    <w:semiHidden/>
    <w:rsid w:val="00936CAF"/>
    <w:pPr>
      <w:spacing w:after="0" w:line="240" w:lineRule="auto"/>
    </w:pPr>
    <w:rPr>
      <w:rFonts w:ascii="Calibri" w:eastAsia="Times New Roman" w:hAnsi="Calibri" w:cs="Calibri"/>
    </w:rPr>
  </w:style>
  <w:style w:type="character" w:styleId="FollowedHyperlink">
    <w:name w:val="FollowedHyperlink"/>
    <w:basedOn w:val="DefaultParagraphFont"/>
    <w:uiPriority w:val="99"/>
    <w:semiHidden/>
    <w:unhideWhenUsed/>
    <w:rsid w:val="001500E3"/>
    <w:rPr>
      <w:color w:val="954F72" w:themeColor="followedHyperlink"/>
      <w:u w:val="single"/>
    </w:rPr>
  </w:style>
  <w:style w:type="paragraph" w:styleId="EndnoteText">
    <w:name w:val="endnote text"/>
    <w:basedOn w:val="Normal"/>
    <w:link w:val="EndnoteTextChar"/>
    <w:uiPriority w:val="99"/>
    <w:semiHidden/>
    <w:unhideWhenUsed/>
    <w:rsid w:val="0068013C"/>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68013C"/>
    <w:rPr>
      <w:rFonts w:ascii="Calibri" w:eastAsia="Times New Roman" w:hAnsi="Calibri" w:cs="Calibri"/>
      <w:sz w:val="20"/>
      <w:szCs w:val="20"/>
    </w:rPr>
  </w:style>
  <w:style w:type="character" w:styleId="EndnoteReference">
    <w:name w:val="endnote reference"/>
    <w:basedOn w:val="DefaultParagraphFont"/>
    <w:uiPriority w:val="99"/>
    <w:semiHidden/>
    <w:unhideWhenUsed/>
    <w:rsid w:val="0068013C"/>
    <w:rPr>
      <w:vertAlign w:val="superscript"/>
    </w:rPr>
  </w:style>
  <w:style w:type="paragraph" w:styleId="ListParagraph">
    <w:name w:val="List Paragraph"/>
    <w:basedOn w:val="Normal"/>
    <w:uiPriority w:val="34"/>
    <w:qFormat/>
    <w:rsid w:val="001C4469"/>
    <w:pPr>
      <w:ind w:left="720"/>
      <w:contextualSpacing/>
    </w:pPr>
  </w:style>
  <w:style w:type="paragraph" w:customStyle="1" w:styleId="xelementtoproof">
    <w:name w:val="x_elementtoproof"/>
    <w:basedOn w:val="Normal"/>
    <w:rsid w:val="00831B0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831B0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029300">
      <w:bodyDiv w:val="1"/>
      <w:marLeft w:val="0"/>
      <w:marRight w:val="0"/>
      <w:marTop w:val="0"/>
      <w:marBottom w:val="0"/>
      <w:divBdr>
        <w:top w:val="none" w:sz="0" w:space="0" w:color="auto"/>
        <w:left w:val="none" w:sz="0" w:space="0" w:color="auto"/>
        <w:bottom w:val="none" w:sz="0" w:space="0" w:color="auto"/>
        <w:right w:val="none" w:sz="0" w:space="0" w:color="auto"/>
      </w:divBdr>
    </w:div>
    <w:div w:id="16555306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671">
          <w:marLeft w:val="0"/>
          <w:marRight w:val="0"/>
          <w:marTop w:val="0"/>
          <w:marBottom w:val="0"/>
          <w:divBdr>
            <w:top w:val="none" w:sz="0" w:space="0" w:color="auto"/>
            <w:left w:val="none" w:sz="0" w:space="0" w:color="auto"/>
            <w:bottom w:val="none" w:sz="0" w:space="0" w:color="auto"/>
            <w:right w:val="none" w:sz="0" w:space="0" w:color="auto"/>
          </w:divBdr>
        </w:div>
        <w:div w:id="1541480826">
          <w:marLeft w:val="0"/>
          <w:marRight w:val="0"/>
          <w:marTop w:val="0"/>
          <w:marBottom w:val="0"/>
          <w:divBdr>
            <w:top w:val="none" w:sz="0" w:space="0" w:color="auto"/>
            <w:left w:val="none" w:sz="0" w:space="0" w:color="auto"/>
            <w:bottom w:val="none" w:sz="0" w:space="0" w:color="auto"/>
            <w:right w:val="none" w:sz="0" w:space="0" w:color="auto"/>
          </w:divBdr>
        </w:div>
        <w:div w:id="1446004390">
          <w:marLeft w:val="0"/>
          <w:marRight w:val="0"/>
          <w:marTop w:val="0"/>
          <w:marBottom w:val="0"/>
          <w:divBdr>
            <w:top w:val="none" w:sz="0" w:space="0" w:color="auto"/>
            <w:left w:val="none" w:sz="0" w:space="0" w:color="auto"/>
            <w:bottom w:val="none" w:sz="0" w:space="0" w:color="auto"/>
            <w:right w:val="none" w:sz="0" w:space="0" w:color="auto"/>
          </w:divBdr>
        </w:div>
      </w:divsChild>
    </w:div>
    <w:div w:id="18291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terrestrial/tpr/Pages/Submission.aspx" TargetMode="External"/><Relationship Id="rId13" Type="http://schemas.openxmlformats.org/officeDocument/2006/relationships/hyperlink" Target="https://www.asbu.net/en/" TargetMode="External"/><Relationship Id="rId18" Type="http://schemas.openxmlformats.org/officeDocument/2006/relationships/hyperlink" Target="https://www.itu.int/en/ties-services/Pages/default.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ITU-R/eTerrestrial/eBroadcasting/eHFBC" TargetMode="External"/><Relationship Id="rId17" Type="http://schemas.openxmlformats.org/officeDocument/2006/relationships/hyperlink" Target="https://www.itu.int/md/R00-CR-CIR-043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R/eTerrestrial/eBroadcasting/eHFB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oter" Target="footer1.xml"/><Relationship Id="rId10" Type="http://schemas.openxmlformats.org/officeDocument/2006/relationships/hyperlink" Target="https://www.itu.int/md/R00-CR-CIR-0308/en" TargetMode="External"/><Relationship Id="rId19"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md/R00-CR-CIR-0297/en" TargetMode="External"/><Relationship Id="rId14" Type="http://schemas.openxmlformats.org/officeDocument/2006/relationships/hyperlink" Target="http://www.abu.org.my"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Template\BR\News\dotx%20files\2023%20-%20Template%20E%20-%20BR%20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90BE-E8F7-423D-8CEC-C778A58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 Template E - BR correspondence.dotx</Template>
  <TotalTime>5</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Panoussopoulos, Sonia</cp:lastModifiedBy>
  <cp:revision>8</cp:revision>
  <dcterms:created xsi:type="dcterms:W3CDTF">2024-12-16T10:32:00Z</dcterms:created>
  <dcterms:modified xsi:type="dcterms:W3CDTF">2024-12-19T13:50:00Z</dcterms:modified>
</cp:coreProperties>
</file>