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2035373F" w14:textId="77777777" w:rsidTr="00DA4711">
        <w:trPr>
          <w:jc w:val="center"/>
        </w:trPr>
        <w:tc>
          <w:tcPr>
            <w:tcW w:w="9889" w:type="dxa"/>
            <w:gridSpan w:val="3"/>
            <w:shd w:val="clear" w:color="auto" w:fill="auto"/>
          </w:tcPr>
          <w:p w14:paraId="79A1B5D8" w14:textId="77777777" w:rsidR="00E53DCE" w:rsidRPr="009C6A12" w:rsidRDefault="009C6A12" w:rsidP="003B6421">
            <w:pPr>
              <w:spacing w:before="12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4BCA15DB" w14:textId="77777777" w:rsidR="00E53DCE" w:rsidRDefault="00E53DCE" w:rsidP="006160CB">
            <w:pPr>
              <w:spacing w:before="0"/>
              <w:jc w:val="left"/>
              <w:rPr>
                <w:rFonts w:cstheme="minorHAnsi"/>
                <w:b/>
                <w:bCs/>
                <w:color w:val="808080"/>
                <w:sz w:val="28"/>
                <w:szCs w:val="28"/>
                <w:lang w:val="en-GB"/>
              </w:rPr>
            </w:pPr>
          </w:p>
          <w:p w14:paraId="22B54C1A" w14:textId="77777777" w:rsidR="00E53DCE" w:rsidRPr="00AF70DA" w:rsidRDefault="00E53DCE" w:rsidP="006160CB">
            <w:pPr>
              <w:spacing w:before="0"/>
              <w:jc w:val="left"/>
              <w:rPr>
                <w:rFonts w:cs="Times New Roman Bold"/>
                <w:b/>
                <w:bCs/>
                <w:color w:val="808080"/>
                <w:sz w:val="28"/>
                <w:szCs w:val="28"/>
                <w:lang w:val="en-GB"/>
              </w:rPr>
            </w:pPr>
          </w:p>
        </w:tc>
      </w:tr>
      <w:tr w:rsidR="00E53DCE" w:rsidRPr="003B6421" w14:paraId="55098BCF" w14:textId="77777777" w:rsidTr="00DA4711">
        <w:trPr>
          <w:jc w:val="center"/>
        </w:trPr>
        <w:tc>
          <w:tcPr>
            <w:tcW w:w="7054" w:type="dxa"/>
            <w:gridSpan w:val="2"/>
            <w:shd w:val="clear" w:color="auto" w:fill="auto"/>
          </w:tcPr>
          <w:p w14:paraId="34952F66" w14:textId="0E60E6E7" w:rsidR="00E53DCE" w:rsidRPr="003B6421" w:rsidRDefault="00091DF4" w:rsidP="006160CB">
            <w:pPr>
              <w:spacing w:before="0"/>
              <w:jc w:val="left"/>
              <w:rPr>
                <w:szCs w:val="24"/>
                <w:lang w:val="fr-CH"/>
              </w:rPr>
            </w:pPr>
            <w:r w:rsidRPr="003B6421">
              <w:rPr>
                <w:rFonts w:ascii="SimSun" w:hAnsi="SimSun" w:hint="eastAsia"/>
                <w:szCs w:val="24"/>
                <w:lang w:eastAsia="zh-CN"/>
              </w:rPr>
              <w:t>通函</w:t>
            </w:r>
          </w:p>
          <w:p w14:paraId="5A4828C8" w14:textId="259826C9" w:rsidR="00E53DCE" w:rsidRPr="003B6421" w:rsidRDefault="00091DF4" w:rsidP="006160CB">
            <w:pPr>
              <w:spacing w:before="0"/>
              <w:jc w:val="left"/>
              <w:rPr>
                <w:b/>
                <w:bCs/>
                <w:szCs w:val="24"/>
                <w:lang w:val="fr-CH" w:eastAsia="zh-CN"/>
              </w:rPr>
            </w:pPr>
            <w:r w:rsidRPr="003B6421">
              <w:rPr>
                <w:b/>
                <w:bCs/>
                <w:szCs w:val="24"/>
                <w:lang w:val="fr-CH"/>
              </w:rPr>
              <w:t>CR</w:t>
            </w:r>
            <w:r w:rsidR="009E1439" w:rsidRPr="003B6421">
              <w:rPr>
                <w:rFonts w:hint="eastAsia"/>
                <w:b/>
                <w:bCs/>
                <w:szCs w:val="24"/>
                <w:lang w:val="fr-CH" w:eastAsia="zh-CN"/>
              </w:rPr>
              <w:t>/512</w:t>
            </w:r>
          </w:p>
        </w:tc>
        <w:tc>
          <w:tcPr>
            <w:tcW w:w="2835" w:type="dxa"/>
            <w:shd w:val="clear" w:color="auto" w:fill="auto"/>
          </w:tcPr>
          <w:p w14:paraId="1D515A7F" w14:textId="24F7AC74" w:rsidR="00E53DCE" w:rsidRPr="003B6421" w:rsidRDefault="009C6A12" w:rsidP="006160CB">
            <w:pPr>
              <w:spacing w:before="0"/>
              <w:jc w:val="right"/>
              <w:rPr>
                <w:szCs w:val="24"/>
                <w:lang w:val="en-GB"/>
              </w:rPr>
            </w:pPr>
            <w:r w:rsidRPr="003B6421">
              <w:rPr>
                <w:szCs w:val="24"/>
                <w:lang w:eastAsia="zh-CN"/>
              </w:rPr>
              <w:t>20</w:t>
            </w:r>
            <w:r w:rsidR="00924E6D" w:rsidRPr="003B6421">
              <w:rPr>
                <w:szCs w:val="24"/>
                <w:lang w:eastAsia="zh-CN"/>
              </w:rPr>
              <w:t>24</w:t>
            </w:r>
            <w:r w:rsidRPr="003B6421">
              <w:rPr>
                <w:rFonts w:ascii="SimSun" w:hAnsi="SimSun" w:hint="eastAsia"/>
                <w:szCs w:val="24"/>
                <w:lang w:eastAsia="zh-CN"/>
              </w:rPr>
              <w:t>年</w:t>
            </w:r>
            <w:r w:rsidR="009E1439" w:rsidRPr="003B6421">
              <w:rPr>
                <w:rFonts w:hint="eastAsia"/>
                <w:szCs w:val="24"/>
                <w:lang w:eastAsia="zh-CN"/>
              </w:rPr>
              <w:t>12</w:t>
            </w:r>
            <w:r w:rsidRPr="003B6421">
              <w:rPr>
                <w:rFonts w:ascii="SimSun" w:hAnsi="SimSun" w:hint="eastAsia"/>
                <w:szCs w:val="24"/>
                <w:lang w:eastAsia="zh-CN"/>
              </w:rPr>
              <w:t>月</w:t>
            </w:r>
            <w:r w:rsidRPr="003B6421">
              <w:rPr>
                <w:rFonts w:hint="eastAsia"/>
                <w:szCs w:val="24"/>
                <w:lang w:eastAsia="zh-CN"/>
              </w:rPr>
              <w:t>1</w:t>
            </w:r>
            <w:r w:rsidR="009E1439" w:rsidRPr="003B6421">
              <w:rPr>
                <w:rFonts w:hint="eastAsia"/>
                <w:szCs w:val="24"/>
                <w:lang w:eastAsia="zh-CN"/>
              </w:rPr>
              <w:t>8</w:t>
            </w:r>
            <w:r w:rsidRPr="003B6421">
              <w:rPr>
                <w:rFonts w:hint="eastAsia"/>
                <w:szCs w:val="24"/>
                <w:lang w:eastAsia="zh-CN"/>
              </w:rPr>
              <w:t>日</w:t>
            </w:r>
          </w:p>
        </w:tc>
      </w:tr>
      <w:tr w:rsidR="00E53DCE" w:rsidRPr="003B6421" w14:paraId="02243816" w14:textId="77777777" w:rsidTr="00DA4711">
        <w:trPr>
          <w:jc w:val="center"/>
        </w:trPr>
        <w:tc>
          <w:tcPr>
            <w:tcW w:w="9889" w:type="dxa"/>
            <w:gridSpan w:val="3"/>
            <w:shd w:val="clear" w:color="auto" w:fill="auto"/>
          </w:tcPr>
          <w:p w14:paraId="6A455D96" w14:textId="77777777" w:rsidR="00E53DCE" w:rsidRPr="003B6421" w:rsidRDefault="00E53DCE" w:rsidP="006160CB">
            <w:pPr>
              <w:spacing w:before="0"/>
              <w:jc w:val="left"/>
              <w:rPr>
                <w:rFonts w:cs="Arial"/>
                <w:szCs w:val="24"/>
                <w:lang w:val="en-GB"/>
              </w:rPr>
            </w:pPr>
          </w:p>
        </w:tc>
      </w:tr>
      <w:tr w:rsidR="00E53DCE" w:rsidRPr="003B6421" w14:paraId="01740096" w14:textId="77777777" w:rsidTr="00DA4711">
        <w:trPr>
          <w:jc w:val="center"/>
        </w:trPr>
        <w:tc>
          <w:tcPr>
            <w:tcW w:w="9889" w:type="dxa"/>
            <w:gridSpan w:val="3"/>
            <w:shd w:val="clear" w:color="auto" w:fill="auto"/>
          </w:tcPr>
          <w:p w14:paraId="42884962" w14:textId="77777777" w:rsidR="00E53DCE" w:rsidRPr="003B6421" w:rsidRDefault="00E53DCE" w:rsidP="006160CB">
            <w:pPr>
              <w:spacing w:before="0"/>
              <w:jc w:val="left"/>
              <w:rPr>
                <w:szCs w:val="24"/>
              </w:rPr>
            </w:pPr>
          </w:p>
        </w:tc>
      </w:tr>
      <w:tr w:rsidR="00E53DCE" w:rsidRPr="003B6421" w14:paraId="1827DE32" w14:textId="77777777" w:rsidTr="00DA4711">
        <w:trPr>
          <w:jc w:val="center"/>
        </w:trPr>
        <w:tc>
          <w:tcPr>
            <w:tcW w:w="9889" w:type="dxa"/>
            <w:gridSpan w:val="3"/>
            <w:shd w:val="clear" w:color="auto" w:fill="auto"/>
          </w:tcPr>
          <w:p w14:paraId="5A4725A6" w14:textId="71F23413" w:rsidR="00E53DCE" w:rsidRPr="003B6421" w:rsidRDefault="00D631CE" w:rsidP="006160CB">
            <w:pPr>
              <w:spacing w:before="0"/>
              <w:jc w:val="left"/>
              <w:rPr>
                <w:b/>
                <w:bCs/>
                <w:szCs w:val="24"/>
                <w:lang w:eastAsia="zh-CN"/>
              </w:rPr>
            </w:pPr>
            <w:r w:rsidRPr="003B6421">
              <w:rPr>
                <w:rFonts w:ascii="SimSun" w:eastAsia="SimSun" w:hAnsi="SimSun" w:hint="eastAsia"/>
                <w:b/>
                <w:bCs/>
                <w:szCs w:val="24"/>
                <w:lang w:eastAsia="zh-CN"/>
              </w:rPr>
              <w:t>致</w:t>
            </w:r>
            <w:r w:rsidR="009E1439" w:rsidRPr="003B6421">
              <w:rPr>
                <w:b/>
                <w:bCs/>
                <w:szCs w:val="24"/>
                <w:lang w:val="zh-CN" w:eastAsia="zh-CN"/>
              </w:rPr>
              <w:t>国际电联</w:t>
            </w:r>
            <w:r w:rsidR="009E1439" w:rsidRPr="003B6421">
              <w:rPr>
                <w:rFonts w:hint="eastAsia"/>
                <w:b/>
                <w:bCs/>
                <w:szCs w:val="24"/>
                <w:lang w:val="zh-CN" w:eastAsia="zh-CN"/>
              </w:rPr>
              <w:t>各</w:t>
            </w:r>
            <w:r w:rsidR="009E1439" w:rsidRPr="003B6421">
              <w:rPr>
                <w:b/>
                <w:bCs/>
                <w:szCs w:val="24"/>
                <w:lang w:val="zh-CN" w:eastAsia="zh-CN"/>
              </w:rPr>
              <w:t>成员国主管部门和</w:t>
            </w:r>
            <w:r w:rsidR="009E1439" w:rsidRPr="003B6421">
              <w:rPr>
                <w:b/>
                <w:bCs/>
                <w:szCs w:val="24"/>
                <w:lang w:val="zh-CN" w:eastAsia="zh-CN"/>
              </w:rPr>
              <w:t>ITU-R</w:t>
            </w:r>
            <w:r w:rsidR="009E1439" w:rsidRPr="003B6421">
              <w:rPr>
                <w:b/>
                <w:bCs/>
                <w:szCs w:val="24"/>
                <w:lang w:val="zh-CN" w:eastAsia="zh-CN"/>
              </w:rPr>
              <w:t>部门成员</w:t>
            </w:r>
          </w:p>
          <w:p w14:paraId="767C431E" w14:textId="77777777" w:rsidR="00E53DCE" w:rsidRPr="003B6421" w:rsidRDefault="00E53DCE" w:rsidP="006160CB">
            <w:pPr>
              <w:spacing w:before="0"/>
              <w:jc w:val="left"/>
              <w:rPr>
                <w:b/>
                <w:bCs/>
                <w:szCs w:val="24"/>
                <w:lang w:eastAsia="zh-CN"/>
              </w:rPr>
            </w:pPr>
          </w:p>
        </w:tc>
      </w:tr>
      <w:tr w:rsidR="00E53DCE" w:rsidRPr="003B6421" w14:paraId="7B4A6559" w14:textId="77777777" w:rsidTr="00DA4711">
        <w:trPr>
          <w:jc w:val="center"/>
        </w:trPr>
        <w:tc>
          <w:tcPr>
            <w:tcW w:w="9889" w:type="dxa"/>
            <w:gridSpan w:val="3"/>
            <w:shd w:val="clear" w:color="auto" w:fill="auto"/>
          </w:tcPr>
          <w:p w14:paraId="4C83E739" w14:textId="77777777" w:rsidR="00E53DCE" w:rsidRPr="003B6421" w:rsidRDefault="00E53DCE" w:rsidP="006160CB">
            <w:pPr>
              <w:spacing w:before="0"/>
              <w:jc w:val="left"/>
              <w:rPr>
                <w:szCs w:val="24"/>
                <w:lang w:eastAsia="zh-CN"/>
              </w:rPr>
            </w:pPr>
          </w:p>
        </w:tc>
      </w:tr>
      <w:tr w:rsidR="00E53DCE" w:rsidRPr="003B6421" w14:paraId="6F65BC0D" w14:textId="77777777" w:rsidTr="00DA4711">
        <w:trPr>
          <w:jc w:val="center"/>
        </w:trPr>
        <w:tc>
          <w:tcPr>
            <w:tcW w:w="9889" w:type="dxa"/>
            <w:gridSpan w:val="3"/>
            <w:shd w:val="clear" w:color="auto" w:fill="auto"/>
          </w:tcPr>
          <w:p w14:paraId="701EF9E5" w14:textId="77777777" w:rsidR="00E53DCE" w:rsidRPr="003B6421" w:rsidRDefault="00E53DCE" w:rsidP="006160CB">
            <w:pPr>
              <w:spacing w:before="0"/>
              <w:jc w:val="left"/>
              <w:rPr>
                <w:szCs w:val="24"/>
                <w:lang w:eastAsia="zh-CN"/>
              </w:rPr>
            </w:pPr>
          </w:p>
        </w:tc>
      </w:tr>
      <w:tr w:rsidR="00E53DCE" w:rsidRPr="003B6421" w14:paraId="6E8E115A" w14:textId="77777777" w:rsidTr="00DA4711">
        <w:trPr>
          <w:jc w:val="center"/>
        </w:trPr>
        <w:tc>
          <w:tcPr>
            <w:tcW w:w="1526" w:type="dxa"/>
            <w:shd w:val="clear" w:color="auto" w:fill="auto"/>
          </w:tcPr>
          <w:p w14:paraId="2CEC3449" w14:textId="77777777" w:rsidR="00E53DCE" w:rsidRPr="003B6421"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B6421">
              <w:rPr>
                <w:rFonts w:asciiTheme="majorEastAsia" w:eastAsiaTheme="majorEastAsia" w:hAnsiTheme="majorEastAsia" w:hint="eastAsia"/>
                <w:szCs w:val="24"/>
                <w:lang w:val="en-CA"/>
              </w:rPr>
              <w:t>事由</w:t>
            </w:r>
            <w:proofErr w:type="spellEnd"/>
            <w:r w:rsidRPr="003B6421">
              <w:rPr>
                <w:rFonts w:asciiTheme="majorEastAsia" w:eastAsiaTheme="majorEastAsia" w:hAnsiTheme="majorEastAsia" w:hint="eastAsia"/>
                <w:szCs w:val="24"/>
                <w:lang w:val="en-CA"/>
              </w:rPr>
              <w:t>：</w:t>
            </w:r>
          </w:p>
        </w:tc>
        <w:tc>
          <w:tcPr>
            <w:tcW w:w="8363" w:type="dxa"/>
            <w:gridSpan w:val="2"/>
            <w:vMerge w:val="restart"/>
            <w:shd w:val="clear" w:color="auto" w:fill="auto"/>
          </w:tcPr>
          <w:p w14:paraId="7C9EAE35" w14:textId="01463C67" w:rsidR="00E53DCE" w:rsidRPr="003B6421" w:rsidRDefault="009E1439" w:rsidP="006160CB">
            <w:pPr>
              <w:tabs>
                <w:tab w:val="clear" w:pos="1588"/>
                <w:tab w:val="left" w:pos="1560"/>
              </w:tabs>
              <w:spacing w:before="0"/>
              <w:rPr>
                <w:b/>
                <w:bCs/>
                <w:szCs w:val="24"/>
                <w:lang w:eastAsia="zh-CN"/>
              </w:rPr>
            </w:pPr>
            <w:r w:rsidRPr="003B6421">
              <w:rPr>
                <w:b/>
                <w:bCs/>
                <w:szCs w:val="24"/>
                <w:lang w:val="zh-CN" w:eastAsia="zh-CN"/>
              </w:rPr>
              <w:t>第</w:t>
            </w:r>
            <w:r w:rsidRPr="003B6421">
              <w:rPr>
                <w:b/>
                <w:bCs/>
                <w:szCs w:val="24"/>
                <w:lang w:val="zh-CN" w:eastAsia="zh-CN"/>
              </w:rPr>
              <w:t>186</w:t>
            </w:r>
            <w:r w:rsidRPr="003B6421">
              <w:rPr>
                <w:b/>
                <w:bCs/>
                <w:szCs w:val="24"/>
                <w:lang w:val="zh-CN" w:eastAsia="zh-CN"/>
              </w:rPr>
              <w:t>号决议（</w:t>
            </w:r>
            <w:r w:rsidRPr="003B6421">
              <w:rPr>
                <w:b/>
                <w:bCs/>
                <w:szCs w:val="24"/>
                <w:lang w:val="zh-CN" w:eastAsia="zh-CN"/>
              </w:rPr>
              <w:t>2018</w:t>
            </w:r>
            <w:r w:rsidRPr="003B6421">
              <w:rPr>
                <w:b/>
                <w:bCs/>
                <w:szCs w:val="24"/>
                <w:lang w:val="zh-CN" w:eastAsia="zh-CN"/>
              </w:rPr>
              <w:t>年，迪拜，修订版）的落实情况</w:t>
            </w:r>
            <w:r w:rsidRPr="003B6421">
              <w:rPr>
                <w:b/>
                <w:bCs/>
                <w:szCs w:val="24"/>
                <w:lang w:val="zh-CN" w:eastAsia="zh-CN"/>
              </w:rPr>
              <w:t xml:space="preserve"> – </w:t>
            </w:r>
            <w:r w:rsidRPr="003B6421">
              <w:rPr>
                <w:b/>
                <w:bCs/>
                <w:szCs w:val="24"/>
                <w:lang w:val="zh-CN" w:eastAsia="zh-CN"/>
              </w:rPr>
              <w:t>旨在加强卫星系统轨道和无线电特性探索和空间业务相关数据公布的新网络应用</w:t>
            </w:r>
            <w:r w:rsidRPr="003B6421">
              <w:rPr>
                <w:rFonts w:hint="eastAsia"/>
                <w:b/>
                <w:bCs/>
                <w:szCs w:val="24"/>
                <w:lang w:val="zh-CN" w:eastAsia="zh-CN"/>
              </w:rPr>
              <w:t>“</w:t>
            </w:r>
            <w:r w:rsidRPr="003B6421">
              <w:rPr>
                <w:b/>
                <w:bCs/>
                <w:szCs w:val="24"/>
                <w:lang w:val="zh-CN" w:eastAsia="zh-CN"/>
              </w:rPr>
              <w:t>国际电联空间</w:t>
            </w:r>
            <w:r w:rsidRPr="003B6421">
              <w:rPr>
                <w:rFonts w:hint="eastAsia"/>
                <w:b/>
                <w:bCs/>
                <w:szCs w:val="24"/>
                <w:lang w:val="zh-CN" w:eastAsia="zh-CN"/>
              </w:rPr>
              <w:t>业务浏览器”（</w:t>
            </w:r>
            <w:r w:rsidRPr="003B6421">
              <w:rPr>
                <w:rFonts w:asciiTheme="minorHAnsi" w:hAnsiTheme="minorHAnsi" w:cstheme="minorHAnsi"/>
                <w:b/>
                <w:bCs/>
                <w:szCs w:val="24"/>
                <w:lang w:val="en-GB" w:eastAsia="zh-CN"/>
              </w:rPr>
              <w:t>ITU </w:t>
            </w:r>
            <w:proofErr w:type="spellStart"/>
            <w:r w:rsidRPr="003B6421">
              <w:rPr>
                <w:rFonts w:asciiTheme="minorHAnsi" w:hAnsiTheme="minorHAnsi" w:cstheme="minorHAnsi"/>
                <w:b/>
                <w:bCs/>
                <w:szCs w:val="24"/>
                <w:lang w:val="en-GB" w:eastAsia="zh-CN"/>
              </w:rPr>
              <w:t>SpaceExplorer</w:t>
            </w:r>
            <w:proofErr w:type="spellEnd"/>
            <w:r w:rsidRPr="003B6421">
              <w:rPr>
                <w:rFonts w:hint="eastAsia"/>
                <w:b/>
                <w:bCs/>
                <w:szCs w:val="24"/>
                <w:lang w:val="zh-CN" w:eastAsia="zh-CN"/>
              </w:rPr>
              <w:t>）</w:t>
            </w:r>
          </w:p>
        </w:tc>
      </w:tr>
      <w:tr w:rsidR="00E53DCE" w:rsidRPr="003B6421" w14:paraId="4248DCF1" w14:textId="77777777" w:rsidTr="00DA4711">
        <w:trPr>
          <w:jc w:val="center"/>
        </w:trPr>
        <w:tc>
          <w:tcPr>
            <w:tcW w:w="1526" w:type="dxa"/>
            <w:shd w:val="clear" w:color="auto" w:fill="auto"/>
          </w:tcPr>
          <w:p w14:paraId="5B3C8B53" w14:textId="77777777" w:rsidR="00E53DCE" w:rsidRPr="003B6421"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3CB9E311" w14:textId="77777777" w:rsidR="00E53DCE" w:rsidRPr="003B6421" w:rsidRDefault="00E53DCE" w:rsidP="006160CB">
            <w:pPr>
              <w:tabs>
                <w:tab w:val="clear" w:pos="1588"/>
                <w:tab w:val="left" w:pos="1560"/>
              </w:tabs>
              <w:spacing w:before="0"/>
              <w:rPr>
                <w:b/>
                <w:bCs/>
                <w:szCs w:val="24"/>
                <w:lang w:val="en-GB" w:eastAsia="zh-CN"/>
              </w:rPr>
            </w:pPr>
          </w:p>
        </w:tc>
      </w:tr>
      <w:tr w:rsidR="00E53DCE" w:rsidRPr="003B6421" w14:paraId="65445C7A" w14:textId="77777777" w:rsidTr="00DA4711">
        <w:trPr>
          <w:jc w:val="center"/>
        </w:trPr>
        <w:tc>
          <w:tcPr>
            <w:tcW w:w="1526" w:type="dxa"/>
            <w:shd w:val="clear" w:color="auto" w:fill="auto"/>
          </w:tcPr>
          <w:p w14:paraId="0050D442" w14:textId="77777777" w:rsidR="00E53DCE" w:rsidRPr="003B6421"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37EB9F20" w14:textId="77777777" w:rsidR="00E53DCE" w:rsidRPr="003B6421" w:rsidRDefault="00E53DCE" w:rsidP="006160CB">
            <w:pPr>
              <w:tabs>
                <w:tab w:val="clear" w:pos="1588"/>
                <w:tab w:val="left" w:pos="1560"/>
              </w:tabs>
              <w:spacing w:before="0"/>
              <w:rPr>
                <w:b/>
                <w:bCs/>
                <w:szCs w:val="24"/>
                <w:lang w:val="en-GB" w:eastAsia="zh-CN"/>
              </w:rPr>
            </w:pPr>
          </w:p>
        </w:tc>
      </w:tr>
      <w:tr w:rsidR="00E53DCE" w:rsidRPr="003B6421" w14:paraId="339925F9" w14:textId="77777777" w:rsidTr="00DA4711">
        <w:trPr>
          <w:jc w:val="center"/>
        </w:trPr>
        <w:tc>
          <w:tcPr>
            <w:tcW w:w="9889" w:type="dxa"/>
            <w:gridSpan w:val="3"/>
            <w:shd w:val="clear" w:color="auto" w:fill="auto"/>
          </w:tcPr>
          <w:p w14:paraId="0A9C91FC" w14:textId="77777777" w:rsidR="00E53DCE" w:rsidRPr="003B6421" w:rsidRDefault="00E53DCE" w:rsidP="00D631CE">
            <w:pPr>
              <w:tabs>
                <w:tab w:val="clear" w:pos="1588"/>
                <w:tab w:val="left" w:pos="1560"/>
              </w:tabs>
              <w:spacing w:before="0"/>
              <w:jc w:val="left"/>
              <w:rPr>
                <w:szCs w:val="24"/>
                <w:lang w:eastAsia="zh-CN"/>
              </w:rPr>
            </w:pPr>
          </w:p>
        </w:tc>
      </w:tr>
      <w:tr w:rsidR="00E53DCE" w:rsidRPr="003B6421" w14:paraId="1A4B04BF" w14:textId="77777777" w:rsidTr="00DA4711">
        <w:trPr>
          <w:jc w:val="center"/>
        </w:trPr>
        <w:tc>
          <w:tcPr>
            <w:tcW w:w="9889" w:type="dxa"/>
            <w:gridSpan w:val="3"/>
            <w:shd w:val="clear" w:color="auto" w:fill="auto"/>
          </w:tcPr>
          <w:p w14:paraId="1552887E" w14:textId="77777777" w:rsidR="00E53DCE" w:rsidRPr="003B6421" w:rsidRDefault="00E53DCE" w:rsidP="006160CB">
            <w:pPr>
              <w:spacing w:before="0"/>
              <w:jc w:val="left"/>
              <w:rPr>
                <w:b/>
                <w:bCs/>
                <w:szCs w:val="24"/>
                <w:lang w:eastAsia="zh-CN"/>
              </w:rPr>
            </w:pPr>
          </w:p>
        </w:tc>
      </w:tr>
    </w:tbl>
    <w:p w14:paraId="56167FA9" w14:textId="77777777" w:rsidR="009E1439" w:rsidRPr="003B6421" w:rsidRDefault="009E1439" w:rsidP="009E1439">
      <w:pPr>
        <w:ind w:firstLineChars="200" w:firstLine="480"/>
        <w:rPr>
          <w:rFonts w:asciiTheme="minorHAnsi" w:hAnsiTheme="minorHAnsi" w:cstheme="minorHAnsi"/>
          <w:szCs w:val="24"/>
          <w:lang w:eastAsia="zh-CN"/>
        </w:rPr>
      </w:pPr>
      <w:r w:rsidRPr="003B6421">
        <w:rPr>
          <w:szCs w:val="24"/>
          <w:lang w:val="zh-CN" w:eastAsia="zh-CN"/>
        </w:rPr>
        <w:t>无线电通信</w:t>
      </w:r>
      <w:proofErr w:type="gramStart"/>
      <w:r w:rsidRPr="003B6421">
        <w:rPr>
          <w:szCs w:val="24"/>
          <w:lang w:val="zh-CN" w:eastAsia="zh-CN"/>
        </w:rPr>
        <w:t>局高兴</w:t>
      </w:r>
      <w:proofErr w:type="gramEnd"/>
      <w:r w:rsidRPr="003B6421">
        <w:rPr>
          <w:szCs w:val="24"/>
          <w:lang w:val="zh-CN" w:eastAsia="zh-CN"/>
        </w:rPr>
        <w:t>地报告，根据第</w:t>
      </w:r>
      <w:r w:rsidRPr="003B6421">
        <w:rPr>
          <w:szCs w:val="24"/>
          <w:lang w:val="zh-CN" w:eastAsia="zh-CN"/>
        </w:rPr>
        <w:t>186</w:t>
      </w:r>
      <w:r w:rsidRPr="003B6421">
        <w:rPr>
          <w:szCs w:val="24"/>
          <w:lang w:val="zh-CN" w:eastAsia="zh-CN"/>
        </w:rPr>
        <w:t>号决议（</w:t>
      </w:r>
      <w:r w:rsidRPr="003B6421">
        <w:rPr>
          <w:szCs w:val="24"/>
          <w:lang w:val="zh-CN" w:eastAsia="zh-CN"/>
        </w:rPr>
        <w:t>2018</w:t>
      </w:r>
      <w:r w:rsidRPr="003B6421">
        <w:rPr>
          <w:szCs w:val="24"/>
          <w:lang w:val="zh-CN" w:eastAsia="zh-CN"/>
        </w:rPr>
        <w:t>年，迪拜，修订版）的</w:t>
      </w:r>
      <w:r w:rsidRPr="003B6421">
        <w:rPr>
          <w:rFonts w:ascii="STKaiti" w:eastAsia="STKaiti" w:hAnsi="STKaiti"/>
          <w:szCs w:val="24"/>
          <w:lang w:val="zh-CN" w:eastAsia="zh-CN"/>
        </w:rPr>
        <w:t>责成无线电通信局主任4</w:t>
      </w:r>
      <w:r w:rsidRPr="003B6421">
        <w:rPr>
          <w:szCs w:val="24"/>
          <w:lang w:val="zh-CN" w:eastAsia="zh-CN"/>
        </w:rPr>
        <w:t>，名为</w:t>
      </w:r>
      <w:r w:rsidRPr="003B6421">
        <w:rPr>
          <w:rFonts w:hint="eastAsia"/>
          <w:szCs w:val="24"/>
          <w:lang w:val="zh-CN" w:eastAsia="zh-CN"/>
        </w:rPr>
        <w:t>“</w:t>
      </w:r>
      <w:r w:rsidRPr="003B6421">
        <w:rPr>
          <w:szCs w:val="24"/>
          <w:lang w:val="zh-CN" w:eastAsia="zh-CN"/>
        </w:rPr>
        <w:t>国际电联空间</w:t>
      </w:r>
      <w:r w:rsidRPr="003B6421">
        <w:rPr>
          <w:rFonts w:hint="eastAsia"/>
          <w:szCs w:val="24"/>
          <w:lang w:val="zh-CN" w:eastAsia="zh-CN"/>
        </w:rPr>
        <w:t>业务浏览器”</w:t>
      </w:r>
      <w:r w:rsidRPr="003B6421">
        <w:rPr>
          <w:szCs w:val="24"/>
          <w:lang w:val="zh-CN" w:eastAsia="zh-CN"/>
        </w:rPr>
        <w:t>的新网络应用已于</w:t>
      </w:r>
      <w:r w:rsidRPr="003B6421">
        <w:rPr>
          <w:szCs w:val="24"/>
          <w:lang w:val="zh-CN" w:eastAsia="zh-CN"/>
        </w:rPr>
        <w:t>2024</w:t>
      </w:r>
      <w:r w:rsidRPr="003B6421">
        <w:rPr>
          <w:szCs w:val="24"/>
          <w:lang w:val="zh-CN" w:eastAsia="zh-CN"/>
        </w:rPr>
        <w:t>年</w:t>
      </w:r>
      <w:r w:rsidRPr="003B6421">
        <w:rPr>
          <w:szCs w:val="24"/>
          <w:lang w:val="zh-CN" w:eastAsia="zh-CN"/>
        </w:rPr>
        <w:t>12</w:t>
      </w:r>
      <w:r w:rsidRPr="003B6421">
        <w:rPr>
          <w:szCs w:val="24"/>
          <w:lang w:val="zh-CN" w:eastAsia="zh-CN"/>
        </w:rPr>
        <w:t>月</w:t>
      </w:r>
      <w:r w:rsidRPr="003B6421">
        <w:rPr>
          <w:szCs w:val="24"/>
          <w:lang w:val="zh-CN" w:eastAsia="zh-CN"/>
        </w:rPr>
        <w:t>18</w:t>
      </w:r>
      <w:r w:rsidRPr="003B6421">
        <w:rPr>
          <w:szCs w:val="24"/>
          <w:lang w:val="zh-CN" w:eastAsia="zh-CN"/>
        </w:rPr>
        <w:t>日投入使用，可在国际电联网站上使用：</w:t>
      </w:r>
    </w:p>
    <w:p w14:paraId="382C4F43" w14:textId="77777777" w:rsidR="009E1439" w:rsidRPr="003B6421" w:rsidRDefault="009E1439" w:rsidP="009E1439">
      <w:pPr>
        <w:spacing w:after="480"/>
        <w:jc w:val="center"/>
        <w:rPr>
          <w:rFonts w:asciiTheme="minorHAnsi" w:hAnsiTheme="minorHAnsi" w:cstheme="minorHAnsi"/>
          <w:szCs w:val="24"/>
        </w:rPr>
      </w:pPr>
      <w:hyperlink r:id="rId8" w:history="1">
        <w:r w:rsidRPr="003B6421">
          <w:rPr>
            <w:rStyle w:val="Hyperlink"/>
            <w:rFonts w:asciiTheme="minorHAnsi" w:hAnsiTheme="minorHAnsi" w:cstheme="minorHAnsi"/>
            <w:szCs w:val="24"/>
            <w:shd w:val="clear" w:color="auto" w:fill="FFFFFF"/>
          </w:rPr>
          <w:t>https://www.itu.int/go/ITUSpaceExplorer</w:t>
        </w:r>
      </w:hyperlink>
      <w:r w:rsidRPr="003B6421">
        <w:rPr>
          <w:szCs w:val="24"/>
          <w:u w:val="single"/>
        </w:rPr>
        <w:t xml:space="preserve"> </w:t>
      </w:r>
    </w:p>
    <w:p w14:paraId="16E98127" w14:textId="77777777" w:rsidR="009E1439" w:rsidRPr="003B6421" w:rsidRDefault="009E1439" w:rsidP="009E1439">
      <w:pPr>
        <w:ind w:firstLineChars="200" w:firstLine="480"/>
        <w:rPr>
          <w:rFonts w:asciiTheme="minorHAnsi" w:hAnsiTheme="minorHAnsi" w:cstheme="minorHAnsi"/>
          <w:szCs w:val="24"/>
          <w:lang w:eastAsia="zh-CN"/>
        </w:rPr>
      </w:pPr>
      <w:r w:rsidRPr="003B6421">
        <w:rPr>
          <w:szCs w:val="24"/>
          <w:lang w:val="zh-CN" w:eastAsia="zh-CN"/>
        </w:rPr>
        <w:t>该工具旨在改进《国际频率登记总表》和相关空间网络系统数据库所含信息的可获取性和透明度。</w:t>
      </w:r>
    </w:p>
    <w:p w14:paraId="170C7768" w14:textId="77777777" w:rsidR="009E1439" w:rsidRPr="003B6421" w:rsidRDefault="009E1439" w:rsidP="009E1439">
      <w:pPr>
        <w:ind w:firstLineChars="200" w:firstLine="480"/>
        <w:rPr>
          <w:rFonts w:asciiTheme="minorHAnsi" w:hAnsiTheme="minorHAnsi" w:cstheme="minorHAnsi"/>
          <w:szCs w:val="24"/>
          <w:lang w:eastAsia="zh-CN"/>
        </w:rPr>
      </w:pPr>
      <w:r w:rsidRPr="003B6421">
        <w:rPr>
          <w:szCs w:val="24"/>
          <w:lang w:val="zh-CN" w:eastAsia="zh-CN"/>
        </w:rPr>
        <w:t>这一新的应用引入了一系列增强功能，允许用户在线</w:t>
      </w:r>
      <w:r w:rsidRPr="003B6421">
        <w:rPr>
          <w:rFonts w:hint="eastAsia"/>
          <w:szCs w:val="24"/>
          <w:lang w:val="zh-CN" w:eastAsia="zh-CN"/>
        </w:rPr>
        <w:t>浏览</w:t>
      </w:r>
      <w:r w:rsidRPr="003B6421">
        <w:rPr>
          <w:szCs w:val="24"/>
          <w:lang w:val="zh-CN" w:eastAsia="zh-CN"/>
        </w:rPr>
        <w:t>与卫星网络和空间系统相关的数据，包括：</w:t>
      </w:r>
    </w:p>
    <w:p w14:paraId="544D9A23" w14:textId="373986D7" w:rsidR="009E1439" w:rsidRPr="003B6421" w:rsidRDefault="009E1439" w:rsidP="009E1439">
      <w:pPr>
        <w:pStyle w:val="enumlev1"/>
        <w:spacing w:before="120"/>
        <w:rPr>
          <w:rFonts w:asciiTheme="minorHAnsi" w:hAnsiTheme="minorHAnsi" w:cstheme="minorHAnsi"/>
          <w:szCs w:val="24"/>
          <w:lang w:eastAsia="zh-CN"/>
        </w:rPr>
      </w:pPr>
      <w:r w:rsidRPr="003B6421">
        <w:rPr>
          <w:b/>
          <w:bCs/>
          <w:szCs w:val="24"/>
          <w:lang w:val="zh-CN" w:eastAsia="zh-CN"/>
        </w:rPr>
        <w:t>–</w:t>
      </w:r>
      <w:r w:rsidRPr="003B6421">
        <w:rPr>
          <w:b/>
          <w:bCs/>
          <w:szCs w:val="24"/>
          <w:lang w:val="zh-CN" w:eastAsia="zh-CN"/>
        </w:rPr>
        <w:tab/>
      </w:r>
      <w:r w:rsidRPr="003B6421">
        <w:rPr>
          <w:b/>
          <w:bCs/>
          <w:szCs w:val="24"/>
          <w:lang w:val="zh-CN" w:eastAsia="zh-CN"/>
        </w:rPr>
        <w:t>卫星频谱概览</w:t>
      </w:r>
      <w:r w:rsidRPr="003B6421">
        <w:rPr>
          <w:szCs w:val="24"/>
          <w:lang w:val="zh-CN" w:eastAsia="zh-CN"/>
        </w:rPr>
        <w:t>：您可以跟踪卫星网络、系统或台站的状态，</w:t>
      </w:r>
      <w:r w:rsidRPr="003B6421">
        <w:rPr>
          <w:rFonts w:hint="eastAsia"/>
          <w:szCs w:val="24"/>
          <w:lang w:val="zh-CN" w:eastAsia="zh-CN"/>
        </w:rPr>
        <w:t>监控</w:t>
      </w:r>
      <w:r w:rsidRPr="003B6421">
        <w:rPr>
          <w:szCs w:val="24"/>
          <w:lang w:val="zh-CN" w:eastAsia="zh-CN"/>
        </w:rPr>
        <w:t>最新发布的</w:t>
      </w:r>
      <w:r w:rsidRPr="003B6421">
        <w:rPr>
          <w:szCs w:val="24"/>
          <w:lang w:val="zh-CN" w:eastAsia="zh-CN"/>
        </w:rPr>
        <w:t>BR IFIC</w:t>
      </w:r>
      <w:r w:rsidRPr="003B6421">
        <w:rPr>
          <w:szCs w:val="24"/>
          <w:lang w:val="zh-CN" w:eastAsia="zh-CN"/>
        </w:rPr>
        <w:t>（空间）或分析轨道和频谱占用情况。</w:t>
      </w:r>
    </w:p>
    <w:p w14:paraId="401F03E3" w14:textId="7372ABEB" w:rsidR="009E1439" w:rsidRPr="003B6421" w:rsidRDefault="009E1439" w:rsidP="009E1439">
      <w:pPr>
        <w:pStyle w:val="enumlev1"/>
        <w:rPr>
          <w:rFonts w:asciiTheme="minorHAnsi" w:hAnsiTheme="minorHAnsi" w:cstheme="minorHAnsi"/>
          <w:szCs w:val="24"/>
          <w:lang w:eastAsia="zh-CN"/>
        </w:rPr>
      </w:pPr>
      <w:r w:rsidRPr="003B6421">
        <w:rPr>
          <w:b/>
          <w:bCs/>
          <w:szCs w:val="24"/>
          <w:lang w:val="zh-CN" w:eastAsia="zh-CN"/>
        </w:rPr>
        <w:t>–</w:t>
      </w:r>
      <w:r w:rsidRPr="003B6421">
        <w:rPr>
          <w:b/>
          <w:bCs/>
          <w:szCs w:val="24"/>
          <w:lang w:val="zh-CN" w:eastAsia="zh-CN"/>
        </w:rPr>
        <w:tab/>
      </w:r>
      <w:proofErr w:type="gramStart"/>
      <w:r w:rsidRPr="003B6421">
        <w:rPr>
          <w:b/>
          <w:bCs/>
          <w:szCs w:val="24"/>
          <w:lang w:val="zh-CN" w:eastAsia="zh-CN"/>
        </w:rPr>
        <w:t>全面访问</w:t>
      </w:r>
      <w:proofErr w:type="gramEnd"/>
      <w:r w:rsidRPr="003B6421">
        <w:rPr>
          <w:b/>
          <w:bCs/>
          <w:szCs w:val="24"/>
          <w:lang w:val="zh-CN" w:eastAsia="zh-CN"/>
        </w:rPr>
        <w:t>卫星网络、系统或电台的数据</w:t>
      </w:r>
      <w:r w:rsidRPr="003B6421">
        <w:rPr>
          <w:szCs w:val="24"/>
          <w:lang w:val="zh-CN" w:eastAsia="zh-CN"/>
        </w:rPr>
        <w:t>：您可以高效地搜索、查看和下载数据。它们以</w:t>
      </w:r>
      <w:r w:rsidRPr="003B6421">
        <w:rPr>
          <w:rFonts w:hint="eastAsia"/>
          <w:szCs w:val="24"/>
          <w:lang w:val="zh-CN" w:eastAsia="zh-CN"/>
        </w:rPr>
        <w:t>“</w:t>
      </w:r>
      <w:r w:rsidRPr="003B6421">
        <w:rPr>
          <w:szCs w:val="24"/>
          <w:lang w:val="zh-CN" w:eastAsia="zh-CN"/>
        </w:rPr>
        <w:t>列表</w:t>
      </w:r>
      <w:r w:rsidRPr="003B6421">
        <w:rPr>
          <w:rFonts w:hint="eastAsia"/>
          <w:szCs w:val="24"/>
          <w:lang w:val="zh-CN" w:eastAsia="zh-CN"/>
        </w:rPr>
        <w:t>”（</w:t>
      </w:r>
      <w:r w:rsidRPr="003B6421">
        <w:rPr>
          <w:szCs w:val="24"/>
          <w:lang w:val="zh-CN" w:eastAsia="zh-CN"/>
        </w:rPr>
        <w:t>list</w:t>
      </w:r>
      <w:r w:rsidRPr="003B6421">
        <w:rPr>
          <w:rFonts w:hint="eastAsia"/>
          <w:szCs w:val="24"/>
          <w:lang w:val="zh-CN" w:eastAsia="zh-CN"/>
        </w:rPr>
        <w:t>）</w:t>
      </w:r>
      <w:r w:rsidRPr="003B6421">
        <w:rPr>
          <w:szCs w:val="24"/>
          <w:lang w:val="zh-CN" w:eastAsia="zh-CN"/>
        </w:rPr>
        <w:t>和</w:t>
      </w:r>
      <w:r w:rsidRPr="003B6421">
        <w:rPr>
          <w:rFonts w:hint="eastAsia"/>
          <w:szCs w:val="24"/>
          <w:lang w:val="zh-CN" w:eastAsia="zh-CN"/>
        </w:rPr>
        <w:t>“</w:t>
      </w:r>
      <w:r w:rsidRPr="003B6421">
        <w:rPr>
          <w:rFonts w:ascii="STKaiti" w:eastAsia="STKaiti" w:hAnsi="STKaiti" w:hint="eastAsia"/>
          <w:szCs w:val="24"/>
          <w:lang w:val="zh-CN" w:eastAsia="zh-CN"/>
        </w:rPr>
        <w:t>信息概览</w:t>
      </w:r>
      <w:r w:rsidRPr="003B6421">
        <w:rPr>
          <w:rFonts w:hint="eastAsia"/>
          <w:szCs w:val="24"/>
          <w:lang w:val="zh-CN" w:eastAsia="zh-CN"/>
        </w:rPr>
        <w:t>”（</w:t>
      </w:r>
      <w:r w:rsidRPr="003B6421">
        <w:rPr>
          <w:szCs w:val="24"/>
          <w:lang w:val="zh-CN" w:eastAsia="zh-CN"/>
        </w:rPr>
        <w:t>dashboard</w:t>
      </w:r>
      <w:r w:rsidRPr="003B6421">
        <w:rPr>
          <w:rFonts w:hint="eastAsia"/>
          <w:szCs w:val="24"/>
          <w:lang w:val="zh-CN" w:eastAsia="zh-CN"/>
        </w:rPr>
        <w:t>）</w:t>
      </w:r>
      <w:r w:rsidRPr="003B6421">
        <w:rPr>
          <w:szCs w:val="24"/>
          <w:lang w:val="zh-CN" w:eastAsia="zh-CN"/>
        </w:rPr>
        <w:t>的形式提供关于通知标识、其规则地位、公布历史、技术特性、审查结果和协调要求等详细信息（参见附件</w:t>
      </w:r>
      <w:r w:rsidRPr="003B6421">
        <w:rPr>
          <w:szCs w:val="24"/>
          <w:lang w:val="zh-CN" w:eastAsia="zh-CN"/>
        </w:rPr>
        <w:t>1</w:t>
      </w:r>
      <w:r w:rsidRPr="003B6421">
        <w:rPr>
          <w:szCs w:val="24"/>
          <w:lang w:val="zh-CN" w:eastAsia="zh-CN"/>
        </w:rPr>
        <w:t>）。</w:t>
      </w:r>
    </w:p>
    <w:p w14:paraId="00E4E6C6" w14:textId="113A59E0" w:rsidR="009E1439" w:rsidRPr="003B6421" w:rsidRDefault="009E1439" w:rsidP="009E1439">
      <w:pPr>
        <w:pStyle w:val="enumlev1"/>
        <w:rPr>
          <w:rFonts w:asciiTheme="minorHAnsi" w:hAnsiTheme="minorHAnsi" w:cstheme="minorHAnsi"/>
          <w:szCs w:val="24"/>
          <w:lang w:eastAsia="zh-CN"/>
        </w:rPr>
      </w:pPr>
      <w:r w:rsidRPr="003B6421">
        <w:rPr>
          <w:b/>
          <w:bCs/>
          <w:szCs w:val="24"/>
          <w:lang w:val="zh-CN" w:eastAsia="zh-CN"/>
        </w:rPr>
        <w:t>–</w:t>
      </w:r>
      <w:r w:rsidRPr="003B6421">
        <w:rPr>
          <w:b/>
          <w:bCs/>
          <w:szCs w:val="24"/>
          <w:lang w:val="zh-CN" w:eastAsia="zh-CN"/>
        </w:rPr>
        <w:tab/>
      </w:r>
      <w:proofErr w:type="gramStart"/>
      <w:r w:rsidRPr="003B6421">
        <w:rPr>
          <w:b/>
          <w:bCs/>
          <w:szCs w:val="24"/>
          <w:lang w:val="zh-CN" w:eastAsia="zh-CN"/>
        </w:rPr>
        <w:t>保存您</w:t>
      </w:r>
      <w:proofErr w:type="gramEnd"/>
      <w:r w:rsidRPr="003B6421">
        <w:rPr>
          <w:b/>
          <w:bCs/>
          <w:szCs w:val="24"/>
          <w:lang w:val="zh-CN" w:eastAsia="zh-CN"/>
        </w:rPr>
        <w:t>的个人搜索环境</w:t>
      </w:r>
      <w:r w:rsidRPr="003B6421">
        <w:rPr>
          <w:szCs w:val="24"/>
          <w:lang w:eastAsia="zh-CN"/>
        </w:rPr>
        <w:t>：</w:t>
      </w:r>
      <w:r w:rsidRPr="003B6421">
        <w:rPr>
          <w:rFonts w:hint="eastAsia"/>
          <w:szCs w:val="24"/>
          <w:lang w:eastAsia="zh-CN"/>
        </w:rPr>
        <w:t>“</w:t>
      </w:r>
      <w:r w:rsidRPr="003B6421">
        <w:rPr>
          <w:szCs w:val="24"/>
          <w:lang w:eastAsia="zh-CN"/>
        </w:rPr>
        <w:t>My Space Explorer</w:t>
      </w:r>
      <w:r w:rsidRPr="003B6421">
        <w:rPr>
          <w:rFonts w:hint="eastAsia"/>
          <w:szCs w:val="24"/>
          <w:lang w:eastAsia="zh-CN"/>
        </w:rPr>
        <w:t>”（</w:t>
      </w:r>
      <w:r w:rsidRPr="003B6421">
        <w:rPr>
          <w:rFonts w:ascii="STKaiti" w:eastAsia="STKaiti" w:hAnsi="STKaiti"/>
          <w:szCs w:val="24"/>
          <w:lang w:val="zh-CN" w:eastAsia="zh-CN"/>
        </w:rPr>
        <w:t>我的</w:t>
      </w:r>
      <w:r w:rsidRPr="003B6421">
        <w:rPr>
          <w:rFonts w:ascii="STKaiti" w:eastAsia="STKaiti" w:hAnsi="STKaiti" w:hint="eastAsia"/>
          <w:szCs w:val="24"/>
          <w:lang w:val="zh-CN" w:eastAsia="zh-CN"/>
        </w:rPr>
        <w:t>空间</w:t>
      </w:r>
      <w:r w:rsidRPr="003B6421">
        <w:rPr>
          <w:rFonts w:ascii="STKaiti" w:eastAsia="STKaiti" w:hAnsi="STKaiti"/>
          <w:szCs w:val="24"/>
          <w:lang w:val="zh-CN" w:eastAsia="zh-CN"/>
        </w:rPr>
        <w:t>浏览器</w:t>
      </w:r>
      <w:r w:rsidRPr="003B6421">
        <w:rPr>
          <w:rFonts w:hint="eastAsia"/>
          <w:szCs w:val="24"/>
          <w:lang w:eastAsia="zh-CN"/>
        </w:rPr>
        <w:t>）</w:t>
      </w:r>
      <w:r w:rsidRPr="003B6421">
        <w:rPr>
          <w:szCs w:val="24"/>
          <w:lang w:val="zh-CN" w:eastAsia="zh-CN"/>
        </w:rPr>
        <w:t>功能允许您保存、组织并在必要时共享您喜欢的搜索。</w:t>
      </w:r>
    </w:p>
    <w:p w14:paraId="6875DC18" w14:textId="06969176" w:rsidR="009E1439" w:rsidRPr="003B6421" w:rsidRDefault="009E1439" w:rsidP="009E1439">
      <w:pPr>
        <w:pStyle w:val="enumlev1"/>
        <w:rPr>
          <w:rFonts w:asciiTheme="minorHAnsi" w:hAnsiTheme="minorHAnsi" w:cstheme="minorHAnsi"/>
          <w:szCs w:val="24"/>
          <w:lang w:eastAsia="zh-CN"/>
        </w:rPr>
      </w:pPr>
      <w:r w:rsidRPr="003B6421">
        <w:rPr>
          <w:b/>
          <w:bCs/>
          <w:szCs w:val="24"/>
          <w:lang w:val="zh-CN" w:eastAsia="zh-CN"/>
        </w:rPr>
        <w:t>–</w:t>
      </w:r>
      <w:r w:rsidRPr="003B6421">
        <w:rPr>
          <w:b/>
          <w:bCs/>
          <w:szCs w:val="24"/>
          <w:lang w:val="zh-CN" w:eastAsia="zh-CN"/>
        </w:rPr>
        <w:tab/>
      </w:r>
      <w:r w:rsidRPr="003B6421">
        <w:rPr>
          <w:b/>
          <w:bCs/>
          <w:szCs w:val="24"/>
          <w:lang w:val="zh-CN" w:eastAsia="zh-CN"/>
        </w:rPr>
        <w:t>临时搜索</w:t>
      </w:r>
      <w:r w:rsidRPr="003B6421">
        <w:rPr>
          <w:szCs w:val="24"/>
          <w:lang w:val="zh-CN" w:eastAsia="zh-CN"/>
        </w:rPr>
        <w:t>：</w:t>
      </w:r>
      <w:r w:rsidRPr="003B6421">
        <w:rPr>
          <w:rFonts w:hint="eastAsia"/>
          <w:szCs w:val="24"/>
          <w:lang w:val="zh-CN" w:eastAsia="zh-CN"/>
        </w:rPr>
        <w:t>“</w:t>
      </w:r>
      <w:r w:rsidRPr="003B6421">
        <w:rPr>
          <w:szCs w:val="24"/>
          <w:lang w:val="zh-CN" w:eastAsia="zh-CN"/>
        </w:rPr>
        <w:t>QueryBuilder</w:t>
      </w:r>
      <w:r w:rsidRPr="003B6421">
        <w:rPr>
          <w:rFonts w:hint="eastAsia"/>
          <w:szCs w:val="24"/>
          <w:lang w:val="zh-CN" w:eastAsia="zh-CN"/>
        </w:rPr>
        <w:t>”（自定义搜索）</w:t>
      </w:r>
      <w:r w:rsidRPr="003B6421">
        <w:rPr>
          <w:szCs w:val="24"/>
          <w:lang w:val="zh-CN" w:eastAsia="zh-CN"/>
        </w:rPr>
        <w:t>功能指导您通过空间网络系统数据进行自定义搜索。</w:t>
      </w:r>
    </w:p>
    <w:p w14:paraId="11C03A41" w14:textId="5957205A" w:rsidR="009E1439" w:rsidRPr="003B6421" w:rsidRDefault="009E1439" w:rsidP="009E1439">
      <w:pPr>
        <w:pStyle w:val="enumlev1"/>
        <w:rPr>
          <w:rFonts w:asciiTheme="minorHAnsi" w:hAnsiTheme="minorHAnsi" w:cstheme="minorHAnsi"/>
          <w:szCs w:val="24"/>
          <w:lang w:eastAsia="zh-CN"/>
        </w:rPr>
      </w:pPr>
      <w:r w:rsidRPr="003B6421">
        <w:rPr>
          <w:b/>
          <w:bCs/>
          <w:szCs w:val="24"/>
          <w:lang w:val="zh-CN" w:eastAsia="zh-CN"/>
        </w:rPr>
        <w:t>–</w:t>
      </w:r>
      <w:r w:rsidRPr="003B6421">
        <w:rPr>
          <w:b/>
          <w:bCs/>
          <w:szCs w:val="24"/>
          <w:lang w:val="zh-CN" w:eastAsia="zh-CN"/>
        </w:rPr>
        <w:tab/>
      </w:r>
      <w:r w:rsidRPr="003B6421">
        <w:rPr>
          <w:b/>
          <w:bCs/>
          <w:szCs w:val="24"/>
          <w:lang w:val="zh-CN" w:eastAsia="zh-CN"/>
        </w:rPr>
        <w:t>高级数据</w:t>
      </w:r>
      <w:r w:rsidRPr="003B6421">
        <w:rPr>
          <w:rFonts w:hint="eastAsia"/>
          <w:b/>
          <w:bCs/>
          <w:szCs w:val="24"/>
          <w:lang w:val="zh-CN" w:eastAsia="zh-CN"/>
        </w:rPr>
        <w:t>浏览</w:t>
      </w:r>
      <w:r w:rsidRPr="003B6421">
        <w:rPr>
          <w:szCs w:val="24"/>
          <w:lang w:val="zh-CN" w:eastAsia="zh-CN"/>
        </w:rPr>
        <w:t>：</w:t>
      </w:r>
      <w:r w:rsidRPr="003B6421">
        <w:rPr>
          <w:rFonts w:hint="eastAsia"/>
          <w:szCs w:val="24"/>
          <w:lang w:val="zh-CN" w:eastAsia="zh-CN"/>
        </w:rPr>
        <w:t>“</w:t>
      </w:r>
      <w:r w:rsidRPr="003B6421">
        <w:rPr>
          <w:szCs w:val="24"/>
          <w:lang w:val="zh-CN" w:eastAsia="zh-CN"/>
        </w:rPr>
        <w:t>Special Explorer</w:t>
      </w:r>
      <w:r w:rsidRPr="003B6421">
        <w:rPr>
          <w:rFonts w:hint="eastAsia"/>
          <w:szCs w:val="24"/>
          <w:lang w:val="zh-CN" w:eastAsia="zh-CN"/>
        </w:rPr>
        <w:t>”（</w:t>
      </w:r>
      <w:r w:rsidRPr="003B6421">
        <w:rPr>
          <w:szCs w:val="24"/>
          <w:lang w:val="zh-CN" w:eastAsia="zh-CN"/>
        </w:rPr>
        <w:t>特别</w:t>
      </w:r>
      <w:r w:rsidRPr="003B6421">
        <w:rPr>
          <w:rFonts w:hint="eastAsia"/>
          <w:szCs w:val="24"/>
          <w:lang w:val="zh-CN" w:eastAsia="zh-CN"/>
        </w:rPr>
        <w:t>搜索）</w:t>
      </w:r>
      <w:r w:rsidRPr="003B6421">
        <w:rPr>
          <w:szCs w:val="24"/>
          <w:lang w:val="zh-CN" w:eastAsia="zh-CN"/>
        </w:rPr>
        <w:t>功能包括对无线电通信局创建的数据进行更有针对性的搜索，例如联系人和运营机构或《无线电规则》第</w:t>
      </w:r>
      <w:r w:rsidRPr="003B6421">
        <w:rPr>
          <w:szCs w:val="24"/>
          <w:lang w:val="zh-CN" w:eastAsia="zh-CN"/>
        </w:rPr>
        <w:t>4.4</w:t>
      </w:r>
      <w:r w:rsidRPr="003B6421">
        <w:rPr>
          <w:szCs w:val="24"/>
          <w:lang w:val="zh-CN" w:eastAsia="zh-CN"/>
        </w:rPr>
        <w:t>款的应用（参见附件</w:t>
      </w:r>
      <w:r w:rsidRPr="003B6421">
        <w:rPr>
          <w:szCs w:val="24"/>
          <w:lang w:val="zh-CN" w:eastAsia="zh-CN"/>
        </w:rPr>
        <w:t>2</w:t>
      </w:r>
      <w:r w:rsidRPr="003B6421">
        <w:rPr>
          <w:szCs w:val="24"/>
          <w:lang w:val="zh-CN" w:eastAsia="zh-CN"/>
        </w:rPr>
        <w:t>）。</w:t>
      </w:r>
      <w:r w:rsidRPr="003B6421">
        <w:rPr>
          <w:rFonts w:hint="eastAsia"/>
          <w:szCs w:val="24"/>
          <w:lang w:val="zh-CN" w:eastAsia="zh-CN"/>
        </w:rPr>
        <w:t>“</w:t>
      </w:r>
      <w:r w:rsidRPr="003B6421">
        <w:rPr>
          <w:szCs w:val="24"/>
          <w:lang w:val="zh-CN" w:eastAsia="zh-CN"/>
        </w:rPr>
        <w:t>Temporary Explorer</w:t>
      </w:r>
      <w:r w:rsidRPr="003B6421">
        <w:rPr>
          <w:rFonts w:hint="eastAsia"/>
          <w:szCs w:val="24"/>
          <w:lang w:val="zh-CN" w:eastAsia="zh-CN"/>
        </w:rPr>
        <w:t>”（</w:t>
      </w:r>
      <w:r w:rsidRPr="003B6421">
        <w:rPr>
          <w:szCs w:val="24"/>
          <w:lang w:val="zh-CN" w:eastAsia="zh-CN"/>
        </w:rPr>
        <w:t>临时</w:t>
      </w:r>
      <w:r w:rsidRPr="003B6421">
        <w:rPr>
          <w:rFonts w:hint="eastAsia"/>
          <w:szCs w:val="24"/>
          <w:lang w:val="zh-CN" w:eastAsia="zh-CN"/>
        </w:rPr>
        <w:t>搜索）</w:t>
      </w:r>
      <w:r w:rsidRPr="003B6421">
        <w:rPr>
          <w:szCs w:val="24"/>
          <w:lang w:val="zh-CN" w:eastAsia="zh-CN"/>
        </w:rPr>
        <w:t>将专门用于无线电通信局创建的相关性有限的数据分析，因为它们与</w:t>
      </w:r>
      <w:r w:rsidRPr="003B6421">
        <w:rPr>
          <w:szCs w:val="24"/>
          <w:lang w:val="zh-CN" w:eastAsia="zh-CN"/>
        </w:rPr>
        <w:t>ITU-R</w:t>
      </w:r>
      <w:r w:rsidRPr="003B6421">
        <w:rPr>
          <w:szCs w:val="24"/>
          <w:lang w:val="zh-CN" w:eastAsia="zh-CN"/>
        </w:rPr>
        <w:t>在</w:t>
      </w:r>
      <w:r w:rsidRPr="003B6421">
        <w:rPr>
          <w:szCs w:val="24"/>
          <w:lang w:val="zh-CN" w:eastAsia="zh-CN"/>
        </w:rPr>
        <w:t>WRC</w:t>
      </w:r>
      <w:r w:rsidRPr="003B6421">
        <w:rPr>
          <w:szCs w:val="24"/>
          <w:lang w:val="zh-CN" w:eastAsia="zh-CN"/>
        </w:rPr>
        <w:t>议项或活动方面的具体工作相关联。</w:t>
      </w:r>
    </w:p>
    <w:p w14:paraId="16878C02" w14:textId="7E80F748" w:rsidR="009E1439" w:rsidRPr="003B6421" w:rsidRDefault="009E1439" w:rsidP="009E1439">
      <w:pPr>
        <w:pStyle w:val="enumlev1"/>
        <w:rPr>
          <w:rFonts w:asciiTheme="minorHAnsi" w:hAnsiTheme="minorHAnsi" w:cstheme="minorHAnsi"/>
          <w:szCs w:val="24"/>
          <w:lang w:eastAsia="zh-CN"/>
        </w:rPr>
      </w:pPr>
      <w:r w:rsidRPr="003B6421">
        <w:rPr>
          <w:b/>
          <w:bCs/>
          <w:szCs w:val="24"/>
          <w:lang w:val="zh-CN" w:eastAsia="zh-CN"/>
        </w:rPr>
        <w:t>–</w:t>
      </w:r>
      <w:r w:rsidRPr="003B6421">
        <w:rPr>
          <w:b/>
          <w:bCs/>
          <w:szCs w:val="24"/>
          <w:lang w:val="zh-CN" w:eastAsia="zh-CN"/>
        </w:rPr>
        <w:tab/>
      </w:r>
      <w:r w:rsidRPr="003B6421">
        <w:rPr>
          <w:b/>
          <w:bCs/>
          <w:szCs w:val="24"/>
          <w:lang w:val="zh-CN" w:eastAsia="zh-CN"/>
        </w:rPr>
        <w:t>最新数据</w:t>
      </w:r>
      <w:r w:rsidRPr="003B6421">
        <w:rPr>
          <w:szCs w:val="24"/>
          <w:lang w:val="zh-CN" w:eastAsia="zh-CN"/>
        </w:rPr>
        <w:t>：数据随每两周出版的</w:t>
      </w:r>
      <w:r w:rsidRPr="003B6421">
        <w:rPr>
          <w:szCs w:val="24"/>
          <w:lang w:val="zh-CN" w:eastAsia="zh-CN"/>
        </w:rPr>
        <w:t>BR IFIC</w:t>
      </w:r>
      <w:r w:rsidRPr="003B6421">
        <w:rPr>
          <w:szCs w:val="24"/>
          <w:lang w:val="zh-CN" w:eastAsia="zh-CN"/>
        </w:rPr>
        <w:t>（空间</w:t>
      </w:r>
      <w:r w:rsidRPr="003B6421">
        <w:rPr>
          <w:rFonts w:hint="eastAsia"/>
          <w:szCs w:val="24"/>
          <w:lang w:val="zh-CN" w:eastAsia="zh-CN"/>
        </w:rPr>
        <w:t>业务</w:t>
      </w:r>
      <w:r w:rsidRPr="003B6421">
        <w:rPr>
          <w:szCs w:val="24"/>
          <w:lang w:val="zh-CN" w:eastAsia="zh-CN"/>
        </w:rPr>
        <w:t>）更新。</w:t>
      </w:r>
    </w:p>
    <w:p w14:paraId="2AB56EE0" w14:textId="77777777" w:rsidR="00B65DE8" w:rsidRPr="003B6421" w:rsidRDefault="00B65DE8">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bCs/>
          <w:szCs w:val="24"/>
          <w:lang w:val="en-GB" w:eastAsia="zh-CN"/>
        </w:rPr>
      </w:pPr>
      <w:r w:rsidRPr="003B6421">
        <w:rPr>
          <w:rFonts w:asciiTheme="minorHAnsi" w:hAnsiTheme="minorHAnsi" w:cstheme="minorHAnsi"/>
          <w:b/>
          <w:bCs/>
          <w:szCs w:val="24"/>
          <w:lang w:val="en-GB" w:eastAsia="zh-CN"/>
        </w:rPr>
        <w:br w:type="page"/>
      </w:r>
    </w:p>
    <w:p w14:paraId="6912EBA3" w14:textId="7BB18639" w:rsidR="009E1439" w:rsidRPr="003B6421" w:rsidRDefault="009E1439" w:rsidP="00B65DE8">
      <w:pPr>
        <w:pStyle w:val="Headingb"/>
        <w:rPr>
          <w:rFonts w:asciiTheme="minorHAnsi" w:hAnsiTheme="minorHAnsi" w:cstheme="minorHAnsi"/>
          <w:szCs w:val="24"/>
          <w:lang w:eastAsia="zh-CN"/>
        </w:rPr>
      </w:pPr>
      <w:r w:rsidRPr="003B6421">
        <w:rPr>
          <w:rFonts w:asciiTheme="minorHAnsi" w:hAnsiTheme="minorHAnsi" w:cstheme="minorHAnsi"/>
          <w:szCs w:val="24"/>
          <w:lang w:val="en-GB" w:eastAsia="zh-CN"/>
        </w:rPr>
        <w:lastRenderedPageBreak/>
        <w:t>ITU</w:t>
      </w:r>
      <w:r w:rsidR="00B65DE8" w:rsidRPr="003B6421">
        <w:rPr>
          <w:rFonts w:asciiTheme="minorHAnsi" w:hAnsiTheme="minorHAnsi" w:cstheme="minorHAnsi" w:hint="eastAsia"/>
          <w:szCs w:val="24"/>
          <w:lang w:val="en-GB" w:eastAsia="zh-CN"/>
        </w:rPr>
        <w:t xml:space="preserve"> </w:t>
      </w:r>
      <w:proofErr w:type="spellStart"/>
      <w:r w:rsidRPr="003B6421">
        <w:rPr>
          <w:rFonts w:asciiTheme="minorHAnsi" w:hAnsiTheme="minorHAnsi" w:cstheme="minorHAnsi"/>
          <w:szCs w:val="24"/>
          <w:lang w:val="en-GB" w:eastAsia="zh-CN"/>
        </w:rPr>
        <w:t>SpaceExplorer</w:t>
      </w:r>
      <w:proofErr w:type="spellEnd"/>
      <w:r w:rsidRPr="003B6421">
        <w:rPr>
          <w:szCs w:val="24"/>
          <w:lang w:val="zh-CN" w:eastAsia="zh-CN"/>
        </w:rPr>
        <w:t>应用程序与无线电通信局其他工具之间的关系</w:t>
      </w:r>
    </w:p>
    <w:p w14:paraId="15E6ADED" w14:textId="77777777" w:rsidR="009E1439" w:rsidRPr="003B6421" w:rsidRDefault="009E1439" w:rsidP="00B65DE8">
      <w:pPr>
        <w:ind w:firstLineChars="200" w:firstLine="480"/>
        <w:rPr>
          <w:rFonts w:asciiTheme="minorHAnsi" w:hAnsiTheme="minorHAnsi" w:cstheme="minorHAnsi"/>
          <w:szCs w:val="24"/>
          <w:lang w:eastAsia="zh-CN"/>
        </w:rPr>
      </w:pPr>
      <w:r w:rsidRPr="003B6421">
        <w:rPr>
          <w:szCs w:val="24"/>
          <w:lang w:val="zh-CN" w:eastAsia="zh-CN"/>
        </w:rPr>
        <w:t>作为无线电通信</w:t>
      </w:r>
      <w:proofErr w:type="gramStart"/>
      <w:r w:rsidRPr="003B6421">
        <w:rPr>
          <w:szCs w:val="24"/>
          <w:lang w:val="zh-CN" w:eastAsia="zh-CN"/>
        </w:rPr>
        <w:t>局空间</w:t>
      </w:r>
      <w:proofErr w:type="gramEnd"/>
      <w:r w:rsidRPr="003B6421">
        <w:rPr>
          <w:szCs w:val="24"/>
          <w:lang w:val="zh-CN" w:eastAsia="zh-CN"/>
        </w:rPr>
        <w:t>业务数据访问系统审查</w:t>
      </w:r>
      <w:r w:rsidRPr="003B6421">
        <w:rPr>
          <w:rFonts w:hint="eastAsia"/>
          <w:szCs w:val="24"/>
          <w:lang w:val="zh-CN" w:eastAsia="zh-CN"/>
        </w:rPr>
        <w:t>工作</w:t>
      </w:r>
      <w:r w:rsidRPr="003B6421">
        <w:rPr>
          <w:szCs w:val="24"/>
          <w:lang w:val="zh-CN" w:eastAsia="zh-CN"/>
        </w:rPr>
        <w:t>的一部分，这一新平台旨在取代空间网络列表</w:t>
      </w:r>
      <w:r w:rsidRPr="003B6421">
        <w:rPr>
          <w:szCs w:val="24"/>
          <w:lang w:val="zh-CN" w:eastAsia="zh-CN"/>
        </w:rPr>
        <w:t>SNL</w:t>
      </w:r>
      <w:r w:rsidRPr="003B6421">
        <w:rPr>
          <w:szCs w:val="24"/>
          <w:lang w:val="zh-CN" w:eastAsia="zh-CN"/>
        </w:rPr>
        <w:t>在线</w:t>
      </w:r>
      <w:r w:rsidRPr="003B6421">
        <w:rPr>
          <w:rFonts w:hint="eastAsia"/>
          <w:szCs w:val="24"/>
          <w:lang w:val="zh-CN" w:eastAsia="zh-CN"/>
        </w:rPr>
        <w:t>“</w:t>
      </w:r>
      <w:r w:rsidRPr="003B6421">
        <w:rPr>
          <w:szCs w:val="24"/>
          <w:lang w:val="zh-CN" w:eastAsia="zh-CN"/>
        </w:rPr>
        <w:t>参考出版物</w:t>
      </w:r>
      <w:r w:rsidRPr="003B6421">
        <w:rPr>
          <w:rFonts w:hint="eastAsia"/>
          <w:szCs w:val="24"/>
          <w:lang w:val="zh-CN" w:eastAsia="zh-CN"/>
        </w:rPr>
        <w:t>”</w:t>
      </w:r>
      <w:r w:rsidRPr="003B6421">
        <w:rPr>
          <w:szCs w:val="24"/>
          <w:lang w:val="zh-CN" w:eastAsia="zh-CN"/>
        </w:rPr>
        <w:t>部分和空间网络系统</w:t>
      </w:r>
      <w:r w:rsidRPr="003B6421">
        <w:rPr>
          <w:szCs w:val="24"/>
          <w:lang w:val="zh-CN" w:eastAsia="zh-CN"/>
        </w:rPr>
        <w:t>SNS</w:t>
      </w:r>
      <w:r w:rsidRPr="003B6421">
        <w:rPr>
          <w:szCs w:val="24"/>
          <w:lang w:val="zh-CN" w:eastAsia="zh-CN"/>
        </w:rPr>
        <w:t>在线中包含的功能，后者将停止使用。</w:t>
      </w:r>
    </w:p>
    <w:p w14:paraId="4DAB0B2E" w14:textId="77777777" w:rsidR="009E1439" w:rsidRPr="003B6421" w:rsidRDefault="009E1439" w:rsidP="00B65DE8">
      <w:pPr>
        <w:ind w:firstLineChars="200" w:firstLine="480"/>
        <w:rPr>
          <w:rFonts w:asciiTheme="minorHAnsi" w:hAnsiTheme="minorHAnsi" w:cstheme="minorHAnsi"/>
          <w:szCs w:val="24"/>
          <w:lang w:eastAsia="zh-CN"/>
        </w:rPr>
      </w:pPr>
      <w:r w:rsidRPr="003B6421">
        <w:rPr>
          <w:szCs w:val="24"/>
          <w:lang w:val="zh-CN" w:eastAsia="zh-CN"/>
        </w:rPr>
        <w:t>要查看</w:t>
      </w:r>
      <w:r w:rsidRPr="003B6421">
        <w:rPr>
          <w:szCs w:val="24"/>
          <w:lang w:val="zh-CN" w:eastAsia="zh-CN"/>
        </w:rPr>
        <w:t>BR IFIC</w:t>
      </w:r>
      <w:r w:rsidRPr="003B6421">
        <w:rPr>
          <w:szCs w:val="24"/>
          <w:lang w:val="zh-CN" w:eastAsia="zh-CN"/>
        </w:rPr>
        <w:t>（空间</w:t>
      </w:r>
      <w:r w:rsidRPr="003B6421">
        <w:rPr>
          <w:rFonts w:hint="eastAsia"/>
          <w:szCs w:val="24"/>
          <w:lang w:val="zh-CN" w:eastAsia="zh-CN"/>
        </w:rPr>
        <w:t>业务</w:t>
      </w:r>
      <w:r w:rsidRPr="003B6421">
        <w:rPr>
          <w:szCs w:val="24"/>
          <w:lang w:val="zh-CN" w:eastAsia="zh-CN"/>
        </w:rPr>
        <w:t>）的全部出版物内容，只有</w:t>
      </w:r>
      <w:r w:rsidRPr="003B6421">
        <w:rPr>
          <w:szCs w:val="24"/>
          <w:lang w:val="zh-CN" w:eastAsia="zh-CN"/>
        </w:rPr>
        <w:t>BR IFIC</w:t>
      </w:r>
      <w:r w:rsidRPr="003B6421">
        <w:rPr>
          <w:szCs w:val="24"/>
          <w:lang w:val="zh-CN" w:eastAsia="zh-CN"/>
        </w:rPr>
        <w:t>在线应用程序中的数据</w:t>
      </w:r>
      <w:r w:rsidRPr="003B6421">
        <w:rPr>
          <w:rFonts w:hint="eastAsia"/>
          <w:szCs w:val="24"/>
          <w:lang w:val="zh-CN" w:eastAsia="zh-CN"/>
        </w:rPr>
        <w:t>仍然</w:t>
      </w:r>
      <w:r w:rsidRPr="003B6421">
        <w:rPr>
          <w:szCs w:val="24"/>
          <w:lang w:val="zh-CN" w:eastAsia="zh-CN"/>
        </w:rPr>
        <w:t>有效。</w:t>
      </w:r>
    </w:p>
    <w:p w14:paraId="35D8B263" w14:textId="77777777" w:rsidR="009E1439" w:rsidRPr="003B6421" w:rsidRDefault="009E1439" w:rsidP="00B65DE8">
      <w:pPr>
        <w:pStyle w:val="Headingb"/>
        <w:rPr>
          <w:rFonts w:asciiTheme="minorHAnsi" w:hAnsiTheme="minorHAnsi" w:cstheme="minorHAnsi"/>
          <w:szCs w:val="24"/>
          <w:lang w:val="en-GB" w:eastAsia="zh-CN"/>
        </w:rPr>
      </w:pPr>
      <w:r w:rsidRPr="003B6421">
        <w:rPr>
          <w:rFonts w:asciiTheme="minorHAnsi" w:hAnsiTheme="minorHAnsi" w:cstheme="minorHAnsi"/>
          <w:szCs w:val="24"/>
          <w:lang w:val="en-GB" w:eastAsia="zh-CN"/>
        </w:rPr>
        <w:t>所需的《无线电规则》知识</w:t>
      </w:r>
    </w:p>
    <w:p w14:paraId="55404F2A" w14:textId="77777777" w:rsidR="009E1439" w:rsidRPr="003B6421" w:rsidRDefault="009E1439" w:rsidP="00B65DE8">
      <w:pPr>
        <w:ind w:firstLineChars="200" w:firstLine="480"/>
        <w:rPr>
          <w:rFonts w:asciiTheme="minorHAnsi" w:hAnsiTheme="minorHAnsi" w:cstheme="minorHAnsi"/>
          <w:szCs w:val="24"/>
          <w:lang w:eastAsia="zh-CN"/>
        </w:rPr>
      </w:pPr>
      <w:r w:rsidRPr="003B6421">
        <w:rPr>
          <w:rFonts w:asciiTheme="minorHAnsi" w:hAnsiTheme="minorHAnsi" w:cstheme="minorHAnsi"/>
          <w:szCs w:val="24"/>
          <w:lang w:eastAsia="zh-CN"/>
        </w:rPr>
        <w:t xml:space="preserve">ITU </w:t>
      </w:r>
      <w:proofErr w:type="spellStart"/>
      <w:r w:rsidRPr="003B6421">
        <w:rPr>
          <w:rFonts w:asciiTheme="minorHAnsi" w:hAnsiTheme="minorHAnsi" w:cstheme="minorHAnsi"/>
          <w:szCs w:val="24"/>
          <w:lang w:eastAsia="zh-CN"/>
        </w:rPr>
        <w:t>SpaceExplorer</w:t>
      </w:r>
      <w:proofErr w:type="spellEnd"/>
      <w:r w:rsidRPr="003B6421">
        <w:rPr>
          <w:szCs w:val="24"/>
          <w:lang w:val="zh-CN" w:eastAsia="zh-CN"/>
        </w:rPr>
        <w:t>应用程序是为具备中高级</w:t>
      </w:r>
      <w:r w:rsidRPr="003B6421">
        <w:rPr>
          <w:rFonts w:hint="eastAsia"/>
          <w:szCs w:val="24"/>
          <w:lang w:val="zh-CN" w:eastAsia="zh-CN"/>
        </w:rPr>
        <w:t>水平</w:t>
      </w:r>
      <w:r w:rsidRPr="003B6421">
        <w:rPr>
          <w:szCs w:val="24"/>
          <w:lang w:val="zh-CN" w:eastAsia="zh-CN"/>
        </w:rPr>
        <w:t>《无线电规则》技术和规则知识的用户设计的。</w:t>
      </w:r>
    </w:p>
    <w:p w14:paraId="1F29D7E0" w14:textId="77777777" w:rsidR="009E1439" w:rsidRPr="003B6421" w:rsidRDefault="009E1439" w:rsidP="00B65DE8">
      <w:pPr>
        <w:ind w:firstLineChars="200" w:firstLine="480"/>
        <w:rPr>
          <w:rFonts w:asciiTheme="minorHAnsi" w:hAnsiTheme="minorHAnsi" w:cstheme="minorHAnsi"/>
          <w:szCs w:val="24"/>
          <w:lang w:eastAsia="zh-CN"/>
        </w:rPr>
      </w:pPr>
      <w:r w:rsidRPr="003B6421">
        <w:rPr>
          <w:szCs w:val="24"/>
          <w:lang w:val="zh-CN" w:eastAsia="zh-CN"/>
        </w:rPr>
        <w:t>为充分利用此应用提供的资源和工具，建议您熟悉卫星、地球站或射电天文</w:t>
      </w:r>
      <w:r w:rsidRPr="003B6421">
        <w:rPr>
          <w:rFonts w:hint="eastAsia"/>
          <w:szCs w:val="24"/>
          <w:lang w:val="zh-CN" w:eastAsia="zh-CN"/>
        </w:rPr>
        <w:t>台站</w:t>
      </w:r>
      <w:r w:rsidRPr="003B6421">
        <w:rPr>
          <w:szCs w:val="24"/>
          <w:lang w:val="zh-CN" w:eastAsia="zh-CN"/>
        </w:rPr>
        <w:t>通知的处理，以及</w:t>
      </w:r>
      <w:r w:rsidRPr="003B6421">
        <w:rPr>
          <w:szCs w:val="24"/>
          <w:lang w:val="zh-CN" w:eastAsia="zh-CN"/>
        </w:rPr>
        <w:t>BR IFIC</w:t>
      </w:r>
      <w:r w:rsidRPr="003B6421">
        <w:rPr>
          <w:szCs w:val="24"/>
          <w:lang w:val="zh-CN" w:eastAsia="zh-CN"/>
        </w:rPr>
        <w:t>（空间</w:t>
      </w:r>
      <w:r w:rsidRPr="003B6421">
        <w:rPr>
          <w:rFonts w:hint="eastAsia"/>
          <w:szCs w:val="24"/>
          <w:lang w:val="zh-CN" w:eastAsia="zh-CN"/>
        </w:rPr>
        <w:t>业务</w:t>
      </w:r>
      <w:r w:rsidRPr="003B6421">
        <w:rPr>
          <w:szCs w:val="24"/>
          <w:lang w:val="zh-CN" w:eastAsia="zh-CN"/>
        </w:rPr>
        <w:t>）中各种类型的公布。</w:t>
      </w:r>
    </w:p>
    <w:p w14:paraId="234B6925" w14:textId="77777777" w:rsidR="009E1439" w:rsidRPr="003B6421" w:rsidRDefault="009E1439" w:rsidP="00B65DE8">
      <w:pPr>
        <w:pStyle w:val="Headingb"/>
        <w:rPr>
          <w:rFonts w:asciiTheme="minorHAnsi" w:hAnsiTheme="minorHAnsi" w:cstheme="minorHAnsi"/>
          <w:szCs w:val="24"/>
          <w:lang w:val="en-GB" w:eastAsia="zh-CN"/>
        </w:rPr>
      </w:pPr>
      <w:r w:rsidRPr="003B6421">
        <w:rPr>
          <w:rFonts w:asciiTheme="minorHAnsi" w:hAnsiTheme="minorHAnsi" w:cstheme="minorHAnsi"/>
          <w:szCs w:val="24"/>
          <w:lang w:val="en-GB" w:eastAsia="zh-CN"/>
        </w:rPr>
        <w:t>如何访问新应用程序</w:t>
      </w:r>
    </w:p>
    <w:p w14:paraId="1F0D6FD5" w14:textId="77777777" w:rsidR="009E1439" w:rsidRPr="003B6421" w:rsidRDefault="009E1439" w:rsidP="00B65DE8">
      <w:pPr>
        <w:spacing w:line="240" w:lineRule="auto"/>
        <w:ind w:firstLineChars="200" w:firstLine="480"/>
        <w:rPr>
          <w:rFonts w:asciiTheme="minorHAnsi" w:hAnsiTheme="minorHAnsi" w:cstheme="minorHAnsi"/>
          <w:szCs w:val="24"/>
          <w:lang w:eastAsia="zh-CN"/>
        </w:rPr>
      </w:pPr>
      <w:r w:rsidRPr="003B6421">
        <w:rPr>
          <w:szCs w:val="24"/>
          <w:lang w:val="zh-CN" w:eastAsia="zh-CN"/>
        </w:rPr>
        <w:t>现有的</w:t>
      </w:r>
      <w:r w:rsidRPr="003B6421">
        <w:rPr>
          <w:szCs w:val="24"/>
          <w:lang w:val="zh-CN" w:eastAsia="zh-CN"/>
        </w:rPr>
        <w:t>TIES</w:t>
      </w:r>
      <w:r w:rsidRPr="003B6421">
        <w:rPr>
          <w:szCs w:val="24"/>
          <w:lang w:val="zh-CN" w:eastAsia="zh-CN"/>
        </w:rPr>
        <w:t>用户和以前</w:t>
      </w:r>
      <w:r w:rsidRPr="003B6421">
        <w:rPr>
          <w:szCs w:val="24"/>
          <w:lang w:val="zh-CN" w:eastAsia="zh-CN"/>
        </w:rPr>
        <w:t>SNS</w:t>
      </w:r>
      <w:r w:rsidRPr="003B6421">
        <w:rPr>
          <w:szCs w:val="24"/>
          <w:lang w:val="zh-CN" w:eastAsia="zh-CN"/>
        </w:rPr>
        <w:t>在线系统的订户将可以通过登录功能</w:t>
      </w:r>
      <w:proofErr w:type="gramStart"/>
      <w:r w:rsidRPr="003B6421">
        <w:rPr>
          <w:rFonts w:hint="eastAsia"/>
          <w:szCs w:val="24"/>
          <w:lang w:val="zh-CN" w:eastAsia="zh-CN"/>
        </w:rPr>
        <w:t>完整访问</w:t>
      </w:r>
      <w:proofErr w:type="gramEnd"/>
      <w:r w:rsidRPr="003B6421">
        <w:rPr>
          <w:szCs w:val="24"/>
          <w:lang w:val="zh-CN" w:eastAsia="zh-CN"/>
        </w:rPr>
        <w:t>该应用。用户将受到消息和帮助的指导，以便使学习环境更加容易。</w:t>
      </w:r>
    </w:p>
    <w:p w14:paraId="61880B7A" w14:textId="77777777" w:rsidR="009E1439" w:rsidRPr="003B6421" w:rsidRDefault="009E1439" w:rsidP="00B65DE8">
      <w:pPr>
        <w:pStyle w:val="Headingb"/>
        <w:rPr>
          <w:rFonts w:asciiTheme="minorHAnsi" w:hAnsiTheme="minorHAnsi" w:cstheme="minorHAnsi"/>
          <w:szCs w:val="24"/>
          <w:lang w:val="en-GB" w:eastAsia="zh-CN"/>
        </w:rPr>
      </w:pPr>
      <w:r w:rsidRPr="003B6421">
        <w:rPr>
          <w:rFonts w:asciiTheme="minorHAnsi" w:hAnsiTheme="minorHAnsi" w:cstheme="minorHAnsi"/>
          <w:szCs w:val="24"/>
          <w:lang w:val="en-GB" w:eastAsia="zh-CN"/>
        </w:rPr>
        <w:t>支持和联系方式</w:t>
      </w:r>
    </w:p>
    <w:p w14:paraId="3B2D4400" w14:textId="35D766CA" w:rsidR="009E1439" w:rsidRPr="003B6421" w:rsidRDefault="009E1439" w:rsidP="00B65DE8">
      <w:pPr>
        <w:spacing w:line="240" w:lineRule="auto"/>
        <w:ind w:firstLineChars="200" w:firstLine="480"/>
        <w:rPr>
          <w:rFonts w:asciiTheme="minorHAnsi" w:hAnsiTheme="minorHAnsi" w:cstheme="minorHAnsi"/>
          <w:szCs w:val="24"/>
          <w:lang w:eastAsia="zh-CN"/>
        </w:rPr>
      </w:pPr>
      <w:proofErr w:type="spellStart"/>
      <w:r w:rsidRPr="003B6421">
        <w:rPr>
          <w:szCs w:val="24"/>
          <w:lang w:val="zh-CN"/>
        </w:rPr>
        <w:t>如果您在数据</w:t>
      </w:r>
      <w:r w:rsidRPr="003B6421">
        <w:rPr>
          <w:rFonts w:hint="eastAsia"/>
          <w:szCs w:val="24"/>
          <w:lang w:val="zh-CN"/>
        </w:rPr>
        <w:t>了浏览</w:t>
      </w:r>
      <w:r w:rsidRPr="003B6421">
        <w:rPr>
          <w:szCs w:val="24"/>
          <w:lang w:val="zh-CN"/>
        </w:rPr>
        <w:t>方面需要帮助</w:t>
      </w:r>
      <w:r w:rsidRPr="003B6421">
        <w:rPr>
          <w:szCs w:val="24"/>
        </w:rPr>
        <w:t>，</w:t>
      </w:r>
      <w:r w:rsidRPr="003B6421">
        <w:rPr>
          <w:szCs w:val="24"/>
          <w:lang w:val="zh-CN"/>
        </w:rPr>
        <w:t>我们的支持团队可</w:t>
      </w:r>
      <w:r w:rsidRPr="003B6421">
        <w:rPr>
          <w:rFonts w:hint="eastAsia"/>
          <w:szCs w:val="24"/>
          <w:lang w:val="zh-CN"/>
        </w:rPr>
        <w:t>通过</w:t>
      </w:r>
      <w:hyperlink r:id="rId9" w:history="1">
        <w:r w:rsidR="00F9399B" w:rsidRPr="005D6090">
          <w:rPr>
            <w:rStyle w:val="Hyperlink"/>
            <w:rFonts w:asciiTheme="minorHAnsi" w:hAnsiTheme="minorHAnsi" w:cstheme="minorHAnsi"/>
            <w:szCs w:val="24"/>
          </w:rPr>
          <w:t>ITUSpaceExplorer@itu.int</w:t>
        </w:r>
      </w:hyperlink>
      <w:r w:rsidRPr="003B6421">
        <w:rPr>
          <w:rFonts w:hint="eastAsia"/>
          <w:szCs w:val="24"/>
          <w:lang w:val="zh-CN"/>
        </w:rPr>
        <w:t>为您</w:t>
      </w:r>
      <w:r w:rsidRPr="003B6421">
        <w:rPr>
          <w:szCs w:val="24"/>
          <w:lang w:val="zh-CN"/>
        </w:rPr>
        <w:t>提供服务</w:t>
      </w:r>
      <w:proofErr w:type="spellEnd"/>
      <w:r w:rsidRPr="003B6421">
        <w:rPr>
          <w:szCs w:val="24"/>
          <w:lang w:val="zh-CN"/>
        </w:rPr>
        <w:t>。</w:t>
      </w:r>
      <w:r w:rsidRPr="003B6421">
        <w:rPr>
          <w:szCs w:val="24"/>
          <w:lang w:val="zh-CN" w:eastAsia="zh-CN"/>
        </w:rPr>
        <w:t>我们珍视您一如既往的信任和支持，期待在我们努力不断改进为会员提供的服务时</w:t>
      </w:r>
      <w:r w:rsidRPr="003B6421">
        <w:rPr>
          <w:rFonts w:hint="eastAsia"/>
          <w:szCs w:val="24"/>
          <w:lang w:val="zh-CN" w:eastAsia="zh-CN"/>
        </w:rPr>
        <w:t>获得</w:t>
      </w:r>
      <w:r w:rsidRPr="003B6421">
        <w:rPr>
          <w:szCs w:val="24"/>
          <w:lang w:val="zh-CN" w:eastAsia="zh-CN"/>
        </w:rPr>
        <w:t>您的反馈。</w:t>
      </w:r>
    </w:p>
    <w:p w14:paraId="052D8903" w14:textId="5296976E" w:rsidR="00D35AB9" w:rsidRPr="003B6421" w:rsidRDefault="009E1439" w:rsidP="00B65DE8">
      <w:pPr>
        <w:ind w:firstLineChars="200" w:firstLine="480"/>
        <w:rPr>
          <w:rFonts w:asciiTheme="minorHAnsi" w:hAnsiTheme="minorHAnsi" w:cstheme="minorHAnsi"/>
          <w:szCs w:val="24"/>
          <w:lang w:eastAsia="zh-CN"/>
        </w:rPr>
      </w:pPr>
      <w:r w:rsidRPr="003B6421">
        <w:rPr>
          <w:szCs w:val="24"/>
          <w:lang w:val="zh-CN" w:eastAsia="zh-CN"/>
        </w:rPr>
        <w:t>无线电通信</w:t>
      </w:r>
      <w:proofErr w:type="gramStart"/>
      <w:r w:rsidRPr="003B6421">
        <w:rPr>
          <w:szCs w:val="24"/>
          <w:lang w:val="zh-CN" w:eastAsia="zh-CN"/>
        </w:rPr>
        <w:t>局相信</w:t>
      </w:r>
      <w:proofErr w:type="gramEnd"/>
      <w:r w:rsidRPr="003B6421">
        <w:rPr>
          <w:szCs w:val="24"/>
          <w:lang w:val="zh-CN" w:eastAsia="zh-CN"/>
        </w:rPr>
        <w:t>这个新平台</w:t>
      </w:r>
      <w:r w:rsidRPr="003B6421">
        <w:rPr>
          <w:rFonts w:hint="eastAsia"/>
          <w:szCs w:val="24"/>
          <w:lang w:val="zh-CN" w:eastAsia="zh-CN"/>
        </w:rPr>
        <w:t>对</w:t>
      </w:r>
      <w:r w:rsidRPr="003B6421">
        <w:rPr>
          <w:szCs w:val="24"/>
          <w:lang w:val="zh-CN" w:eastAsia="zh-CN"/>
        </w:rPr>
        <w:t>您会有所帮助，并乐于就与本通函相关的事宜为您提供澄清或协助。</w:t>
      </w:r>
    </w:p>
    <w:p w14:paraId="3EEDE62C" w14:textId="77777777" w:rsidR="00031E64" w:rsidRPr="003B6421" w:rsidRDefault="009C6A12" w:rsidP="002C0B72">
      <w:pPr>
        <w:spacing w:before="1200" w:line="240" w:lineRule="auto"/>
        <w:jc w:val="left"/>
        <w:rPr>
          <w:rFonts w:asciiTheme="majorEastAsia" w:eastAsiaTheme="majorEastAsia" w:hAnsiTheme="majorEastAsia"/>
          <w:szCs w:val="24"/>
          <w:lang w:eastAsia="zh-CN"/>
        </w:rPr>
      </w:pPr>
      <w:r w:rsidRPr="003B6421">
        <w:rPr>
          <w:rFonts w:asciiTheme="majorEastAsia" w:eastAsiaTheme="majorEastAsia" w:hAnsiTheme="majorEastAsia" w:hint="eastAsia"/>
          <w:szCs w:val="24"/>
          <w:lang w:eastAsia="zh-CN"/>
        </w:rPr>
        <w:t>主任</w:t>
      </w:r>
      <w:r w:rsidR="00E53DCE" w:rsidRPr="00642086">
        <w:rPr>
          <w:rFonts w:asciiTheme="majorEastAsia" w:eastAsiaTheme="majorEastAsia" w:hAnsiTheme="majorEastAsia"/>
          <w:szCs w:val="24"/>
          <w:lang w:eastAsia="zh-CN"/>
        </w:rPr>
        <w:br/>
      </w:r>
      <w:r w:rsidR="00295CFA" w:rsidRPr="003B6421">
        <w:rPr>
          <w:rFonts w:hint="eastAsia"/>
          <w:szCs w:val="24"/>
          <w:lang w:eastAsia="zh-CN"/>
        </w:rPr>
        <w:t>马里奥·马尼维奇</w:t>
      </w:r>
    </w:p>
    <w:p w14:paraId="2972BE78" w14:textId="77777777" w:rsidR="00B65DE8" w:rsidRPr="003B6421" w:rsidRDefault="00B65DE8" w:rsidP="002C0B72">
      <w:pPr>
        <w:tabs>
          <w:tab w:val="clear" w:pos="794"/>
          <w:tab w:val="clear" w:pos="1191"/>
          <w:tab w:val="clear" w:pos="1588"/>
          <w:tab w:val="clear" w:pos="1985"/>
          <w:tab w:val="left" w:pos="0"/>
        </w:tabs>
        <w:spacing w:before="1560" w:after="720" w:line="240" w:lineRule="auto"/>
        <w:jc w:val="lowKashida"/>
        <w:rPr>
          <w:rFonts w:asciiTheme="minorHAnsi" w:eastAsiaTheme="majorEastAsia" w:hAnsiTheme="minorHAnsi" w:cstheme="minorHAnsi"/>
          <w:szCs w:val="24"/>
          <w:lang w:eastAsia="zh-CN"/>
        </w:rPr>
      </w:pPr>
      <w:r w:rsidRPr="003B6421">
        <w:rPr>
          <w:szCs w:val="24"/>
          <w:lang w:val="zh-CN" w:eastAsia="zh-CN"/>
        </w:rPr>
        <w:t>附件：</w:t>
      </w:r>
      <w:r w:rsidRPr="003B6421">
        <w:rPr>
          <w:szCs w:val="24"/>
          <w:lang w:val="zh-CN" w:eastAsia="zh-CN"/>
        </w:rPr>
        <w:t>2</w:t>
      </w:r>
      <w:r w:rsidRPr="003B6421">
        <w:rPr>
          <w:rFonts w:hint="eastAsia"/>
          <w:szCs w:val="24"/>
          <w:lang w:val="zh-CN" w:eastAsia="zh-CN"/>
        </w:rPr>
        <w:t>件</w:t>
      </w:r>
    </w:p>
    <w:p w14:paraId="3201CE2C" w14:textId="77777777" w:rsidR="00B65DE8" w:rsidRPr="00642086" w:rsidRDefault="00B65DE8" w:rsidP="00B65DE8">
      <w:pPr>
        <w:pStyle w:val="toc0"/>
        <w:spacing w:before="0"/>
        <w:jc w:val="lowKashida"/>
        <w:rPr>
          <w:rFonts w:asciiTheme="minorHAnsi" w:eastAsiaTheme="majorEastAsia" w:hAnsiTheme="minorHAnsi" w:cstheme="minorHAnsi"/>
          <w:bCs/>
          <w:sz w:val="18"/>
          <w:szCs w:val="18"/>
          <w:u w:val="single"/>
          <w:lang w:eastAsia="zh-CN"/>
        </w:rPr>
      </w:pPr>
      <w:r w:rsidRPr="00642086">
        <w:rPr>
          <w:rFonts w:hint="eastAsia"/>
          <w:bCs/>
          <w:sz w:val="18"/>
          <w:szCs w:val="18"/>
          <w:u w:val="single"/>
          <w:lang w:val="zh-CN" w:eastAsia="zh-CN"/>
        </w:rPr>
        <w:t>分发</w:t>
      </w:r>
      <w:r w:rsidRPr="00642086">
        <w:rPr>
          <w:bCs/>
          <w:sz w:val="18"/>
          <w:szCs w:val="18"/>
          <w:u w:val="single"/>
          <w:lang w:val="zh-CN" w:eastAsia="zh-CN"/>
        </w:rPr>
        <w:t>：</w:t>
      </w:r>
    </w:p>
    <w:p w14:paraId="0A4F39E4" w14:textId="2F33FB66" w:rsidR="00B65DE8" w:rsidRPr="00642086" w:rsidRDefault="003B1785" w:rsidP="003B1785">
      <w:pPr>
        <w:pStyle w:val="enumlev1"/>
        <w:tabs>
          <w:tab w:val="clear" w:pos="794"/>
          <w:tab w:val="clear" w:pos="1191"/>
          <w:tab w:val="clear" w:pos="1588"/>
          <w:tab w:val="clear" w:pos="1985"/>
        </w:tabs>
        <w:spacing w:before="60" w:line="240" w:lineRule="auto"/>
        <w:ind w:left="0" w:firstLine="0"/>
        <w:jc w:val="lowKashida"/>
        <w:rPr>
          <w:rFonts w:asciiTheme="minorHAnsi" w:eastAsiaTheme="majorEastAsia" w:hAnsiTheme="minorHAnsi" w:cstheme="minorHAnsi"/>
          <w:sz w:val="18"/>
          <w:szCs w:val="18"/>
          <w:lang w:eastAsia="zh-CN"/>
        </w:rPr>
      </w:pPr>
      <w:r w:rsidRPr="00642086">
        <w:rPr>
          <w:sz w:val="18"/>
          <w:szCs w:val="18"/>
          <w:lang w:val="zh-CN" w:eastAsia="zh-CN"/>
        </w:rPr>
        <w:t>–</w:t>
      </w:r>
      <w:r w:rsidRPr="00642086">
        <w:rPr>
          <w:sz w:val="18"/>
          <w:szCs w:val="18"/>
          <w:lang w:val="zh-CN" w:eastAsia="zh-CN"/>
        </w:rPr>
        <w:tab/>
      </w:r>
      <w:r w:rsidR="00B65DE8" w:rsidRPr="00642086">
        <w:rPr>
          <w:sz w:val="18"/>
          <w:szCs w:val="18"/>
          <w:lang w:val="zh-CN" w:eastAsia="zh-CN"/>
        </w:rPr>
        <w:t>国际电联</w:t>
      </w:r>
      <w:r w:rsidR="00B65DE8" w:rsidRPr="00642086">
        <w:rPr>
          <w:rFonts w:hint="eastAsia"/>
          <w:sz w:val="18"/>
          <w:szCs w:val="18"/>
          <w:lang w:val="zh-CN" w:eastAsia="zh-CN"/>
        </w:rPr>
        <w:t>各</w:t>
      </w:r>
      <w:r w:rsidR="00B65DE8" w:rsidRPr="00642086">
        <w:rPr>
          <w:sz w:val="18"/>
          <w:szCs w:val="18"/>
          <w:lang w:val="zh-CN" w:eastAsia="zh-CN"/>
        </w:rPr>
        <w:t>成员国主管部门</w:t>
      </w:r>
    </w:p>
    <w:p w14:paraId="1C6C9362" w14:textId="26DB69A9" w:rsidR="00B65DE8" w:rsidRPr="00642086" w:rsidRDefault="003B1785" w:rsidP="00F9399B">
      <w:pPr>
        <w:pStyle w:val="enumlev1"/>
        <w:tabs>
          <w:tab w:val="clear" w:pos="794"/>
          <w:tab w:val="clear" w:pos="1191"/>
          <w:tab w:val="clear" w:pos="1588"/>
          <w:tab w:val="clear" w:pos="1985"/>
          <w:tab w:val="left" w:pos="0"/>
          <w:tab w:val="left" w:pos="709"/>
        </w:tabs>
        <w:spacing w:before="60" w:line="240" w:lineRule="auto"/>
        <w:ind w:left="0" w:firstLine="0"/>
        <w:jc w:val="lowKashida"/>
        <w:rPr>
          <w:rFonts w:eastAsia="Times New Roman"/>
          <w:sz w:val="18"/>
          <w:szCs w:val="18"/>
          <w:lang w:eastAsia="zh-CN"/>
        </w:rPr>
      </w:pPr>
      <w:r w:rsidRPr="00642086">
        <w:rPr>
          <w:sz w:val="18"/>
          <w:szCs w:val="18"/>
          <w:lang w:val="zh-CN" w:eastAsia="zh-CN"/>
        </w:rPr>
        <w:t>–</w:t>
      </w:r>
      <w:r w:rsidRPr="00642086">
        <w:rPr>
          <w:sz w:val="18"/>
          <w:szCs w:val="18"/>
          <w:lang w:val="zh-CN" w:eastAsia="zh-CN"/>
        </w:rPr>
        <w:tab/>
      </w:r>
      <w:r w:rsidR="00B65DE8" w:rsidRPr="00642086">
        <w:rPr>
          <w:sz w:val="18"/>
          <w:szCs w:val="18"/>
          <w:lang w:val="zh-CN" w:eastAsia="zh-CN"/>
        </w:rPr>
        <w:t>无线电规则委员会委员</w:t>
      </w:r>
    </w:p>
    <w:p w14:paraId="0C5EC8E2" w14:textId="4A714FE9" w:rsidR="00B65DE8" w:rsidRPr="00642086" w:rsidRDefault="003B1785" w:rsidP="00F9399B">
      <w:pPr>
        <w:pStyle w:val="enumlev1"/>
        <w:tabs>
          <w:tab w:val="clear" w:pos="794"/>
          <w:tab w:val="clear" w:pos="1191"/>
          <w:tab w:val="clear" w:pos="1588"/>
          <w:tab w:val="clear" w:pos="1985"/>
          <w:tab w:val="left" w:pos="0"/>
          <w:tab w:val="left" w:pos="709"/>
        </w:tabs>
        <w:spacing w:before="60" w:line="240" w:lineRule="auto"/>
        <w:ind w:left="0" w:firstLine="0"/>
        <w:jc w:val="lowKashida"/>
        <w:rPr>
          <w:sz w:val="18"/>
          <w:szCs w:val="18"/>
          <w:lang w:val="zh-CN" w:eastAsia="zh-CN"/>
        </w:rPr>
      </w:pPr>
      <w:r w:rsidRPr="00642086">
        <w:rPr>
          <w:sz w:val="18"/>
          <w:szCs w:val="18"/>
          <w:lang w:val="zh-CN" w:eastAsia="zh-CN"/>
        </w:rPr>
        <w:t>–</w:t>
      </w:r>
      <w:r w:rsidRPr="00642086">
        <w:rPr>
          <w:sz w:val="18"/>
          <w:szCs w:val="18"/>
          <w:lang w:val="zh-CN" w:eastAsia="zh-CN"/>
        </w:rPr>
        <w:tab/>
      </w:r>
      <w:r w:rsidR="00B65DE8" w:rsidRPr="00642086">
        <w:rPr>
          <w:sz w:val="18"/>
          <w:szCs w:val="18"/>
          <w:lang w:val="zh-CN" w:eastAsia="zh-CN"/>
        </w:rPr>
        <w:t>ITU-R</w:t>
      </w:r>
      <w:r w:rsidR="00B65DE8" w:rsidRPr="00642086">
        <w:rPr>
          <w:rFonts w:hint="eastAsia"/>
          <w:sz w:val="18"/>
          <w:szCs w:val="18"/>
          <w:lang w:val="zh-CN" w:eastAsia="zh-CN"/>
        </w:rPr>
        <w:t>部门成员</w:t>
      </w:r>
    </w:p>
    <w:p w14:paraId="47A3F4A9" w14:textId="0669A80E" w:rsidR="003B6421" w:rsidRDefault="003B6421">
      <w:pPr>
        <w:tabs>
          <w:tab w:val="clear" w:pos="794"/>
          <w:tab w:val="clear" w:pos="1191"/>
          <w:tab w:val="clear" w:pos="1588"/>
          <w:tab w:val="clear" w:pos="1985"/>
        </w:tabs>
        <w:overflowPunct/>
        <w:autoSpaceDE/>
        <w:autoSpaceDN/>
        <w:adjustRightInd/>
        <w:spacing w:before="0" w:line="240" w:lineRule="auto"/>
        <w:jc w:val="left"/>
        <w:textAlignment w:val="auto"/>
        <w:rPr>
          <w:rFonts w:asciiTheme="majorEastAsia" w:eastAsiaTheme="majorEastAsia" w:hAnsiTheme="majorEastAsia"/>
          <w:szCs w:val="24"/>
          <w:lang w:eastAsia="zh-CN"/>
        </w:rPr>
      </w:pPr>
      <w:r>
        <w:rPr>
          <w:rFonts w:asciiTheme="majorEastAsia" w:eastAsiaTheme="majorEastAsia" w:hAnsiTheme="majorEastAsia"/>
          <w:szCs w:val="24"/>
          <w:lang w:eastAsia="zh-CN"/>
        </w:rPr>
        <w:br w:type="page"/>
      </w:r>
    </w:p>
    <w:p w14:paraId="05FAE7A2" w14:textId="77777777" w:rsidR="003B6421" w:rsidRDefault="003B6421" w:rsidP="007518D7">
      <w:pPr>
        <w:pStyle w:val="AnnexNoTitle"/>
      </w:pPr>
      <w:r>
        <w:rPr>
          <w:lang w:val="zh-CN"/>
        </w:rPr>
        <w:lastRenderedPageBreak/>
        <w:t>附件</w:t>
      </w:r>
      <w:r w:rsidRPr="003B6421">
        <w:t>1</w:t>
      </w:r>
      <w:r w:rsidRPr="003B6421">
        <w:t>：</w:t>
      </w:r>
      <w:r>
        <w:rPr>
          <w:lang w:val="en-GB"/>
        </w:rPr>
        <w:t xml:space="preserve">ITU </w:t>
      </w:r>
      <w:proofErr w:type="spellStart"/>
      <w:r>
        <w:rPr>
          <w:lang w:val="en-GB"/>
        </w:rPr>
        <w:t>SpaceExplorer</w:t>
      </w:r>
      <w:r>
        <w:rPr>
          <w:lang w:val="zh-CN"/>
        </w:rPr>
        <w:t>简介</w:t>
      </w:r>
      <w:proofErr w:type="spellEnd"/>
    </w:p>
    <w:p w14:paraId="0594F0D5" w14:textId="59AE65BD" w:rsidR="003B6421" w:rsidRPr="002156A5" w:rsidRDefault="003B6421" w:rsidP="007518D7">
      <w:pPr>
        <w:tabs>
          <w:tab w:val="left" w:pos="900"/>
        </w:tabs>
        <w:spacing w:before="240"/>
        <w:ind w:firstLineChars="200" w:firstLine="482"/>
        <w:rPr>
          <w:rFonts w:eastAsia="Times New Roman"/>
          <w:szCs w:val="24"/>
          <w:lang w:eastAsia="zh-CN"/>
        </w:rPr>
      </w:pPr>
      <w:proofErr w:type="spellStart"/>
      <w:r w:rsidRPr="00482D96">
        <w:rPr>
          <w:b/>
          <w:bCs/>
          <w:lang w:val="zh-CN"/>
        </w:rPr>
        <w:t>在输入页面上</w:t>
      </w:r>
      <w:r w:rsidRPr="00482D96">
        <w:t>，</w:t>
      </w:r>
      <w:r>
        <w:rPr>
          <w:lang w:val="zh-CN"/>
        </w:rPr>
        <w:t>该应用程序可让您</w:t>
      </w:r>
      <w:proofErr w:type="spellEnd"/>
      <w:r w:rsidR="00FD7F1E" w:rsidRPr="00FD7F1E">
        <w:rPr>
          <w:rFonts w:hint="eastAsia"/>
          <w:lang w:eastAsia="zh-CN"/>
        </w:rPr>
        <w:t xml:space="preserve"> </w:t>
      </w:r>
      <w:r w:rsidR="007518D7">
        <w:rPr>
          <w:rFonts w:hint="eastAsia"/>
          <w:lang w:eastAsia="zh-CN"/>
        </w:rPr>
        <w:t>(</w:t>
      </w:r>
      <w:r w:rsidRPr="00482D96">
        <w:t>1</w:t>
      </w:r>
      <w:r w:rsidR="007518D7">
        <w:rPr>
          <w:rFonts w:hint="eastAsia"/>
          <w:lang w:eastAsia="zh-CN"/>
        </w:rPr>
        <w:t>)</w:t>
      </w:r>
      <w:r w:rsidR="00FD7F1E">
        <w:rPr>
          <w:rFonts w:hint="eastAsia"/>
          <w:lang w:eastAsia="zh-CN"/>
        </w:rPr>
        <w:t xml:space="preserve"> </w:t>
      </w:r>
      <w:proofErr w:type="spellStart"/>
      <w:r>
        <w:rPr>
          <w:lang w:val="zh-CN"/>
        </w:rPr>
        <w:t>预先选择您希望</w:t>
      </w:r>
      <w:r>
        <w:rPr>
          <w:rFonts w:hint="eastAsia"/>
          <w:lang w:val="zh-CN"/>
        </w:rPr>
        <w:t>浏览</w:t>
      </w:r>
      <w:r>
        <w:rPr>
          <w:lang w:val="zh-CN"/>
        </w:rPr>
        <w:t>的数据库</w:t>
      </w:r>
      <w:r w:rsidRPr="00482D96">
        <w:t>（</w:t>
      </w:r>
      <w:r>
        <w:rPr>
          <w:lang w:val="zh-CN"/>
        </w:rPr>
        <w:t>蓝色显示</w:t>
      </w:r>
      <w:r>
        <w:rPr>
          <w:rFonts w:hint="eastAsia"/>
          <w:lang w:val="zh-CN"/>
        </w:rPr>
        <w:t>的</w:t>
      </w:r>
      <w:proofErr w:type="spellEnd"/>
      <w:r w:rsidR="00F9399B" w:rsidRPr="00F9399B">
        <w:rPr>
          <w:lang w:eastAsia="zh-CN"/>
        </w:rPr>
        <w:br/>
      </w:r>
      <w:r w:rsidRPr="00482D96">
        <w:rPr>
          <w:rFonts w:hint="eastAsia"/>
        </w:rPr>
        <w:t>“</w:t>
      </w:r>
      <w:r w:rsidRPr="0022195A">
        <w:rPr>
          <w:rFonts w:eastAsia="Times New Roman"/>
          <w:color w:val="00B0F0"/>
          <w:szCs w:val="24"/>
          <w:lang w:val="en-GB"/>
        </w:rPr>
        <w:t>Space Network</w:t>
      </w:r>
      <w:r>
        <w:rPr>
          <w:rFonts w:eastAsia="Times New Roman"/>
          <w:color w:val="00B0F0"/>
          <w:szCs w:val="24"/>
          <w:lang w:val="en-GB"/>
        </w:rPr>
        <w:t>s</w:t>
      </w:r>
      <w:r w:rsidRPr="0022195A">
        <w:rPr>
          <w:rFonts w:eastAsia="Times New Roman"/>
          <w:color w:val="00B0F0"/>
          <w:szCs w:val="24"/>
          <w:lang w:val="en-GB"/>
        </w:rPr>
        <w:t xml:space="preserve"> System (SNS</w:t>
      </w:r>
      <w:proofErr w:type="gramStart"/>
      <w:r w:rsidRPr="0022195A">
        <w:rPr>
          <w:rFonts w:eastAsia="Times New Roman"/>
          <w:color w:val="00B0F0"/>
          <w:szCs w:val="24"/>
          <w:lang w:val="en-GB"/>
        </w:rPr>
        <w:t>)</w:t>
      </w:r>
      <w:r w:rsidRPr="00482D96">
        <w:rPr>
          <w:rFonts w:hint="eastAsia"/>
        </w:rPr>
        <w:t>”（</w:t>
      </w:r>
      <w:proofErr w:type="spellStart"/>
      <w:proofErr w:type="gramEnd"/>
      <w:r>
        <w:rPr>
          <w:lang w:val="zh-CN"/>
        </w:rPr>
        <w:t>空间网络系统</w:t>
      </w:r>
      <w:r w:rsidRPr="00482D96">
        <w:t>（</w:t>
      </w:r>
      <w:r w:rsidRPr="00482D96">
        <w:t>SNS</w:t>
      </w:r>
      <w:proofErr w:type="spellEnd"/>
      <w:r w:rsidRPr="00482D96">
        <w:t>）</w:t>
      </w:r>
      <w:r w:rsidRPr="00482D96">
        <w:rPr>
          <w:rFonts w:hint="eastAsia"/>
        </w:rPr>
        <w:t>）</w:t>
      </w:r>
      <w:proofErr w:type="spellStart"/>
      <w:r>
        <w:rPr>
          <w:lang w:val="zh-CN"/>
        </w:rPr>
        <w:t>或红色显示</w:t>
      </w:r>
      <w:r>
        <w:rPr>
          <w:rFonts w:hint="eastAsia"/>
          <w:lang w:val="zh-CN"/>
        </w:rPr>
        <w:t>的</w:t>
      </w:r>
      <w:proofErr w:type="spellEnd"/>
      <w:r w:rsidRPr="00482D96">
        <w:rPr>
          <w:rFonts w:hint="eastAsia"/>
        </w:rPr>
        <w:t>“</w:t>
      </w:r>
      <w:r w:rsidRPr="0022195A">
        <w:rPr>
          <w:rFonts w:eastAsia="Times New Roman"/>
          <w:color w:val="C00000"/>
          <w:szCs w:val="24"/>
          <w:lang w:val="en-GB"/>
        </w:rPr>
        <w:t>BR Space Publication History</w:t>
      </w:r>
      <w:r w:rsidRPr="00482D96">
        <w:rPr>
          <w:rFonts w:hint="eastAsia"/>
        </w:rPr>
        <w:t>”（</w:t>
      </w:r>
      <w:proofErr w:type="spellStart"/>
      <w:r>
        <w:rPr>
          <w:lang w:val="zh-CN"/>
        </w:rPr>
        <w:t>无线电通信局空间出版物历史</w:t>
      </w:r>
      <w:proofErr w:type="spellEnd"/>
      <w:r w:rsidRPr="00482D96">
        <w:t>）</w:t>
      </w:r>
      <w:r>
        <w:rPr>
          <w:rFonts w:hint="eastAsia"/>
        </w:rPr>
        <w:t>；</w:t>
      </w:r>
      <w:proofErr w:type="spellStart"/>
      <w:r>
        <w:rPr>
          <w:lang w:val="zh-CN"/>
        </w:rPr>
        <w:t>之后</w:t>
      </w:r>
      <w:r w:rsidRPr="00482D96">
        <w:t>，</w:t>
      </w:r>
      <w:r>
        <w:rPr>
          <w:lang w:val="zh-CN"/>
        </w:rPr>
        <w:t>您可以</w:t>
      </w:r>
      <w:proofErr w:type="spellEnd"/>
      <w:r w:rsidR="00FD7F1E" w:rsidRPr="00FD7F1E">
        <w:rPr>
          <w:rFonts w:hint="eastAsia"/>
          <w:lang w:eastAsia="zh-CN"/>
        </w:rPr>
        <w:t xml:space="preserve"> </w:t>
      </w:r>
      <w:r w:rsidR="007518D7">
        <w:rPr>
          <w:rFonts w:hint="eastAsia"/>
          <w:lang w:eastAsia="zh-CN"/>
        </w:rPr>
        <w:t>(</w:t>
      </w:r>
      <w:r w:rsidRPr="00482D96">
        <w:t>2</w:t>
      </w:r>
      <w:r w:rsidR="007518D7">
        <w:rPr>
          <w:rFonts w:hint="eastAsia"/>
          <w:lang w:eastAsia="zh-CN"/>
        </w:rPr>
        <w:t>)</w:t>
      </w:r>
      <w:r w:rsidR="00FD7F1E">
        <w:rPr>
          <w:rFonts w:hint="eastAsia"/>
          <w:lang w:eastAsia="zh-CN"/>
        </w:rPr>
        <w:t xml:space="preserve"> </w:t>
      </w:r>
      <w:proofErr w:type="spellStart"/>
      <w:r>
        <w:rPr>
          <w:lang w:val="zh-CN"/>
        </w:rPr>
        <w:t>选择一个主管部门</w:t>
      </w:r>
      <w:proofErr w:type="spellEnd"/>
      <w:r w:rsidR="00F9399B">
        <w:rPr>
          <w:rFonts w:hint="eastAsia"/>
          <w:lang w:eastAsia="zh-CN"/>
        </w:rPr>
        <w:t>、</w:t>
      </w:r>
      <w:proofErr w:type="spellStart"/>
      <w:r>
        <w:rPr>
          <w:lang w:val="zh-CN"/>
        </w:rPr>
        <w:t>国际组织和</w:t>
      </w:r>
      <w:proofErr w:type="spellEnd"/>
      <w:r w:rsidRPr="00482D96">
        <w:t>/</w:t>
      </w:r>
      <w:proofErr w:type="spellStart"/>
      <w:r>
        <w:rPr>
          <w:lang w:val="zh-CN"/>
        </w:rPr>
        <w:t>或卫星网络</w:t>
      </w:r>
      <w:r w:rsidRPr="00482D96">
        <w:t>，</w:t>
      </w:r>
      <w:r>
        <w:rPr>
          <w:lang w:val="zh-CN"/>
        </w:rPr>
        <w:t>然后</w:t>
      </w:r>
      <w:proofErr w:type="spellEnd"/>
      <w:r w:rsidR="00FD7F1E" w:rsidRPr="00FD7F1E">
        <w:rPr>
          <w:rFonts w:hint="eastAsia"/>
          <w:lang w:eastAsia="zh-CN"/>
        </w:rPr>
        <w:t xml:space="preserve"> </w:t>
      </w:r>
      <w:r w:rsidR="007518D7">
        <w:rPr>
          <w:rFonts w:hint="eastAsia"/>
          <w:lang w:eastAsia="zh-CN"/>
        </w:rPr>
        <w:t>(</w:t>
      </w:r>
      <w:r w:rsidRPr="00482D96">
        <w:t>3</w:t>
      </w:r>
      <w:r w:rsidR="007518D7">
        <w:rPr>
          <w:rFonts w:hint="eastAsia"/>
          <w:lang w:eastAsia="zh-CN"/>
        </w:rPr>
        <w:t>)</w:t>
      </w:r>
      <w:r w:rsidR="00FD7F1E">
        <w:rPr>
          <w:rFonts w:hint="eastAsia"/>
          <w:lang w:eastAsia="zh-CN"/>
        </w:rPr>
        <w:t xml:space="preserve"> </w:t>
      </w:r>
      <w:proofErr w:type="spellStart"/>
      <w:r>
        <w:rPr>
          <w:lang w:val="zh-CN"/>
        </w:rPr>
        <w:t>点击获取相应的空间电台、地球站、射电天文电台清单或最新</w:t>
      </w:r>
      <w:r w:rsidRPr="00482D96">
        <w:t>BR</w:t>
      </w:r>
      <w:proofErr w:type="spellEnd"/>
      <w:r w:rsidRPr="00482D96">
        <w:t xml:space="preserve"> </w:t>
      </w:r>
      <w:proofErr w:type="spellStart"/>
      <w:r w:rsidRPr="00482D96">
        <w:t>IFIC</w:t>
      </w:r>
      <w:r>
        <w:rPr>
          <w:lang w:val="zh-CN"/>
        </w:rPr>
        <w:t>出版物清单</w:t>
      </w:r>
      <w:proofErr w:type="spellEnd"/>
      <w:r>
        <w:rPr>
          <w:lang w:val="zh-CN"/>
        </w:rPr>
        <w:t>。</w:t>
      </w:r>
      <w:r>
        <w:rPr>
          <w:lang w:val="zh-CN" w:eastAsia="zh-CN"/>
        </w:rPr>
        <w:t>如果已知</w:t>
      </w:r>
      <w:r>
        <w:rPr>
          <w:lang w:val="zh-CN" w:eastAsia="zh-CN"/>
        </w:rPr>
        <w:t>SNS</w:t>
      </w:r>
      <w:r>
        <w:rPr>
          <w:lang w:val="zh-CN" w:eastAsia="zh-CN"/>
        </w:rPr>
        <w:t>通知标识，则可以输入该标识并直接</w:t>
      </w:r>
      <w:r w:rsidR="00FD7F1E">
        <w:rPr>
          <w:rFonts w:hint="eastAsia"/>
          <w:lang w:val="zh-CN" w:eastAsia="zh-CN"/>
        </w:rPr>
        <w:t xml:space="preserve"> </w:t>
      </w:r>
      <w:r w:rsidR="007518D7">
        <w:rPr>
          <w:rFonts w:hint="eastAsia"/>
          <w:lang w:eastAsia="zh-CN"/>
        </w:rPr>
        <w:t>(</w:t>
      </w:r>
      <w:r>
        <w:rPr>
          <w:lang w:val="zh-CN" w:eastAsia="zh-CN"/>
        </w:rPr>
        <w:t>4</w:t>
      </w:r>
      <w:r w:rsidR="007518D7">
        <w:rPr>
          <w:rFonts w:hint="eastAsia"/>
          <w:lang w:eastAsia="zh-CN"/>
        </w:rPr>
        <w:t>)</w:t>
      </w:r>
      <w:r w:rsidR="00FD7F1E">
        <w:rPr>
          <w:rFonts w:hint="eastAsia"/>
          <w:lang w:eastAsia="zh-CN"/>
        </w:rPr>
        <w:t xml:space="preserve"> </w:t>
      </w:r>
      <w:r>
        <w:rPr>
          <w:lang w:val="zh-CN" w:eastAsia="zh-CN"/>
        </w:rPr>
        <w:t>以</w:t>
      </w:r>
      <w:r>
        <w:rPr>
          <w:rFonts w:hint="eastAsia"/>
          <w:lang w:val="zh-CN" w:eastAsia="zh-CN"/>
        </w:rPr>
        <w:t>信息概览</w:t>
      </w:r>
      <w:r>
        <w:rPr>
          <w:lang w:val="zh-CN" w:eastAsia="zh-CN"/>
        </w:rPr>
        <w:t>的形式</w:t>
      </w:r>
      <w:r>
        <w:rPr>
          <w:rFonts w:hint="eastAsia"/>
          <w:lang w:val="zh-CN" w:eastAsia="zh-CN"/>
        </w:rPr>
        <w:t>获取</w:t>
      </w:r>
      <w:r>
        <w:rPr>
          <w:lang w:val="zh-CN" w:eastAsia="zh-CN"/>
        </w:rPr>
        <w:t>数据，该信息</w:t>
      </w:r>
      <w:r>
        <w:rPr>
          <w:rFonts w:hint="eastAsia"/>
          <w:lang w:val="zh-CN" w:eastAsia="zh-CN"/>
        </w:rPr>
        <w:t>概览</w:t>
      </w:r>
      <w:r>
        <w:rPr>
          <w:lang w:val="zh-CN" w:eastAsia="zh-CN"/>
        </w:rPr>
        <w:t>将在单独的网页上打开。</w:t>
      </w:r>
    </w:p>
    <w:p w14:paraId="3DE7D556" w14:textId="77777777" w:rsidR="003B6421" w:rsidRDefault="003B6421" w:rsidP="003B6421">
      <w:pPr>
        <w:pStyle w:val="enumlev1"/>
        <w:tabs>
          <w:tab w:val="clear" w:pos="794"/>
          <w:tab w:val="clear" w:pos="1191"/>
          <w:tab w:val="clear" w:pos="1588"/>
          <w:tab w:val="clear" w:pos="1985"/>
          <w:tab w:val="left" w:pos="0"/>
          <w:tab w:val="left" w:pos="900"/>
        </w:tabs>
        <w:spacing w:before="100" w:beforeAutospacing="1" w:line="240" w:lineRule="auto"/>
        <w:jc w:val="center"/>
        <w:rPr>
          <w:rFonts w:eastAsia="Times New Roman"/>
          <w:b/>
          <w:bCs/>
          <w:szCs w:val="24"/>
          <w:lang w:val="en-GB" w:eastAsia="zh-CN"/>
        </w:rPr>
      </w:pPr>
      <w:r>
        <w:rPr>
          <w:rFonts w:eastAsia="Times New Roman"/>
          <w:b/>
          <w:bCs/>
          <w:noProof/>
          <w:szCs w:val="24"/>
          <w:lang w:val="en-GB"/>
        </w:rPr>
        <w:drawing>
          <wp:inline distT="0" distB="0" distL="0" distR="0" wp14:anchorId="3CB8C309" wp14:editId="27CC3481">
            <wp:extent cx="3029964" cy="1870436"/>
            <wp:effectExtent l="0" t="0" r="0" b="0"/>
            <wp:docPr id="1215103550"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103550" name="Picture 4" descr="A screenshot of a computer&#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6931" cy="1893256"/>
                    </a:xfrm>
                    <a:prstGeom prst="rect">
                      <a:avLst/>
                    </a:prstGeom>
                    <a:noFill/>
                    <a:ln>
                      <a:noFill/>
                    </a:ln>
                  </pic:spPr>
                </pic:pic>
              </a:graphicData>
            </a:graphic>
          </wp:inline>
        </w:drawing>
      </w:r>
      <w:r>
        <w:rPr>
          <w:rFonts w:eastAsia="Times New Roman"/>
          <w:b/>
          <w:bCs/>
          <w:szCs w:val="24"/>
          <w:lang w:val="en-GB" w:eastAsia="zh-CN"/>
        </w:rPr>
        <w:t xml:space="preserve">  </w:t>
      </w:r>
      <w:r>
        <w:rPr>
          <w:rFonts w:eastAsia="Times New Roman"/>
          <w:b/>
          <w:bCs/>
          <w:noProof/>
          <w:szCs w:val="24"/>
          <w:lang w:val="en-GB"/>
        </w:rPr>
        <w:drawing>
          <wp:inline distT="0" distB="0" distL="0" distR="0" wp14:anchorId="1BA2F38E" wp14:editId="6006F8DA">
            <wp:extent cx="3011025" cy="1888317"/>
            <wp:effectExtent l="0" t="0" r="0" b="0"/>
            <wp:docPr id="858871043"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871043" name="Picture 3" descr="A screenshot of a compute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7200" cy="1904732"/>
                    </a:xfrm>
                    <a:prstGeom prst="rect">
                      <a:avLst/>
                    </a:prstGeom>
                    <a:noFill/>
                    <a:ln>
                      <a:noFill/>
                    </a:ln>
                  </pic:spPr>
                </pic:pic>
              </a:graphicData>
            </a:graphic>
          </wp:inline>
        </w:drawing>
      </w:r>
      <w:r>
        <w:rPr>
          <w:rFonts w:eastAsia="Times New Roman"/>
          <w:b/>
          <w:bCs/>
          <w:szCs w:val="24"/>
          <w:lang w:val="en-GB" w:eastAsia="zh-CN"/>
        </w:rPr>
        <w:t xml:space="preserve"> </w:t>
      </w:r>
    </w:p>
    <w:p w14:paraId="01F01E0C" w14:textId="77777777" w:rsidR="003B6421" w:rsidRDefault="003B6421" w:rsidP="00FD7F1E">
      <w:pPr>
        <w:tabs>
          <w:tab w:val="left" w:pos="900"/>
        </w:tabs>
        <w:spacing w:before="240"/>
        <w:ind w:firstLineChars="200" w:firstLine="482"/>
        <w:rPr>
          <w:rFonts w:eastAsia="Times New Roman"/>
          <w:szCs w:val="24"/>
          <w:lang w:eastAsia="zh-CN"/>
        </w:rPr>
      </w:pPr>
      <w:r w:rsidRPr="00482D96">
        <w:rPr>
          <w:b/>
          <w:bCs/>
          <w:lang w:val="zh-CN" w:eastAsia="zh-CN"/>
        </w:rPr>
        <w:t>在</w:t>
      </w:r>
      <w:r w:rsidRPr="00482D96">
        <w:rPr>
          <w:rFonts w:hint="eastAsia"/>
          <w:b/>
          <w:bCs/>
          <w:lang w:val="zh-CN" w:eastAsia="zh-CN"/>
        </w:rPr>
        <w:t>清单</w:t>
      </w:r>
      <w:r w:rsidRPr="00482D96">
        <w:rPr>
          <w:b/>
          <w:bCs/>
          <w:lang w:val="zh-CN" w:eastAsia="zh-CN"/>
        </w:rPr>
        <w:t>页上</w:t>
      </w:r>
      <w:r>
        <w:rPr>
          <w:lang w:val="zh-CN" w:eastAsia="zh-CN"/>
        </w:rPr>
        <w:t>，可以使用过滤器来获得更具体的结果。列可以排序。</w:t>
      </w:r>
      <w:r>
        <w:rPr>
          <w:rFonts w:hint="eastAsia"/>
          <w:lang w:val="zh-CN" w:eastAsia="zh-CN"/>
        </w:rPr>
        <w:t>清单</w:t>
      </w:r>
      <w:r>
        <w:rPr>
          <w:lang w:val="zh-CN" w:eastAsia="zh-CN"/>
        </w:rPr>
        <w:t>中的数据可以导出，选择环境可以保存在</w:t>
      </w:r>
      <w:r>
        <w:rPr>
          <w:rFonts w:hint="eastAsia"/>
          <w:lang w:val="zh-CN" w:eastAsia="zh-CN"/>
        </w:rPr>
        <w:t>“</w:t>
      </w:r>
      <w:r>
        <w:rPr>
          <w:lang w:val="zh-CN" w:eastAsia="zh-CN"/>
        </w:rPr>
        <w:t>MyExplorer</w:t>
      </w:r>
      <w:r>
        <w:rPr>
          <w:rFonts w:hint="eastAsia"/>
          <w:lang w:val="zh-CN" w:eastAsia="zh-CN"/>
        </w:rPr>
        <w:t>”</w:t>
      </w:r>
      <w:r>
        <w:rPr>
          <w:lang w:val="zh-CN" w:eastAsia="zh-CN"/>
        </w:rPr>
        <w:t>中，以便在以后的</w:t>
      </w:r>
      <w:r>
        <w:rPr>
          <w:rFonts w:hint="eastAsia"/>
          <w:lang w:val="zh-CN" w:eastAsia="zh-CN"/>
        </w:rPr>
        <w:t>浏览</w:t>
      </w:r>
      <w:r>
        <w:rPr>
          <w:lang w:val="zh-CN" w:eastAsia="zh-CN"/>
        </w:rPr>
        <w:t>中重复使用。</w:t>
      </w:r>
    </w:p>
    <w:p w14:paraId="73BD6D66" w14:textId="77777777" w:rsidR="003B6421" w:rsidRPr="002156A5" w:rsidRDefault="003B6421" w:rsidP="00FD7F1E">
      <w:pPr>
        <w:tabs>
          <w:tab w:val="left" w:pos="900"/>
        </w:tabs>
        <w:spacing w:before="240"/>
        <w:ind w:firstLineChars="200" w:firstLine="480"/>
        <w:rPr>
          <w:rFonts w:eastAsia="Times New Roman"/>
          <w:szCs w:val="24"/>
          <w:lang w:eastAsia="zh-CN"/>
        </w:rPr>
      </w:pPr>
      <w:r>
        <w:rPr>
          <w:lang w:val="zh-CN" w:eastAsia="zh-CN"/>
        </w:rPr>
        <w:t>在</w:t>
      </w:r>
      <w:r>
        <w:rPr>
          <w:rFonts w:hint="eastAsia"/>
          <w:lang w:val="zh-CN" w:eastAsia="zh-CN"/>
        </w:rPr>
        <w:t>清单</w:t>
      </w:r>
      <w:r>
        <w:rPr>
          <w:lang w:val="zh-CN" w:eastAsia="zh-CN"/>
        </w:rPr>
        <w:t>部分，第一列允许访问</w:t>
      </w:r>
      <w:r>
        <w:rPr>
          <w:rFonts w:hint="eastAsia"/>
          <w:lang w:val="zh-CN" w:eastAsia="zh-CN"/>
        </w:rPr>
        <w:t>信息概览</w:t>
      </w:r>
      <w:r>
        <w:rPr>
          <w:lang w:val="zh-CN" w:eastAsia="zh-CN"/>
        </w:rPr>
        <w:t>形式的单独网页中的通知数据。</w:t>
      </w:r>
    </w:p>
    <w:p w14:paraId="451AE75B" w14:textId="77777777" w:rsidR="003B6421" w:rsidRDefault="003B6421" w:rsidP="003B6421">
      <w:pPr>
        <w:pStyle w:val="enumlev1"/>
        <w:tabs>
          <w:tab w:val="clear" w:pos="794"/>
          <w:tab w:val="clear" w:pos="1191"/>
          <w:tab w:val="clear" w:pos="1588"/>
          <w:tab w:val="clear" w:pos="1985"/>
          <w:tab w:val="left" w:pos="0"/>
          <w:tab w:val="left" w:pos="900"/>
        </w:tabs>
        <w:spacing w:before="100" w:beforeAutospacing="1" w:line="240" w:lineRule="auto"/>
        <w:jc w:val="center"/>
        <w:rPr>
          <w:rFonts w:eastAsia="Times New Roman"/>
          <w:b/>
          <w:bCs/>
          <w:szCs w:val="24"/>
          <w:lang w:val="en-GB"/>
        </w:rPr>
      </w:pPr>
      <w:r>
        <w:rPr>
          <w:rFonts w:eastAsia="Times New Roman"/>
          <w:b/>
          <w:bCs/>
          <w:noProof/>
          <w:szCs w:val="24"/>
          <w:lang w:val="en-GB"/>
        </w:rPr>
        <w:drawing>
          <wp:inline distT="0" distB="0" distL="0" distR="0" wp14:anchorId="512918A7" wp14:editId="0685A1AF">
            <wp:extent cx="6200140" cy="3256280"/>
            <wp:effectExtent l="19050" t="19050" r="10160" b="20320"/>
            <wp:docPr id="805677667"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677667" name="Picture 5" descr="A screenshot of a comput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00140" cy="3256280"/>
                    </a:xfrm>
                    <a:prstGeom prst="rect">
                      <a:avLst/>
                    </a:prstGeom>
                    <a:noFill/>
                    <a:ln>
                      <a:solidFill>
                        <a:schemeClr val="bg1">
                          <a:lumMod val="85000"/>
                        </a:schemeClr>
                      </a:solidFill>
                    </a:ln>
                  </pic:spPr>
                </pic:pic>
              </a:graphicData>
            </a:graphic>
          </wp:inline>
        </w:drawing>
      </w:r>
    </w:p>
    <w:p w14:paraId="342A5DDC" w14:textId="77777777" w:rsidR="003B6421" w:rsidRDefault="003B6421" w:rsidP="003B6421">
      <w:pPr>
        <w:pStyle w:val="enumlev1"/>
        <w:tabs>
          <w:tab w:val="clear" w:pos="794"/>
          <w:tab w:val="clear" w:pos="1191"/>
          <w:tab w:val="clear" w:pos="1588"/>
          <w:tab w:val="clear" w:pos="1985"/>
          <w:tab w:val="left" w:pos="0"/>
          <w:tab w:val="left" w:pos="900"/>
        </w:tabs>
        <w:spacing w:before="100" w:beforeAutospacing="1" w:line="240" w:lineRule="auto"/>
        <w:jc w:val="center"/>
        <w:rPr>
          <w:rFonts w:eastAsia="Times New Roman"/>
          <w:b/>
          <w:bCs/>
          <w:szCs w:val="24"/>
          <w:lang w:val="en-GB"/>
        </w:rPr>
      </w:pPr>
      <w:r>
        <w:rPr>
          <w:rFonts w:eastAsia="Times New Roman"/>
          <w:b/>
          <w:bCs/>
          <w:noProof/>
          <w:szCs w:val="24"/>
          <w:lang w:val="en-GB"/>
        </w:rPr>
        <w:lastRenderedPageBreak/>
        <w:drawing>
          <wp:inline distT="0" distB="0" distL="0" distR="0" wp14:anchorId="11352CD9" wp14:editId="4F986BEC">
            <wp:extent cx="6204585" cy="4333875"/>
            <wp:effectExtent l="19050" t="19050" r="24765" b="28575"/>
            <wp:docPr id="1813383110"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383110" name="Picture 6" descr="A screenshot of a compute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04585" cy="4333875"/>
                    </a:xfrm>
                    <a:prstGeom prst="rect">
                      <a:avLst/>
                    </a:prstGeom>
                    <a:noFill/>
                    <a:ln>
                      <a:solidFill>
                        <a:schemeClr val="bg1">
                          <a:lumMod val="85000"/>
                        </a:schemeClr>
                      </a:solidFill>
                    </a:ln>
                  </pic:spPr>
                </pic:pic>
              </a:graphicData>
            </a:graphic>
          </wp:inline>
        </w:drawing>
      </w:r>
    </w:p>
    <w:p w14:paraId="585F858E" w14:textId="77777777" w:rsidR="003B6421" w:rsidRPr="002156A5" w:rsidRDefault="003B6421" w:rsidP="00C62572">
      <w:pPr>
        <w:tabs>
          <w:tab w:val="left" w:pos="900"/>
        </w:tabs>
        <w:spacing w:before="240"/>
        <w:ind w:firstLineChars="200" w:firstLine="482"/>
        <w:rPr>
          <w:rFonts w:eastAsia="Times New Roman"/>
          <w:szCs w:val="24"/>
          <w:lang w:eastAsia="zh-CN"/>
        </w:rPr>
      </w:pPr>
      <w:r w:rsidRPr="00482D96">
        <w:rPr>
          <w:rFonts w:hint="eastAsia"/>
          <w:b/>
          <w:bCs/>
          <w:lang w:val="zh-CN" w:eastAsia="zh-CN"/>
        </w:rPr>
        <w:t>信息概览</w:t>
      </w:r>
      <w:r w:rsidRPr="00482D96">
        <w:rPr>
          <w:b/>
          <w:bCs/>
          <w:lang w:val="zh-CN" w:eastAsia="zh-CN"/>
        </w:rPr>
        <w:t>页面</w:t>
      </w:r>
      <w:r>
        <w:rPr>
          <w:lang w:val="zh-CN" w:eastAsia="zh-CN"/>
        </w:rPr>
        <w:t>包含卫星网络或系统</w:t>
      </w:r>
      <w:r>
        <w:rPr>
          <w:rFonts w:hint="eastAsia"/>
          <w:lang w:val="zh-CN" w:eastAsia="zh-CN"/>
        </w:rPr>
        <w:t>，</w:t>
      </w:r>
      <w:r>
        <w:rPr>
          <w:lang w:val="zh-CN" w:eastAsia="zh-CN"/>
        </w:rPr>
        <w:t>或者地球站</w:t>
      </w:r>
      <w:r>
        <w:rPr>
          <w:rFonts w:hint="eastAsia"/>
          <w:lang w:val="zh-CN" w:eastAsia="zh-CN"/>
        </w:rPr>
        <w:t>，</w:t>
      </w:r>
      <w:r>
        <w:rPr>
          <w:lang w:val="zh-CN" w:eastAsia="zh-CN"/>
        </w:rPr>
        <w:t>或射电天文</w:t>
      </w:r>
      <w:r>
        <w:rPr>
          <w:rFonts w:hint="eastAsia"/>
          <w:lang w:val="zh-CN" w:eastAsia="zh-CN"/>
        </w:rPr>
        <w:t>台站</w:t>
      </w:r>
      <w:r>
        <w:rPr>
          <w:lang w:val="zh-CN" w:eastAsia="zh-CN"/>
        </w:rPr>
        <w:t>的详细数据。它显示卡片，这些卡片可以扩展以查看数据的详细信息。</w:t>
      </w:r>
    </w:p>
    <w:p w14:paraId="6393811C" w14:textId="6F2A4616" w:rsidR="003B6421" w:rsidRDefault="003B6421" w:rsidP="00C62572">
      <w:pPr>
        <w:pStyle w:val="enumlev1"/>
        <w:tabs>
          <w:tab w:val="clear" w:pos="794"/>
          <w:tab w:val="clear" w:pos="1191"/>
          <w:tab w:val="clear" w:pos="1588"/>
          <w:tab w:val="clear" w:pos="1985"/>
          <w:tab w:val="left" w:pos="0"/>
          <w:tab w:val="left" w:pos="900"/>
        </w:tabs>
        <w:spacing w:before="100" w:beforeAutospacing="1" w:line="240" w:lineRule="auto"/>
        <w:jc w:val="center"/>
        <w:rPr>
          <w:rFonts w:eastAsia="Times New Roman"/>
          <w:b/>
          <w:bCs/>
          <w:szCs w:val="24"/>
          <w:lang w:val="en-GB"/>
        </w:rPr>
      </w:pPr>
      <w:r>
        <w:rPr>
          <w:rFonts w:eastAsia="Times New Roman"/>
          <w:b/>
          <w:bCs/>
          <w:noProof/>
          <w:szCs w:val="24"/>
          <w:lang w:val="en-GB"/>
        </w:rPr>
        <w:drawing>
          <wp:inline distT="0" distB="0" distL="0" distR="0" wp14:anchorId="491D0BDB" wp14:editId="2571232A">
            <wp:extent cx="2959200" cy="3996000"/>
            <wp:effectExtent l="19050" t="19050" r="12700" b="24130"/>
            <wp:docPr id="1174473351" name="Picture 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473351" name="Picture 8" descr="A screenshot of a computer&#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9200" cy="3996000"/>
                    </a:xfrm>
                    <a:prstGeom prst="rect">
                      <a:avLst/>
                    </a:prstGeom>
                    <a:noFill/>
                    <a:ln>
                      <a:solidFill>
                        <a:schemeClr val="bg1">
                          <a:lumMod val="85000"/>
                        </a:schemeClr>
                      </a:solidFill>
                    </a:ln>
                  </pic:spPr>
                </pic:pic>
              </a:graphicData>
            </a:graphic>
          </wp:inline>
        </w:drawing>
      </w:r>
      <w:r>
        <w:rPr>
          <w:rFonts w:eastAsia="Times New Roman"/>
          <w:b/>
          <w:bCs/>
          <w:szCs w:val="24"/>
          <w:lang w:val="en-GB"/>
        </w:rPr>
        <w:t xml:space="preserve">    </w:t>
      </w:r>
      <w:r>
        <w:rPr>
          <w:rFonts w:eastAsia="Times New Roman"/>
          <w:b/>
          <w:bCs/>
          <w:noProof/>
          <w:szCs w:val="24"/>
          <w:lang w:val="en-GB"/>
        </w:rPr>
        <w:drawing>
          <wp:inline distT="0" distB="0" distL="0" distR="0" wp14:anchorId="4D7839F4" wp14:editId="005EC15A">
            <wp:extent cx="2934000" cy="4118400"/>
            <wp:effectExtent l="19050" t="19050" r="19050" b="15875"/>
            <wp:docPr id="1911527102"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527102" name="Picture 7" descr="A screenshot of a computer&#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34000" cy="4118400"/>
                    </a:xfrm>
                    <a:prstGeom prst="rect">
                      <a:avLst/>
                    </a:prstGeom>
                    <a:noFill/>
                    <a:ln>
                      <a:solidFill>
                        <a:schemeClr val="bg1">
                          <a:lumMod val="85000"/>
                        </a:schemeClr>
                      </a:solidFill>
                    </a:ln>
                  </pic:spPr>
                </pic:pic>
              </a:graphicData>
            </a:graphic>
          </wp:inline>
        </w:drawing>
      </w:r>
    </w:p>
    <w:p w14:paraId="2CCCF7EC" w14:textId="1602FCC0" w:rsidR="003B6421" w:rsidRPr="00EC2271" w:rsidRDefault="003B6421" w:rsidP="00ED5524">
      <w:pPr>
        <w:pStyle w:val="AnnexNoTitle"/>
      </w:pPr>
      <w:r w:rsidRPr="00CF4C06">
        <w:rPr>
          <w:color w:val="0070C0"/>
          <w:lang w:val="en-GB"/>
        </w:rPr>
        <w:br w:type="page"/>
      </w:r>
      <w:proofErr w:type="spellStart"/>
      <w:r>
        <w:rPr>
          <w:lang w:val="zh-CN"/>
        </w:rPr>
        <w:lastRenderedPageBreak/>
        <w:t>附件</w:t>
      </w:r>
      <w:proofErr w:type="spellEnd"/>
      <w:r>
        <w:rPr>
          <w:lang w:val="zh-CN"/>
        </w:rPr>
        <w:t>2</w:t>
      </w:r>
      <w:r>
        <w:rPr>
          <w:lang w:val="zh-CN"/>
        </w:rPr>
        <w:t>：</w:t>
      </w:r>
      <w:r>
        <w:rPr>
          <w:lang w:val="en-GB"/>
        </w:rPr>
        <w:t xml:space="preserve">ITU </w:t>
      </w:r>
      <w:proofErr w:type="spellStart"/>
      <w:r>
        <w:rPr>
          <w:lang w:val="en-GB"/>
        </w:rPr>
        <w:t>SpaceExplorer</w:t>
      </w:r>
      <w:proofErr w:type="spellEnd"/>
      <w:r>
        <w:rPr>
          <w:lang w:val="zh-CN"/>
        </w:rPr>
        <w:t xml:space="preserve"> &gt; Special Explorer &gt;</w:t>
      </w:r>
      <w:r w:rsidRPr="00482D96">
        <w:rPr>
          <w:lang w:val="en-GB"/>
        </w:rPr>
        <w:t xml:space="preserve"> </w:t>
      </w:r>
      <w:r w:rsidR="00EC2271">
        <w:rPr>
          <w:lang w:val="en-GB"/>
        </w:rPr>
        <w:br/>
      </w:r>
      <w:r w:rsidRPr="008A08FB">
        <w:rPr>
          <w:lang w:val="en-GB"/>
        </w:rPr>
        <w:t>Application of Radio Regulations Article 4.4</w:t>
      </w:r>
      <w:r>
        <w:rPr>
          <w:rFonts w:ascii="SimSun" w:hAnsi="SimSun" w:cs="SimSun" w:hint="eastAsia"/>
          <w:lang w:val="en-GB"/>
        </w:rPr>
        <w:t>（</w:t>
      </w:r>
      <w:r>
        <w:rPr>
          <w:lang w:val="zh-CN"/>
        </w:rPr>
        <w:t>《</w:t>
      </w:r>
      <w:proofErr w:type="spellStart"/>
      <w:r>
        <w:rPr>
          <w:lang w:val="zh-CN"/>
        </w:rPr>
        <w:t>无线电规则》第</w:t>
      </w:r>
      <w:proofErr w:type="spellEnd"/>
      <w:r>
        <w:rPr>
          <w:lang w:val="zh-CN"/>
        </w:rPr>
        <w:t>4.4</w:t>
      </w:r>
      <w:proofErr w:type="spellStart"/>
      <w:r>
        <w:rPr>
          <w:lang w:val="zh-CN"/>
        </w:rPr>
        <w:t>条的实施</w:t>
      </w:r>
      <w:proofErr w:type="spellEnd"/>
      <w:r>
        <w:rPr>
          <w:rFonts w:hint="eastAsia"/>
          <w:lang w:val="zh-CN"/>
        </w:rPr>
        <w:t>）</w:t>
      </w:r>
    </w:p>
    <w:p w14:paraId="4E4FF006" w14:textId="77777777" w:rsidR="003B6421" w:rsidRPr="005D648A" w:rsidRDefault="003B6421" w:rsidP="00EC2271">
      <w:pPr>
        <w:tabs>
          <w:tab w:val="left" w:pos="900"/>
        </w:tabs>
        <w:spacing w:before="240"/>
        <w:ind w:firstLineChars="200" w:firstLine="480"/>
        <w:rPr>
          <w:rFonts w:eastAsia="Times New Roman"/>
          <w:szCs w:val="24"/>
          <w:lang w:eastAsia="zh-CN"/>
        </w:rPr>
      </w:pPr>
      <w:r>
        <w:rPr>
          <w:lang w:val="zh-CN" w:eastAsia="zh-CN"/>
        </w:rPr>
        <w:t>此功能允许您搜索适用《无线电规则》第</w:t>
      </w:r>
      <w:r>
        <w:rPr>
          <w:lang w:val="zh-CN" w:eastAsia="zh-CN"/>
        </w:rPr>
        <w:t>4.4</w:t>
      </w:r>
      <w:r>
        <w:rPr>
          <w:rFonts w:hint="eastAsia"/>
          <w:lang w:val="zh-CN" w:eastAsia="zh-CN"/>
        </w:rPr>
        <w:t>款的指配</w:t>
      </w:r>
      <w:r>
        <w:rPr>
          <w:lang w:val="zh-CN" w:eastAsia="zh-CN"/>
        </w:rPr>
        <w:t>。最后一栏是一个链接，用于在新选项卡中打开卫星网络或系统</w:t>
      </w:r>
      <w:r>
        <w:rPr>
          <w:rFonts w:hint="eastAsia"/>
          <w:lang w:val="zh-CN" w:eastAsia="zh-CN"/>
        </w:rPr>
        <w:t>，</w:t>
      </w:r>
      <w:r>
        <w:rPr>
          <w:lang w:val="zh-CN" w:eastAsia="zh-CN"/>
        </w:rPr>
        <w:t>或地球</w:t>
      </w:r>
      <w:r>
        <w:rPr>
          <w:rFonts w:hint="eastAsia"/>
          <w:lang w:val="zh-CN" w:eastAsia="zh-CN"/>
        </w:rPr>
        <w:t>站，</w:t>
      </w:r>
      <w:r>
        <w:rPr>
          <w:lang w:val="zh-CN" w:eastAsia="zh-CN"/>
        </w:rPr>
        <w:t>或射电天文台</w:t>
      </w:r>
      <w:r>
        <w:rPr>
          <w:rFonts w:hint="eastAsia"/>
          <w:lang w:val="zh-CN" w:eastAsia="zh-CN"/>
        </w:rPr>
        <w:t>站</w:t>
      </w:r>
      <w:r>
        <w:rPr>
          <w:lang w:val="zh-CN" w:eastAsia="zh-CN"/>
        </w:rPr>
        <w:t>的</w:t>
      </w:r>
      <w:r>
        <w:rPr>
          <w:rFonts w:hint="eastAsia"/>
          <w:lang w:val="zh-CN" w:eastAsia="zh-CN"/>
        </w:rPr>
        <w:t>信息概览</w:t>
      </w:r>
      <w:r>
        <w:rPr>
          <w:lang w:val="zh-CN" w:eastAsia="zh-CN"/>
        </w:rPr>
        <w:t>，了解各频段</w:t>
      </w:r>
      <w:r>
        <w:rPr>
          <w:rFonts w:hint="eastAsia"/>
          <w:lang w:val="zh-CN" w:eastAsia="zh-CN"/>
        </w:rPr>
        <w:t>现状</w:t>
      </w:r>
      <w:r>
        <w:rPr>
          <w:lang w:val="zh-CN" w:eastAsia="zh-CN"/>
        </w:rPr>
        <w:t>的详细信息。</w:t>
      </w:r>
    </w:p>
    <w:p w14:paraId="6BB80778" w14:textId="77777777" w:rsidR="003B6421" w:rsidRDefault="003B6421" w:rsidP="003B6421">
      <w:pPr>
        <w:pStyle w:val="enumlev1"/>
        <w:tabs>
          <w:tab w:val="clear" w:pos="794"/>
          <w:tab w:val="clear" w:pos="1191"/>
          <w:tab w:val="clear" w:pos="1588"/>
          <w:tab w:val="clear" w:pos="1985"/>
          <w:tab w:val="left" w:pos="0"/>
          <w:tab w:val="left" w:pos="900"/>
        </w:tabs>
        <w:spacing w:before="100" w:beforeAutospacing="1" w:line="240" w:lineRule="auto"/>
        <w:jc w:val="center"/>
        <w:rPr>
          <w:rFonts w:eastAsia="Times New Roman"/>
          <w:szCs w:val="24"/>
          <w:lang w:val="en-GB"/>
        </w:rPr>
      </w:pPr>
      <w:r>
        <w:rPr>
          <w:rFonts w:eastAsia="Times New Roman"/>
          <w:noProof/>
          <w:szCs w:val="24"/>
          <w:lang w:val="en-GB"/>
        </w:rPr>
        <w:drawing>
          <wp:inline distT="0" distB="0" distL="0" distR="0" wp14:anchorId="6FCF71C4" wp14:editId="4E2C4AEC">
            <wp:extent cx="6200775" cy="3667125"/>
            <wp:effectExtent l="19050" t="19050" r="28575" b="28575"/>
            <wp:docPr id="1685385969" name="Picture 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385969" name="Picture 9" descr="A screenshot of a computer&#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00775" cy="3667125"/>
                    </a:xfrm>
                    <a:prstGeom prst="rect">
                      <a:avLst/>
                    </a:prstGeom>
                    <a:noFill/>
                    <a:ln>
                      <a:solidFill>
                        <a:schemeClr val="bg1">
                          <a:lumMod val="85000"/>
                        </a:schemeClr>
                      </a:solidFill>
                    </a:ln>
                  </pic:spPr>
                </pic:pic>
              </a:graphicData>
            </a:graphic>
          </wp:inline>
        </w:drawing>
      </w:r>
    </w:p>
    <w:p w14:paraId="0E037903" w14:textId="77777777" w:rsidR="003B6421" w:rsidRDefault="003B6421" w:rsidP="00EC2271">
      <w:pPr>
        <w:ind w:firstLineChars="200" w:firstLine="480"/>
        <w:rPr>
          <w:rFonts w:eastAsia="Times New Roman"/>
          <w:szCs w:val="24"/>
          <w:lang w:eastAsia="zh-CN"/>
        </w:rPr>
      </w:pPr>
      <w:r>
        <w:rPr>
          <w:lang w:val="zh-CN" w:eastAsia="zh-CN"/>
        </w:rPr>
        <w:t>输出功能在通知或频率组级别有两个选项。</w:t>
      </w:r>
    </w:p>
    <w:p w14:paraId="3293EC24" w14:textId="77777777" w:rsidR="00EC2271" w:rsidRDefault="00EC2271" w:rsidP="00EC2271">
      <w:pPr>
        <w:pStyle w:val="enumlev1"/>
        <w:tabs>
          <w:tab w:val="clear" w:pos="794"/>
          <w:tab w:val="clear" w:pos="1191"/>
          <w:tab w:val="clear" w:pos="1588"/>
          <w:tab w:val="clear" w:pos="1985"/>
          <w:tab w:val="left" w:pos="0"/>
          <w:tab w:val="left" w:pos="900"/>
        </w:tabs>
        <w:spacing w:before="100" w:beforeAutospacing="1" w:line="240" w:lineRule="auto"/>
        <w:jc w:val="left"/>
      </w:pPr>
    </w:p>
    <w:p w14:paraId="1E60E341" w14:textId="66C51A6E" w:rsidR="00AF051D" w:rsidRPr="00EC2271" w:rsidRDefault="003B6421" w:rsidP="00EC2271">
      <w:pPr>
        <w:pStyle w:val="enumlev1"/>
        <w:tabs>
          <w:tab w:val="clear" w:pos="794"/>
          <w:tab w:val="clear" w:pos="1191"/>
          <w:tab w:val="clear" w:pos="1588"/>
          <w:tab w:val="clear" w:pos="1985"/>
          <w:tab w:val="left" w:pos="0"/>
          <w:tab w:val="left" w:pos="900"/>
        </w:tabs>
        <w:spacing w:before="100" w:beforeAutospacing="1" w:line="240" w:lineRule="auto"/>
        <w:jc w:val="center"/>
        <w:rPr>
          <w:rFonts w:eastAsia="Times New Roman"/>
          <w:szCs w:val="24"/>
        </w:rPr>
      </w:pPr>
      <w:r>
        <w:rPr>
          <w:lang w:val="zh-CN"/>
        </w:rPr>
        <w:t>________________</w:t>
      </w:r>
    </w:p>
    <w:sectPr w:rsidR="00AF051D" w:rsidRPr="00EC2271" w:rsidSect="00031E64">
      <w:headerReference w:type="even" r:id="rId17"/>
      <w:headerReference w:type="default" r:id="rId18"/>
      <w:headerReference w:type="first" r:id="rId19"/>
      <w:footerReference w:type="first" r:id="rId20"/>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406BA" w14:textId="77777777" w:rsidR="009E1439" w:rsidRDefault="009E1439">
      <w:r>
        <w:separator/>
      </w:r>
    </w:p>
  </w:endnote>
  <w:endnote w:type="continuationSeparator" w:id="0">
    <w:p w14:paraId="31F5A77D" w14:textId="77777777" w:rsidR="009E1439" w:rsidRDefault="009E1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9E979" w14:textId="77777777" w:rsidR="00924E6D" w:rsidRPr="00E2225D" w:rsidRDefault="00924E6D" w:rsidP="00924E6D">
    <w:pPr>
      <w:pStyle w:val="FirstFooter"/>
      <w:spacing w:line="240" w:lineRule="auto"/>
      <w:ind w:left="-397" w:right="-397"/>
      <w:jc w:val="center"/>
      <w:rPr>
        <w:color w:val="4F81BD" w:themeColor="accent1"/>
        <w:sz w:val="19"/>
        <w:szCs w:val="19"/>
      </w:rPr>
    </w:pPr>
    <w:r w:rsidRPr="00E2225D">
      <w:rPr>
        <w:color w:val="4F81BD" w:themeColor="accent1"/>
        <w:sz w:val="19"/>
        <w:szCs w:val="19"/>
      </w:rPr>
      <w:t>International Telecommunication Union • Place des Nations, CH</w:t>
    </w:r>
    <w:r w:rsidRPr="00E2225D">
      <w:rPr>
        <w:color w:val="4F81BD" w:themeColor="accent1"/>
        <w:sz w:val="19"/>
        <w:szCs w:val="19"/>
      </w:rPr>
      <w:noBreakHyphen/>
      <w:t>1211 Geneva 20, Switzerland</w:t>
    </w:r>
    <w:r w:rsidRPr="00E2225D">
      <w:rPr>
        <w:color w:val="4F81BD" w:themeColor="accent1"/>
        <w:sz w:val="19"/>
        <w:szCs w:val="19"/>
      </w:rPr>
      <w:br/>
      <w:t xml:space="preserve">Tel.: +41 22 730 5111 • E-mail: </w:t>
    </w:r>
    <w:hyperlink r:id="rId1" w:history="1">
      <w:r w:rsidR="00E2225D" w:rsidRPr="006D799F">
        <w:rPr>
          <w:rStyle w:val="Hyperlink"/>
          <w:sz w:val="19"/>
          <w:szCs w:val="19"/>
        </w:rPr>
        <w:t>brmail@itu.int</w:t>
      </w:r>
    </w:hyperlink>
    <w:r w:rsidRPr="00E2225D">
      <w:rPr>
        <w:color w:val="4F81BD" w:themeColor="accent1"/>
        <w:sz w:val="19"/>
        <w:szCs w:val="19"/>
      </w:rPr>
      <w:t xml:space="preserve"> </w:t>
    </w:r>
    <w:r w:rsidRPr="00E2225D">
      <w:rPr>
        <w:color w:val="4F81BD"/>
        <w:sz w:val="19"/>
        <w:szCs w:val="19"/>
      </w:rPr>
      <w:t xml:space="preserve">• Fax: +41 22 733 7256 • </w:t>
    </w:r>
    <w:hyperlink r:id="rId2" w:history="1">
      <w:r w:rsidRPr="00E2225D">
        <w:rPr>
          <w:rStyle w:val="Hyperlink"/>
          <w:sz w:val="19"/>
          <w:szCs w:val="19"/>
        </w:rPr>
        <w:t>www.itu.int</w:t>
      </w:r>
    </w:hyperlink>
  </w:p>
  <w:p w14:paraId="54BEC343" w14:textId="77777777" w:rsidR="00ED20E1" w:rsidRPr="00F420BF" w:rsidRDefault="00ED20E1" w:rsidP="00F42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88ED4" w14:textId="77777777" w:rsidR="009E1439" w:rsidRDefault="009E1439">
      <w:r>
        <w:t>____________________</w:t>
      </w:r>
    </w:p>
  </w:footnote>
  <w:footnote w:type="continuationSeparator" w:id="0">
    <w:p w14:paraId="6968B50D" w14:textId="77777777" w:rsidR="009E1439" w:rsidRDefault="009E1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2C3D2" w14:textId="77777777" w:rsidR="00E915AF" w:rsidRPr="00AC1F2B" w:rsidRDefault="00E915AF" w:rsidP="000F00B0">
    <w:pPr>
      <w:pStyle w:val="Header"/>
      <w:rPr>
        <w:sz w:val="20"/>
        <w:szCs w:val="18"/>
      </w:rPr>
    </w:pPr>
    <w:r w:rsidRPr="00AC1F2B">
      <w:rPr>
        <w:sz w:val="20"/>
        <w:szCs w:val="18"/>
      </w:rPr>
      <w:tab/>
    </w:r>
    <w:r w:rsidRPr="00AC1F2B">
      <w:rPr>
        <w:sz w:val="20"/>
        <w:szCs w:val="18"/>
      </w:rPr>
      <w:tab/>
    </w:r>
    <w:r w:rsidR="00AF051D">
      <w:rPr>
        <w:sz w:val="20"/>
        <w:szCs w:val="18"/>
      </w:rPr>
      <w:t xml:space="preserve">- </w:t>
    </w:r>
    <w:r w:rsidR="001B42C9" w:rsidRPr="00AC1F2B">
      <w:rPr>
        <w:rStyle w:val="PageNumber"/>
        <w:sz w:val="20"/>
        <w:szCs w:val="18"/>
      </w:rPr>
      <w:fldChar w:fldCharType="begin"/>
    </w:r>
    <w:r w:rsidRPr="00AC1F2B">
      <w:rPr>
        <w:rStyle w:val="PageNumber"/>
        <w:sz w:val="20"/>
        <w:szCs w:val="18"/>
      </w:rPr>
      <w:instrText xml:space="preserve"> PAGE </w:instrText>
    </w:r>
    <w:r w:rsidR="001B42C9" w:rsidRPr="00AC1F2B">
      <w:rPr>
        <w:rStyle w:val="PageNumber"/>
        <w:sz w:val="20"/>
        <w:szCs w:val="18"/>
      </w:rPr>
      <w:fldChar w:fldCharType="separate"/>
    </w:r>
    <w:r w:rsidR="00AF051D">
      <w:rPr>
        <w:rStyle w:val="PageNumber"/>
        <w:noProof/>
        <w:sz w:val="20"/>
        <w:szCs w:val="18"/>
      </w:rPr>
      <w:t>2</w:t>
    </w:r>
    <w:r w:rsidR="001B42C9" w:rsidRPr="00AC1F2B">
      <w:rPr>
        <w:rStyle w:val="PageNumber"/>
        <w:sz w:val="20"/>
        <w:szCs w:val="18"/>
      </w:rPr>
      <w:fldChar w:fldCharType="end"/>
    </w:r>
    <w:r w:rsidR="00AF051D">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252AC" w14:textId="3F27EB86" w:rsidR="00E915AF" w:rsidRPr="00AF3325" w:rsidRDefault="00E915AF">
    <w:pPr>
      <w:pStyle w:val="Header"/>
    </w:pPr>
    <w:r>
      <w:tab/>
    </w:r>
    <w:r>
      <w:tab/>
    </w:r>
    <w:r w:rsidR="007E6519">
      <w:rPr>
        <w:sz w:val="20"/>
        <w:szCs w:val="18"/>
      </w:rPr>
      <w:t xml:space="preserve">- </w:t>
    </w:r>
    <w:r w:rsidR="007E6519" w:rsidRPr="00AC1F2B">
      <w:rPr>
        <w:rStyle w:val="PageNumber"/>
        <w:sz w:val="20"/>
        <w:szCs w:val="18"/>
      </w:rPr>
      <w:fldChar w:fldCharType="begin"/>
    </w:r>
    <w:r w:rsidR="007E6519" w:rsidRPr="00AC1F2B">
      <w:rPr>
        <w:rStyle w:val="PageNumber"/>
        <w:sz w:val="20"/>
        <w:szCs w:val="18"/>
      </w:rPr>
      <w:instrText xml:space="preserve"> PAGE </w:instrText>
    </w:r>
    <w:r w:rsidR="007E6519" w:rsidRPr="00AC1F2B">
      <w:rPr>
        <w:rStyle w:val="PageNumber"/>
        <w:sz w:val="20"/>
        <w:szCs w:val="18"/>
      </w:rPr>
      <w:fldChar w:fldCharType="separate"/>
    </w:r>
    <w:r w:rsidR="007E6519">
      <w:rPr>
        <w:rStyle w:val="PageNumber"/>
        <w:sz w:val="20"/>
        <w:szCs w:val="18"/>
      </w:rPr>
      <w:t>2</w:t>
    </w:r>
    <w:r w:rsidR="007E6519" w:rsidRPr="00AC1F2B">
      <w:rPr>
        <w:rStyle w:val="PageNumber"/>
        <w:sz w:val="20"/>
        <w:szCs w:val="18"/>
      </w:rPr>
      <w:fldChar w:fldCharType="end"/>
    </w:r>
    <w:r w:rsidR="007E6519">
      <w:rPr>
        <w:rStyle w:val="PageNumber"/>
        <w:sz w:val="20"/>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4750"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0"/>
      <w:gridCol w:w="5000"/>
    </w:tblGrid>
    <w:tr w:rsidR="00295CFA" w14:paraId="39A834A6" w14:textId="77777777" w:rsidTr="00F420BF">
      <w:tc>
        <w:tcPr>
          <w:tcW w:w="9750" w:type="dxa"/>
          <w:tcMar>
            <w:left w:w="0" w:type="dxa"/>
          </w:tcMar>
        </w:tcPr>
        <w:p w14:paraId="7798911D" w14:textId="77777777" w:rsidR="00295CFA" w:rsidRDefault="00F420BF" w:rsidP="00F420BF">
          <w:pPr>
            <w:pStyle w:val="Header"/>
            <w:spacing w:before="120" w:line="360" w:lineRule="auto"/>
            <w:jc w:val="center"/>
          </w:pPr>
          <w:r>
            <w:rPr>
              <w:noProof/>
              <w:lang w:val="en-GB" w:eastAsia="en-GB"/>
            </w:rPr>
            <w:drawing>
              <wp:inline distT="0" distB="0" distL="0" distR="0" wp14:anchorId="5F1046BF" wp14:editId="0E76F730">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000" w:type="dxa"/>
          <w:tcMar>
            <w:left w:w="0" w:type="dxa"/>
          </w:tcMar>
        </w:tcPr>
        <w:p w14:paraId="3303F3AE" w14:textId="77777777" w:rsidR="00295CFA" w:rsidRDefault="00295CFA" w:rsidP="00F420BF">
          <w:pPr>
            <w:pStyle w:val="Header"/>
            <w:spacing w:before="240" w:line="360" w:lineRule="auto"/>
            <w:ind w:left="4050"/>
            <w:jc w:val="right"/>
          </w:pPr>
        </w:p>
      </w:tc>
    </w:tr>
  </w:tbl>
  <w:p w14:paraId="04F8A75D" w14:textId="77777777" w:rsidR="00E915AF" w:rsidRPr="00295CFA" w:rsidRDefault="00E915AF" w:rsidP="0029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5AC3ECA"/>
    <w:multiLevelType w:val="hybridMultilevel"/>
    <w:tmpl w:val="782489BE"/>
    <w:lvl w:ilvl="0" w:tplc="51D8349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65F12D67"/>
    <w:multiLevelType w:val="hybridMultilevel"/>
    <w:tmpl w:val="28E673AC"/>
    <w:lvl w:ilvl="0" w:tplc="8230E19E">
      <w:numFmt w:val="bullet"/>
      <w:lvlText w:val="-"/>
      <w:lvlJc w:val="left"/>
      <w:pPr>
        <w:ind w:left="1154" w:hanging="360"/>
      </w:pPr>
      <w:rPr>
        <w:rFonts w:ascii="Calibri" w:eastAsiaTheme="minorEastAsia" w:hAnsi="Calibri" w:cs="Calibri"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num w:numId="1" w16cid:durableId="5935906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7220504">
    <w:abstractNumId w:val="6"/>
  </w:num>
  <w:num w:numId="3" w16cid:durableId="706686794">
    <w:abstractNumId w:val="7"/>
    <w:lvlOverride w:ilvl="0">
      <w:lvl w:ilvl="0" w:tplc="8230E19E">
        <w:numFmt w:val="bullet"/>
        <w:lvlText w:val="-"/>
        <w:lvlJc w:val="left"/>
        <w:pPr>
          <w:ind w:left="1154" w:hanging="360"/>
        </w:pPr>
        <w:rPr>
          <w:rFonts w:ascii="Calibri" w:eastAsiaTheme="minorEastAsia" w:hAnsi="Calibri" w:cs="Calibri" w:hint="default"/>
        </w:rPr>
      </w:lvl>
    </w:lvlOverride>
  </w:num>
  <w:num w:numId="4" w16cid:durableId="1398823452">
    <w:abstractNumId w:val="4"/>
    <w:lvlOverride w:ilvl="0">
      <w:lvl w:ilvl="0" w:tplc="51D83494">
        <w:numFmt w:val="bullet"/>
        <w:lvlText w:val="-"/>
        <w:lvlJc w:val="left"/>
        <w:pPr>
          <w:ind w:left="720" w:hanging="360"/>
        </w:pPr>
        <w:rPr>
          <w:rFonts w:ascii="Calibri" w:eastAsiaTheme="minorEastAsia" w:hAnsi="Calibri" w:cs="Calibri"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F420BF"/>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1DF4"/>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34404"/>
    <w:rsid w:val="00144DFB"/>
    <w:rsid w:val="00164B62"/>
    <w:rsid w:val="00187CA3"/>
    <w:rsid w:val="00196710"/>
    <w:rsid w:val="00196770"/>
    <w:rsid w:val="00197324"/>
    <w:rsid w:val="001B351B"/>
    <w:rsid w:val="001B42C9"/>
    <w:rsid w:val="001C06DB"/>
    <w:rsid w:val="001C422F"/>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95CFA"/>
    <w:rsid w:val="002A2618"/>
    <w:rsid w:val="002A5DD7"/>
    <w:rsid w:val="002B0CAC"/>
    <w:rsid w:val="002C0B72"/>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1785"/>
    <w:rsid w:val="003B2BDA"/>
    <w:rsid w:val="003B55EC"/>
    <w:rsid w:val="003B6421"/>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42086"/>
    <w:rsid w:val="0064371D"/>
    <w:rsid w:val="00650543"/>
    <w:rsid w:val="00650B2A"/>
    <w:rsid w:val="00651777"/>
    <w:rsid w:val="006550F8"/>
    <w:rsid w:val="006829F3"/>
    <w:rsid w:val="006A518B"/>
    <w:rsid w:val="006B0590"/>
    <w:rsid w:val="006B49DA"/>
    <w:rsid w:val="006C53F8"/>
    <w:rsid w:val="006C7CDE"/>
    <w:rsid w:val="007234B1"/>
    <w:rsid w:val="00723D08"/>
    <w:rsid w:val="007253AF"/>
    <w:rsid w:val="00725FDA"/>
    <w:rsid w:val="00727816"/>
    <w:rsid w:val="00730B9A"/>
    <w:rsid w:val="00750CFA"/>
    <w:rsid w:val="007518D7"/>
    <w:rsid w:val="007553DA"/>
    <w:rsid w:val="007616E7"/>
    <w:rsid w:val="00775DB8"/>
    <w:rsid w:val="00782354"/>
    <w:rsid w:val="007921A7"/>
    <w:rsid w:val="00796CD6"/>
    <w:rsid w:val="007B3DB1"/>
    <w:rsid w:val="007D183E"/>
    <w:rsid w:val="007D43D0"/>
    <w:rsid w:val="007E1833"/>
    <w:rsid w:val="007E3F13"/>
    <w:rsid w:val="007E6519"/>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3888"/>
    <w:rsid w:val="008F4F21"/>
    <w:rsid w:val="00904D4A"/>
    <w:rsid w:val="009076D7"/>
    <w:rsid w:val="009151BA"/>
    <w:rsid w:val="0091560C"/>
    <w:rsid w:val="0092482B"/>
    <w:rsid w:val="00924E6D"/>
    <w:rsid w:val="00925023"/>
    <w:rsid w:val="009277BC"/>
    <w:rsid w:val="00927D57"/>
    <w:rsid w:val="00931A51"/>
    <w:rsid w:val="00936E1F"/>
    <w:rsid w:val="00947185"/>
    <w:rsid w:val="009518B3"/>
    <w:rsid w:val="00963D9D"/>
    <w:rsid w:val="0098013E"/>
    <w:rsid w:val="00981B54"/>
    <w:rsid w:val="009842C3"/>
    <w:rsid w:val="00987B10"/>
    <w:rsid w:val="009A009A"/>
    <w:rsid w:val="009A6BB6"/>
    <w:rsid w:val="009B3F43"/>
    <w:rsid w:val="009B5CFA"/>
    <w:rsid w:val="009C161F"/>
    <w:rsid w:val="009C56B4"/>
    <w:rsid w:val="009C6A12"/>
    <w:rsid w:val="009D51A2"/>
    <w:rsid w:val="009E04A8"/>
    <w:rsid w:val="009E1439"/>
    <w:rsid w:val="009E4AEC"/>
    <w:rsid w:val="009E5BD8"/>
    <w:rsid w:val="009E681E"/>
    <w:rsid w:val="00A119E6"/>
    <w:rsid w:val="00A20FBC"/>
    <w:rsid w:val="00A31370"/>
    <w:rsid w:val="00A34D6F"/>
    <w:rsid w:val="00A41F91"/>
    <w:rsid w:val="00A63355"/>
    <w:rsid w:val="00A7596D"/>
    <w:rsid w:val="00A963DF"/>
    <w:rsid w:val="00AB7BE2"/>
    <w:rsid w:val="00AC0C22"/>
    <w:rsid w:val="00AC1F2B"/>
    <w:rsid w:val="00AC2860"/>
    <w:rsid w:val="00AC3896"/>
    <w:rsid w:val="00AD2CF2"/>
    <w:rsid w:val="00AE2D88"/>
    <w:rsid w:val="00AE6F6F"/>
    <w:rsid w:val="00AF051D"/>
    <w:rsid w:val="00AF3325"/>
    <w:rsid w:val="00AF34D9"/>
    <w:rsid w:val="00AF70DA"/>
    <w:rsid w:val="00B019D3"/>
    <w:rsid w:val="00B06B90"/>
    <w:rsid w:val="00B34CF9"/>
    <w:rsid w:val="00B37559"/>
    <w:rsid w:val="00B4054B"/>
    <w:rsid w:val="00B579B0"/>
    <w:rsid w:val="00B57D11"/>
    <w:rsid w:val="00B649D7"/>
    <w:rsid w:val="00B65DE8"/>
    <w:rsid w:val="00B81C2F"/>
    <w:rsid w:val="00B90743"/>
    <w:rsid w:val="00B90C45"/>
    <w:rsid w:val="00B933BE"/>
    <w:rsid w:val="00BC15C5"/>
    <w:rsid w:val="00BD6738"/>
    <w:rsid w:val="00BD7E5E"/>
    <w:rsid w:val="00BE63DB"/>
    <w:rsid w:val="00BE6574"/>
    <w:rsid w:val="00C07319"/>
    <w:rsid w:val="00C16FD2"/>
    <w:rsid w:val="00C4395E"/>
    <w:rsid w:val="00C47FFD"/>
    <w:rsid w:val="00C51E92"/>
    <w:rsid w:val="00C57E2C"/>
    <w:rsid w:val="00C608B7"/>
    <w:rsid w:val="00C62572"/>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4BDC"/>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4C86"/>
    <w:rsid w:val="00E17344"/>
    <w:rsid w:val="00E20F30"/>
    <w:rsid w:val="00E2189C"/>
    <w:rsid w:val="00E2225D"/>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2271"/>
    <w:rsid w:val="00EC4A96"/>
    <w:rsid w:val="00ED20E1"/>
    <w:rsid w:val="00ED5524"/>
    <w:rsid w:val="00EE03A0"/>
    <w:rsid w:val="00F420BF"/>
    <w:rsid w:val="00F424BF"/>
    <w:rsid w:val="00F44FC3"/>
    <w:rsid w:val="00F46107"/>
    <w:rsid w:val="00F468C5"/>
    <w:rsid w:val="00F52F39"/>
    <w:rsid w:val="00F55884"/>
    <w:rsid w:val="00F572D3"/>
    <w:rsid w:val="00F6184F"/>
    <w:rsid w:val="00F80655"/>
    <w:rsid w:val="00F8310E"/>
    <w:rsid w:val="00F914DD"/>
    <w:rsid w:val="00F9399B"/>
    <w:rsid w:val="00FA2358"/>
    <w:rsid w:val="00FB2592"/>
    <w:rsid w:val="00FB2810"/>
    <w:rsid w:val="00FB7A2C"/>
    <w:rsid w:val="00FC2947"/>
    <w:rsid w:val="00FD7F1E"/>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2061F"/>
  <w15:docId w15:val="{102D4159-4D44-4790-8317-0FE6B696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character" w:styleId="UnresolvedMention">
    <w:name w:val="Unresolved Mention"/>
    <w:basedOn w:val="DefaultParagraphFont"/>
    <w:uiPriority w:val="99"/>
    <w:semiHidden/>
    <w:unhideWhenUsed/>
    <w:rsid w:val="00E22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843931034">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go/ITUSpaceExplorer" TargetMode="Externa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ITUSpaceExplorer@itu.int" TargetMode="External"/><Relationship Id="rId14" Type="http://schemas.openxmlformats.org/officeDocument/2006/relationships/image" Target="media/image5.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br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4A47A-B8C3-4D76-AC1E-22C4D9E99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1682</Words>
  <Characters>654</Characters>
  <Application>Microsoft Office Word</Application>
  <DocSecurity>0</DocSecurity>
  <Lines>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2332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Kong, Hongli</dc:creator>
  <cp:lastModifiedBy>Panoussopoulos, Sonia</cp:lastModifiedBy>
  <cp:revision>4</cp:revision>
  <cp:lastPrinted>2013-03-08T10:15:00Z</cp:lastPrinted>
  <dcterms:created xsi:type="dcterms:W3CDTF">2024-12-18T05:15:00Z</dcterms:created>
  <dcterms:modified xsi:type="dcterms:W3CDTF">2024-12-18T15:05:00Z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