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06B4F" w14:textId="77777777" w:rsidR="009E6EBB" w:rsidRPr="008C3ECA" w:rsidRDefault="009E6EBB" w:rsidP="00305D4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rFonts w:cstheme="minorHAnsi"/>
          <w:b/>
          <w:bCs/>
          <w:color w:val="808080"/>
          <w:sz w:val="28"/>
          <w:szCs w:val="28"/>
          <w:lang w:val="en-GB"/>
        </w:rPr>
      </w:pPr>
      <w:r w:rsidRPr="008C3ECA">
        <w:rPr>
          <w:rFonts w:cstheme="minorHAnsi"/>
          <w:b/>
          <w:bCs/>
          <w:color w:val="808080"/>
          <w:sz w:val="28"/>
          <w:szCs w:val="28"/>
          <w:lang w:val="en-GB"/>
        </w:rPr>
        <w:t>Radiocommunication Bureau (BR)</w:t>
      </w:r>
    </w:p>
    <w:p w14:paraId="734186D8" w14:textId="77777777" w:rsidR="009E6EBB" w:rsidRDefault="009E6EBB" w:rsidP="003E707D">
      <w:pPr>
        <w:tabs>
          <w:tab w:val="clear" w:pos="794"/>
          <w:tab w:val="clear" w:pos="1191"/>
          <w:tab w:val="clear" w:pos="1588"/>
          <w:tab w:val="clear" w:pos="1985"/>
        </w:tabs>
        <w:ind w:left="142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2977"/>
      </w:tblGrid>
      <w:tr w:rsidR="00295CF8" w:rsidRPr="00E628C2" w14:paraId="1B864158" w14:textId="77777777" w:rsidTr="002C73C0">
        <w:tc>
          <w:tcPr>
            <w:tcW w:w="6912" w:type="dxa"/>
            <w:gridSpan w:val="2"/>
            <w:shd w:val="clear" w:color="auto" w:fill="auto"/>
          </w:tcPr>
          <w:p w14:paraId="33DF01CF" w14:textId="77777777" w:rsidR="009E6EBB" w:rsidRPr="006554AB" w:rsidRDefault="009E6EBB" w:rsidP="003E70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105"/>
              <w:jc w:val="left"/>
              <w:rPr>
                <w:sz w:val="24"/>
                <w:szCs w:val="24"/>
                <w:lang w:val="en-GB"/>
              </w:rPr>
            </w:pPr>
            <w:r w:rsidRPr="006554AB">
              <w:rPr>
                <w:sz w:val="24"/>
                <w:szCs w:val="24"/>
                <w:lang w:val="en-GB"/>
              </w:rPr>
              <w:t>Circular Letter</w:t>
            </w:r>
          </w:p>
          <w:p w14:paraId="0D552710" w14:textId="0F304AA9" w:rsidR="009E6EBB" w:rsidRPr="00295CF8" w:rsidRDefault="009E6EBB" w:rsidP="003E70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105"/>
              <w:jc w:val="left"/>
              <w:rPr>
                <w:b/>
                <w:bCs/>
                <w:szCs w:val="24"/>
                <w:lang w:val="en-GB"/>
              </w:rPr>
            </w:pPr>
            <w:bookmarkStart w:id="0" w:name="_Hlk162252652"/>
            <w:r w:rsidRPr="006554AB">
              <w:rPr>
                <w:b/>
                <w:bCs/>
                <w:sz w:val="24"/>
                <w:szCs w:val="24"/>
                <w:lang w:val="en-GB"/>
              </w:rPr>
              <w:t>C</w:t>
            </w:r>
            <w:r w:rsidR="0083025F">
              <w:rPr>
                <w:b/>
                <w:bCs/>
                <w:sz w:val="24"/>
                <w:szCs w:val="24"/>
                <w:lang w:val="en-GB"/>
              </w:rPr>
              <w:t>R</w:t>
            </w:r>
            <w:r w:rsidRPr="006554AB">
              <w:rPr>
                <w:b/>
                <w:bCs/>
                <w:sz w:val="24"/>
                <w:szCs w:val="24"/>
                <w:lang w:val="en-GB"/>
              </w:rPr>
              <w:t>/</w:t>
            </w:r>
            <w:bookmarkEnd w:id="0"/>
            <w:r w:rsidR="00C2733C">
              <w:rPr>
                <w:b/>
                <w:bCs/>
                <w:sz w:val="24"/>
                <w:szCs w:val="24"/>
                <w:lang w:val="en-GB"/>
              </w:rPr>
              <w:t>505</w:t>
            </w:r>
          </w:p>
        </w:tc>
        <w:tc>
          <w:tcPr>
            <w:tcW w:w="2977" w:type="dxa"/>
            <w:shd w:val="clear" w:color="auto" w:fill="auto"/>
          </w:tcPr>
          <w:p w14:paraId="16C84185" w14:textId="186562B6" w:rsidR="009E6EBB" w:rsidRPr="00305D42" w:rsidRDefault="00305D42" w:rsidP="00305D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105"/>
              <w:jc w:val="right"/>
              <w:rPr>
                <w:szCs w:val="24"/>
                <w:lang w:val="en-GB"/>
              </w:rPr>
            </w:pPr>
            <w:r>
              <w:rPr>
                <w:sz w:val="24"/>
                <w:szCs w:val="28"/>
                <w:lang w:val="en-GB"/>
              </w:rPr>
              <w:t>26</w:t>
            </w:r>
            <w:r w:rsidR="002A2CAA" w:rsidRPr="00305D42">
              <w:rPr>
                <w:sz w:val="24"/>
                <w:szCs w:val="28"/>
                <w:lang w:val="en-GB"/>
              </w:rPr>
              <w:t xml:space="preserve"> </w:t>
            </w:r>
            <w:r w:rsidR="008A6F47" w:rsidRPr="00305D42">
              <w:rPr>
                <w:sz w:val="24"/>
                <w:szCs w:val="28"/>
                <w:lang w:val="en-GB"/>
              </w:rPr>
              <w:t>April</w:t>
            </w:r>
            <w:r w:rsidR="000E150B" w:rsidRPr="00305D42">
              <w:rPr>
                <w:sz w:val="24"/>
                <w:szCs w:val="28"/>
                <w:lang w:val="en-GB"/>
              </w:rPr>
              <w:t xml:space="preserve"> 2024</w:t>
            </w:r>
          </w:p>
        </w:tc>
      </w:tr>
      <w:tr w:rsidR="009E6EBB" w:rsidRPr="000D79FA" w14:paraId="0466C98C" w14:textId="77777777" w:rsidTr="002C73C0">
        <w:tc>
          <w:tcPr>
            <w:tcW w:w="9889" w:type="dxa"/>
            <w:gridSpan w:val="3"/>
            <w:shd w:val="clear" w:color="auto" w:fill="auto"/>
          </w:tcPr>
          <w:p w14:paraId="08857F06" w14:textId="77777777" w:rsidR="009E6EBB" w:rsidRPr="000D79FA" w:rsidRDefault="009E6EBB" w:rsidP="003E70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28"/>
              </w:tabs>
              <w:spacing w:before="0"/>
              <w:ind w:left="-105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B5EC0" w:rsidRPr="00EB5EC0" w14:paraId="45500DD5" w14:textId="77777777" w:rsidTr="002C73C0">
        <w:tc>
          <w:tcPr>
            <w:tcW w:w="9889" w:type="dxa"/>
            <w:gridSpan w:val="3"/>
            <w:shd w:val="clear" w:color="auto" w:fill="auto"/>
          </w:tcPr>
          <w:tbl>
            <w:tblPr>
              <w:tblW w:w="988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889"/>
            </w:tblGrid>
            <w:tr w:rsidR="00EB5EC0" w:rsidRPr="00EB5EC0" w14:paraId="078BBAAF" w14:textId="77777777" w:rsidTr="00E94A13">
              <w:trPr>
                <w:jc w:val="center"/>
              </w:trPr>
              <w:tc>
                <w:tcPr>
                  <w:tcW w:w="9889" w:type="dxa"/>
                  <w:shd w:val="clear" w:color="auto" w:fill="auto"/>
                </w:tcPr>
                <w:p w14:paraId="1DC79045" w14:textId="625E147D" w:rsidR="00EB5EC0" w:rsidRPr="00EB5EC0" w:rsidRDefault="00EB5EC0" w:rsidP="003E707D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spacing w:before="0"/>
                    <w:ind w:left="-105"/>
                    <w:jc w:val="left"/>
                    <w:rPr>
                      <w:sz w:val="24"/>
                      <w:szCs w:val="24"/>
                    </w:rPr>
                  </w:pPr>
                  <w:r w:rsidRPr="00EB5EC0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  <w:t xml:space="preserve">To Administrations of Member States of the ITU </w:t>
                  </w:r>
                </w:p>
                <w:p w14:paraId="0BF66BA1" w14:textId="77777777" w:rsidR="00EB5EC0" w:rsidRPr="00EB5EC0" w:rsidRDefault="00EB5EC0" w:rsidP="003E707D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</w:tabs>
                    <w:spacing w:before="0"/>
                    <w:ind w:left="-105"/>
                    <w:jc w:val="left"/>
                    <w:rPr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446DD9F9" w14:textId="77777777" w:rsidR="00EB5EC0" w:rsidRPr="00EB5EC0" w:rsidRDefault="00EB5EC0" w:rsidP="003E70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105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E6EBB" w:rsidRPr="007315BD" w14:paraId="582F5A55" w14:textId="77777777" w:rsidTr="002C73C0">
        <w:tc>
          <w:tcPr>
            <w:tcW w:w="9889" w:type="dxa"/>
            <w:gridSpan w:val="3"/>
            <w:shd w:val="clear" w:color="auto" w:fill="auto"/>
          </w:tcPr>
          <w:p w14:paraId="2B2F7F32" w14:textId="77777777" w:rsidR="009E6EBB" w:rsidRPr="000D79FA" w:rsidRDefault="009E6EBB" w:rsidP="003E70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105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14:paraId="1BBE8555" w14:textId="77777777" w:rsidTr="002C73C0">
        <w:tc>
          <w:tcPr>
            <w:tcW w:w="9889" w:type="dxa"/>
            <w:gridSpan w:val="3"/>
            <w:shd w:val="clear" w:color="auto" w:fill="auto"/>
          </w:tcPr>
          <w:p w14:paraId="2BA95F6C" w14:textId="77777777" w:rsidR="009E6EBB" w:rsidRPr="000D79FA" w:rsidRDefault="009E6EBB" w:rsidP="003E70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105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884223" w14:paraId="6D299DCB" w14:textId="77777777" w:rsidTr="002C73C0">
        <w:tc>
          <w:tcPr>
            <w:tcW w:w="1526" w:type="dxa"/>
            <w:shd w:val="clear" w:color="auto" w:fill="auto"/>
          </w:tcPr>
          <w:p w14:paraId="770DD236" w14:textId="77777777" w:rsidR="009E6EBB" w:rsidRPr="000D79FA" w:rsidRDefault="009E6EBB" w:rsidP="003E70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105"/>
              <w:jc w:val="left"/>
              <w:rPr>
                <w:sz w:val="24"/>
                <w:szCs w:val="24"/>
                <w:lang w:val="en-GB"/>
              </w:rPr>
            </w:pPr>
            <w:r w:rsidRPr="000D79FA">
              <w:rPr>
                <w:sz w:val="24"/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84654A1" w14:textId="69978E67" w:rsidR="00335CB4" w:rsidRPr="002C73C0" w:rsidRDefault="001A08B4" w:rsidP="003E70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90"/>
              </w:tabs>
              <w:spacing w:before="0" w:after="360"/>
              <w:ind w:left="-108"/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Cessation of </w:t>
            </w:r>
            <w:r w:rsidR="00653DAE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availability of </w:t>
            </w:r>
            <w:r w:rsidR="00087484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draft </w:t>
            </w:r>
            <w:r w:rsidR="003A3A00" w:rsidRPr="003A3A00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AP30-30A/E</w:t>
            </w:r>
            <w:r w:rsidR="003A3A00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 Part D </w:t>
            </w:r>
            <w:r w:rsidR="00653DAE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and</w:t>
            </w:r>
            <w:r w:rsidR="003A3A00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653DAE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draft </w:t>
            </w:r>
            <w:r w:rsidR="00A955A3" w:rsidRPr="00A955A3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AP30-30A/F/D</w:t>
            </w:r>
            <w:r w:rsidR="00087484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FC650E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database</w:t>
            </w:r>
            <w:r w:rsidR="00653DAE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s</w:t>
            </w:r>
            <w:r w:rsidR="00EC50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 in BR IFIC before </w:t>
            </w:r>
            <w:r w:rsidR="0045297B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the </w:t>
            </w:r>
            <w:r w:rsidR="00EC50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publication of </w:t>
            </w:r>
            <w:r w:rsidR="00EC50D8" w:rsidRPr="003A3A00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AP30-30A/E</w:t>
            </w:r>
            <w:r w:rsidR="00EC50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 Part D and </w:t>
            </w:r>
            <w:r w:rsidR="001C1372" w:rsidRPr="00A955A3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AP30-30A/F/D</w:t>
            </w:r>
            <w:r w:rsidR="001C1372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 Special Sections in accordance with the provisions of Appendices 30 and 30A</w:t>
            </w:r>
          </w:p>
        </w:tc>
      </w:tr>
      <w:tr w:rsidR="009E6EBB" w:rsidRPr="000D79FA" w14:paraId="5B23A838" w14:textId="77777777" w:rsidTr="002C73C0">
        <w:tc>
          <w:tcPr>
            <w:tcW w:w="1526" w:type="dxa"/>
            <w:shd w:val="clear" w:color="auto" w:fill="auto"/>
          </w:tcPr>
          <w:p w14:paraId="709777DE" w14:textId="77777777" w:rsidR="009E6EBB" w:rsidRPr="000D79FA" w:rsidRDefault="009E6EBB" w:rsidP="003E70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hanging="105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DDE7B0D" w14:textId="77777777" w:rsidR="009E6EBB" w:rsidRPr="000D79FA" w:rsidRDefault="009E6EBB" w:rsidP="003E70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42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26832B61" w14:textId="2449CBC2" w:rsidR="00274E12" w:rsidRDefault="00305D42" w:rsidP="00305D42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C</w:t>
      </w:r>
      <w:r w:rsidR="002015E0" w:rsidRPr="002015E0">
        <w:rPr>
          <w:rFonts w:eastAsia="SimSun"/>
          <w:sz w:val="24"/>
          <w:szCs w:val="24"/>
        </w:rPr>
        <w:t xml:space="preserve">urrently the </w:t>
      </w:r>
      <w:r>
        <w:rPr>
          <w:rFonts w:eastAsia="SimSun"/>
          <w:sz w:val="24"/>
          <w:szCs w:val="24"/>
        </w:rPr>
        <w:t xml:space="preserve">Radiocommunication </w:t>
      </w:r>
      <w:r w:rsidR="002015E0" w:rsidRPr="002015E0">
        <w:rPr>
          <w:rFonts w:eastAsia="SimSun"/>
          <w:sz w:val="24"/>
          <w:szCs w:val="24"/>
        </w:rPr>
        <w:t xml:space="preserve">Bureau, upon expiry of the deadline for comments and based on its records, creates </w:t>
      </w:r>
      <w:r w:rsidR="0015377F">
        <w:rPr>
          <w:rFonts w:eastAsia="SimSun"/>
          <w:sz w:val="24"/>
          <w:szCs w:val="24"/>
        </w:rPr>
        <w:t xml:space="preserve">either </w:t>
      </w:r>
      <w:r w:rsidR="002015E0" w:rsidRPr="002015E0">
        <w:rPr>
          <w:rFonts w:eastAsia="SimSun"/>
          <w:sz w:val="24"/>
          <w:szCs w:val="24"/>
        </w:rPr>
        <w:t xml:space="preserve">a </w:t>
      </w:r>
      <w:r w:rsidR="009C4C1A" w:rsidRPr="009C4C1A">
        <w:rPr>
          <w:rFonts w:eastAsia="SimSun"/>
          <w:sz w:val="24"/>
          <w:szCs w:val="24"/>
        </w:rPr>
        <w:t xml:space="preserve">draft AP30-30A/E Part D </w:t>
      </w:r>
      <w:r w:rsidR="002015E0" w:rsidRPr="002015E0">
        <w:rPr>
          <w:rFonts w:eastAsia="SimSun"/>
          <w:sz w:val="24"/>
          <w:szCs w:val="24"/>
        </w:rPr>
        <w:t>database</w:t>
      </w:r>
      <w:r w:rsidR="00E3061A">
        <w:rPr>
          <w:rFonts w:eastAsia="SimSun"/>
          <w:sz w:val="24"/>
          <w:szCs w:val="24"/>
        </w:rPr>
        <w:t xml:space="preserve"> </w:t>
      </w:r>
      <w:r w:rsidR="002E2821">
        <w:rPr>
          <w:rFonts w:eastAsia="SimSun"/>
          <w:sz w:val="24"/>
          <w:szCs w:val="24"/>
          <w:lang w:eastAsia="zh-CN"/>
        </w:rPr>
        <w:t>for</w:t>
      </w:r>
      <w:r w:rsidR="00E3061A">
        <w:rPr>
          <w:rFonts w:eastAsia="SimSun"/>
          <w:sz w:val="24"/>
          <w:szCs w:val="24"/>
          <w:lang w:eastAsia="zh-CN"/>
        </w:rPr>
        <w:t xml:space="preserve"> a </w:t>
      </w:r>
      <w:r w:rsidR="0015377F">
        <w:rPr>
          <w:rFonts w:eastAsia="SimSun"/>
          <w:sz w:val="24"/>
          <w:szCs w:val="24"/>
          <w:lang w:eastAsia="zh-CN"/>
        </w:rPr>
        <w:t xml:space="preserve">satellite </w:t>
      </w:r>
      <w:r w:rsidR="00E3061A">
        <w:rPr>
          <w:rFonts w:eastAsia="SimSun"/>
          <w:sz w:val="24"/>
          <w:szCs w:val="24"/>
          <w:lang w:eastAsia="zh-CN"/>
        </w:rPr>
        <w:t xml:space="preserve">network submitted under </w:t>
      </w:r>
      <w:r w:rsidR="00FC30FB">
        <w:rPr>
          <w:rFonts w:eastAsia="SimSun"/>
          <w:sz w:val="24"/>
          <w:szCs w:val="24"/>
          <w:lang w:eastAsia="zh-CN"/>
        </w:rPr>
        <w:t xml:space="preserve">Section 4.2 of </w:t>
      </w:r>
      <w:r w:rsidR="00E3061A">
        <w:rPr>
          <w:rFonts w:eastAsia="SimSun"/>
          <w:sz w:val="24"/>
          <w:szCs w:val="24"/>
          <w:lang w:eastAsia="zh-CN"/>
        </w:rPr>
        <w:t>Article 4 of Appendices</w:t>
      </w:r>
      <w:r w:rsidR="00FC30FB">
        <w:rPr>
          <w:rFonts w:eastAsia="SimSun"/>
          <w:sz w:val="24"/>
          <w:szCs w:val="24"/>
          <w:lang w:eastAsia="zh-CN"/>
        </w:rPr>
        <w:t xml:space="preserve"> </w:t>
      </w:r>
      <w:r w:rsidR="00FC30FB" w:rsidRPr="00137020">
        <w:rPr>
          <w:rFonts w:eastAsia="SimSun"/>
          <w:b/>
          <w:bCs/>
          <w:sz w:val="24"/>
          <w:szCs w:val="24"/>
          <w:lang w:eastAsia="zh-CN"/>
        </w:rPr>
        <w:t>30</w:t>
      </w:r>
      <w:r w:rsidR="00FC30FB">
        <w:rPr>
          <w:rFonts w:eastAsia="SimSun"/>
          <w:sz w:val="24"/>
          <w:szCs w:val="24"/>
          <w:lang w:eastAsia="zh-CN"/>
        </w:rPr>
        <w:t xml:space="preserve"> and </w:t>
      </w:r>
      <w:r w:rsidR="00FC30FB" w:rsidRPr="00137020">
        <w:rPr>
          <w:rFonts w:eastAsia="SimSun"/>
          <w:b/>
          <w:bCs/>
          <w:sz w:val="24"/>
          <w:szCs w:val="24"/>
          <w:lang w:eastAsia="zh-CN"/>
        </w:rPr>
        <w:t>30A</w:t>
      </w:r>
      <w:r w:rsidR="0015377F">
        <w:rPr>
          <w:rFonts w:eastAsia="SimSun"/>
          <w:sz w:val="24"/>
          <w:szCs w:val="24"/>
          <w:lang w:eastAsia="zh-CN"/>
        </w:rPr>
        <w:t xml:space="preserve">, </w:t>
      </w:r>
      <w:r w:rsidR="000D059C">
        <w:rPr>
          <w:rFonts w:eastAsia="SimSun"/>
          <w:sz w:val="24"/>
          <w:szCs w:val="24"/>
          <w:lang w:eastAsia="zh-CN"/>
        </w:rPr>
        <w:t>or</w:t>
      </w:r>
      <w:r w:rsidR="0015377F">
        <w:rPr>
          <w:rFonts w:eastAsia="SimSun"/>
          <w:sz w:val="24"/>
          <w:szCs w:val="24"/>
          <w:lang w:eastAsia="zh-CN"/>
        </w:rPr>
        <w:t xml:space="preserve"> a </w:t>
      </w:r>
      <w:r w:rsidR="0015377F" w:rsidRPr="0015377F">
        <w:rPr>
          <w:rFonts w:eastAsia="SimSun"/>
          <w:sz w:val="24"/>
          <w:szCs w:val="24"/>
          <w:lang w:eastAsia="zh-CN"/>
        </w:rPr>
        <w:t>draft AP30-30A/F/D database</w:t>
      </w:r>
      <w:r w:rsidR="00B53AB2">
        <w:rPr>
          <w:rFonts w:eastAsia="SimSun"/>
          <w:sz w:val="24"/>
          <w:szCs w:val="24"/>
          <w:lang w:eastAsia="zh-CN"/>
        </w:rPr>
        <w:t xml:space="preserve"> </w:t>
      </w:r>
      <w:r w:rsidR="002E2821">
        <w:rPr>
          <w:rFonts w:eastAsia="SimSun"/>
          <w:sz w:val="24"/>
          <w:szCs w:val="24"/>
          <w:lang w:eastAsia="zh-CN"/>
        </w:rPr>
        <w:t xml:space="preserve">for </w:t>
      </w:r>
      <w:r w:rsidR="00B53AB2">
        <w:rPr>
          <w:rFonts w:eastAsia="SimSun"/>
          <w:sz w:val="24"/>
          <w:szCs w:val="24"/>
          <w:lang w:eastAsia="zh-CN"/>
        </w:rPr>
        <w:t xml:space="preserve">a </w:t>
      </w:r>
      <w:r w:rsidR="002E2821">
        <w:rPr>
          <w:rFonts w:eastAsia="SimSun"/>
          <w:sz w:val="24"/>
          <w:szCs w:val="24"/>
          <w:lang w:eastAsia="zh-CN"/>
        </w:rPr>
        <w:t xml:space="preserve">network </w:t>
      </w:r>
      <w:r w:rsidR="009D3EDF">
        <w:rPr>
          <w:rFonts w:eastAsia="SimSun"/>
          <w:sz w:val="24"/>
          <w:szCs w:val="24"/>
          <w:lang w:eastAsia="zh-CN"/>
        </w:rPr>
        <w:t xml:space="preserve">under Article 2A </w:t>
      </w:r>
      <w:r w:rsidR="004711C3">
        <w:rPr>
          <w:rFonts w:eastAsia="SimSun"/>
          <w:sz w:val="24"/>
          <w:szCs w:val="24"/>
          <w:lang w:eastAsia="zh-CN"/>
        </w:rPr>
        <w:t>of those Appendices in Region 2</w:t>
      </w:r>
      <w:r w:rsidR="00382621">
        <w:rPr>
          <w:rFonts w:eastAsia="SimSun"/>
          <w:sz w:val="24"/>
          <w:szCs w:val="24"/>
          <w:lang w:eastAsia="zh-CN"/>
        </w:rPr>
        <w:t xml:space="preserve"> (</w:t>
      </w:r>
      <w:r w:rsidR="00F22F8E">
        <w:rPr>
          <w:rFonts w:eastAsia="SimSun"/>
          <w:sz w:val="24"/>
          <w:szCs w:val="24"/>
          <w:lang w:eastAsia="zh-CN"/>
        </w:rPr>
        <w:t>T</w:t>
      </w:r>
      <w:r w:rsidR="00D24030">
        <w:rPr>
          <w:rFonts w:eastAsia="SimSun"/>
          <w:sz w:val="24"/>
          <w:szCs w:val="24"/>
          <w:lang w:eastAsia="zh-CN"/>
        </w:rPr>
        <w:t>he process</w:t>
      </w:r>
      <w:r w:rsidR="00F22F8E">
        <w:rPr>
          <w:rFonts w:eastAsia="SimSun"/>
          <w:sz w:val="24"/>
          <w:szCs w:val="24"/>
          <w:lang w:eastAsia="zh-CN"/>
        </w:rPr>
        <w:t xml:space="preserve"> </w:t>
      </w:r>
      <w:r w:rsidR="004711C3">
        <w:rPr>
          <w:rFonts w:eastAsia="SimSun"/>
          <w:sz w:val="24"/>
          <w:szCs w:val="24"/>
          <w:lang w:eastAsia="zh-CN"/>
        </w:rPr>
        <w:t xml:space="preserve">is </w:t>
      </w:r>
      <w:r w:rsidR="00382621">
        <w:rPr>
          <w:rFonts w:eastAsia="SimSun"/>
          <w:sz w:val="24"/>
          <w:szCs w:val="24"/>
          <w:lang w:eastAsia="zh-CN"/>
        </w:rPr>
        <w:t xml:space="preserve">hereinafter referred to as </w:t>
      </w:r>
      <w:r w:rsidR="00382621" w:rsidRPr="006C5866">
        <w:rPr>
          <w:rFonts w:eastAsia="SimSun"/>
          <w:i/>
          <w:iCs/>
          <w:sz w:val="24"/>
          <w:szCs w:val="24"/>
          <w:lang w:eastAsia="zh-CN"/>
        </w:rPr>
        <w:t xml:space="preserve">the </w:t>
      </w:r>
      <w:r w:rsidR="00D770D0">
        <w:rPr>
          <w:rFonts w:eastAsia="SimSun"/>
          <w:i/>
          <w:iCs/>
          <w:sz w:val="24"/>
          <w:szCs w:val="24"/>
          <w:lang w:eastAsia="zh-CN"/>
        </w:rPr>
        <w:t>d</w:t>
      </w:r>
      <w:r w:rsidR="00382621" w:rsidRPr="006C5866">
        <w:rPr>
          <w:rFonts w:eastAsia="SimSun"/>
          <w:i/>
          <w:iCs/>
          <w:sz w:val="24"/>
          <w:szCs w:val="24"/>
          <w:lang w:eastAsia="zh-CN"/>
        </w:rPr>
        <w:t xml:space="preserve">raft </w:t>
      </w:r>
      <w:r w:rsidR="00AD429D">
        <w:rPr>
          <w:rFonts w:eastAsia="SimSun"/>
          <w:i/>
          <w:iCs/>
          <w:sz w:val="24"/>
          <w:szCs w:val="24"/>
          <w:lang w:eastAsia="zh-CN"/>
        </w:rPr>
        <w:t xml:space="preserve">Part </w:t>
      </w:r>
      <w:r w:rsidR="00382621" w:rsidRPr="006C5866">
        <w:rPr>
          <w:rFonts w:eastAsia="SimSun"/>
          <w:i/>
          <w:iCs/>
          <w:sz w:val="24"/>
          <w:szCs w:val="24"/>
          <w:lang w:eastAsia="zh-CN"/>
        </w:rPr>
        <w:t xml:space="preserve">D </w:t>
      </w:r>
      <w:r w:rsidR="00D24030" w:rsidRPr="00E92D9D">
        <w:rPr>
          <w:rFonts w:eastAsia="SimSun"/>
          <w:i/>
          <w:iCs/>
          <w:sz w:val="24"/>
          <w:szCs w:val="24"/>
          <w:lang w:eastAsia="zh-CN"/>
        </w:rPr>
        <w:t>process</w:t>
      </w:r>
      <w:r w:rsidR="00D24030">
        <w:rPr>
          <w:rFonts w:eastAsia="SimSun"/>
          <w:sz w:val="24"/>
          <w:szCs w:val="24"/>
          <w:lang w:eastAsia="zh-CN"/>
        </w:rPr>
        <w:t>, and the databases</w:t>
      </w:r>
      <w:r w:rsidR="004711C3">
        <w:rPr>
          <w:rFonts w:eastAsia="SimSun"/>
          <w:sz w:val="24"/>
          <w:szCs w:val="24"/>
          <w:lang w:eastAsia="zh-CN"/>
        </w:rPr>
        <w:t xml:space="preserve"> are referred to as</w:t>
      </w:r>
      <w:r w:rsidR="00D24030">
        <w:rPr>
          <w:rFonts w:eastAsia="SimSun"/>
          <w:sz w:val="24"/>
          <w:szCs w:val="24"/>
          <w:lang w:eastAsia="zh-CN"/>
        </w:rPr>
        <w:t xml:space="preserve"> the </w:t>
      </w:r>
      <w:r w:rsidR="00D24030">
        <w:rPr>
          <w:rFonts w:eastAsia="SimSun"/>
          <w:i/>
          <w:iCs/>
          <w:sz w:val="24"/>
          <w:szCs w:val="24"/>
          <w:lang w:eastAsia="zh-CN"/>
        </w:rPr>
        <w:t>d</w:t>
      </w:r>
      <w:r w:rsidR="00D24030" w:rsidRPr="006C5866">
        <w:rPr>
          <w:rFonts w:eastAsia="SimSun"/>
          <w:i/>
          <w:iCs/>
          <w:sz w:val="24"/>
          <w:szCs w:val="24"/>
          <w:lang w:eastAsia="zh-CN"/>
        </w:rPr>
        <w:t xml:space="preserve">raft </w:t>
      </w:r>
      <w:r w:rsidR="00D24030">
        <w:rPr>
          <w:rFonts w:eastAsia="SimSun"/>
          <w:i/>
          <w:iCs/>
          <w:sz w:val="24"/>
          <w:szCs w:val="24"/>
          <w:lang w:eastAsia="zh-CN"/>
        </w:rPr>
        <w:t xml:space="preserve">Part </w:t>
      </w:r>
      <w:r w:rsidR="00D24030" w:rsidRPr="006C5866">
        <w:rPr>
          <w:rFonts w:eastAsia="SimSun"/>
          <w:i/>
          <w:iCs/>
          <w:sz w:val="24"/>
          <w:szCs w:val="24"/>
          <w:lang w:eastAsia="zh-CN"/>
        </w:rPr>
        <w:t>D</w:t>
      </w:r>
      <w:r w:rsidR="00D24030">
        <w:rPr>
          <w:rFonts w:eastAsia="SimSun"/>
          <w:i/>
          <w:iCs/>
          <w:sz w:val="24"/>
          <w:szCs w:val="24"/>
          <w:lang w:eastAsia="zh-CN"/>
        </w:rPr>
        <w:t xml:space="preserve"> databases</w:t>
      </w:r>
      <w:r w:rsidR="00382621">
        <w:rPr>
          <w:rFonts w:eastAsia="SimSun"/>
          <w:sz w:val="24"/>
          <w:szCs w:val="24"/>
          <w:lang w:eastAsia="zh-CN"/>
        </w:rPr>
        <w:t>)</w:t>
      </w:r>
      <w:r w:rsidR="002015E0" w:rsidRPr="002015E0">
        <w:rPr>
          <w:rFonts w:eastAsia="SimSun"/>
          <w:sz w:val="24"/>
          <w:szCs w:val="24"/>
        </w:rPr>
        <w:t xml:space="preserve">. </w:t>
      </w:r>
    </w:p>
    <w:p w14:paraId="0335B05D" w14:textId="77777777" w:rsidR="00305D42" w:rsidRDefault="00797EDC" w:rsidP="00305D42">
      <w:pPr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These</w:t>
      </w:r>
      <w:r w:rsidR="002015E0" w:rsidRPr="002015E0">
        <w:rPr>
          <w:rFonts w:eastAsia="SimSun"/>
          <w:sz w:val="24"/>
          <w:szCs w:val="24"/>
        </w:rPr>
        <w:t xml:space="preserve"> database</w:t>
      </w:r>
      <w:r>
        <w:rPr>
          <w:rFonts w:eastAsia="SimSun"/>
          <w:sz w:val="24"/>
          <w:szCs w:val="24"/>
        </w:rPr>
        <w:t>s</w:t>
      </w:r>
      <w:r w:rsidR="002015E0" w:rsidRPr="002015E0">
        <w:rPr>
          <w:rFonts w:eastAsia="SimSun"/>
          <w:sz w:val="24"/>
          <w:szCs w:val="24"/>
        </w:rPr>
        <w:t xml:space="preserve"> </w:t>
      </w:r>
      <w:r w:rsidR="00C20601">
        <w:rPr>
          <w:rFonts w:eastAsia="SimSun"/>
          <w:sz w:val="24"/>
          <w:szCs w:val="24"/>
        </w:rPr>
        <w:t>include</w:t>
      </w:r>
      <w:r w:rsidR="00C20601" w:rsidRPr="002015E0">
        <w:rPr>
          <w:rFonts w:eastAsia="SimSun"/>
          <w:sz w:val="24"/>
          <w:szCs w:val="24"/>
        </w:rPr>
        <w:t xml:space="preserve"> </w:t>
      </w:r>
      <w:r w:rsidR="00F12A83">
        <w:rPr>
          <w:rFonts w:eastAsia="SimSun"/>
          <w:sz w:val="24"/>
          <w:szCs w:val="24"/>
        </w:rPr>
        <w:t>lists</w:t>
      </w:r>
      <w:r w:rsidR="002015E0" w:rsidRPr="002015E0">
        <w:rPr>
          <w:rFonts w:eastAsia="SimSun"/>
          <w:sz w:val="24"/>
          <w:szCs w:val="24"/>
        </w:rPr>
        <w:t xml:space="preserve"> of the administrations, </w:t>
      </w:r>
      <w:r w:rsidR="00DF7444">
        <w:rPr>
          <w:rFonts w:eastAsia="SimSun"/>
          <w:sz w:val="24"/>
          <w:szCs w:val="24"/>
        </w:rPr>
        <w:t xml:space="preserve">from </w:t>
      </w:r>
      <w:r w:rsidR="002015E0" w:rsidRPr="002015E0">
        <w:rPr>
          <w:rFonts w:eastAsia="SimSun"/>
          <w:sz w:val="24"/>
          <w:szCs w:val="24"/>
        </w:rPr>
        <w:t xml:space="preserve">which </w:t>
      </w:r>
      <w:r w:rsidR="00DF7444">
        <w:rPr>
          <w:rFonts w:eastAsia="SimSun"/>
          <w:sz w:val="24"/>
          <w:szCs w:val="24"/>
        </w:rPr>
        <w:t>the Bureau has</w:t>
      </w:r>
      <w:r w:rsidR="00853E92">
        <w:rPr>
          <w:rFonts w:eastAsia="SimSun"/>
          <w:sz w:val="24"/>
          <w:szCs w:val="24"/>
        </w:rPr>
        <w:t xml:space="preserve"> received</w:t>
      </w:r>
      <w:r w:rsidR="002015E0" w:rsidRPr="002015E0">
        <w:rPr>
          <w:rFonts w:eastAsia="SimSun"/>
          <w:sz w:val="24"/>
          <w:szCs w:val="24"/>
        </w:rPr>
        <w:t xml:space="preserve"> a </w:t>
      </w:r>
      <w:r w:rsidR="002015E0" w:rsidRPr="00C20601">
        <w:rPr>
          <w:rFonts w:eastAsia="SimSun"/>
          <w:sz w:val="24"/>
          <w:szCs w:val="24"/>
        </w:rPr>
        <w:t>disagreement</w:t>
      </w:r>
      <w:r w:rsidR="002015E0" w:rsidRPr="002015E0">
        <w:rPr>
          <w:rFonts w:eastAsia="SimSun"/>
          <w:sz w:val="24"/>
          <w:szCs w:val="24"/>
        </w:rPr>
        <w:t xml:space="preserve"> within the regulatory four-month </w:t>
      </w:r>
      <w:r w:rsidR="002015E0" w:rsidRPr="00625922">
        <w:rPr>
          <w:rFonts w:eastAsia="SimSun"/>
          <w:sz w:val="24"/>
          <w:szCs w:val="24"/>
        </w:rPr>
        <w:t>period</w:t>
      </w:r>
      <w:r w:rsidR="00FB60A8" w:rsidRPr="00625922">
        <w:rPr>
          <w:rFonts w:eastAsia="SimSun"/>
          <w:sz w:val="24"/>
          <w:szCs w:val="24"/>
        </w:rPr>
        <w:t>,</w:t>
      </w:r>
      <w:r w:rsidR="001062DF" w:rsidRPr="00625922">
        <w:rPr>
          <w:rFonts w:eastAsia="SimSun"/>
          <w:sz w:val="24"/>
          <w:szCs w:val="24"/>
        </w:rPr>
        <w:t xml:space="preserve"> without delay</w:t>
      </w:r>
      <w:r w:rsidR="00FB60A8" w:rsidRPr="00625922">
        <w:rPr>
          <w:rFonts w:eastAsia="SimSun"/>
          <w:sz w:val="24"/>
          <w:szCs w:val="24"/>
        </w:rPr>
        <w:t xml:space="preserve"> </w:t>
      </w:r>
      <w:r w:rsidR="00625922" w:rsidRPr="00625922">
        <w:rPr>
          <w:rFonts w:eastAsia="SimSun"/>
          <w:sz w:val="24"/>
          <w:szCs w:val="24"/>
        </w:rPr>
        <w:t>unless a</w:t>
      </w:r>
      <w:r w:rsidR="00FB60A8" w:rsidRPr="00625922">
        <w:rPr>
          <w:rFonts w:eastAsia="SimSun"/>
          <w:sz w:val="24"/>
          <w:szCs w:val="24"/>
        </w:rPr>
        <w:t xml:space="preserve"> request for assistance</w:t>
      </w:r>
      <w:r w:rsidR="001E21ED" w:rsidRPr="00625922">
        <w:rPr>
          <w:rFonts w:eastAsia="SimSun"/>
          <w:sz w:val="24"/>
          <w:szCs w:val="24"/>
        </w:rPr>
        <w:t xml:space="preserve"> </w:t>
      </w:r>
      <w:r w:rsidR="00FB60A8" w:rsidRPr="00625922">
        <w:rPr>
          <w:rFonts w:eastAsia="SimSun"/>
          <w:sz w:val="24"/>
          <w:szCs w:val="24"/>
        </w:rPr>
        <w:t>is received</w:t>
      </w:r>
      <w:r w:rsidR="002015E0" w:rsidRPr="00625922">
        <w:rPr>
          <w:rFonts w:eastAsia="SimSun"/>
          <w:sz w:val="24"/>
          <w:szCs w:val="24"/>
        </w:rPr>
        <w:t>.</w:t>
      </w:r>
    </w:p>
    <w:p w14:paraId="46EA23ED" w14:textId="1B400CBF" w:rsidR="008245CA" w:rsidRDefault="002015E0" w:rsidP="00305D42">
      <w:pPr>
        <w:rPr>
          <w:rFonts w:eastAsia="SimSun"/>
          <w:sz w:val="24"/>
          <w:szCs w:val="24"/>
        </w:rPr>
      </w:pPr>
      <w:r w:rsidRPr="002015E0">
        <w:rPr>
          <w:rFonts w:eastAsia="SimSun"/>
          <w:sz w:val="24"/>
          <w:szCs w:val="24"/>
        </w:rPr>
        <w:t xml:space="preserve">Before proceeding with the </w:t>
      </w:r>
      <w:r w:rsidR="008116D0">
        <w:rPr>
          <w:rFonts w:eastAsia="SimSun"/>
          <w:sz w:val="24"/>
          <w:szCs w:val="24"/>
        </w:rPr>
        <w:t>official</w:t>
      </w:r>
      <w:r w:rsidR="008116D0" w:rsidRPr="002015E0">
        <w:rPr>
          <w:rFonts w:eastAsia="SimSun"/>
          <w:sz w:val="24"/>
          <w:szCs w:val="24"/>
        </w:rPr>
        <w:t xml:space="preserve"> </w:t>
      </w:r>
      <w:r w:rsidRPr="002015E0">
        <w:rPr>
          <w:rFonts w:eastAsia="SimSun"/>
          <w:sz w:val="24"/>
          <w:szCs w:val="24"/>
        </w:rPr>
        <w:t>publication</w:t>
      </w:r>
      <w:r w:rsidR="009742B9">
        <w:rPr>
          <w:rFonts w:eastAsia="SimSun"/>
          <w:sz w:val="24"/>
          <w:szCs w:val="24"/>
        </w:rPr>
        <w:t>s</w:t>
      </w:r>
      <w:r w:rsidRPr="002015E0">
        <w:rPr>
          <w:rFonts w:eastAsia="SimSun"/>
          <w:sz w:val="24"/>
          <w:szCs w:val="24"/>
        </w:rPr>
        <w:t xml:space="preserve"> of the above information in </w:t>
      </w:r>
      <w:r w:rsidR="0086207B">
        <w:rPr>
          <w:rFonts w:eastAsia="SimSun"/>
          <w:sz w:val="24"/>
          <w:szCs w:val="24"/>
        </w:rPr>
        <w:t>Special Section</w:t>
      </w:r>
      <w:r w:rsidR="009742B9">
        <w:rPr>
          <w:rFonts w:eastAsia="SimSun"/>
          <w:sz w:val="24"/>
          <w:szCs w:val="24"/>
        </w:rPr>
        <w:t>s</w:t>
      </w:r>
      <w:r w:rsidRPr="002015E0">
        <w:rPr>
          <w:rFonts w:eastAsia="SimSun"/>
          <w:sz w:val="24"/>
          <w:szCs w:val="24"/>
        </w:rPr>
        <w:t xml:space="preserve">, the Bureau </w:t>
      </w:r>
      <w:r w:rsidR="00FD681B">
        <w:rPr>
          <w:rFonts w:eastAsia="SimSun" w:hint="eastAsia"/>
          <w:sz w:val="24"/>
          <w:szCs w:val="24"/>
          <w:lang w:eastAsia="zh-CN"/>
        </w:rPr>
        <w:t>sends</w:t>
      </w:r>
      <w:r w:rsidR="00FD681B">
        <w:rPr>
          <w:rFonts w:eastAsia="SimSun"/>
          <w:sz w:val="24"/>
          <w:szCs w:val="24"/>
        </w:rPr>
        <w:t xml:space="preserve"> a telefax </w:t>
      </w:r>
      <w:r w:rsidR="00FD681B">
        <w:rPr>
          <w:rFonts w:eastAsia="SimSun" w:hint="eastAsia"/>
          <w:sz w:val="24"/>
          <w:szCs w:val="24"/>
          <w:lang w:eastAsia="zh-CN"/>
        </w:rPr>
        <w:t>requesting</w:t>
      </w:r>
      <w:r w:rsidR="00FD681B">
        <w:rPr>
          <w:rFonts w:eastAsia="SimSun"/>
          <w:sz w:val="24"/>
          <w:szCs w:val="24"/>
        </w:rPr>
        <w:t xml:space="preserve"> </w:t>
      </w:r>
      <w:r w:rsidRPr="002015E0">
        <w:rPr>
          <w:rFonts w:eastAsia="SimSun"/>
          <w:sz w:val="24"/>
          <w:szCs w:val="24"/>
        </w:rPr>
        <w:t xml:space="preserve">the notifying administration of </w:t>
      </w:r>
      <w:r w:rsidR="00853E92">
        <w:rPr>
          <w:rFonts w:eastAsia="SimSun"/>
          <w:sz w:val="24"/>
          <w:szCs w:val="24"/>
        </w:rPr>
        <w:t xml:space="preserve">the </w:t>
      </w:r>
      <w:r w:rsidR="00274E12">
        <w:rPr>
          <w:rFonts w:eastAsia="SimSun"/>
          <w:sz w:val="24"/>
          <w:szCs w:val="24"/>
        </w:rPr>
        <w:t xml:space="preserve">satellite </w:t>
      </w:r>
      <w:r w:rsidRPr="002015E0">
        <w:rPr>
          <w:rFonts w:eastAsia="SimSun"/>
          <w:sz w:val="24"/>
          <w:szCs w:val="24"/>
        </w:rPr>
        <w:t xml:space="preserve">network to inform </w:t>
      </w:r>
      <w:r w:rsidR="00A10961">
        <w:rPr>
          <w:rFonts w:eastAsia="SimSun" w:hint="eastAsia"/>
          <w:sz w:val="24"/>
          <w:szCs w:val="24"/>
          <w:lang w:eastAsia="zh-CN"/>
        </w:rPr>
        <w:t>it</w:t>
      </w:r>
      <w:r w:rsidRPr="002015E0">
        <w:rPr>
          <w:rFonts w:eastAsia="SimSun"/>
          <w:sz w:val="24"/>
          <w:szCs w:val="24"/>
        </w:rPr>
        <w:t xml:space="preserve"> of any additional comments concerning disagreements received from the affected administrations, which may have </w:t>
      </w:r>
      <w:r w:rsidR="008245CA" w:rsidRPr="002015E0">
        <w:rPr>
          <w:rFonts w:eastAsia="SimSun"/>
          <w:sz w:val="24"/>
          <w:szCs w:val="24"/>
        </w:rPr>
        <w:t xml:space="preserve">not </w:t>
      </w:r>
      <w:r w:rsidRPr="002015E0">
        <w:rPr>
          <w:rFonts w:eastAsia="SimSun"/>
          <w:sz w:val="24"/>
          <w:szCs w:val="24"/>
        </w:rPr>
        <w:t xml:space="preserve">been copied to the Bureau. </w:t>
      </w:r>
    </w:p>
    <w:p w14:paraId="63527885" w14:textId="49A8C443" w:rsidR="002015E0" w:rsidRDefault="0071684B" w:rsidP="00305D42">
      <w:pPr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The notifying administration </w:t>
      </w:r>
      <w:r w:rsidRPr="00F00E7C">
        <w:rPr>
          <w:rFonts w:eastAsia="SimSun"/>
          <w:sz w:val="24"/>
          <w:szCs w:val="24"/>
        </w:rPr>
        <w:t>is expected</w:t>
      </w:r>
      <w:r w:rsidR="00F5242D">
        <w:rPr>
          <w:rFonts w:eastAsia="SimSun"/>
          <w:sz w:val="24"/>
          <w:szCs w:val="24"/>
        </w:rPr>
        <w:t xml:space="preserve"> to</w:t>
      </w:r>
      <w:r w:rsidR="002015E0" w:rsidRPr="002015E0">
        <w:rPr>
          <w:rFonts w:eastAsia="SimSun"/>
          <w:sz w:val="24"/>
          <w:szCs w:val="24"/>
        </w:rPr>
        <w:t xml:space="preserve"> updat</w:t>
      </w:r>
      <w:r>
        <w:rPr>
          <w:rFonts w:eastAsia="SimSun"/>
          <w:sz w:val="24"/>
          <w:szCs w:val="24"/>
        </w:rPr>
        <w:t>e</w:t>
      </w:r>
      <w:r w:rsidR="002015E0" w:rsidRPr="002015E0">
        <w:rPr>
          <w:rFonts w:eastAsia="SimSun"/>
          <w:sz w:val="24"/>
          <w:szCs w:val="24"/>
        </w:rPr>
        <w:t xml:space="preserve"> accordingly the draft</w:t>
      </w:r>
      <w:r w:rsidR="00931B98">
        <w:rPr>
          <w:rFonts w:eastAsia="SimSun"/>
          <w:sz w:val="24"/>
          <w:szCs w:val="24"/>
        </w:rPr>
        <w:t xml:space="preserve"> Part</w:t>
      </w:r>
      <w:r w:rsidR="00DE5925">
        <w:rPr>
          <w:rFonts w:eastAsia="SimSun"/>
          <w:sz w:val="24"/>
          <w:szCs w:val="24"/>
        </w:rPr>
        <w:t xml:space="preserve"> D</w:t>
      </w:r>
      <w:r w:rsidR="002015E0" w:rsidRPr="002015E0">
        <w:rPr>
          <w:rFonts w:eastAsia="SimSun"/>
          <w:sz w:val="24"/>
          <w:szCs w:val="24"/>
        </w:rPr>
        <w:t xml:space="preserve"> database using </w:t>
      </w:r>
      <w:r w:rsidR="00DE5925">
        <w:rPr>
          <w:rFonts w:eastAsia="SimSun"/>
          <w:sz w:val="24"/>
          <w:szCs w:val="24"/>
        </w:rPr>
        <w:t xml:space="preserve">the </w:t>
      </w:r>
      <w:r w:rsidR="002015E0" w:rsidRPr="002015E0">
        <w:rPr>
          <w:rFonts w:eastAsia="SimSun"/>
          <w:sz w:val="24"/>
          <w:szCs w:val="24"/>
        </w:rPr>
        <w:t xml:space="preserve">SpaceCom software and return it to the Bureau within 30 days of the date of dispatch of the draft </w:t>
      </w:r>
      <w:r w:rsidR="00DE5925">
        <w:rPr>
          <w:rFonts w:eastAsia="SimSun"/>
          <w:sz w:val="24"/>
          <w:szCs w:val="24"/>
        </w:rPr>
        <w:t>Part D</w:t>
      </w:r>
      <w:r w:rsidR="002015E0" w:rsidRPr="002015E0">
        <w:rPr>
          <w:rFonts w:eastAsia="SimSun"/>
          <w:sz w:val="24"/>
          <w:szCs w:val="24"/>
        </w:rPr>
        <w:t xml:space="preserve"> information telefax. This draft </w:t>
      </w:r>
      <w:r w:rsidR="00BC4EB6">
        <w:rPr>
          <w:rFonts w:eastAsia="SimSun"/>
          <w:sz w:val="24"/>
          <w:szCs w:val="24"/>
        </w:rPr>
        <w:t>Part D</w:t>
      </w:r>
      <w:r w:rsidR="002015E0" w:rsidRPr="002015E0">
        <w:rPr>
          <w:rFonts w:eastAsia="SimSun"/>
          <w:sz w:val="24"/>
          <w:szCs w:val="24"/>
        </w:rPr>
        <w:t xml:space="preserve"> </w:t>
      </w:r>
      <w:r w:rsidR="00274E12">
        <w:rPr>
          <w:rFonts w:eastAsia="SimSun"/>
          <w:sz w:val="24"/>
          <w:szCs w:val="24"/>
        </w:rPr>
        <w:t>process</w:t>
      </w:r>
      <w:r w:rsidR="002015E0" w:rsidRPr="002015E0">
        <w:rPr>
          <w:rFonts w:eastAsia="SimSun"/>
          <w:sz w:val="24"/>
          <w:szCs w:val="24"/>
        </w:rPr>
        <w:t xml:space="preserve">, which is not required </w:t>
      </w:r>
      <w:r w:rsidR="00274E12">
        <w:rPr>
          <w:rFonts w:eastAsia="SimSun"/>
          <w:sz w:val="24"/>
          <w:szCs w:val="24"/>
        </w:rPr>
        <w:t xml:space="preserve">by Appendices </w:t>
      </w:r>
      <w:r w:rsidR="00274E12">
        <w:rPr>
          <w:rFonts w:eastAsia="SimSun"/>
          <w:b/>
          <w:bCs/>
          <w:sz w:val="24"/>
          <w:szCs w:val="24"/>
        </w:rPr>
        <w:t xml:space="preserve">30 </w:t>
      </w:r>
      <w:r w:rsidR="00274E12">
        <w:rPr>
          <w:rFonts w:eastAsia="SimSun"/>
          <w:sz w:val="24"/>
          <w:szCs w:val="24"/>
        </w:rPr>
        <w:t xml:space="preserve">and </w:t>
      </w:r>
      <w:r w:rsidR="00274E12">
        <w:rPr>
          <w:rFonts w:eastAsia="SimSun"/>
          <w:b/>
          <w:bCs/>
          <w:sz w:val="24"/>
          <w:szCs w:val="24"/>
        </w:rPr>
        <w:t>30A</w:t>
      </w:r>
      <w:r w:rsidR="00274E12">
        <w:rPr>
          <w:rFonts w:eastAsia="SimSun"/>
          <w:sz w:val="24"/>
          <w:szCs w:val="24"/>
        </w:rPr>
        <w:t xml:space="preserve"> of</w:t>
      </w:r>
      <w:r w:rsidR="00274E12" w:rsidRPr="002015E0">
        <w:rPr>
          <w:rFonts w:eastAsia="SimSun"/>
          <w:sz w:val="24"/>
          <w:szCs w:val="24"/>
        </w:rPr>
        <w:t xml:space="preserve"> </w:t>
      </w:r>
      <w:r w:rsidR="002015E0" w:rsidRPr="002015E0">
        <w:rPr>
          <w:rFonts w:eastAsia="SimSun"/>
          <w:sz w:val="24"/>
          <w:szCs w:val="24"/>
        </w:rPr>
        <w:t xml:space="preserve">the Radio Regulations, has been introduced by the Bureau in order to provide an opportunity for the notifying administration to check comments from other administrations and add those not </w:t>
      </w:r>
      <w:r w:rsidR="00CC14A2">
        <w:rPr>
          <w:rFonts w:eastAsia="SimSun"/>
          <w:sz w:val="24"/>
          <w:szCs w:val="24"/>
        </w:rPr>
        <w:t>received</w:t>
      </w:r>
      <w:r w:rsidR="002015E0" w:rsidRPr="002015E0">
        <w:rPr>
          <w:rFonts w:eastAsia="SimSun"/>
          <w:sz w:val="24"/>
          <w:szCs w:val="24"/>
        </w:rPr>
        <w:t xml:space="preserve"> by the Bureau before </w:t>
      </w:r>
      <w:r w:rsidR="00167594">
        <w:rPr>
          <w:rFonts w:eastAsia="SimSun"/>
          <w:sz w:val="24"/>
          <w:szCs w:val="24"/>
        </w:rPr>
        <w:t>the</w:t>
      </w:r>
      <w:r w:rsidR="002015E0" w:rsidRPr="002015E0">
        <w:rPr>
          <w:rFonts w:eastAsia="SimSun"/>
          <w:sz w:val="24"/>
          <w:szCs w:val="24"/>
        </w:rPr>
        <w:t xml:space="preserve"> official publication</w:t>
      </w:r>
      <w:r w:rsidR="003C4F93">
        <w:rPr>
          <w:rFonts w:eastAsia="SimSun"/>
          <w:sz w:val="24"/>
          <w:szCs w:val="24"/>
        </w:rPr>
        <w:t>s</w:t>
      </w:r>
      <w:r w:rsidR="002015E0" w:rsidRPr="002015E0">
        <w:rPr>
          <w:rFonts w:eastAsia="SimSun"/>
          <w:sz w:val="24"/>
          <w:szCs w:val="24"/>
        </w:rPr>
        <w:t xml:space="preserve"> (</w:t>
      </w:r>
      <w:r w:rsidR="003C4F93" w:rsidRPr="003C4F93">
        <w:rPr>
          <w:rFonts w:eastAsia="SimSun"/>
          <w:sz w:val="24"/>
          <w:szCs w:val="24"/>
        </w:rPr>
        <w:t xml:space="preserve">AP30-30A/E Part D </w:t>
      </w:r>
      <w:r w:rsidR="00762456">
        <w:rPr>
          <w:rFonts w:eastAsia="SimSun"/>
          <w:sz w:val="24"/>
          <w:szCs w:val="24"/>
        </w:rPr>
        <w:t xml:space="preserve">and </w:t>
      </w:r>
      <w:r w:rsidR="003C4F93" w:rsidRPr="003C4F93">
        <w:rPr>
          <w:rFonts w:eastAsia="SimSun"/>
          <w:sz w:val="24"/>
          <w:szCs w:val="24"/>
        </w:rPr>
        <w:t>AP30-30A/F/D</w:t>
      </w:r>
      <w:r w:rsidR="00460D77">
        <w:rPr>
          <w:rFonts w:eastAsia="SimSun"/>
          <w:sz w:val="24"/>
          <w:szCs w:val="24"/>
        </w:rPr>
        <w:t xml:space="preserve"> (</w:t>
      </w:r>
      <w:r w:rsidR="00122001">
        <w:rPr>
          <w:rFonts w:eastAsia="SimSun"/>
          <w:sz w:val="24"/>
          <w:szCs w:val="24"/>
        </w:rPr>
        <w:t xml:space="preserve">for </w:t>
      </w:r>
      <w:r w:rsidR="00460D77">
        <w:rPr>
          <w:rFonts w:eastAsia="SimSun"/>
          <w:sz w:val="24"/>
          <w:szCs w:val="24"/>
        </w:rPr>
        <w:t>Region 2)</w:t>
      </w:r>
      <w:r w:rsidR="002015E0" w:rsidRPr="002015E0">
        <w:rPr>
          <w:rFonts w:eastAsia="SimSun"/>
          <w:sz w:val="24"/>
          <w:szCs w:val="24"/>
        </w:rPr>
        <w:t>).</w:t>
      </w:r>
    </w:p>
    <w:p w14:paraId="35BD1250" w14:textId="02621C51" w:rsidR="000B0E91" w:rsidRDefault="00524E04" w:rsidP="00305D42">
      <w:pPr>
        <w:rPr>
          <w:rFonts w:eastAsia="SimSun"/>
          <w:sz w:val="24"/>
          <w:szCs w:val="24"/>
        </w:rPr>
      </w:pPr>
      <w:r w:rsidRPr="00524E04">
        <w:rPr>
          <w:rFonts w:eastAsia="SimSun"/>
          <w:sz w:val="24"/>
          <w:szCs w:val="24"/>
        </w:rPr>
        <w:t>During the period 20</w:t>
      </w:r>
      <w:r w:rsidR="00811125">
        <w:rPr>
          <w:rFonts w:eastAsia="SimSun"/>
          <w:sz w:val="24"/>
          <w:szCs w:val="24"/>
        </w:rPr>
        <w:t>03</w:t>
      </w:r>
      <w:r w:rsidRPr="00524E04">
        <w:rPr>
          <w:rFonts w:eastAsia="SimSun"/>
          <w:sz w:val="24"/>
          <w:szCs w:val="24"/>
        </w:rPr>
        <w:t>-20</w:t>
      </w:r>
      <w:r w:rsidR="000C7D4E">
        <w:rPr>
          <w:rFonts w:eastAsia="SimSun"/>
          <w:sz w:val="24"/>
          <w:szCs w:val="24"/>
        </w:rPr>
        <w:t>24</w:t>
      </w:r>
      <w:r w:rsidRPr="00524E04">
        <w:rPr>
          <w:rFonts w:eastAsia="SimSun"/>
          <w:sz w:val="24"/>
          <w:szCs w:val="24"/>
        </w:rPr>
        <w:t xml:space="preserve">, out of </w:t>
      </w:r>
      <w:r w:rsidR="007807D7">
        <w:rPr>
          <w:rFonts w:eastAsia="SimSun"/>
          <w:sz w:val="24"/>
          <w:szCs w:val="24"/>
        </w:rPr>
        <w:t>219</w:t>
      </w:r>
      <w:r w:rsidRPr="00524E04">
        <w:rPr>
          <w:rFonts w:eastAsia="SimSun"/>
          <w:sz w:val="24"/>
          <w:szCs w:val="24"/>
        </w:rPr>
        <w:t xml:space="preserve"> satellite networks for which a </w:t>
      </w:r>
      <w:r w:rsidR="000C7D4E">
        <w:rPr>
          <w:rFonts w:eastAsia="SimSun"/>
          <w:sz w:val="24"/>
          <w:szCs w:val="24"/>
        </w:rPr>
        <w:t>S</w:t>
      </w:r>
      <w:r w:rsidRPr="00524E04">
        <w:rPr>
          <w:rFonts w:eastAsia="SimSun"/>
          <w:sz w:val="24"/>
          <w:szCs w:val="24"/>
        </w:rPr>
        <w:t xml:space="preserve">pecial </w:t>
      </w:r>
      <w:r w:rsidR="000C7D4E">
        <w:rPr>
          <w:rFonts w:eastAsia="SimSun"/>
          <w:sz w:val="24"/>
          <w:szCs w:val="24"/>
        </w:rPr>
        <w:t>S</w:t>
      </w:r>
      <w:r w:rsidRPr="00524E04">
        <w:rPr>
          <w:rFonts w:eastAsia="SimSun"/>
          <w:sz w:val="24"/>
          <w:szCs w:val="24"/>
        </w:rPr>
        <w:t xml:space="preserve">ection </w:t>
      </w:r>
      <w:r w:rsidR="000C7D4E" w:rsidRPr="000C7D4E">
        <w:rPr>
          <w:rFonts w:eastAsia="SimSun"/>
          <w:sz w:val="24"/>
          <w:szCs w:val="24"/>
        </w:rPr>
        <w:t xml:space="preserve">AP30-30A/E Part D </w:t>
      </w:r>
      <w:r w:rsidR="000C7D4E">
        <w:rPr>
          <w:rFonts w:eastAsia="SimSun"/>
          <w:sz w:val="24"/>
          <w:szCs w:val="24"/>
        </w:rPr>
        <w:t>or</w:t>
      </w:r>
      <w:r w:rsidR="000C7D4E" w:rsidRPr="000C7D4E">
        <w:rPr>
          <w:rFonts w:eastAsia="SimSun"/>
          <w:sz w:val="24"/>
          <w:szCs w:val="24"/>
        </w:rPr>
        <w:t xml:space="preserve"> AP30-30A/F/D</w:t>
      </w:r>
      <w:r w:rsidR="00460D77">
        <w:rPr>
          <w:rFonts w:eastAsia="SimSun"/>
          <w:sz w:val="24"/>
          <w:szCs w:val="24"/>
        </w:rPr>
        <w:t xml:space="preserve"> (</w:t>
      </w:r>
      <w:r w:rsidR="00122001">
        <w:rPr>
          <w:rFonts w:eastAsia="SimSun"/>
          <w:sz w:val="24"/>
          <w:szCs w:val="24"/>
        </w:rPr>
        <w:t xml:space="preserve">for </w:t>
      </w:r>
      <w:r w:rsidR="00460D77">
        <w:rPr>
          <w:rFonts w:eastAsia="SimSun"/>
          <w:sz w:val="24"/>
          <w:szCs w:val="24"/>
        </w:rPr>
        <w:t>Region 2)</w:t>
      </w:r>
      <w:r w:rsidRPr="00524E04">
        <w:rPr>
          <w:rFonts w:eastAsia="SimSun"/>
          <w:sz w:val="24"/>
          <w:szCs w:val="24"/>
        </w:rPr>
        <w:t xml:space="preserve"> was published and a draft </w:t>
      </w:r>
      <w:r w:rsidR="00590C95">
        <w:rPr>
          <w:rFonts w:eastAsia="SimSun"/>
          <w:sz w:val="24"/>
          <w:szCs w:val="24"/>
        </w:rPr>
        <w:t>Part D</w:t>
      </w:r>
      <w:r w:rsidRPr="00524E04">
        <w:rPr>
          <w:rFonts w:eastAsia="SimSun"/>
          <w:sz w:val="24"/>
          <w:szCs w:val="24"/>
        </w:rPr>
        <w:t xml:space="preserve"> information telefax and database </w:t>
      </w:r>
      <w:r w:rsidR="00C20601">
        <w:rPr>
          <w:rFonts w:eastAsia="SimSun"/>
          <w:sz w:val="24"/>
          <w:szCs w:val="24"/>
        </w:rPr>
        <w:t>were</w:t>
      </w:r>
      <w:r w:rsidR="00C20601" w:rsidRPr="00524E04">
        <w:rPr>
          <w:rFonts w:eastAsia="SimSun"/>
          <w:sz w:val="24"/>
          <w:szCs w:val="24"/>
        </w:rPr>
        <w:t xml:space="preserve"> </w:t>
      </w:r>
      <w:r w:rsidRPr="00524E04">
        <w:rPr>
          <w:rFonts w:eastAsia="SimSun"/>
          <w:sz w:val="24"/>
          <w:szCs w:val="24"/>
        </w:rPr>
        <w:t xml:space="preserve">sent, </w:t>
      </w:r>
      <w:r w:rsidR="00715FBB">
        <w:rPr>
          <w:rFonts w:eastAsia="SimSun"/>
          <w:sz w:val="24"/>
          <w:szCs w:val="24"/>
        </w:rPr>
        <w:t xml:space="preserve">the Bureau received </w:t>
      </w:r>
      <w:r w:rsidR="00274E12">
        <w:rPr>
          <w:rFonts w:eastAsia="SimSun"/>
          <w:sz w:val="24"/>
          <w:szCs w:val="24"/>
        </w:rPr>
        <w:t xml:space="preserve">feedback on </w:t>
      </w:r>
      <w:r w:rsidR="008479C0" w:rsidRPr="00524E04">
        <w:rPr>
          <w:rFonts w:eastAsia="SimSun"/>
          <w:sz w:val="24"/>
          <w:szCs w:val="24"/>
        </w:rPr>
        <w:t xml:space="preserve">draft </w:t>
      </w:r>
      <w:r w:rsidR="008479C0">
        <w:rPr>
          <w:rFonts w:eastAsia="SimSun"/>
          <w:sz w:val="24"/>
          <w:szCs w:val="24"/>
        </w:rPr>
        <w:t xml:space="preserve">Part D </w:t>
      </w:r>
      <w:r w:rsidR="008479C0" w:rsidRPr="00524E04">
        <w:rPr>
          <w:rFonts w:eastAsia="SimSun"/>
          <w:sz w:val="24"/>
          <w:szCs w:val="24"/>
        </w:rPr>
        <w:t xml:space="preserve">information </w:t>
      </w:r>
      <w:r w:rsidR="008479C0">
        <w:rPr>
          <w:rFonts w:eastAsia="SimSun"/>
          <w:sz w:val="24"/>
          <w:szCs w:val="24"/>
        </w:rPr>
        <w:t xml:space="preserve">for </w:t>
      </w:r>
      <w:r w:rsidRPr="00524E04">
        <w:rPr>
          <w:rFonts w:eastAsia="SimSun"/>
          <w:sz w:val="24"/>
          <w:szCs w:val="24"/>
        </w:rPr>
        <w:t xml:space="preserve">only </w:t>
      </w:r>
      <w:r w:rsidR="00DA0E5B">
        <w:rPr>
          <w:rFonts w:eastAsia="SimSun"/>
          <w:sz w:val="24"/>
          <w:szCs w:val="24"/>
        </w:rPr>
        <w:t>49</w:t>
      </w:r>
      <w:r w:rsidRPr="00524E04">
        <w:rPr>
          <w:rFonts w:eastAsia="SimSun"/>
          <w:sz w:val="24"/>
          <w:szCs w:val="24"/>
        </w:rPr>
        <w:t xml:space="preserve"> satellite networks pertaining to </w:t>
      </w:r>
      <w:r w:rsidR="007807D7">
        <w:rPr>
          <w:rFonts w:eastAsia="SimSun"/>
          <w:sz w:val="24"/>
          <w:szCs w:val="24"/>
        </w:rPr>
        <w:t>7</w:t>
      </w:r>
      <w:r w:rsidRPr="00524E04">
        <w:rPr>
          <w:rFonts w:eastAsia="SimSun"/>
          <w:sz w:val="24"/>
          <w:szCs w:val="24"/>
        </w:rPr>
        <w:t xml:space="preserve"> notifying administrations</w:t>
      </w:r>
      <w:r w:rsidR="00B6744A">
        <w:rPr>
          <w:rFonts w:eastAsia="SimSun"/>
          <w:sz w:val="24"/>
          <w:szCs w:val="24"/>
        </w:rPr>
        <w:t xml:space="preserve">. For all these </w:t>
      </w:r>
      <w:r w:rsidR="002C7BC3">
        <w:rPr>
          <w:rFonts w:eastAsia="SimSun"/>
          <w:sz w:val="24"/>
          <w:szCs w:val="24"/>
        </w:rPr>
        <w:t>cases</w:t>
      </w:r>
      <w:r w:rsidR="00B6744A">
        <w:rPr>
          <w:rFonts w:eastAsia="SimSun"/>
          <w:sz w:val="24"/>
          <w:szCs w:val="24"/>
        </w:rPr>
        <w:t xml:space="preserve">, the </w:t>
      </w:r>
      <w:r w:rsidRPr="00524E04">
        <w:rPr>
          <w:rFonts w:eastAsia="SimSun"/>
          <w:sz w:val="24"/>
          <w:szCs w:val="24"/>
        </w:rPr>
        <w:t xml:space="preserve">Bureau’s findings </w:t>
      </w:r>
      <w:r w:rsidR="00B6744A">
        <w:rPr>
          <w:rFonts w:eastAsia="SimSun"/>
          <w:sz w:val="24"/>
          <w:szCs w:val="24"/>
        </w:rPr>
        <w:t xml:space="preserve">were validated </w:t>
      </w:r>
      <w:r w:rsidRPr="00524E04">
        <w:rPr>
          <w:rFonts w:eastAsia="SimSun"/>
          <w:sz w:val="24"/>
          <w:szCs w:val="24"/>
        </w:rPr>
        <w:t xml:space="preserve">through </w:t>
      </w:r>
      <w:r w:rsidR="00CA596A">
        <w:rPr>
          <w:rFonts w:eastAsia="SimSun"/>
          <w:sz w:val="24"/>
          <w:szCs w:val="24"/>
        </w:rPr>
        <w:t xml:space="preserve">the </w:t>
      </w:r>
      <w:r w:rsidRPr="00524E04">
        <w:rPr>
          <w:rFonts w:eastAsia="SimSun"/>
          <w:sz w:val="24"/>
          <w:szCs w:val="24"/>
        </w:rPr>
        <w:t xml:space="preserve">SpaceCom software </w:t>
      </w:r>
      <w:r w:rsidR="003021A9">
        <w:rPr>
          <w:rFonts w:eastAsia="SimSun"/>
          <w:sz w:val="24"/>
          <w:szCs w:val="24"/>
        </w:rPr>
        <w:t>without any request for</w:t>
      </w:r>
      <w:r w:rsidRPr="00524E04">
        <w:rPr>
          <w:rFonts w:eastAsia="SimSun"/>
          <w:sz w:val="24"/>
          <w:szCs w:val="24"/>
        </w:rPr>
        <w:t xml:space="preserve"> modification</w:t>
      </w:r>
      <w:r w:rsidR="00BF3AC3">
        <w:rPr>
          <w:rFonts w:eastAsia="SimSun"/>
          <w:sz w:val="24"/>
          <w:szCs w:val="24"/>
        </w:rPr>
        <w:t xml:space="preserve"> or addition.</w:t>
      </w:r>
    </w:p>
    <w:p w14:paraId="73F5831E" w14:textId="14F3A8FA" w:rsidR="00305D42" w:rsidRDefault="00D771B2" w:rsidP="00305D42">
      <w:pPr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It is also worth noting that </w:t>
      </w:r>
      <w:r w:rsidR="00274E12">
        <w:rPr>
          <w:rFonts w:eastAsia="SimSun"/>
          <w:sz w:val="24"/>
          <w:szCs w:val="24"/>
        </w:rPr>
        <w:t xml:space="preserve">a similar process was in place for CR/D </w:t>
      </w:r>
      <w:r w:rsidR="00F45550">
        <w:rPr>
          <w:rFonts w:eastAsia="SimSun"/>
          <w:sz w:val="24"/>
          <w:szCs w:val="24"/>
        </w:rPr>
        <w:t xml:space="preserve">special sections and </w:t>
      </w:r>
      <w:r>
        <w:rPr>
          <w:rFonts w:eastAsia="SimSun"/>
          <w:sz w:val="24"/>
          <w:szCs w:val="24"/>
        </w:rPr>
        <w:t>WRC-19 endorsed a</w:t>
      </w:r>
      <w:r w:rsidR="0009385C">
        <w:rPr>
          <w:rFonts w:eastAsia="SimSun"/>
          <w:sz w:val="24"/>
          <w:szCs w:val="24"/>
        </w:rPr>
        <w:t>n</w:t>
      </w:r>
      <w:r>
        <w:rPr>
          <w:rFonts w:eastAsia="SimSun"/>
          <w:sz w:val="24"/>
          <w:szCs w:val="24"/>
        </w:rPr>
        <w:t xml:space="preserve"> action </w:t>
      </w:r>
      <w:r w:rsidR="00F94C88">
        <w:rPr>
          <w:rFonts w:eastAsia="SimSun"/>
          <w:sz w:val="24"/>
          <w:szCs w:val="24"/>
        </w:rPr>
        <w:t>of</w:t>
      </w:r>
      <w:r>
        <w:rPr>
          <w:rFonts w:eastAsia="SimSun"/>
          <w:sz w:val="24"/>
          <w:szCs w:val="24"/>
        </w:rPr>
        <w:t xml:space="preserve"> the Bureau to cease the </w:t>
      </w:r>
      <w:r w:rsidRPr="000746C8">
        <w:rPr>
          <w:rFonts w:eastAsia="SimSun"/>
          <w:sz w:val="24"/>
          <w:szCs w:val="24"/>
        </w:rPr>
        <w:t>availability of draft</w:t>
      </w:r>
      <w:r>
        <w:rPr>
          <w:rFonts w:eastAsia="SimSun"/>
          <w:sz w:val="24"/>
          <w:szCs w:val="24"/>
        </w:rPr>
        <w:t xml:space="preserve"> </w:t>
      </w:r>
      <w:r w:rsidRPr="002015E0">
        <w:rPr>
          <w:rFonts w:eastAsia="SimSun"/>
          <w:sz w:val="24"/>
          <w:szCs w:val="24"/>
        </w:rPr>
        <w:t>CR/D</w:t>
      </w:r>
      <w:r>
        <w:rPr>
          <w:rFonts w:eastAsia="SimSun"/>
          <w:sz w:val="24"/>
          <w:szCs w:val="24"/>
        </w:rPr>
        <w:t xml:space="preserve"> databases in BR IFIC.</w:t>
      </w:r>
    </w:p>
    <w:p w14:paraId="62A647CC" w14:textId="77777777" w:rsidR="00305D42" w:rsidRDefault="00305D4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br w:type="page"/>
      </w:r>
    </w:p>
    <w:p w14:paraId="6D12BD86" w14:textId="77777777" w:rsidR="00305D42" w:rsidRDefault="003A77AA" w:rsidP="00305D42">
      <w:pPr>
        <w:rPr>
          <w:rFonts w:eastAsia="SimSun"/>
          <w:sz w:val="24"/>
          <w:szCs w:val="24"/>
        </w:rPr>
      </w:pPr>
      <w:r>
        <w:rPr>
          <w:rFonts w:eastAsia="SimSun" w:hint="eastAsia"/>
          <w:sz w:val="24"/>
          <w:szCs w:val="24"/>
          <w:lang w:eastAsia="zh-CN"/>
        </w:rPr>
        <w:lastRenderedPageBreak/>
        <w:t>The</w:t>
      </w:r>
      <w:r>
        <w:rPr>
          <w:rFonts w:eastAsia="SimSun"/>
          <w:sz w:val="24"/>
          <w:szCs w:val="24"/>
        </w:rPr>
        <w:t xml:space="preserve"> </w:t>
      </w:r>
      <w:r>
        <w:rPr>
          <w:rFonts w:eastAsia="SimSun" w:hint="eastAsia"/>
          <w:sz w:val="24"/>
          <w:szCs w:val="24"/>
          <w:lang w:eastAsia="zh-CN"/>
        </w:rPr>
        <w:t>B</w:t>
      </w:r>
      <w:r>
        <w:rPr>
          <w:rFonts w:eastAsia="SimSun"/>
          <w:sz w:val="24"/>
          <w:szCs w:val="24"/>
        </w:rPr>
        <w:t xml:space="preserve">ureau </w:t>
      </w:r>
      <w:r w:rsidR="008C1399">
        <w:rPr>
          <w:rFonts w:eastAsia="SimSun"/>
          <w:sz w:val="24"/>
          <w:szCs w:val="24"/>
        </w:rPr>
        <w:t xml:space="preserve">therefore </w:t>
      </w:r>
      <w:r w:rsidR="00D67159" w:rsidRPr="00D67159">
        <w:rPr>
          <w:rFonts w:eastAsia="SimSun"/>
          <w:sz w:val="24"/>
          <w:szCs w:val="24"/>
        </w:rPr>
        <w:t>underst</w:t>
      </w:r>
      <w:r>
        <w:rPr>
          <w:rFonts w:eastAsia="SimSun" w:hint="eastAsia"/>
          <w:sz w:val="24"/>
          <w:szCs w:val="24"/>
          <w:lang w:eastAsia="zh-CN"/>
        </w:rPr>
        <w:t>an</w:t>
      </w:r>
      <w:r w:rsidR="00D67159" w:rsidRPr="00D67159">
        <w:rPr>
          <w:rFonts w:eastAsia="SimSun"/>
          <w:sz w:val="24"/>
          <w:szCs w:val="24"/>
        </w:rPr>
        <w:t>d</w:t>
      </w:r>
      <w:r>
        <w:rPr>
          <w:rFonts w:eastAsia="SimSun" w:hint="eastAsia"/>
          <w:sz w:val="24"/>
          <w:szCs w:val="24"/>
          <w:lang w:eastAsia="zh-CN"/>
        </w:rPr>
        <w:t>s</w:t>
      </w:r>
      <w:r w:rsidR="00D67159">
        <w:rPr>
          <w:rFonts w:eastAsia="SimSun"/>
          <w:sz w:val="24"/>
          <w:szCs w:val="24"/>
        </w:rPr>
        <w:t xml:space="preserve"> </w:t>
      </w:r>
      <w:r w:rsidR="00D67159" w:rsidRPr="00D67159">
        <w:rPr>
          <w:rFonts w:eastAsia="SimSun"/>
          <w:sz w:val="24"/>
          <w:szCs w:val="24"/>
        </w:rPr>
        <w:t xml:space="preserve">that administrations are now familiar with </w:t>
      </w:r>
      <w:r w:rsidR="0032637A">
        <w:rPr>
          <w:rFonts w:eastAsia="SimSun"/>
          <w:sz w:val="24"/>
          <w:szCs w:val="24"/>
        </w:rPr>
        <w:t xml:space="preserve">the </w:t>
      </w:r>
      <w:r w:rsidR="00D67159" w:rsidRPr="00D67159">
        <w:rPr>
          <w:rFonts w:eastAsia="SimSun"/>
          <w:sz w:val="24"/>
          <w:szCs w:val="24"/>
        </w:rPr>
        <w:t>SpaceCom software and rarely make a mistake in submitting their comments to the Bureau</w:t>
      </w:r>
      <w:r w:rsidR="007E32C3">
        <w:rPr>
          <w:rFonts w:eastAsia="SimSun"/>
          <w:sz w:val="24"/>
          <w:szCs w:val="24"/>
        </w:rPr>
        <w:t>, especially with the introduction of the e-Submission system</w:t>
      </w:r>
      <w:r w:rsidR="00D67159" w:rsidRPr="00D67159">
        <w:rPr>
          <w:rFonts w:eastAsia="SimSun"/>
          <w:sz w:val="24"/>
          <w:szCs w:val="24"/>
        </w:rPr>
        <w:t>.</w:t>
      </w:r>
    </w:p>
    <w:p w14:paraId="1A66E1DB" w14:textId="02FDA503" w:rsidR="00BE7D7F" w:rsidRDefault="00D67159" w:rsidP="00305D42">
      <w:pPr>
        <w:rPr>
          <w:rFonts w:eastAsia="SimSun"/>
          <w:sz w:val="24"/>
          <w:szCs w:val="24"/>
        </w:rPr>
      </w:pPr>
      <w:r w:rsidRPr="00D67159">
        <w:rPr>
          <w:rFonts w:eastAsia="SimSun"/>
          <w:sz w:val="24"/>
          <w:szCs w:val="24"/>
        </w:rPr>
        <w:t xml:space="preserve">In view of this fact and considering the significant resources of the Bureau required for this process, the draft </w:t>
      </w:r>
      <w:r w:rsidR="00D771B2">
        <w:rPr>
          <w:rFonts w:eastAsia="SimSun"/>
          <w:sz w:val="24"/>
          <w:szCs w:val="24"/>
        </w:rPr>
        <w:t>Part D</w:t>
      </w:r>
      <w:r w:rsidRPr="00D67159">
        <w:rPr>
          <w:rFonts w:eastAsia="SimSun"/>
          <w:sz w:val="24"/>
          <w:szCs w:val="24"/>
        </w:rPr>
        <w:t xml:space="preserve"> process allowing the notifying administration to verify received comments before the official publication</w:t>
      </w:r>
      <w:r w:rsidR="00934974">
        <w:rPr>
          <w:rFonts w:eastAsia="SimSun"/>
          <w:sz w:val="24"/>
          <w:szCs w:val="24"/>
        </w:rPr>
        <w:t>s</w:t>
      </w:r>
      <w:r w:rsidRPr="00D67159">
        <w:rPr>
          <w:rFonts w:eastAsia="SimSun"/>
          <w:sz w:val="24"/>
          <w:szCs w:val="24"/>
        </w:rPr>
        <w:t xml:space="preserve"> </w:t>
      </w:r>
      <w:r w:rsidR="00BB44E3">
        <w:rPr>
          <w:rFonts w:eastAsia="SimSun"/>
          <w:sz w:val="24"/>
          <w:szCs w:val="24"/>
        </w:rPr>
        <w:t>is</w:t>
      </w:r>
      <w:r w:rsidR="00C655FF">
        <w:rPr>
          <w:rFonts w:eastAsia="SimSun"/>
          <w:sz w:val="24"/>
          <w:szCs w:val="24"/>
        </w:rPr>
        <w:t xml:space="preserve"> </w:t>
      </w:r>
      <w:r w:rsidR="00934974">
        <w:rPr>
          <w:rFonts w:eastAsia="SimSun"/>
          <w:sz w:val="24"/>
          <w:szCs w:val="24"/>
        </w:rPr>
        <w:t>deemed</w:t>
      </w:r>
      <w:r w:rsidRPr="00D67159">
        <w:rPr>
          <w:rFonts w:eastAsia="SimSun"/>
          <w:sz w:val="24"/>
          <w:szCs w:val="24"/>
        </w:rPr>
        <w:t xml:space="preserve"> </w:t>
      </w:r>
      <w:r w:rsidR="00D05944">
        <w:rPr>
          <w:rFonts w:eastAsia="SimSun"/>
          <w:sz w:val="24"/>
          <w:szCs w:val="24"/>
          <w:lang w:eastAsia="zh-CN"/>
        </w:rPr>
        <w:t>u</w:t>
      </w:r>
      <w:r w:rsidR="00D05944" w:rsidRPr="00D67159">
        <w:rPr>
          <w:rFonts w:eastAsia="SimSun"/>
          <w:sz w:val="24"/>
          <w:szCs w:val="24"/>
        </w:rPr>
        <w:t>nnecessary</w:t>
      </w:r>
      <w:r w:rsidR="00D1275B">
        <w:rPr>
          <w:rFonts w:eastAsia="SimSun"/>
          <w:sz w:val="24"/>
          <w:szCs w:val="24"/>
        </w:rPr>
        <w:t>, and</w:t>
      </w:r>
      <w:r w:rsidR="001E7BA2">
        <w:rPr>
          <w:rFonts w:eastAsia="SimSun"/>
          <w:sz w:val="24"/>
          <w:szCs w:val="24"/>
        </w:rPr>
        <w:t xml:space="preserve"> </w:t>
      </w:r>
      <w:r w:rsidR="00D1275B">
        <w:rPr>
          <w:rFonts w:eastAsia="SimSun"/>
          <w:sz w:val="24"/>
          <w:szCs w:val="24"/>
        </w:rPr>
        <w:t xml:space="preserve">it </w:t>
      </w:r>
      <w:r w:rsidR="001E7BA2">
        <w:rPr>
          <w:rFonts w:eastAsia="SimSun"/>
          <w:sz w:val="24"/>
          <w:szCs w:val="24"/>
        </w:rPr>
        <w:t xml:space="preserve">will be </w:t>
      </w:r>
      <w:r w:rsidR="00626114">
        <w:rPr>
          <w:rFonts w:eastAsia="SimSun"/>
          <w:sz w:val="24"/>
          <w:szCs w:val="24"/>
        </w:rPr>
        <w:t>no longer</w:t>
      </w:r>
      <w:r w:rsidR="00F37F40">
        <w:rPr>
          <w:rFonts w:eastAsia="SimSun"/>
          <w:sz w:val="24"/>
          <w:szCs w:val="24"/>
        </w:rPr>
        <w:t xml:space="preserve"> implemented by the Bureau </w:t>
      </w:r>
      <w:r w:rsidR="00D245E1">
        <w:rPr>
          <w:rFonts w:eastAsia="SimSun"/>
          <w:sz w:val="24"/>
          <w:szCs w:val="24"/>
        </w:rPr>
        <w:t xml:space="preserve">for </w:t>
      </w:r>
      <w:r w:rsidR="002B0CB5">
        <w:rPr>
          <w:rFonts w:eastAsia="SimSun"/>
          <w:sz w:val="24"/>
          <w:szCs w:val="24"/>
        </w:rPr>
        <w:t xml:space="preserve">satellite </w:t>
      </w:r>
      <w:r w:rsidR="00DE6CA4">
        <w:rPr>
          <w:rFonts w:eastAsia="SimSun" w:hint="eastAsia"/>
          <w:sz w:val="24"/>
          <w:szCs w:val="24"/>
          <w:lang w:eastAsia="zh-CN"/>
        </w:rPr>
        <w:t>networks</w:t>
      </w:r>
      <w:r w:rsidR="0051051D">
        <w:rPr>
          <w:rFonts w:eastAsia="SimSun" w:hint="eastAsia"/>
          <w:sz w:val="24"/>
          <w:szCs w:val="24"/>
          <w:lang w:eastAsia="zh-CN"/>
        </w:rPr>
        <w:t xml:space="preserve"> </w:t>
      </w:r>
      <w:r w:rsidR="00F45550">
        <w:rPr>
          <w:rFonts w:eastAsia="SimSun"/>
          <w:sz w:val="24"/>
          <w:szCs w:val="24"/>
        </w:rPr>
        <w:t xml:space="preserve">published </w:t>
      </w:r>
      <w:r w:rsidR="000A6CE5">
        <w:rPr>
          <w:rFonts w:eastAsia="SimSun"/>
          <w:sz w:val="24"/>
          <w:szCs w:val="24"/>
        </w:rPr>
        <w:t>after</w:t>
      </w:r>
      <w:r w:rsidR="00F37F40">
        <w:rPr>
          <w:rFonts w:eastAsia="SimSun"/>
          <w:sz w:val="24"/>
          <w:szCs w:val="24"/>
        </w:rPr>
        <w:t xml:space="preserve"> </w:t>
      </w:r>
      <w:r w:rsidR="00F45550">
        <w:rPr>
          <w:rFonts w:eastAsia="SimSun"/>
          <w:sz w:val="24"/>
          <w:szCs w:val="24"/>
        </w:rPr>
        <w:t>1</w:t>
      </w:r>
      <w:r w:rsidR="00F45550" w:rsidRPr="00E92D9D">
        <w:rPr>
          <w:rFonts w:eastAsia="SimSun"/>
          <w:sz w:val="24"/>
          <w:szCs w:val="24"/>
          <w:vertAlign w:val="superscript"/>
        </w:rPr>
        <w:t>st</w:t>
      </w:r>
      <w:r w:rsidR="00F45550">
        <w:rPr>
          <w:rFonts w:eastAsia="SimSun"/>
          <w:sz w:val="24"/>
          <w:szCs w:val="24"/>
        </w:rPr>
        <w:t xml:space="preserve"> May 2024</w:t>
      </w:r>
      <w:r w:rsidRPr="00D67159">
        <w:rPr>
          <w:rFonts w:eastAsia="SimSun"/>
          <w:sz w:val="24"/>
          <w:szCs w:val="24"/>
        </w:rPr>
        <w:t>.</w:t>
      </w:r>
    </w:p>
    <w:p w14:paraId="7A34926F" w14:textId="50B158CC" w:rsidR="003A2992" w:rsidRPr="00EF498A" w:rsidRDefault="00F45550" w:rsidP="00305D42">
      <w:pPr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T</w:t>
      </w:r>
      <w:r w:rsidR="003A2992" w:rsidRPr="003A2992">
        <w:rPr>
          <w:rFonts w:eastAsia="SimSun"/>
          <w:sz w:val="24"/>
          <w:szCs w:val="24"/>
        </w:rPr>
        <w:t xml:space="preserve">his change will not only reduce </w:t>
      </w:r>
      <w:r>
        <w:rPr>
          <w:rFonts w:eastAsia="SimSun"/>
          <w:sz w:val="24"/>
          <w:szCs w:val="24"/>
        </w:rPr>
        <w:t>the Bureau’s</w:t>
      </w:r>
      <w:r w:rsidRPr="003A2992">
        <w:rPr>
          <w:rFonts w:eastAsia="SimSun"/>
          <w:sz w:val="24"/>
          <w:szCs w:val="24"/>
        </w:rPr>
        <w:t xml:space="preserve"> </w:t>
      </w:r>
      <w:r w:rsidR="003A2992" w:rsidRPr="003A2992">
        <w:rPr>
          <w:rFonts w:eastAsia="SimSun"/>
          <w:sz w:val="24"/>
          <w:szCs w:val="24"/>
        </w:rPr>
        <w:t xml:space="preserve">workload but also speed up the whole </w:t>
      </w:r>
      <w:r w:rsidR="00052C02">
        <w:rPr>
          <w:rFonts w:eastAsia="SimSun"/>
          <w:sz w:val="24"/>
          <w:szCs w:val="24"/>
        </w:rPr>
        <w:t>Part D</w:t>
      </w:r>
      <w:r w:rsidR="003A2992" w:rsidRPr="003A2992">
        <w:rPr>
          <w:rFonts w:eastAsia="SimSun"/>
          <w:sz w:val="24"/>
          <w:szCs w:val="24"/>
        </w:rPr>
        <w:t xml:space="preserve"> publication process. If there is any request from an administration for modification/</w:t>
      </w:r>
      <w:r w:rsidR="003A2992" w:rsidRPr="00EF498A">
        <w:rPr>
          <w:rFonts w:eastAsia="SimSun"/>
          <w:sz w:val="24"/>
          <w:szCs w:val="24"/>
        </w:rPr>
        <w:t xml:space="preserve">addition to the list of </w:t>
      </w:r>
      <w:r w:rsidR="00A731B6">
        <w:rPr>
          <w:rFonts w:eastAsia="SimSun"/>
          <w:sz w:val="24"/>
          <w:szCs w:val="24"/>
          <w:lang w:eastAsia="zh-CN"/>
        </w:rPr>
        <w:t>disagreement</w:t>
      </w:r>
      <w:r w:rsidR="00A731B6">
        <w:rPr>
          <w:rFonts w:eastAsia="SimSun" w:hint="eastAsia"/>
          <w:sz w:val="24"/>
          <w:szCs w:val="24"/>
          <w:lang w:eastAsia="zh-CN"/>
        </w:rPr>
        <w:t xml:space="preserve">s </w:t>
      </w:r>
      <w:r w:rsidR="003A2992" w:rsidRPr="00EF498A">
        <w:rPr>
          <w:rFonts w:eastAsia="SimSun"/>
          <w:sz w:val="24"/>
          <w:szCs w:val="24"/>
        </w:rPr>
        <w:t xml:space="preserve">received by the Bureau, such request will be treated as a modification to the </w:t>
      </w:r>
      <w:r w:rsidR="00A37FDC">
        <w:rPr>
          <w:rFonts w:eastAsia="SimSun" w:hint="eastAsia"/>
          <w:sz w:val="24"/>
          <w:szCs w:val="24"/>
          <w:lang w:eastAsia="zh-CN"/>
        </w:rPr>
        <w:t>publication</w:t>
      </w:r>
      <w:r w:rsidR="003A2992" w:rsidRPr="00EF498A">
        <w:rPr>
          <w:rFonts w:eastAsia="SimSun"/>
          <w:sz w:val="24"/>
          <w:szCs w:val="24"/>
        </w:rPr>
        <w:t>.</w:t>
      </w:r>
    </w:p>
    <w:p w14:paraId="78154CF7" w14:textId="26B8E2A7" w:rsidR="003E707D" w:rsidRPr="00C43032" w:rsidRDefault="00614623" w:rsidP="00305D42">
      <w:pPr>
        <w:tabs>
          <w:tab w:val="clear" w:pos="794"/>
          <w:tab w:val="clear" w:pos="1191"/>
          <w:tab w:val="clear" w:pos="1588"/>
          <w:tab w:val="clear" w:pos="1985"/>
          <w:tab w:val="left" w:pos="900"/>
        </w:tabs>
        <w:spacing w:before="240"/>
        <w:rPr>
          <w:rFonts w:asciiTheme="minorHAnsi" w:hAnsiTheme="minorHAnsi" w:cstheme="majorBidi"/>
          <w:sz w:val="24"/>
          <w:szCs w:val="24"/>
        </w:rPr>
      </w:pPr>
      <w:r w:rsidRPr="00EF498A">
        <w:rPr>
          <w:sz w:val="24"/>
          <w:szCs w:val="24"/>
          <w:lang w:val="en-GB"/>
        </w:rPr>
        <w:t xml:space="preserve">The Bureau remains at your disposal, via the </w:t>
      </w:r>
      <w:hyperlink r:id="rId8" w:history="1">
        <w:r w:rsidRPr="00EF498A">
          <w:rPr>
            <w:rStyle w:val="Hyperlink"/>
            <w:sz w:val="24"/>
            <w:szCs w:val="24"/>
            <w:lang w:val="en-GB"/>
          </w:rPr>
          <w:t>brmail@itu.int</w:t>
        </w:r>
      </w:hyperlink>
      <w:r w:rsidRPr="00EF498A">
        <w:rPr>
          <w:sz w:val="24"/>
          <w:szCs w:val="24"/>
          <w:lang w:val="en-GB"/>
        </w:rPr>
        <w:t xml:space="preserve"> address, for any clarification or assistance you may require on matters related to this circular letter. </w:t>
      </w:r>
    </w:p>
    <w:p w14:paraId="7092B070" w14:textId="22823418" w:rsidR="00066E5D" w:rsidRPr="00066E5D" w:rsidRDefault="00066E5D" w:rsidP="00C43032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120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  <w:r w:rsidRPr="00066E5D">
        <w:rPr>
          <w:rFonts w:asciiTheme="minorHAnsi" w:eastAsiaTheme="majorEastAsia" w:hAnsiTheme="minorHAnsi" w:cstheme="minorHAnsi"/>
          <w:sz w:val="24"/>
          <w:szCs w:val="24"/>
        </w:rPr>
        <w:t>Mario Maniewicz</w:t>
      </w:r>
    </w:p>
    <w:p w14:paraId="4687B2AC" w14:textId="77777777" w:rsidR="00066E5D" w:rsidRPr="00066E5D" w:rsidRDefault="00066E5D" w:rsidP="003E707D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  <w:r w:rsidRPr="00066E5D">
        <w:rPr>
          <w:rFonts w:asciiTheme="minorHAnsi" w:eastAsiaTheme="majorEastAsia" w:hAnsiTheme="minorHAnsi" w:cstheme="minorHAnsi"/>
          <w:sz w:val="24"/>
          <w:szCs w:val="24"/>
        </w:rPr>
        <w:t>Director</w:t>
      </w:r>
    </w:p>
    <w:p w14:paraId="5EDE4AC5" w14:textId="77777777" w:rsidR="00066E5D" w:rsidRDefault="00066E5D" w:rsidP="003E707D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7938F683" w14:textId="4471E5FE" w:rsidR="002A6CEE" w:rsidRDefault="002A6CEE" w:rsidP="003E707D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0C668E8A" w14:textId="5576F7AF" w:rsidR="00037B95" w:rsidRDefault="00037B95" w:rsidP="003E707D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5008CD37" w14:textId="7CB58C3F" w:rsidR="00037B95" w:rsidRDefault="00037B95" w:rsidP="003E707D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5BD241D9" w14:textId="2C351081" w:rsidR="00037B95" w:rsidRDefault="00037B95" w:rsidP="003E707D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0AC6E335" w14:textId="0B072087" w:rsidR="00037B95" w:rsidRDefault="00037B95" w:rsidP="003E707D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2B779E55" w14:textId="2701DAB4" w:rsidR="00037B95" w:rsidRDefault="00037B95" w:rsidP="003E707D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0D2FEB3C" w14:textId="77777777" w:rsidR="00037B95" w:rsidRDefault="00037B95" w:rsidP="003E707D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788512DC" w14:textId="77777777" w:rsidR="0070656B" w:rsidRPr="00066E5D" w:rsidRDefault="0070656B" w:rsidP="003E707D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</w:p>
    <w:p w14:paraId="72A59282" w14:textId="77777777" w:rsidR="003E707D" w:rsidRPr="00023A87" w:rsidRDefault="003E707D" w:rsidP="003E707D">
      <w:pPr>
        <w:pStyle w:val="toc0"/>
        <w:spacing w:before="0" w:after="120"/>
        <w:jc w:val="lowKashida"/>
        <w:rPr>
          <w:rFonts w:asciiTheme="minorHAnsi" w:eastAsiaTheme="majorEastAsia" w:hAnsiTheme="minorHAnsi" w:cstheme="minorHAnsi"/>
          <w:bCs/>
          <w:sz w:val="18"/>
          <w:szCs w:val="18"/>
          <w:u w:val="single"/>
        </w:rPr>
      </w:pPr>
      <w:r>
        <w:rPr>
          <w:rFonts w:asciiTheme="minorHAnsi" w:eastAsiaTheme="majorEastAsia" w:hAnsiTheme="minorHAnsi" w:cstheme="minorHAnsi"/>
          <w:bCs/>
          <w:sz w:val="18"/>
          <w:szCs w:val="18"/>
          <w:u w:val="single"/>
        </w:rPr>
        <w:t>D</w:t>
      </w:r>
      <w:r w:rsidRPr="00023A87">
        <w:rPr>
          <w:rFonts w:asciiTheme="minorHAnsi" w:eastAsiaTheme="majorEastAsia" w:hAnsiTheme="minorHAnsi" w:cstheme="minorHAnsi"/>
          <w:bCs/>
          <w:sz w:val="18"/>
          <w:szCs w:val="18"/>
          <w:u w:val="single"/>
        </w:rPr>
        <w:t>istribution:</w:t>
      </w:r>
    </w:p>
    <w:p w14:paraId="54F267E8" w14:textId="77777777" w:rsidR="003E707D" w:rsidRPr="00023A87" w:rsidRDefault="003E707D" w:rsidP="003E707D">
      <w:pPr>
        <w:pStyle w:val="enumlev1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line="240" w:lineRule="auto"/>
        <w:ind w:left="284" w:hanging="284"/>
        <w:jc w:val="lowKashida"/>
        <w:rPr>
          <w:rFonts w:asciiTheme="minorHAnsi" w:eastAsiaTheme="majorEastAsia" w:hAnsiTheme="minorHAnsi" w:cstheme="minorHAnsi"/>
          <w:sz w:val="18"/>
          <w:szCs w:val="18"/>
        </w:rPr>
      </w:pPr>
      <w:r w:rsidRPr="00023A87">
        <w:rPr>
          <w:rFonts w:asciiTheme="minorHAnsi" w:eastAsiaTheme="majorEastAsia" w:hAnsiTheme="minorHAnsi" w:cstheme="minorHAnsi"/>
          <w:sz w:val="18"/>
          <w:szCs w:val="18"/>
        </w:rPr>
        <w:t>Administrations of ITU Member States</w:t>
      </w:r>
    </w:p>
    <w:p w14:paraId="3EC1B222" w14:textId="49B41D79" w:rsidR="00066E5D" w:rsidRPr="00656817" w:rsidRDefault="003E707D" w:rsidP="00C91CB7">
      <w:pPr>
        <w:pStyle w:val="enumlev1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900"/>
        </w:tabs>
        <w:spacing w:before="0" w:beforeAutospacing="1" w:after="120" w:line="240" w:lineRule="auto"/>
        <w:ind w:left="284" w:hanging="284"/>
        <w:jc w:val="lowKashida"/>
        <w:rPr>
          <w:rFonts w:eastAsia="Times New Roman"/>
          <w:sz w:val="18"/>
          <w:szCs w:val="18"/>
        </w:rPr>
      </w:pPr>
      <w:r w:rsidRPr="003F72F3">
        <w:rPr>
          <w:rFonts w:asciiTheme="minorHAnsi" w:eastAsiaTheme="majorEastAsia" w:hAnsiTheme="minorHAnsi" w:cstheme="minorHAnsi"/>
          <w:sz w:val="18"/>
          <w:szCs w:val="18"/>
        </w:rPr>
        <w:t>Members of the Radio Regulations Board</w:t>
      </w:r>
    </w:p>
    <w:p w14:paraId="4A934B00" w14:textId="0C1F850D" w:rsidR="00656817" w:rsidRDefault="006568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eastAsiaTheme="majorEastAsia" w:hAnsiTheme="minorHAnsi" w:cstheme="minorHAnsi"/>
          <w:sz w:val="18"/>
          <w:szCs w:val="18"/>
        </w:rPr>
      </w:pPr>
    </w:p>
    <w:sectPr w:rsidR="00656817" w:rsidSect="00CA778B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992" w:bottom="900" w:left="1134" w:header="567" w:footer="2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CE476" w14:textId="77777777" w:rsidR="00CA778B" w:rsidRDefault="00CA778B">
      <w:r>
        <w:separator/>
      </w:r>
    </w:p>
  </w:endnote>
  <w:endnote w:type="continuationSeparator" w:id="0">
    <w:p w14:paraId="264BD697" w14:textId="77777777" w:rsidR="00CA778B" w:rsidRDefault="00CA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8B47" w14:textId="77777777" w:rsidR="00066E5D" w:rsidRPr="005224A1" w:rsidRDefault="00066E5D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14:paraId="1C49379D" w14:textId="77777777" w:rsidR="0070656B" w:rsidRPr="0070656B" w:rsidRDefault="0070656B" w:rsidP="0070656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rFonts w:eastAsia="Times New Roman"/>
        <w:color w:val="4F81BD" w:themeColor="accent1"/>
        <w:sz w:val="19"/>
        <w:szCs w:val="19"/>
        <w:lang w:val="fr-CH"/>
      </w:rPr>
    </w:pPr>
    <w:r w:rsidRPr="0070656B">
      <w:rPr>
        <w:rFonts w:eastAsia="Times New Roman"/>
        <w:color w:val="4F81BD" w:themeColor="accent1"/>
        <w:sz w:val="19"/>
        <w:szCs w:val="19"/>
        <w:lang w:val="fr-CH"/>
      </w:rPr>
      <w:t>International Telecommunication Union • Place des Nations, CH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noBreakHyphen/>
      <w:t xml:space="preserve">1211 Geneva 20, Switzerland •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br/>
      <w:t xml:space="preserve">Tel: +41 22 730 5111 • E-mail: </w:t>
    </w:r>
    <w:hyperlink r:id="rId1" w:history="1">
      <w:r w:rsidRPr="0070656B">
        <w:rPr>
          <w:rFonts w:eastAsia="Times New Roman"/>
          <w:color w:val="0000FF"/>
          <w:sz w:val="19"/>
          <w:szCs w:val="19"/>
          <w:u w:val="single"/>
          <w:lang w:val="fr-CH"/>
        </w:rPr>
        <w:t>itumail@itu.int</w:t>
      </w:r>
    </w:hyperlink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 • </w:t>
    </w:r>
    <w:r w:rsidRPr="0070656B">
      <w:rPr>
        <w:rFonts w:eastAsia="Times New Roman"/>
        <w:color w:val="3E8EDE"/>
        <w:sz w:val="18"/>
        <w:szCs w:val="18"/>
        <w:lang w:val="fr-CH"/>
      </w:rPr>
      <w:t xml:space="preserve">Fax: +41 22 733 7256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t>• www.itu.int</w:t>
    </w:r>
  </w:p>
  <w:p w14:paraId="7957F140" w14:textId="77777777" w:rsidR="00066E5D" w:rsidRPr="005E5EB3" w:rsidRDefault="00066E5D" w:rsidP="00A2671E">
    <w:pPr>
      <w:pStyle w:val="FirstFooter"/>
      <w:spacing w:line="240" w:lineRule="auto"/>
      <w:ind w:right="-397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E3311" w14:textId="77777777" w:rsidR="00CA778B" w:rsidRDefault="00CA778B">
      <w:r>
        <w:t>____________________</w:t>
      </w:r>
    </w:p>
  </w:footnote>
  <w:footnote w:type="continuationSeparator" w:id="0">
    <w:p w14:paraId="12601659" w14:textId="77777777" w:rsidR="00CA778B" w:rsidRDefault="00CA7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D255" w14:textId="77777777" w:rsidR="002A6CEE" w:rsidRPr="000D79FA" w:rsidRDefault="002A6CEE" w:rsidP="002A6CEE">
    <w:pPr>
      <w:pStyle w:val="Header"/>
      <w:jc w:val="center"/>
      <w:rPr>
        <w:sz w:val="18"/>
        <w:szCs w:val="18"/>
      </w:rPr>
    </w:pP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 w:rsidR="001B29EE">
      <w:rPr>
        <w:noProof/>
        <w:sz w:val="18"/>
        <w:szCs w:val="18"/>
      </w:rPr>
      <w:t>6</w:t>
    </w:r>
    <w:r w:rsidRPr="000D79FA">
      <w:rPr>
        <w:sz w:val="18"/>
        <w:szCs w:val="18"/>
      </w:rPr>
      <w:fldChar w:fldCharType="end"/>
    </w:r>
    <w:r w:rsidRPr="000D79FA">
      <w:rPr>
        <w:sz w:val="18"/>
        <w:szCs w:val="18"/>
      </w:rPr>
      <w:t xml:space="preserve"> -</w:t>
    </w:r>
  </w:p>
  <w:p w14:paraId="0F498E93" w14:textId="7DCF0480" w:rsidR="00066E5D" w:rsidRPr="002A6CEE" w:rsidRDefault="00066E5D" w:rsidP="002A6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0137" w14:textId="2AD3FA10" w:rsidR="00066E5D" w:rsidRPr="000D79FA" w:rsidRDefault="00066E5D" w:rsidP="00B4508C">
    <w:pPr>
      <w:pStyle w:val="Header"/>
      <w:jc w:val="center"/>
      <w:rPr>
        <w:sz w:val="18"/>
        <w:szCs w:val="18"/>
      </w:rPr>
    </w:pP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 w:rsidR="001B29EE">
      <w:rPr>
        <w:noProof/>
        <w:sz w:val="18"/>
        <w:szCs w:val="18"/>
      </w:rPr>
      <w:t>5</w:t>
    </w:r>
    <w:r w:rsidRPr="000D79FA">
      <w:rPr>
        <w:sz w:val="18"/>
        <w:szCs w:val="18"/>
      </w:rPr>
      <w:fldChar w:fldCharType="end"/>
    </w:r>
    <w:r w:rsidRPr="000D79FA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5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3"/>
    </w:tblGrid>
    <w:tr w:rsidR="00066E5D" w14:paraId="6A118B91" w14:textId="77777777" w:rsidTr="001700C9">
      <w:tc>
        <w:tcPr>
          <w:tcW w:w="9955" w:type="dxa"/>
          <w:noWrap/>
          <w:tcMar>
            <w:left w:w="0" w:type="dxa"/>
          </w:tcMar>
        </w:tcPr>
        <w:p w14:paraId="348B964B" w14:textId="3919A80F" w:rsidR="00066E5D" w:rsidRDefault="00066E5D" w:rsidP="00BE22B9">
          <w:pPr>
            <w:pStyle w:val="Header"/>
            <w:spacing w:before="120" w:line="360" w:lineRule="auto"/>
            <w:jc w:val="center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179D6AD" wp14:editId="1A2D93D3">
                <wp:extent cx="838200" cy="838200"/>
                <wp:effectExtent l="0" t="0" r="0" b="0"/>
                <wp:docPr id="1056039304" name="Picture 1056039304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242F17" w14:textId="77777777" w:rsidR="00066E5D" w:rsidRPr="00EA15B3" w:rsidRDefault="00066E5D" w:rsidP="00737279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AA6122"/>
    <w:multiLevelType w:val="hybridMultilevel"/>
    <w:tmpl w:val="9176C87A"/>
    <w:lvl w:ilvl="0" w:tplc="88C2E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46063"/>
    <w:multiLevelType w:val="hybridMultilevel"/>
    <w:tmpl w:val="DEC6DA88"/>
    <w:lvl w:ilvl="0" w:tplc="51D8349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E2B4B"/>
    <w:multiLevelType w:val="hybridMultilevel"/>
    <w:tmpl w:val="CAA0E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72D93"/>
    <w:multiLevelType w:val="hybridMultilevel"/>
    <w:tmpl w:val="386A912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113D01"/>
    <w:multiLevelType w:val="hybridMultilevel"/>
    <w:tmpl w:val="E95ADFB0"/>
    <w:lvl w:ilvl="0" w:tplc="EB8AA4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5106E"/>
    <w:multiLevelType w:val="hybridMultilevel"/>
    <w:tmpl w:val="9D16FCA8"/>
    <w:lvl w:ilvl="0" w:tplc="7A3E20D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D4E55"/>
    <w:multiLevelType w:val="hybridMultilevel"/>
    <w:tmpl w:val="EADC9596"/>
    <w:lvl w:ilvl="0" w:tplc="4D10B512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5492E"/>
    <w:multiLevelType w:val="hybridMultilevel"/>
    <w:tmpl w:val="867CE624"/>
    <w:lvl w:ilvl="0" w:tplc="D5B2A5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4" w15:restartNumberingAfterBreak="0">
    <w:nsid w:val="4A252960"/>
    <w:multiLevelType w:val="hybridMultilevel"/>
    <w:tmpl w:val="F502EE0E"/>
    <w:lvl w:ilvl="0" w:tplc="9FCAACA6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92693"/>
    <w:multiLevelType w:val="hybridMultilevel"/>
    <w:tmpl w:val="F24E5124"/>
    <w:lvl w:ilvl="0" w:tplc="4E14C930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42164"/>
    <w:multiLevelType w:val="hybridMultilevel"/>
    <w:tmpl w:val="AD7CEDB4"/>
    <w:lvl w:ilvl="0" w:tplc="11042C7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018F2"/>
    <w:multiLevelType w:val="hybridMultilevel"/>
    <w:tmpl w:val="5F2EC17E"/>
    <w:lvl w:ilvl="0" w:tplc="20CE0814">
      <w:start w:val="2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9A4F62"/>
    <w:multiLevelType w:val="hybridMultilevel"/>
    <w:tmpl w:val="62689E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0217F"/>
    <w:multiLevelType w:val="multilevel"/>
    <w:tmpl w:val="828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286284"/>
    <w:multiLevelType w:val="hybridMultilevel"/>
    <w:tmpl w:val="9A08C8B6"/>
    <w:lvl w:ilvl="0" w:tplc="B55ABF4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10000"/>
    <w:multiLevelType w:val="hybridMultilevel"/>
    <w:tmpl w:val="2D22F5D4"/>
    <w:lvl w:ilvl="0" w:tplc="5210B4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B4F0E"/>
    <w:multiLevelType w:val="hybridMultilevel"/>
    <w:tmpl w:val="126C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72598"/>
    <w:multiLevelType w:val="hybridMultilevel"/>
    <w:tmpl w:val="44DABA12"/>
    <w:lvl w:ilvl="0" w:tplc="DBE43624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33D3F45"/>
    <w:multiLevelType w:val="hybridMultilevel"/>
    <w:tmpl w:val="FFBA1E6C"/>
    <w:lvl w:ilvl="0" w:tplc="51D83494">
      <w:numFmt w:val="bullet"/>
      <w:lvlText w:val="-"/>
      <w:lvlJc w:val="left"/>
      <w:pPr>
        <w:ind w:left="1287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DD93989"/>
    <w:multiLevelType w:val="hybridMultilevel"/>
    <w:tmpl w:val="B90E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17760"/>
    <w:multiLevelType w:val="hybridMultilevel"/>
    <w:tmpl w:val="03C6FB12"/>
    <w:lvl w:ilvl="0" w:tplc="45320D7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2880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1411191">
    <w:abstractNumId w:val="10"/>
  </w:num>
  <w:num w:numId="3" w16cid:durableId="839467907">
    <w:abstractNumId w:val="7"/>
  </w:num>
  <w:num w:numId="4" w16cid:durableId="1087308094">
    <w:abstractNumId w:val="19"/>
  </w:num>
  <w:num w:numId="5" w16cid:durableId="726605741">
    <w:abstractNumId w:val="9"/>
  </w:num>
  <w:num w:numId="6" w16cid:durableId="1382824987">
    <w:abstractNumId w:val="4"/>
  </w:num>
  <w:num w:numId="7" w16cid:durableId="1065026660">
    <w:abstractNumId w:val="25"/>
  </w:num>
  <w:num w:numId="8" w16cid:durableId="935213416">
    <w:abstractNumId w:val="23"/>
  </w:num>
  <w:num w:numId="9" w16cid:durableId="1824933976">
    <w:abstractNumId w:val="12"/>
  </w:num>
  <w:num w:numId="10" w16cid:durableId="46733118">
    <w:abstractNumId w:val="6"/>
  </w:num>
  <w:num w:numId="11" w16cid:durableId="846165718">
    <w:abstractNumId w:val="22"/>
  </w:num>
  <w:num w:numId="12" w16cid:durableId="38095335">
    <w:abstractNumId w:val="21"/>
  </w:num>
  <w:num w:numId="13" w16cid:durableId="1083792942">
    <w:abstractNumId w:val="26"/>
  </w:num>
  <w:num w:numId="14" w16cid:durableId="1314330867">
    <w:abstractNumId w:val="11"/>
  </w:num>
  <w:num w:numId="15" w16cid:durableId="61949043">
    <w:abstractNumId w:val="15"/>
  </w:num>
  <w:num w:numId="16" w16cid:durableId="134106261">
    <w:abstractNumId w:val="17"/>
  </w:num>
  <w:num w:numId="17" w16cid:durableId="1630622776">
    <w:abstractNumId w:val="8"/>
  </w:num>
  <w:num w:numId="18" w16cid:durableId="1222323536">
    <w:abstractNumId w:val="24"/>
  </w:num>
  <w:num w:numId="19" w16cid:durableId="70350268">
    <w:abstractNumId w:val="5"/>
  </w:num>
  <w:num w:numId="20" w16cid:durableId="343747040">
    <w:abstractNumId w:val="18"/>
  </w:num>
  <w:num w:numId="21" w16cid:durableId="1732920813">
    <w:abstractNumId w:val="20"/>
  </w:num>
  <w:num w:numId="22" w16cid:durableId="191387849">
    <w:abstractNumId w:val="14"/>
  </w:num>
  <w:num w:numId="23" w16cid:durableId="877743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54D7"/>
    <w:rsid w:val="00006A31"/>
    <w:rsid w:val="00006C82"/>
    <w:rsid w:val="00007E7D"/>
    <w:rsid w:val="00010E30"/>
    <w:rsid w:val="00015C76"/>
    <w:rsid w:val="0001764B"/>
    <w:rsid w:val="00022AAC"/>
    <w:rsid w:val="00022BEE"/>
    <w:rsid w:val="00023182"/>
    <w:rsid w:val="000235F4"/>
    <w:rsid w:val="00023A87"/>
    <w:rsid w:val="00026CF8"/>
    <w:rsid w:val="000304E3"/>
    <w:rsid w:val="00031E64"/>
    <w:rsid w:val="000333D2"/>
    <w:rsid w:val="00034BB5"/>
    <w:rsid w:val="00037B95"/>
    <w:rsid w:val="00043C9A"/>
    <w:rsid w:val="000449B0"/>
    <w:rsid w:val="000468B6"/>
    <w:rsid w:val="00047C98"/>
    <w:rsid w:val="00050B67"/>
    <w:rsid w:val="00051709"/>
    <w:rsid w:val="00052C02"/>
    <w:rsid w:val="00054138"/>
    <w:rsid w:val="00054E5D"/>
    <w:rsid w:val="00066E5D"/>
    <w:rsid w:val="00070258"/>
    <w:rsid w:val="0007323C"/>
    <w:rsid w:val="000746C8"/>
    <w:rsid w:val="00085769"/>
    <w:rsid w:val="0008682C"/>
    <w:rsid w:val="00086D03"/>
    <w:rsid w:val="00087484"/>
    <w:rsid w:val="0009385C"/>
    <w:rsid w:val="00094D27"/>
    <w:rsid w:val="00096A12"/>
    <w:rsid w:val="000A1D1B"/>
    <w:rsid w:val="000A2BD9"/>
    <w:rsid w:val="000A43DF"/>
    <w:rsid w:val="000A445E"/>
    <w:rsid w:val="000A6CE5"/>
    <w:rsid w:val="000A7051"/>
    <w:rsid w:val="000B0032"/>
    <w:rsid w:val="000B050B"/>
    <w:rsid w:val="000B0AF6"/>
    <w:rsid w:val="000B0E91"/>
    <w:rsid w:val="000B0E9B"/>
    <w:rsid w:val="000B6635"/>
    <w:rsid w:val="000C03C7"/>
    <w:rsid w:val="000C0E2D"/>
    <w:rsid w:val="000C10EF"/>
    <w:rsid w:val="000C15F9"/>
    <w:rsid w:val="000C417D"/>
    <w:rsid w:val="000C7D4E"/>
    <w:rsid w:val="000D059C"/>
    <w:rsid w:val="000D288A"/>
    <w:rsid w:val="000D79FA"/>
    <w:rsid w:val="000E0ACC"/>
    <w:rsid w:val="000E150B"/>
    <w:rsid w:val="000E3DEE"/>
    <w:rsid w:val="000F1785"/>
    <w:rsid w:val="000F38B2"/>
    <w:rsid w:val="000F4C63"/>
    <w:rsid w:val="000F6541"/>
    <w:rsid w:val="00100B72"/>
    <w:rsid w:val="00101F7D"/>
    <w:rsid w:val="00103C76"/>
    <w:rsid w:val="001062DF"/>
    <w:rsid w:val="0010647C"/>
    <w:rsid w:val="00111BFA"/>
    <w:rsid w:val="0011265F"/>
    <w:rsid w:val="0011553E"/>
    <w:rsid w:val="00117282"/>
    <w:rsid w:val="00122001"/>
    <w:rsid w:val="00122884"/>
    <w:rsid w:val="00126AE4"/>
    <w:rsid w:val="00134404"/>
    <w:rsid w:val="00135053"/>
    <w:rsid w:val="00137020"/>
    <w:rsid w:val="00137ECC"/>
    <w:rsid w:val="00142E6E"/>
    <w:rsid w:val="00143BB6"/>
    <w:rsid w:val="00144DFB"/>
    <w:rsid w:val="00145EAB"/>
    <w:rsid w:val="0014624F"/>
    <w:rsid w:val="00146F88"/>
    <w:rsid w:val="00151DDC"/>
    <w:rsid w:val="00152E29"/>
    <w:rsid w:val="0015377F"/>
    <w:rsid w:val="00154BF4"/>
    <w:rsid w:val="001611EE"/>
    <w:rsid w:val="00164A74"/>
    <w:rsid w:val="00165B3D"/>
    <w:rsid w:val="00167594"/>
    <w:rsid w:val="001700C9"/>
    <w:rsid w:val="0017162E"/>
    <w:rsid w:val="00180B2F"/>
    <w:rsid w:val="00184F53"/>
    <w:rsid w:val="00187CA3"/>
    <w:rsid w:val="0019129E"/>
    <w:rsid w:val="00193990"/>
    <w:rsid w:val="0019487F"/>
    <w:rsid w:val="001956AA"/>
    <w:rsid w:val="00196710"/>
    <w:rsid w:val="00197324"/>
    <w:rsid w:val="00197ABD"/>
    <w:rsid w:val="001A08B4"/>
    <w:rsid w:val="001B29EE"/>
    <w:rsid w:val="001B351B"/>
    <w:rsid w:val="001B6254"/>
    <w:rsid w:val="001B734E"/>
    <w:rsid w:val="001B7C76"/>
    <w:rsid w:val="001C06DB"/>
    <w:rsid w:val="001C1372"/>
    <w:rsid w:val="001C2E84"/>
    <w:rsid w:val="001C39B7"/>
    <w:rsid w:val="001C71F3"/>
    <w:rsid w:val="001D4E1D"/>
    <w:rsid w:val="001D7070"/>
    <w:rsid w:val="001E07B8"/>
    <w:rsid w:val="001E21ED"/>
    <w:rsid w:val="001E2A93"/>
    <w:rsid w:val="001E7BA2"/>
    <w:rsid w:val="001F2339"/>
    <w:rsid w:val="001F3F48"/>
    <w:rsid w:val="001F4D00"/>
    <w:rsid w:val="001F5966"/>
    <w:rsid w:val="001F5A49"/>
    <w:rsid w:val="001F749C"/>
    <w:rsid w:val="002004E7"/>
    <w:rsid w:val="00201097"/>
    <w:rsid w:val="002015E0"/>
    <w:rsid w:val="00201B6E"/>
    <w:rsid w:val="00202D26"/>
    <w:rsid w:val="00204156"/>
    <w:rsid w:val="00204F26"/>
    <w:rsid w:val="0021505F"/>
    <w:rsid w:val="00216B9C"/>
    <w:rsid w:val="002302B3"/>
    <w:rsid w:val="00230C66"/>
    <w:rsid w:val="00232F0A"/>
    <w:rsid w:val="00235A29"/>
    <w:rsid w:val="00235AF6"/>
    <w:rsid w:val="00240F91"/>
    <w:rsid w:val="002443A2"/>
    <w:rsid w:val="00250D4F"/>
    <w:rsid w:val="00251C52"/>
    <w:rsid w:val="002527DF"/>
    <w:rsid w:val="00257882"/>
    <w:rsid w:val="00257A19"/>
    <w:rsid w:val="00261D5F"/>
    <w:rsid w:val="00263235"/>
    <w:rsid w:val="00266E2B"/>
    <w:rsid w:val="00274AEA"/>
    <w:rsid w:val="00274E12"/>
    <w:rsid w:val="002770EE"/>
    <w:rsid w:val="00280E84"/>
    <w:rsid w:val="00281075"/>
    <w:rsid w:val="002861E6"/>
    <w:rsid w:val="00287D18"/>
    <w:rsid w:val="00293279"/>
    <w:rsid w:val="00295CF8"/>
    <w:rsid w:val="002A17C1"/>
    <w:rsid w:val="002A2618"/>
    <w:rsid w:val="002A2CAA"/>
    <w:rsid w:val="002A5337"/>
    <w:rsid w:val="002A6CEE"/>
    <w:rsid w:val="002B0CB5"/>
    <w:rsid w:val="002B4EEE"/>
    <w:rsid w:val="002C73C0"/>
    <w:rsid w:val="002C7BC3"/>
    <w:rsid w:val="002D01C2"/>
    <w:rsid w:val="002D07D1"/>
    <w:rsid w:val="002D585E"/>
    <w:rsid w:val="002D5A15"/>
    <w:rsid w:val="002D5ADC"/>
    <w:rsid w:val="002D5BDD"/>
    <w:rsid w:val="002D631B"/>
    <w:rsid w:val="002E2821"/>
    <w:rsid w:val="002E2AFE"/>
    <w:rsid w:val="002E3D27"/>
    <w:rsid w:val="002E5BED"/>
    <w:rsid w:val="002F0890"/>
    <w:rsid w:val="002F0A0D"/>
    <w:rsid w:val="002F2531"/>
    <w:rsid w:val="002F4967"/>
    <w:rsid w:val="002F499F"/>
    <w:rsid w:val="00300DB9"/>
    <w:rsid w:val="003021A9"/>
    <w:rsid w:val="00305D42"/>
    <w:rsid w:val="00305E3E"/>
    <w:rsid w:val="00315D67"/>
    <w:rsid w:val="00316935"/>
    <w:rsid w:val="0032637A"/>
    <w:rsid w:val="00327A42"/>
    <w:rsid w:val="00330DAF"/>
    <w:rsid w:val="00335CB4"/>
    <w:rsid w:val="00336809"/>
    <w:rsid w:val="003370B8"/>
    <w:rsid w:val="00337208"/>
    <w:rsid w:val="00337C74"/>
    <w:rsid w:val="00345D38"/>
    <w:rsid w:val="00347561"/>
    <w:rsid w:val="00350B86"/>
    <w:rsid w:val="00352877"/>
    <w:rsid w:val="00362140"/>
    <w:rsid w:val="003666FF"/>
    <w:rsid w:val="00366E37"/>
    <w:rsid w:val="00367724"/>
    <w:rsid w:val="003677DA"/>
    <w:rsid w:val="00370639"/>
    <w:rsid w:val="00371628"/>
    <w:rsid w:val="003720E3"/>
    <w:rsid w:val="00382621"/>
    <w:rsid w:val="00386E31"/>
    <w:rsid w:val="003A1F49"/>
    <w:rsid w:val="003A226A"/>
    <w:rsid w:val="003A2992"/>
    <w:rsid w:val="003A3A00"/>
    <w:rsid w:val="003A77AA"/>
    <w:rsid w:val="003B02DF"/>
    <w:rsid w:val="003B2BDA"/>
    <w:rsid w:val="003B55EC"/>
    <w:rsid w:val="003C2B69"/>
    <w:rsid w:val="003C4471"/>
    <w:rsid w:val="003C4F93"/>
    <w:rsid w:val="003E198E"/>
    <w:rsid w:val="003E41DB"/>
    <w:rsid w:val="003E504F"/>
    <w:rsid w:val="003E6F09"/>
    <w:rsid w:val="003E707D"/>
    <w:rsid w:val="003E78D6"/>
    <w:rsid w:val="003F38A5"/>
    <w:rsid w:val="003F3A0C"/>
    <w:rsid w:val="003F6A1B"/>
    <w:rsid w:val="003F72F3"/>
    <w:rsid w:val="00402667"/>
    <w:rsid w:val="00403D58"/>
    <w:rsid w:val="00404788"/>
    <w:rsid w:val="00406D71"/>
    <w:rsid w:val="0041247F"/>
    <w:rsid w:val="00415160"/>
    <w:rsid w:val="00420791"/>
    <w:rsid w:val="004324F8"/>
    <w:rsid w:val="004326DB"/>
    <w:rsid w:val="0043682E"/>
    <w:rsid w:val="004369F2"/>
    <w:rsid w:val="004442CA"/>
    <w:rsid w:val="00447ECB"/>
    <w:rsid w:val="0045277D"/>
    <w:rsid w:val="0045297B"/>
    <w:rsid w:val="004530A4"/>
    <w:rsid w:val="00457403"/>
    <w:rsid w:val="004575EB"/>
    <w:rsid w:val="00460D77"/>
    <w:rsid w:val="004623F7"/>
    <w:rsid w:val="00463512"/>
    <w:rsid w:val="00463CE7"/>
    <w:rsid w:val="00463EF0"/>
    <w:rsid w:val="004711C3"/>
    <w:rsid w:val="0047245B"/>
    <w:rsid w:val="00475406"/>
    <w:rsid w:val="00475B17"/>
    <w:rsid w:val="00480F51"/>
    <w:rsid w:val="00480FE5"/>
    <w:rsid w:val="00481124"/>
    <w:rsid w:val="004815EB"/>
    <w:rsid w:val="00483264"/>
    <w:rsid w:val="00484BC5"/>
    <w:rsid w:val="00484FE6"/>
    <w:rsid w:val="004853AD"/>
    <w:rsid w:val="0048571D"/>
    <w:rsid w:val="00486571"/>
    <w:rsid w:val="00487569"/>
    <w:rsid w:val="00494933"/>
    <w:rsid w:val="00496864"/>
    <w:rsid w:val="00496920"/>
    <w:rsid w:val="00496D17"/>
    <w:rsid w:val="004A1F27"/>
    <w:rsid w:val="004A4496"/>
    <w:rsid w:val="004A451F"/>
    <w:rsid w:val="004B11AB"/>
    <w:rsid w:val="004B3220"/>
    <w:rsid w:val="004B44FB"/>
    <w:rsid w:val="004B6CCB"/>
    <w:rsid w:val="004B7C9A"/>
    <w:rsid w:val="004C13E7"/>
    <w:rsid w:val="004C38A1"/>
    <w:rsid w:val="004C6779"/>
    <w:rsid w:val="004D020F"/>
    <w:rsid w:val="004D0E51"/>
    <w:rsid w:val="004D4ED0"/>
    <w:rsid w:val="004E0712"/>
    <w:rsid w:val="004E0DC4"/>
    <w:rsid w:val="004E0FB5"/>
    <w:rsid w:val="004E43BB"/>
    <w:rsid w:val="004E486B"/>
    <w:rsid w:val="004E677B"/>
    <w:rsid w:val="004E7D5D"/>
    <w:rsid w:val="004F0507"/>
    <w:rsid w:val="004F1016"/>
    <w:rsid w:val="004F178E"/>
    <w:rsid w:val="004F1F97"/>
    <w:rsid w:val="00505309"/>
    <w:rsid w:val="0050789B"/>
    <w:rsid w:val="0051051D"/>
    <w:rsid w:val="00512C49"/>
    <w:rsid w:val="00513B88"/>
    <w:rsid w:val="00516901"/>
    <w:rsid w:val="00520189"/>
    <w:rsid w:val="005224A1"/>
    <w:rsid w:val="00524E04"/>
    <w:rsid w:val="00531FD9"/>
    <w:rsid w:val="005332A6"/>
    <w:rsid w:val="00534372"/>
    <w:rsid w:val="0053467C"/>
    <w:rsid w:val="0053796C"/>
    <w:rsid w:val="00541C5B"/>
    <w:rsid w:val="00543DF8"/>
    <w:rsid w:val="0054475A"/>
    <w:rsid w:val="00546101"/>
    <w:rsid w:val="005530B1"/>
    <w:rsid w:val="00553DD7"/>
    <w:rsid w:val="005628BA"/>
    <w:rsid w:val="005638CF"/>
    <w:rsid w:val="00563FF1"/>
    <w:rsid w:val="0056641D"/>
    <w:rsid w:val="0056741E"/>
    <w:rsid w:val="0057197E"/>
    <w:rsid w:val="0057325A"/>
    <w:rsid w:val="0057469A"/>
    <w:rsid w:val="00580814"/>
    <w:rsid w:val="005814CE"/>
    <w:rsid w:val="00586DD6"/>
    <w:rsid w:val="00590C95"/>
    <w:rsid w:val="00591FE2"/>
    <w:rsid w:val="005A03A3"/>
    <w:rsid w:val="005A2AAA"/>
    <w:rsid w:val="005A2B92"/>
    <w:rsid w:val="005A6F41"/>
    <w:rsid w:val="005A79E9"/>
    <w:rsid w:val="005B214C"/>
    <w:rsid w:val="005B42B3"/>
    <w:rsid w:val="005C3112"/>
    <w:rsid w:val="005D3669"/>
    <w:rsid w:val="005D4416"/>
    <w:rsid w:val="005E5EB3"/>
    <w:rsid w:val="005F14B7"/>
    <w:rsid w:val="005F3CB6"/>
    <w:rsid w:val="005F657C"/>
    <w:rsid w:val="005F74B8"/>
    <w:rsid w:val="00602D53"/>
    <w:rsid w:val="00603FB6"/>
    <w:rsid w:val="0060417B"/>
    <w:rsid w:val="006047E5"/>
    <w:rsid w:val="00606D6A"/>
    <w:rsid w:val="00614623"/>
    <w:rsid w:val="00617DC5"/>
    <w:rsid w:val="00625922"/>
    <w:rsid w:val="00626114"/>
    <w:rsid w:val="00627CE1"/>
    <w:rsid w:val="00631E7C"/>
    <w:rsid w:val="00637CAB"/>
    <w:rsid w:val="006402E9"/>
    <w:rsid w:val="0064371D"/>
    <w:rsid w:val="00650B2A"/>
    <w:rsid w:val="00651777"/>
    <w:rsid w:val="00653DAE"/>
    <w:rsid w:val="006550F8"/>
    <w:rsid w:val="006554AB"/>
    <w:rsid w:val="00655A02"/>
    <w:rsid w:val="00655C3A"/>
    <w:rsid w:val="00656817"/>
    <w:rsid w:val="00657F12"/>
    <w:rsid w:val="006800E8"/>
    <w:rsid w:val="00683247"/>
    <w:rsid w:val="00684EE0"/>
    <w:rsid w:val="00686E96"/>
    <w:rsid w:val="00690A1B"/>
    <w:rsid w:val="006961E4"/>
    <w:rsid w:val="006971F2"/>
    <w:rsid w:val="006A115B"/>
    <w:rsid w:val="006A49DC"/>
    <w:rsid w:val="006A518B"/>
    <w:rsid w:val="006A5B9A"/>
    <w:rsid w:val="006A6A97"/>
    <w:rsid w:val="006B04B7"/>
    <w:rsid w:val="006B0590"/>
    <w:rsid w:val="006B49DA"/>
    <w:rsid w:val="006C3ACE"/>
    <w:rsid w:val="006C5866"/>
    <w:rsid w:val="006C7CDE"/>
    <w:rsid w:val="006D214D"/>
    <w:rsid w:val="006D70FC"/>
    <w:rsid w:val="006F1A35"/>
    <w:rsid w:val="006F3F75"/>
    <w:rsid w:val="006F5213"/>
    <w:rsid w:val="006F72B3"/>
    <w:rsid w:val="007038CC"/>
    <w:rsid w:val="0070656B"/>
    <w:rsid w:val="00713F11"/>
    <w:rsid w:val="00714AE6"/>
    <w:rsid w:val="00715FBB"/>
    <w:rsid w:val="0071608A"/>
    <w:rsid w:val="0071658E"/>
    <w:rsid w:val="0071684B"/>
    <w:rsid w:val="007234B1"/>
    <w:rsid w:val="00723C9F"/>
    <w:rsid w:val="00726A6E"/>
    <w:rsid w:val="00727816"/>
    <w:rsid w:val="00730B9A"/>
    <w:rsid w:val="007315BD"/>
    <w:rsid w:val="00737279"/>
    <w:rsid w:val="007410E7"/>
    <w:rsid w:val="0074244F"/>
    <w:rsid w:val="00742E77"/>
    <w:rsid w:val="00750CFA"/>
    <w:rsid w:val="00754007"/>
    <w:rsid w:val="00754439"/>
    <w:rsid w:val="0075521E"/>
    <w:rsid w:val="007553DA"/>
    <w:rsid w:val="00762456"/>
    <w:rsid w:val="007659B1"/>
    <w:rsid w:val="0077345A"/>
    <w:rsid w:val="0077544F"/>
    <w:rsid w:val="007807D7"/>
    <w:rsid w:val="00782354"/>
    <w:rsid w:val="007921A7"/>
    <w:rsid w:val="00796464"/>
    <w:rsid w:val="00797EDC"/>
    <w:rsid w:val="007A45DC"/>
    <w:rsid w:val="007A7AB6"/>
    <w:rsid w:val="007B26FA"/>
    <w:rsid w:val="007B3AA4"/>
    <w:rsid w:val="007B3DB1"/>
    <w:rsid w:val="007B7498"/>
    <w:rsid w:val="007C1309"/>
    <w:rsid w:val="007C382F"/>
    <w:rsid w:val="007D0A21"/>
    <w:rsid w:val="007D183E"/>
    <w:rsid w:val="007D40F9"/>
    <w:rsid w:val="007D55ED"/>
    <w:rsid w:val="007D6846"/>
    <w:rsid w:val="007E0B73"/>
    <w:rsid w:val="007E0E94"/>
    <w:rsid w:val="007E1833"/>
    <w:rsid w:val="007E32C3"/>
    <w:rsid w:val="007E3F13"/>
    <w:rsid w:val="007F4C50"/>
    <w:rsid w:val="007F7046"/>
    <w:rsid w:val="007F751A"/>
    <w:rsid w:val="00800012"/>
    <w:rsid w:val="00803594"/>
    <w:rsid w:val="00803AED"/>
    <w:rsid w:val="00811125"/>
    <w:rsid w:val="008116D0"/>
    <w:rsid w:val="0081338A"/>
    <w:rsid w:val="008143A4"/>
    <w:rsid w:val="0081513E"/>
    <w:rsid w:val="00821311"/>
    <w:rsid w:val="0082164F"/>
    <w:rsid w:val="008245CA"/>
    <w:rsid w:val="00827FDD"/>
    <w:rsid w:val="0083025F"/>
    <w:rsid w:val="00830BFF"/>
    <w:rsid w:val="008366B5"/>
    <w:rsid w:val="008479C0"/>
    <w:rsid w:val="00851149"/>
    <w:rsid w:val="00852EC3"/>
    <w:rsid w:val="00853E92"/>
    <w:rsid w:val="00854131"/>
    <w:rsid w:val="0085652D"/>
    <w:rsid w:val="00856B68"/>
    <w:rsid w:val="00861A14"/>
    <w:rsid w:val="0086207B"/>
    <w:rsid w:val="008632B1"/>
    <w:rsid w:val="00874ED2"/>
    <w:rsid w:val="0087694B"/>
    <w:rsid w:val="008821A9"/>
    <w:rsid w:val="00884223"/>
    <w:rsid w:val="008864F8"/>
    <w:rsid w:val="008871A4"/>
    <w:rsid w:val="00887EE8"/>
    <w:rsid w:val="00894C14"/>
    <w:rsid w:val="0089578B"/>
    <w:rsid w:val="008A0019"/>
    <w:rsid w:val="008A1AC2"/>
    <w:rsid w:val="008A300E"/>
    <w:rsid w:val="008A5114"/>
    <w:rsid w:val="008A6F47"/>
    <w:rsid w:val="008A75CD"/>
    <w:rsid w:val="008B0749"/>
    <w:rsid w:val="008B7BE5"/>
    <w:rsid w:val="008C0966"/>
    <w:rsid w:val="008C1399"/>
    <w:rsid w:val="008C2E74"/>
    <w:rsid w:val="008C78B8"/>
    <w:rsid w:val="008D2DF9"/>
    <w:rsid w:val="008D5409"/>
    <w:rsid w:val="008D7618"/>
    <w:rsid w:val="008E006D"/>
    <w:rsid w:val="008E485B"/>
    <w:rsid w:val="008F3A1F"/>
    <w:rsid w:val="008F4F21"/>
    <w:rsid w:val="00904D4A"/>
    <w:rsid w:val="00912ECB"/>
    <w:rsid w:val="00913693"/>
    <w:rsid w:val="009141DE"/>
    <w:rsid w:val="009151BA"/>
    <w:rsid w:val="00925023"/>
    <w:rsid w:val="009277BC"/>
    <w:rsid w:val="00927D57"/>
    <w:rsid w:val="00931A51"/>
    <w:rsid w:val="00931B98"/>
    <w:rsid w:val="009323DA"/>
    <w:rsid w:val="00934974"/>
    <w:rsid w:val="00935527"/>
    <w:rsid w:val="00936D0F"/>
    <w:rsid w:val="00941932"/>
    <w:rsid w:val="00947185"/>
    <w:rsid w:val="009560C2"/>
    <w:rsid w:val="00956880"/>
    <w:rsid w:val="00957A98"/>
    <w:rsid w:val="00963362"/>
    <w:rsid w:val="00963D0B"/>
    <w:rsid w:val="00963D9D"/>
    <w:rsid w:val="009661F4"/>
    <w:rsid w:val="00970935"/>
    <w:rsid w:val="009742B9"/>
    <w:rsid w:val="009758B9"/>
    <w:rsid w:val="00975D6F"/>
    <w:rsid w:val="0098013E"/>
    <w:rsid w:val="00981B54"/>
    <w:rsid w:val="00982041"/>
    <w:rsid w:val="009842C3"/>
    <w:rsid w:val="00986E5D"/>
    <w:rsid w:val="009A009A"/>
    <w:rsid w:val="009A2B0B"/>
    <w:rsid w:val="009A6BB6"/>
    <w:rsid w:val="009B1BF4"/>
    <w:rsid w:val="009B2242"/>
    <w:rsid w:val="009B3F43"/>
    <w:rsid w:val="009B5CFA"/>
    <w:rsid w:val="009C161F"/>
    <w:rsid w:val="009C3038"/>
    <w:rsid w:val="009C4C1A"/>
    <w:rsid w:val="009C56B4"/>
    <w:rsid w:val="009C6769"/>
    <w:rsid w:val="009D00DC"/>
    <w:rsid w:val="009D15A0"/>
    <w:rsid w:val="009D3EDF"/>
    <w:rsid w:val="009D51A2"/>
    <w:rsid w:val="009E04A8"/>
    <w:rsid w:val="009E4AEC"/>
    <w:rsid w:val="009E5BD8"/>
    <w:rsid w:val="009E681E"/>
    <w:rsid w:val="009E6EBB"/>
    <w:rsid w:val="009F1E33"/>
    <w:rsid w:val="009F70E5"/>
    <w:rsid w:val="00A02280"/>
    <w:rsid w:val="00A03CF9"/>
    <w:rsid w:val="00A067CC"/>
    <w:rsid w:val="00A10269"/>
    <w:rsid w:val="00A10961"/>
    <w:rsid w:val="00A119E6"/>
    <w:rsid w:val="00A12572"/>
    <w:rsid w:val="00A15F66"/>
    <w:rsid w:val="00A17727"/>
    <w:rsid w:val="00A24A6F"/>
    <w:rsid w:val="00A2541D"/>
    <w:rsid w:val="00A2671E"/>
    <w:rsid w:val="00A27480"/>
    <w:rsid w:val="00A30388"/>
    <w:rsid w:val="00A31370"/>
    <w:rsid w:val="00A3147D"/>
    <w:rsid w:val="00A340D6"/>
    <w:rsid w:val="00A34963"/>
    <w:rsid w:val="00A34D6F"/>
    <w:rsid w:val="00A35635"/>
    <w:rsid w:val="00A37FDC"/>
    <w:rsid w:val="00A41ADA"/>
    <w:rsid w:val="00A41F91"/>
    <w:rsid w:val="00A442A8"/>
    <w:rsid w:val="00A56F09"/>
    <w:rsid w:val="00A600CA"/>
    <w:rsid w:val="00A65313"/>
    <w:rsid w:val="00A66EB8"/>
    <w:rsid w:val="00A700B7"/>
    <w:rsid w:val="00A731B6"/>
    <w:rsid w:val="00A75CA2"/>
    <w:rsid w:val="00A80D29"/>
    <w:rsid w:val="00A82972"/>
    <w:rsid w:val="00A955A3"/>
    <w:rsid w:val="00A963DF"/>
    <w:rsid w:val="00AB10BE"/>
    <w:rsid w:val="00AB7201"/>
    <w:rsid w:val="00AC05B1"/>
    <w:rsid w:val="00AC3896"/>
    <w:rsid w:val="00AD0123"/>
    <w:rsid w:val="00AD429D"/>
    <w:rsid w:val="00AD7647"/>
    <w:rsid w:val="00AD7D10"/>
    <w:rsid w:val="00AE112D"/>
    <w:rsid w:val="00AE2D88"/>
    <w:rsid w:val="00AE6F6F"/>
    <w:rsid w:val="00AE7575"/>
    <w:rsid w:val="00AE7722"/>
    <w:rsid w:val="00AF3325"/>
    <w:rsid w:val="00AF34D9"/>
    <w:rsid w:val="00AF70DA"/>
    <w:rsid w:val="00B019D3"/>
    <w:rsid w:val="00B21D20"/>
    <w:rsid w:val="00B32758"/>
    <w:rsid w:val="00B34CF9"/>
    <w:rsid w:val="00B36D6C"/>
    <w:rsid w:val="00B37559"/>
    <w:rsid w:val="00B40963"/>
    <w:rsid w:val="00B4508C"/>
    <w:rsid w:val="00B50A49"/>
    <w:rsid w:val="00B5209B"/>
    <w:rsid w:val="00B53AB2"/>
    <w:rsid w:val="00B579B0"/>
    <w:rsid w:val="00B672ED"/>
    <w:rsid w:val="00B6744A"/>
    <w:rsid w:val="00B71032"/>
    <w:rsid w:val="00B72197"/>
    <w:rsid w:val="00B747D1"/>
    <w:rsid w:val="00B75EA5"/>
    <w:rsid w:val="00B7724A"/>
    <w:rsid w:val="00B82BAA"/>
    <w:rsid w:val="00B84B68"/>
    <w:rsid w:val="00B90C45"/>
    <w:rsid w:val="00B91535"/>
    <w:rsid w:val="00B91E1B"/>
    <w:rsid w:val="00B92B0F"/>
    <w:rsid w:val="00B933BE"/>
    <w:rsid w:val="00BA5BB2"/>
    <w:rsid w:val="00BA7B55"/>
    <w:rsid w:val="00BB0D72"/>
    <w:rsid w:val="00BB1751"/>
    <w:rsid w:val="00BB44E3"/>
    <w:rsid w:val="00BB528C"/>
    <w:rsid w:val="00BB6557"/>
    <w:rsid w:val="00BB68D8"/>
    <w:rsid w:val="00BB6D35"/>
    <w:rsid w:val="00BC4EB6"/>
    <w:rsid w:val="00BD41F6"/>
    <w:rsid w:val="00BD64F8"/>
    <w:rsid w:val="00BD6738"/>
    <w:rsid w:val="00BD68F8"/>
    <w:rsid w:val="00BD7E5E"/>
    <w:rsid w:val="00BE14EE"/>
    <w:rsid w:val="00BE197D"/>
    <w:rsid w:val="00BE22B9"/>
    <w:rsid w:val="00BE44AA"/>
    <w:rsid w:val="00BE6574"/>
    <w:rsid w:val="00BE7D7F"/>
    <w:rsid w:val="00BF3AC3"/>
    <w:rsid w:val="00C0122F"/>
    <w:rsid w:val="00C06566"/>
    <w:rsid w:val="00C07806"/>
    <w:rsid w:val="00C11F58"/>
    <w:rsid w:val="00C13597"/>
    <w:rsid w:val="00C1516A"/>
    <w:rsid w:val="00C16FD2"/>
    <w:rsid w:val="00C20601"/>
    <w:rsid w:val="00C22F0D"/>
    <w:rsid w:val="00C22F1A"/>
    <w:rsid w:val="00C24730"/>
    <w:rsid w:val="00C2733C"/>
    <w:rsid w:val="00C300E4"/>
    <w:rsid w:val="00C33937"/>
    <w:rsid w:val="00C43032"/>
    <w:rsid w:val="00C45B3F"/>
    <w:rsid w:val="00C47CF9"/>
    <w:rsid w:val="00C47FFD"/>
    <w:rsid w:val="00C54D7D"/>
    <w:rsid w:val="00C57E2C"/>
    <w:rsid w:val="00C6046B"/>
    <w:rsid w:val="00C608B7"/>
    <w:rsid w:val="00C617B3"/>
    <w:rsid w:val="00C655FF"/>
    <w:rsid w:val="00C66651"/>
    <w:rsid w:val="00C66F24"/>
    <w:rsid w:val="00C70FBB"/>
    <w:rsid w:val="00C76660"/>
    <w:rsid w:val="00C767E8"/>
    <w:rsid w:val="00C80B37"/>
    <w:rsid w:val="00C813AA"/>
    <w:rsid w:val="00C826DF"/>
    <w:rsid w:val="00C840CF"/>
    <w:rsid w:val="00C9291E"/>
    <w:rsid w:val="00C97702"/>
    <w:rsid w:val="00CA3F44"/>
    <w:rsid w:val="00CA4E58"/>
    <w:rsid w:val="00CA5319"/>
    <w:rsid w:val="00CA596A"/>
    <w:rsid w:val="00CA778B"/>
    <w:rsid w:val="00CB3771"/>
    <w:rsid w:val="00CB44BF"/>
    <w:rsid w:val="00CB5153"/>
    <w:rsid w:val="00CB6925"/>
    <w:rsid w:val="00CC14A2"/>
    <w:rsid w:val="00CE076A"/>
    <w:rsid w:val="00CE33E1"/>
    <w:rsid w:val="00CE463D"/>
    <w:rsid w:val="00CF2A15"/>
    <w:rsid w:val="00D05944"/>
    <w:rsid w:val="00D05B3E"/>
    <w:rsid w:val="00D06CD0"/>
    <w:rsid w:val="00D10BA0"/>
    <w:rsid w:val="00D1275B"/>
    <w:rsid w:val="00D21132"/>
    <w:rsid w:val="00D218FB"/>
    <w:rsid w:val="00D21952"/>
    <w:rsid w:val="00D24030"/>
    <w:rsid w:val="00D245E1"/>
    <w:rsid w:val="00D24782"/>
    <w:rsid w:val="00D24EB5"/>
    <w:rsid w:val="00D30D33"/>
    <w:rsid w:val="00D35AB9"/>
    <w:rsid w:val="00D37776"/>
    <w:rsid w:val="00D41571"/>
    <w:rsid w:val="00D416A0"/>
    <w:rsid w:val="00D4193D"/>
    <w:rsid w:val="00D4609B"/>
    <w:rsid w:val="00D47672"/>
    <w:rsid w:val="00D5123C"/>
    <w:rsid w:val="00D55560"/>
    <w:rsid w:val="00D61C5A"/>
    <w:rsid w:val="00D64D40"/>
    <w:rsid w:val="00D653DE"/>
    <w:rsid w:val="00D67159"/>
    <w:rsid w:val="00D733F5"/>
    <w:rsid w:val="00D758F8"/>
    <w:rsid w:val="00D770D0"/>
    <w:rsid w:val="00D771B2"/>
    <w:rsid w:val="00D7741D"/>
    <w:rsid w:val="00D80A13"/>
    <w:rsid w:val="00D843D3"/>
    <w:rsid w:val="00D84FF2"/>
    <w:rsid w:val="00D85887"/>
    <w:rsid w:val="00D87828"/>
    <w:rsid w:val="00D87E20"/>
    <w:rsid w:val="00D92959"/>
    <w:rsid w:val="00D93DC5"/>
    <w:rsid w:val="00D9403B"/>
    <w:rsid w:val="00D97139"/>
    <w:rsid w:val="00D9787D"/>
    <w:rsid w:val="00DA0E5B"/>
    <w:rsid w:val="00DA31C1"/>
    <w:rsid w:val="00DB37E7"/>
    <w:rsid w:val="00DB57F4"/>
    <w:rsid w:val="00DC284D"/>
    <w:rsid w:val="00DD0EF9"/>
    <w:rsid w:val="00DD1F85"/>
    <w:rsid w:val="00DD5171"/>
    <w:rsid w:val="00DE16C2"/>
    <w:rsid w:val="00DE31F9"/>
    <w:rsid w:val="00DE5925"/>
    <w:rsid w:val="00DE66A5"/>
    <w:rsid w:val="00DE6CA4"/>
    <w:rsid w:val="00DF2B50"/>
    <w:rsid w:val="00DF4325"/>
    <w:rsid w:val="00DF4B44"/>
    <w:rsid w:val="00DF7444"/>
    <w:rsid w:val="00E01280"/>
    <w:rsid w:val="00E03D73"/>
    <w:rsid w:val="00E04C86"/>
    <w:rsid w:val="00E06B13"/>
    <w:rsid w:val="00E10158"/>
    <w:rsid w:val="00E20F30"/>
    <w:rsid w:val="00E2189C"/>
    <w:rsid w:val="00E2337D"/>
    <w:rsid w:val="00E25BB1"/>
    <w:rsid w:val="00E27BBA"/>
    <w:rsid w:val="00E3061A"/>
    <w:rsid w:val="00E33C2D"/>
    <w:rsid w:val="00E35279"/>
    <w:rsid w:val="00E35E8F"/>
    <w:rsid w:val="00E361B1"/>
    <w:rsid w:val="00E41CDA"/>
    <w:rsid w:val="00E428AB"/>
    <w:rsid w:val="00E4296A"/>
    <w:rsid w:val="00E438E8"/>
    <w:rsid w:val="00E448F0"/>
    <w:rsid w:val="00E453A3"/>
    <w:rsid w:val="00E46E06"/>
    <w:rsid w:val="00E5098E"/>
    <w:rsid w:val="00E520E2"/>
    <w:rsid w:val="00E62041"/>
    <w:rsid w:val="00E62738"/>
    <w:rsid w:val="00E628C2"/>
    <w:rsid w:val="00E64254"/>
    <w:rsid w:val="00E71242"/>
    <w:rsid w:val="00E72D0C"/>
    <w:rsid w:val="00E77BED"/>
    <w:rsid w:val="00E77D1B"/>
    <w:rsid w:val="00E817BF"/>
    <w:rsid w:val="00E915AF"/>
    <w:rsid w:val="00E92D9D"/>
    <w:rsid w:val="00E9622B"/>
    <w:rsid w:val="00E96415"/>
    <w:rsid w:val="00EA15B3"/>
    <w:rsid w:val="00EA2DF7"/>
    <w:rsid w:val="00EA3D58"/>
    <w:rsid w:val="00EB2358"/>
    <w:rsid w:val="00EB3EB8"/>
    <w:rsid w:val="00EB5EC0"/>
    <w:rsid w:val="00EC02FE"/>
    <w:rsid w:val="00EC0880"/>
    <w:rsid w:val="00EC50D8"/>
    <w:rsid w:val="00EC6A98"/>
    <w:rsid w:val="00ED1745"/>
    <w:rsid w:val="00ED2F62"/>
    <w:rsid w:val="00ED31B7"/>
    <w:rsid w:val="00EE1264"/>
    <w:rsid w:val="00EE3CDE"/>
    <w:rsid w:val="00EF1219"/>
    <w:rsid w:val="00EF498A"/>
    <w:rsid w:val="00EF5D0B"/>
    <w:rsid w:val="00EF621B"/>
    <w:rsid w:val="00F00E7C"/>
    <w:rsid w:val="00F07E51"/>
    <w:rsid w:val="00F10E33"/>
    <w:rsid w:val="00F117BE"/>
    <w:rsid w:val="00F12A83"/>
    <w:rsid w:val="00F14D01"/>
    <w:rsid w:val="00F16A1C"/>
    <w:rsid w:val="00F22F8E"/>
    <w:rsid w:val="00F31C1E"/>
    <w:rsid w:val="00F37853"/>
    <w:rsid w:val="00F37F40"/>
    <w:rsid w:val="00F424BF"/>
    <w:rsid w:val="00F45550"/>
    <w:rsid w:val="00F45A19"/>
    <w:rsid w:val="00F46107"/>
    <w:rsid w:val="00F468C5"/>
    <w:rsid w:val="00F47E8D"/>
    <w:rsid w:val="00F5242D"/>
    <w:rsid w:val="00F52F39"/>
    <w:rsid w:val="00F53F25"/>
    <w:rsid w:val="00F65661"/>
    <w:rsid w:val="00F70DE4"/>
    <w:rsid w:val="00F810C9"/>
    <w:rsid w:val="00F867F0"/>
    <w:rsid w:val="00F914DD"/>
    <w:rsid w:val="00F93E4F"/>
    <w:rsid w:val="00F94C88"/>
    <w:rsid w:val="00F9757F"/>
    <w:rsid w:val="00FA2358"/>
    <w:rsid w:val="00FA6A1D"/>
    <w:rsid w:val="00FA7867"/>
    <w:rsid w:val="00FB2592"/>
    <w:rsid w:val="00FB2810"/>
    <w:rsid w:val="00FB60A8"/>
    <w:rsid w:val="00FC2947"/>
    <w:rsid w:val="00FC2CAB"/>
    <w:rsid w:val="00FC30FB"/>
    <w:rsid w:val="00FC3BFE"/>
    <w:rsid w:val="00FC650E"/>
    <w:rsid w:val="00FC7CA5"/>
    <w:rsid w:val="00FD2A1B"/>
    <w:rsid w:val="00FD4A1D"/>
    <w:rsid w:val="00FD681B"/>
    <w:rsid w:val="00FD7E83"/>
    <w:rsid w:val="00FE0818"/>
    <w:rsid w:val="00FE593A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07090"/>
  <w15:docId w15:val="{B8490D0D-5B53-40B1-A9FE-18ED5825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qFormat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table" w:styleId="TableGrid">
    <w:name w:val="Table Grid"/>
    <w:basedOn w:val="TableNormal"/>
    <w:rsid w:val="00B8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89578B"/>
  </w:style>
  <w:style w:type="paragraph" w:customStyle="1" w:styleId="Message">
    <w:name w:val="Message"/>
    <w:rsid w:val="0089578B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styleId="Date">
    <w:name w:val="Date"/>
    <w:basedOn w:val="Normal"/>
    <w:next w:val="Normal"/>
    <w:link w:val="DateChar"/>
    <w:rsid w:val="00463CE7"/>
  </w:style>
  <w:style w:type="character" w:customStyle="1" w:styleId="DateChar">
    <w:name w:val="Date Char"/>
    <w:basedOn w:val="DefaultParagraphFont"/>
    <w:link w:val="Date"/>
    <w:rsid w:val="00463CE7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02280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DD0EF9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C05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0B86"/>
    <w:rPr>
      <w:b/>
      <w:bCs/>
    </w:rPr>
  </w:style>
  <w:style w:type="character" w:styleId="EndnoteReference">
    <w:name w:val="endnote reference"/>
    <w:rsid w:val="00EE3CDE"/>
    <w:rPr>
      <w:vertAlign w:val="superscript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locked/>
    <w:rsid w:val="00737279"/>
    <w:rPr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066E5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66E5D"/>
    <w:rPr>
      <w:rFonts w:eastAsia="SimSu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37B95"/>
    <w:rPr>
      <w:color w:val="605E5C"/>
      <w:shd w:val="clear" w:color="auto" w:fill="E1DFDD"/>
    </w:rPr>
  </w:style>
  <w:style w:type="character" w:customStyle="1" w:styleId="Artdef">
    <w:name w:val="Art_def"/>
    <w:rsid w:val="0083025F"/>
    <w:rPr>
      <w:b/>
      <w:color w:val="FFCC00"/>
    </w:rPr>
  </w:style>
  <w:style w:type="paragraph" w:styleId="Revision">
    <w:name w:val="Revision"/>
    <w:hidden/>
    <w:uiPriority w:val="99"/>
    <w:semiHidden/>
    <w:rsid w:val="00656817"/>
    <w:rPr>
      <w:sz w:val="22"/>
      <w:szCs w:val="22"/>
      <w:lang w:val="en-US" w:eastAsia="en-US"/>
    </w:rPr>
  </w:style>
  <w:style w:type="paragraph" w:customStyle="1" w:styleId="AnnexNo">
    <w:name w:val="Annex_No"/>
    <w:basedOn w:val="Normal"/>
    <w:next w:val="Normal"/>
    <w:rsid w:val="006568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6568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E1015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6D35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6D35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BB6D35"/>
    <w:rPr>
      <w:b/>
      <w:bCs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77DD1-44C5-4EE0-8DD6-1FC51AF2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3</TotalTime>
  <Pages>2</Pages>
  <Words>599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3887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Marchetti, Caroline</cp:lastModifiedBy>
  <cp:revision>3</cp:revision>
  <cp:lastPrinted>2020-02-21T08:00:00Z</cp:lastPrinted>
  <dcterms:created xsi:type="dcterms:W3CDTF">2024-04-18T13:44:00Z</dcterms:created>
  <dcterms:modified xsi:type="dcterms:W3CDTF">2024-04-19T03:55:00Z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_NewReviewCycle">
    <vt:lpwstr/>
  </property>
  <property fmtid="{D5CDD505-2E9C-101B-9397-08002B2CF9AE}" pid="11" name="GrammarlyDocumentId">
    <vt:lpwstr>8efb987c5003f6861d3f74af9fa90daea6c2cbd0c5e2edf806a4aa7a7c0527e8</vt:lpwstr>
  </property>
</Properties>
</file>