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ayout w:type="fixed"/>
        <w:tblLook w:val="04A0" w:firstRow="1" w:lastRow="0" w:firstColumn="1" w:lastColumn="0" w:noHBand="0" w:noVBand="1"/>
      </w:tblPr>
      <w:tblGrid>
        <w:gridCol w:w="1472"/>
        <w:gridCol w:w="5298"/>
        <w:gridCol w:w="2727"/>
      </w:tblGrid>
      <w:tr w:rsidR="00E53DCE" w:rsidRPr="007B3DB1" w14:paraId="7C037C9F" w14:textId="77777777" w:rsidTr="00C16858">
        <w:trPr>
          <w:jc w:val="center"/>
        </w:trPr>
        <w:tc>
          <w:tcPr>
            <w:tcW w:w="9639" w:type="dxa"/>
            <w:gridSpan w:val="3"/>
            <w:shd w:val="clear" w:color="auto" w:fill="auto"/>
          </w:tcPr>
          <w:p w14:paraId="17BEE82F" w14:textId="77777777" w:rsidR="00E53DCE" w:rsidRDefault="00A96D3A" w:rsidP="006160CB">
            <w:pPr>
              <w:spacing w:before="0"/>
              <w:jc w:val="left"/>
              <w:rPr>
                <w:rFonts w:cstheme="minorHAnsi"/>
                <w:b/>
                <w:bCs/>
                <w:color w:val="808080"/>
                <w:sz w:val="28"/>
                <w:szCs w:val="28"/>
                <w:lang w:val="en-GB"/>
              </w:rPr>
            </w:pPr>
            <w:r w:rsidRPr="00415CFA">
              <w:rPr>
                <w:rFonts w:cstheme="minorHAnsi"/>
                <w:b/>
                <w:bCs/>
                <w:color w:val="808080"/>
                <w:sz w:val="28"/>
                <w:szCs w:val="28"/>
                <w:lang w:val="es-ES_tradnl"/>
              </w:rPr>
              <w:t>Oficina de Radiocomunicaciones (BR)</w:t>
            </w:r>
          </w:p>
          <w:p w14:paraId="0D43C5AF" w14:textId="77777777" w:rsidR="00E53DCE" w:rsidRPr="00AF70DA" w:rsidRDefault="00E53DCE" w:rsidP="006160CB">
            <w:pPr>
              <w:spacing w:before="0"/>
              <w:jc w:val="left"/>
              <w:rPr>
                <w:rFonts w:cs="Times New Roman Bold"/>
                <w:b/>
                <w:bCs/>
                <w:color w:val="808080"/>
                <w:sz w:val="28"/>
                <w:szCs w:val="28"/>
                <w:lang w:val="en-GB"/>
              </w:rPr>
            </w:pPr>
          </w:p>
        </w:tc>
      </w:tr>
      <w:tr w:rsidR="00E53DCE" w:rsidRPr="0033029C" w14:paraId="375BE031" w14:textId="77777777" w:rsidTr="00C16858">
        <w:trPr>
          <w:jc w:val="center"/>
        </w:trPr>
        <w:tc>
          <w:tcPr>
            <w:tcW w:w="6873" w:type="dxa"/>
            <w:gridSpan w:val="2"/>
            <w:shd w:val="clear" w:color="auto" w:fill="auto"/>
          </w:tcPr>
          <w:p w14:paraId="2CD0ECDA" w14:textId="0CFE2832" w:rsidR="00E53DCE" w:rsidRPr="00AC24D4" w:rsidRDefault="001B3D4D" w:rsidP="00AC24D4">
            <w:pPr>
              <w:spacing w:before="0"/>
            </w:pPr>
            <w:r w:rsidRPr="00AC24D4">
              <w:t>Carta Circular</w:t>
            </w:r>
          </w:p>
          <w:p w14:paraId="661B423B" w14:textId="4EF9F5C2" w:rsidR="00E53DCE" w:rsidRPr="00AC24D4" w:rsidRDefault="001B3D4D" w:rsidP="00AC24D4">
            <w:pPr>
              <w:spacing w:before="0"/>
              <w:rPr>
                <w:b/>
                <w:bCs/>
              </w:rPr>
            </w:pPr>
            <w:r w:rsidRPr="00AC24D4">
              <w:rPr>
                <w:b/>
                <w:bCs/>
              </w:rPr>
              <w:t>CR</w:t>
            </w:r>
            <w:r w:rsidR="00BA2084" w:rsidRPr="00AC24D4">
              <w:rPr>
                <w:b/>
                <w:bCs/>
              </w:rPr>
              <w:t>/495</w:t>
            </w:r>
          </w:p>
        </w:tc>
        <w:tc>
          <w:tcPr>
            <w:tcW w:w="2766" w:type="dxa"/>
            <w:shd w:val="clear" w:color="auto" w:fill="auto"/>
          </w:tcPr>
          <w:p w14:paraId="3EC8C5DF" w14:textId="4311628A" w:rsidR="00E53DCE" w:rsidRPr="00811822" w:rsidRDefault="00BA2084" w:rsidP="00AC24D4">
            <w:pPr>
              <w:spacing w:before="0"/>
              <w:jc w:val="right"/>
              <w:rPr>
                <w:lang w:val="es-ES"/>
              </w:rPr>
            </w:pPr>
            <w:r w:rsidRPr="00811822">
              <w:rPr>
                <w:lang w:val="es-ES"/>
              </w:rPr>
              <w:t>26 de enero de 2023</w:t>
            </w:r>
          </w:p>
        </w:tc>
      </w:tr>
      <w:tr w:rsidR="00E53DCE" w:rsidRPr="0033029C" w14:paraId="5B6C7BF3" w14:textId="77777777" w:rsidTr="00C16858">
        <w:trPr>
          <w:jc w:val="center"/>
        </w:trPr>
        <w:tc>
          <w:tcPr>
            <w:tcW w:w="9639" w:type="dxa"/>
            <w:gridSpan w:val="3"/>
            <w:shd w:val="clear" w:color="auto" w:fill="auto"/>
          </w:tcPr>
          <w:p w14:paraId="5AB48C05" w14:textId="77777777" w:rsidR="00E53DCE" w:rsidRPr="00AC24D4" w:rsidRDefault="00E53DCE" w:rsidP="00AC24D4">
            <w:pPr>
              <w:spacing w:before="0"/>
            </w:pPr>
          </w:p>
        </w:tc>
      </w:tr>
      <w:tr w:rsidR="00E53DCE" w:rsidRPr="0033029C" w14:paraId="704CB498" w14:textId="77777777" w:rsidTr="00C16858">
        <w:trPr>
          <w:jc w:val="center"/>
        </w:trPr>
        <w:tc>
          <w:tcPr>
            <w:tcW w:w="9639" w:type="dxa"/>
            <w:gridSpan w:val="3"/>
            <w:shd w:val="clear" w:color="auto" w:fill="auto"/>
          </w:tcPr>
          <w:p w14:paraId="6BDBF4D6" w14:textId="77777777" w:rsidR="00E53DCE" w:rsidRPr="00AC24D4" w:rsidRDefault="00E53DCE" w:rsidP="00AC24D4">
            <w:pPr>
              <w:spacing w:before="0"/>
            </w:pPr>
          </w:p>
        </w:tc>
      </w:tr>
      <w:tr w:rsidR="00E53DCE" w:rsidRPr="00B5478B" w14:paraId="77337F6F" w14:textId="77777777" w:rsidTr="00C16858">
        <w:trPr>
          <w:jc w:val="center"/>
        </w:trPr>
        <w:tc>
          <w:tcPr>
            <w:tcW w:w="9639" w:type="dxa"/>
            <w:gridSpan w:val="3"/>
            <w:shd w:val="clear" w:color="auto" w:fill="auto"/>
          </w:tcPr>
          <w:p w14:paraId="49B918FD" w14:textId="77777777" w:rsidR="00E53DCE" w:rsidRPr="008163ED" w:rsidRDefault="00FE4822" w:rsidP="00AC24D4">
            <w:pPr>
              <w:spacing w:before="0"/>
              <w:rPr>
                <w:b/>
                <w:bCs/>
                <w:lang w:val="fr-FR"/>
              </w:rPr>
            </w:pPr>
            <w:r w:rsidRPr="008163ED">
              <w:rPr>
                <w:b/>
                <w:bCs/>
                <w:lang w:val="fr-FR"/>
              </w:rPr>
              <w:t xml:space="preserve">A </w:t>
            </w:r>
            <w:proofErr w:type="spellStart"/>
            <w:r w:rsidRPr="008163ED">
              <w:rPr>
                <w:b/>
                <w:bCs/>
                <w:lang w:val="fr-FR"/>
              </w:rPr>
              <w:t>las</w:t>
            </w:r>
            <w:proofErr w:type="spellEnd"/>
            <w:r w:rsidRPr="008163ED">
              <w:rPr>
                <w:b/>
                <w:bCs/>
                <w:lang w:val="fr-FR"/>
              </w:rPr>
              <w:t xml:space="preserve"> </w:t>
            </w:r>
            <w:proofErr w:type="spellStart"/>
            <w:r w:rsidRPr="008163ED">
              <w:rPr>
                <w:b/>
                <w:bCs/>
                <w:lang w:val="fr-FR"/>
              </w:rPr>
              <w:t>Administraciones</w:t>
            </w:r>
            <w:proofErr w:type="spellEnd"/>
            <w:r w:rsidRPr="008163ED">
              <w:rPr>
                <w:b/>
                <w:bCs/>
                <w:lang w:val="fr-FR"/>
              </w:rPr>
              <w:t xml:space="preserve"> de los </w:t>
            </w:r>
            <w:proofErr w:type="spellStart"/>
            <w:r w:rsidRPr="008163ED">
              <w:rPr>
                <w:b/>
                <w:bCs/>
                <w:lang w:val="fr-FR"/>
              </w:rPr>
              <w:t>Estados</w:t>
            </w:r>
            <w:proofErr w:type="spellEnd"/>
            <w:r w:rsidRPr="008163ED">
              <w:rPr>
                <w:b/>
                <w:bCs/>
                <w:lang w:val="fr-FR"/>
              </w:rPr>
              <w:t xml:space="preserve"> </w:t>
            </w:r>
            <w:proofErr w:type="spellStart"/>
            <w:r w:rsidRPr="008163ED">
              <w:rPr>
                <w:b/>
                <w:bCs/>
                <w:lang w:val="fr-FR"/>
              </w:rPr>
              <w:t>Miembros</w:t>
            </w:r>
            <w:proofErr w:type="spellEnd"/>
            <w:r w:rsidRPr="008163ED">
              <w:rPr>
                <w:b/>
                <w:bCs/>
                <w:lang w:val="fr-FR"/>
              </w:rPr>
              <w:t xml:space="preserve"> de la UIT</w:t>
            </w:r>
          </w:p>
          <w:p w14:paraId="5D007FCB" w14:textId="77777777" w:rsidR="00E53DCE" w:rsidRPr="008163ED" w:rsidRDefault="00E53DCE" w:rsidP="00AC24D4">
            <w:pPr>
              <w:spacing w:before="0"/>
              <w:rPr>
                <w:lang w:val="fr-FR"/>
              </w:rPr>
            </w:pPr>
          </w:p>
        </w:tc>
      </w:tr>
      <w:tr w:rsidR="00E53DCE" w:rsidRPr="00B5478B" w14:paraId="39369160" w14:textId="77777777" w:rsidTr="00C16858">
        <w:trPr>
          <w:jc w:val="center"/>
        </w:trPr>
        <w:tc>
          <w:tcPr>
            <w:tcW w:w="9639" w:type="dxa"/>
            <w:gridSpan w:val="3"/>
            <w:shd w:val="clear" w:color="auto" w:fill="auto"/>
          </w:tcPr>
          <w:p w14:paraId="0DACCCB9" w14:textId="77777777" w:rsidR="00E53DCE" w:rsidRPr="008163ED" w:rsidRDefault="00E53DCE" w:rsidP="00AC24D4">
            <w:pPr>
              <w:spacing w:before="0"/>
              <w:rPr>
                <w:lang w:val="fr-FR"/>
              </w:rPr>
            </w:pPr>
          </w:p>
        </w:tc>
      </w:tr>
      <w:tr w:rsidR="00E53DCE" w:rsidRPr="00B5478B" w14:paraId="62080C97" w14:textId="77777777" w:rsidTr="00C16858">
        <w:trPr>
          <w:jc w:val="center"/>
        </w:trPr>
        <w:tc>
          <w:tcPr>
            <w:tcW w:w="9639" w:type="dxa"/>
            <w:gridSpan w:val="3"/>
            <w:shd w:val="clear" w:color="auto" w:fill="auto"/>
          </w:tcPr>
          <w:p w14:paraId="7D73E43E" w14:textId="77777777" w:rsidR="00E53DCE" w:rsidRPr="008163ED" w:rsidRDefault="00E53DCE" w:rsidP="00AC24D4">
            <w:pPr>
              <w:spacing w:before="0"/>
              <w:rPr>
                <w:lang w:val="fr-FR"/>
              </w:rPr>
            </w:pPr>
          </w:p>
        </w:tc>
      </w:tr>
      <w:tr w:rsidR="00E53DCE" w:rsidRPr="00B5478B" w14:paraId="73C7BE0D" w14:textId="77777777" w:rsidTr="00C16858">
        <w:trPr>
          <w:jc w:val="center"/>
        </w:trPr>
        <w:tc>
          <w:tcPr>
            <w:tcW w:w="1492" w:type="dxa"/>
            <w:shd w:val="clear" w:color="auto" w:fill="auto"/>
          </w:tcPr>
          <w:p w14:paraId="69D7F69D" w14:textId="77777777" w:rsidR="00E53DCE" w:rsidRPr="0033029C" w:rsidRDefault="00311970" w:rsidP="00AC24D4">
            <w:pPr>
              <w:spacing w:before="0"/>
            </w:pPr>
            <w:r w:rsidRPr="00811822">
              <w:rPr>
                <w:lang w:val="es-ES"/>
              </w:rPr>
              <w:t>Asunto</w:t>
            </w:r>
            <w:r w:rsidRPr="0033029C">
              <w:t>:</w:t>
            </w:r>
          </w:p>
        </w:tc>
        <w:tc>
          <w:tcPr>
            <w:tcW w:w="8147" w:type="dxa"/>
            <w:gridSpan w:val="2"/>
            <w:vMerge w:val="restart"/>
            <w:shd w:val="clear" w:color="auto" w:fill="auto"/>
          </w:tcPr>
          <w:p w14:paraId="1D1CC53F" w14:textId="561CD29F" w:rsidR="00E53DCE" w:rsidRPr="00AC24D4" w:rsidRDefault="00BA2084" w:rsidP="00AC24D4">
            <w:pPr>
              <w:spacing w:before="0"/>
              <w:jc w:val="left"/>
              <w:rPr>
                <w:b/>
                <w:bCs/>
                <w:lang w:val="es-ES"/>
              </w:rPr>
            </w:pPr>
            <w:r w:rsidRPr="00AC24D4">
              <w:rPr>
                <w:b/>
                <w:bCs/>
                <w:lang w:val="es-ES"/>
              </w:rPr>
              <w:t>Información en línea sobre instalaciones de comprobación técnica de las radiocomunicaciones espaciales</w:t>
            </w:r>
          </w:p>
        </w:tc>
      </w:tr>
      <w:tr w:rsidR="00E53DCE" w:rsidRPr="00B5478B" w14:paraId="750585AD" w14:textId="77777777" w:rsidTr="00C16858">
        <w:trPr>
          <w:jc w:val="center"/>
        </w:trPr>
        <w:tc>
          <w:tcPr>
            <w:tcW w:w="1492" w:type="dxa"/>
            <w:shd w:val="clear" w:color="auto" w:fill="auto"/>
          </w:tcPr>
          <w:p w14:paraId="50D2F374" w14:textId="77777777" w:rsidR="00E53DCE" w:rsidRPr="008163ED" w:rsidRDefault="00E53DCE" w:rsidP="00AC24D4">
            <w:pPr>
              <w:spacing w:before="0"/>
              <w:rPr>
                <w:lang w:val="fr-FR"/>
              </w:rPr>
            </w:pPr>
          </w:p>
        </w:tc>
        <w:tc>
          <w:tcPr>
            <w:tcW w:w="8147" w:type="dxa"/>
            <w:gridSpan w:val="2"/>
            <w:vMerge/>
            <w:shd w:val="clear" w:color="auto" w:fill="auto"/>
          </w:tcPr>
          <w:p w14:paraId="47D2975C" w14:textId="77777777" w:rsidR="00E53DCE" w:rsidRPr="00BA2084" w:rsidRDefault="00E53DCE" w:rsidP="006160CB">
            <w:pPr>
              <w:tabs>
                <w:tab w:val="clear" w:pos="1588"/>
                <w:tab w:val="left" w:pos="1560"/>
              </w:tabs>
              <w:spacing w:before="0"/>
              <w:rPr>
                <w:b/>
                <w:bCs/>
                <w:szCs w:val="24"/>
                <w:lang w:val="es-ES"/>
              </w:rPr>
            </w:pPr>
          </w:p>
        </w:tc>
      </w:tr>
      <w:tr w:rsidR="00E53DCE" w:rsidRPr="00B5478B" w14:paraId="65ABEEED" w14:textId="77777777" w:rsidTr="00C16858">
        <w:trPr>
          <w:jc w:val="center"/>
        </w:trPr>
        <w:tc>
          <w:tcPr>
            <w:tcW w:w="1492" w:type="dxa"/>
            <w:shd w:val="clear" w:color="auto" w:fill="auto"/>
          </w:tcPr>
          <w:p w14:paraId="6FE63535" w14:textId="77777777" w:rsidR="00E53DCE" w:rsidRPr="008163ED" w:rsidRDefault="00E53DCE" w:rsidP="00AC24D4">
            <w:pPr>
              <w:spacing w:before="0"/>
              <w:rPr>
                <w:lang w:val="fr-FR"/>
              </w:rPr>
            </w:pPr>
          </w:p>
        </w:tc>
        <w:tc>
          <w:tcPr>
            <w:tcW w:w="8147" w:type="dxa"/>
            <w:gridSpan w:val="2"/>
            <w:vMerge/>
            <w:shd w:val="clear" w:color="auto" w:fill="auto"/>
          </w:tcPr>
          <w:p w14:paraId="6D9419BA" w14:textId="77777777" w:rsidR="00E53DCE" w:rsidRPr="00BA2084" w:rsidRDefault="00E53DCE" w:rsidP="006160CB">
            <w:pPr>
              <w:tabs>
                <w:tab w:val="clear" w:pos="1588"/>
                <w:tab w:val="left" w:pos="1560"/>
              </w:tabs>
              <w:spacing w:before="0"/>
              <w:rPr>
                <w:b/>
                <w:bCs/>
                <w:szCs w:val="24"/>
                <w:lang w:val="es-ES"/>
              </w:rPr>
            </w:pPr>
          </w:p>
        </w:tc>
      </w:tr>
    </w:tbl>
    <w:p w14:paraId="59BF8671" w14:textId="3910D05B" w:rsidR="00BA2084" w:rsidRPr="00BA2084" w:rsidRDefault="00BA2084" w:rsidP="003A2A8C">
      <w:pPr>
        <w:pStyle w:val="Normalaftertitle"/>
        <w:ind w:left="142"/>
        <w:rPr>
          <w:lang w:val="es-ES"/>
        </w:rPr>
      </w:pPr>
      <w:r w:rsidRPr="00BA2084">
        <w:rPr>
          <w:lang w:val="es-ES"/>
        </w:rPr>
        <w:t xml:space="preserve">En la última Conferencia de Plenipotenciarios de la UIT, celebrada del 26 de septiembre al 14 de octubre de 2022 en Bucarest </w:t>
      </w:r>
      <w:r w:rsidR="00AC24D4">
        <w:rPr>
          <w:lang w:val="es-ES"/>
        </w:rPr>
        <w:t>(</w:t>
      </w:r>
      <w:r w:rsidRPr="00BA2084">
        <w:rPr>
          <w:lang w:val="es-ES"/>
        </w:rPr>
        <w:t>Rumania</w:t>
      </w:r>
      <w:r w:rsidR="00AC24D4">
        <w:rPr>
          <w:lang w:val="es-ES"/>
        </w:rPr>
        <w:t>)</w:t>
      </w:r>
      <w:r w:rsidRPr="00BA2084">
        <w:rPr>
          <w:lang w:val="es-ES"/>
        </w:rPr>
        <w:t>, se consideró el creciente número de sistemas espaciales que se están desplegado o se prevé desplegar en un futuro cercano y las consecuencias que ello conlleva para la compartición del espectro radioeléctrico. La Conferencia revisó la Resolución</w:t>
      </w:r>
      <w:r w:rsidR="00AC24D4">
        <w:rPr>
          <w:lang w:val="es-ES"/>
        </w:rPr>
        <w:t> </w:t>
      </w:r>
      <w:r w:rsidRPr="00BA2084">
        <w:rPr>
          <w:lang w:val="es-ES"/>
        </w:rPr>
        <w:t>186, Fortalecimiento del papel de la UIT respecto de las medidas de transparencia y fomento de la confianza en las actividades relativas al espacio ultraterrestre.</w:t>
      </w:r>
    </w:p>
    <w:p w14:paraId="2395740B" w14:textId="77777777" w:rsidR="00BA2084" w:rsidRPr="00BA2084" w:rsidRDefault="00BA2084" w:rsidP="003A2A8C">
      <w:pPr>
        <w:ind w:left="142"/>
        <w:rPr>
          <w:i/>
          <w:iCs/>
          <w:lang w:val="es-ES"/>
        </w:rPr>
      </w:pPr>
      <w:r w:rsidRPr="00BA2084">
        <w:rPr>
          <w:lang w:val="es-ES"/>
        </w:rPr>
        <w:t>Concretamente, al considerar:</w:t>
      </w:r>
    </w:p>
    <w:p w14:paraId="37919F6A" w14:textId="0BF0D72D" w:rsidR="00BA2084" w:rsidRPr="00AC24D4" w:rsidRDefault="00AC24D4" w:rsidP="003A2A8C">
      <w:pPr>
        <w:pStyle w:val="enumlev1"/>
        <w:tabs>
          <w:tab w:val="clear" w:pos="1191"/>
          <w:tab w:val="left" w:pos="1276"/>
        </w:tabs>
        <w:ind w:left="142" w:firstLine="0"/>
        <w:rPr>
          <w:i/>
          <w:iCs/>
          <w:lang w:val="es-ES"/>
        </w:rPr>
      </w:pPr>
      <w:r w:rsidRPr="00AC24D4">
        <w:rPr>
          <w:i/>
          <w:iCs/>
          <w:lang w:val="es-ES"/>
        </w:rPr>
        <w:tab/>
      </w:r>
      <w:r w:rsidR="00BA2084" w:rsidRPr="00AC24D4">
        <w:rPr>
          <w:i/>
          <w:iCs/>
          <w:lang w:val="es-ES"/>
        </w:rPr>
        <w:t>«a)</w:t>
      </w:r>
      <w:r w:rsidRPr="00AC24D4">
        <w:rPr>
          <w:i/>
          <w:iCs/>
          <w:lang w:val="es-ES"/>
        </w:rPr>
        <w:tab/>
      </w:r>
      <w:r w:rsidR="00BA2084" w:rsidRPr="00AC24D4">
        <w:rPr>
          <w:i/>
          <w:iCs/>
          <w:lang w:val="es-ES"/>
        </w:rPr>
        <w:t>que los Estados Miembros de la UIT dependen, entre otras cosas, de servicios de radiocomunicaciones espaciales fiables, tales como el servicio de exploración de la Tierra por satélite, los servicios de radiocomunicaciones por satélite, el servicio de radionavegación por satélite y el servicio de investigación espacial;</w:t>
      </w:r>
    </w:p>
    <w:p w14:paraId="689D820B" w14:textId="4F303A16" w:rsidR="00BA2084" w:rsidRPr="00AC24D4" w:rsidRDefault="00AC24D4" w:rsidP="003A2A8C">
      <w:pPr>
        <w:pStyle w:val="enumlev1"/>
        <w:tabs>
          <w:tab w:val="clear" w:pos="1191"/>
          <w:tab w:val="left" w:pos="1276"/>
        </w:tabs>
        <w:ind w:left="142" w:firstLine="0"/>
        <w:rPr>
          <w:i/>
          <w:iCs/>
          <w:lang w:val="es-ES"/>
        </w:rPr>
      </w:pPr>
      <w:r w:rsidRPr="00AC24D4">
        <w:rPr>
          <w:i/>
          <w:iCs/>
          <w:lang w:val="es-ES"/>
        </w:rPr>
        <w:tab/>
      </w:r>
      <w:r w:rsidR="00BA2084" w:rsidRPr="00AC24D4">
        <w:rPr>
          <w:i/>
          <w:iCs/>
          <w:lang w:val="es-ES"/>
        </w:rPr>
        <w:t>b)</w:t>
      </w:r>
      <w:r w:rsidRPr="00AC24D4">
        <w:rPr>
          <w:i/>
          <w:iCs/>
          <w:lang w:val="es-ES"/>
        </w:rPr>
        <w:tab/>
      </w:r>
      <w:r w:rsidR="00BA2084" w:rsidRPr="00AC24D4">
        <w:rPr>
          <w:i/>
          <w:iCs/>
          <w:lang w:val="es-ES"/>
        </w:rPr>
        <w:t>que uno de los objetivos estratégicos del Sector de Radiocomunicaciones de la UIT (UIT</w:t>
      </w:r>
      <w:r>
        <w:rPr>
          <w:i/>
          <w:iCs/>
          <w:lang w:val="es-ES"/>
        </w:rPr>
        <w:noBreakHyphen/>
      </w:r>
      <w:r w:rsidR="00BA2084" w:rsidRPr="00AC24D4">
        <w:rPr>
          <w:i/>
          <w:iCs/>
          <w:lang w:val="es-ES"/>
        </w:rPr>
        <w:t xml:space="preserve">R) consiste en </w:t>
      </w:r>
      <w:r>
        <w:rPr>
          <w:i/>
          <w:iCs/>
          <w:lang w:val="es-ES"/>
        </w:rPr>
        <w:t>"</w:t>
      </w:r>
      <w:r w:rsidR="00BA2084" w:rsidRPr="00AC24D4">
        <w:rPr>
          <w:i/>
          <w:iCs/>
          <w:lang w:val="es-ES"/>
        </w:rPr>
        <w:t xml:space="preserve">garantizar el funcionamiento exento de interferencias de los sistemas de radiocomunicaciones, mediante la aplicación del Reglamento de Radiocomunicaciones y de los Acuerdos Regionales, así como mediante la actualización de esos instrumentos de una manera eficaz y oportuna en el marco de las </w:t>
      </w:r>
      <w:r w:rsidR="00811822">
        <w:rPr>
          <w:i/>
          <w:iCs/>
          <w:lang w:val="es-ES"/>
        </w:rPr>
        <w:t>C</w:t>
      </w:r>
      <w:r w:rsidR="00BA2084" w:rsidRPr="00AC24D4">
        <w:rPr>
          <w:i/>
          <w:iCs/>
          <w:lang w:val="es-ES"/>
        </w:rPr>
        <w:t>onferencias Mundiales y Regionales de Radiocomunicaciones</w:t>
      </w:r>
      <w:r>
        <w:rPr>
          <w:i/>
          <w:iCs/>
          <w:lang w:val="es-ES"/>
        </w:rPr>
        <w:t>"</w:t>
      </w:r>
      <w:r w:rsidR="00BA2084" w:rsidRPr="00AC24D4">
        <w:rPr>
          <w:i/>
          <w:iCs/>
          <w:lang w:val="es-ES"/>
        </w:rPr>
        <w:t>;»</w:t>
      </w:r>
    </w:p>
    <w:p w14:paraId="7D92C658" w14:textId="77777777" w:rsidR="00BA2084" w:rsidRPr="00BA2084" w:rsidRDefault="00BA2084" w:rsidP="003A2A8C">
      <w:pPr>
        <w:ind w:left="142"/>
        <w:rPr>
          <w:lang w:val="es-ES"/>
        </w:rPr>
      </w:pPr>
      <w:r w:rsidRPr="00BA2084">
        <w:rPr>
          <w:lang w:val="es-ES"/>
        </w:rPr>
        <w:t xml:space="preserve">y teniendo en cuenta los Artículos 15 y 16 del Reglamento de Radiocomunicaciones, la Conferencia encargó al </w:t>
      </w:r>
      <w:proofErr w:type="gramStart"/>
      <w:r w:rsidRPr="00BA2084">
        <w:rPr>
          <w:lang w:val="es-ES"/>
        </w:rPr>
        <w:t>Director</w:t>
      </w:r>
      <w:proofErr w:type="gramEnd"/>
      <w:r w:rsidRPr="00BA2084">
        <w:rPr>
          <w:lang w:val="es-ES"/>
        </w:rPr>
        <w:t xml:space="preserve"> de la Oficina de Radiocomunicaciones:</w:t>
      </w:r>
    </w:p>
    <w:p w14:paraId="02D022D2" w14:textId="79F6E510" w:rsidR="00BA2084" w:rsidRPr="00AC24D4" w:rsidRDefault="00AC24D4" w:rsidP="003A2A8C">
      <w:pPr>
        <w:pStyle w:val="enumlev1"/>
        <w:tabs>
          <w:tab w:val="clear" w:pos="1191"/>
          <w:tab w:val="left" w:pos="1276"/>
        </w:tabs>
        <w:ind w:left="142" w:firstLine="0"/>
        <w:rPr>
          <w:i/>
          <w:iCs/>
          <w:lang w:val="es-ES"/>
        </w:rPr>
      </w:pPr>
      <w:r w:rsidRPr="00AC24D4">
        <w:rPr>
          <w:i/>
          <w:iCs/>
          <w:lang w:val="es-ES"/>
        </w:rPr>
        <w:tab/>
      </w:r>
      <w:r w:rsidR="00BA2084" w:rsidRPr="00AC24D4">
        <w:rPr>
          <w:i/>
          <w:iCs/>
          <w:lang w:val="es-ES"/>
        </w:rPr>
        <w:t>«2)</w:t>
      </w:r>
      <w:r w:rsidRPr="00AC24D4">
        <w:rPr>
          <w:i/>
          <w:iCs/>
          <w:lang w:val="es-ES"/>
        </w:rPr>
        <w:tab/>
      </w:r>
      <w:r w:rsidR="00BA2084" w:rsidRPr="00AC24D4">
        <w:rPr>
          <w:i/>
          <w:iCs/>
          <w:lang w:val="es-ES"/>
        </w:rPr>
        <w:t>que ponga a disposición de las administraciones información relacionada con las instalaciones de comprobación técnica de satélites; y (…)</w:t>
      </w:r>
    </w:p>
    <w:p w14:paraId="05D487B8" w14:textId="6786E9DC" w:rsidR="00BA2084" w:rsidRPr="00AC24D4" w:rsidRDefault="00AC24D4" w:rsidP="003A2A8C">
      <w:pPr>
        <w:pStyle w:val="enumlev1"/>
        <w:tabs>
          <w:tab w:val="clear" w:pos="1191"/>
          <w:tab w:val="left" w:pos="1276"/>
        </w:tabs>
        <w:ind w:left="142" w:firstLine="0"/>
        <w:rPr>
          <w:i/>
          <w:iCs/>
          <w:lang w:val="es-ES"/>
        </w:rPr>
      </w:pPr>
      <w:r w:rsidRPr="00AC24D4">
        <w:rPr>
          <w:i/>
          <w:iCs/>
          <w:lang w:val="es-ES"/>
        </w:rPr>
        <w:tab/>
      </w:r>
      <w:r w:rsidR="00BA2084" w:rsidRPr="00AC24D4">
        <w:rPr>
          <w:i/>
          <w:iCs/>
          <w:lang w:val="es-ES"/>
        </w:rPr>
        <w:t>7)</w:t>
      </w:r>
      <w:r w:rsidRPr="00AC24D4">
        <w:rPr>
          <w:i/>
          <w:iCs/>
          <w:lang w:val="es-ES"/>
        </w:rPr>
        <w:tab/>
      </w:r>
      <w:r w:rsidR="00BA2084" w:rsidRPr="00AC24D4">
        <w:rPr>
          <w:i/>
          <w:iCs/>
          <w:lang w:val="es-ES"/>
        </w:rPr>
        <w:t>que informe sobre la aplicación de la presente Resolución.»</w:t>
      </w:r>
    </w:p>
    <w:p w14:paraId="45673E84" w14:textId="77777777" w:rsidR="00BA2084" w:rsidRPr="00BA2084" w:rsidRDefault="00BA2084" w:rsidP="003A2A8C">
      <w:pPr>
        <w:ind w:left="142"/>
        <w:rPr>
          <w:lang w:val="es-ES"/>
        </w:rPr>
      </w:pPr>
      <w:r w:rsidRPr="00BA2084">
        <w:rPr>
          <w:lang w:val="es-ES"/>
        </w:rPr>
        <w:t>En este sentido me complace informar a su Administración de que la Oficina de Radiocomunicaciones ha creado una nueva página web para este propósito, que puede consultarse en la dirección:</w:t>
      </w:r>
    </w:p>
    <w:p w14:paraId="24D61FEB" w14:textId="77777777" w:rsidR="00BA2084" w:rsidRPr="00BA2084" w:rsidRDefault="00DF0180" w:rsidP="003A2A8C">
      <w:pPr>
        <w:ind w:left="142"/>
        <w:jc w:val="center"/>
        <w:rPr>
          <w:u w:val="single"/>
          <w:lang w:val="es-ES"/>
        </w:rPr>
      </w:pPr>
      <w:hyperlink r:id="rId8" w:history="1">
        <w:r w:rsidR="00BA2084" w:rsidRPr="00BA2084">
          <w:rPr>
            <w:rStyle w:val="Hyperlink"/>
            <w:lang w:val="es-ES"/>
          </w:rPr>
          <w:t>https://www.itu.int/en/ITU-R/space/Pages/ITU-Space-RadioMonitoring.aspx</w:t>
        </w:r>
      </w:hyperlink>
    </w:p>
    <w:p w14:paraId="459339FC" w14:textId="77777777" w:rsidR="00BA2084" w:rsidRPr="00BA2084" w:rsidRDefault="00BA2084" w:rsidP="003A2A8C">
      <w:pPr>
        <w:ind w:left="142"/>
        <w:rPr>
          <w:lang w:val="es-ES"/>
        </w:rPr>
      </w:pPr>
      <w:r w:rsidRPr="00BA2084">
        <w:rPr>
          <w:lang w:val="es-ES"/>
        </w:rPr>
        <w:br w:type="page"/>
      </w:r>
    </w:p>
    <w:p w14:paraId="3C245A8E" w14:textId="5F7F6341" w:rsidR="00BA2084" w:rsidRPr="00BA2084" w:rsidRDefault="00BA2084" w:rsidP="003A2A8C">
      <w:pPr>
        <w:ind w:left="142"/>
        <w:rPr>
          <w:lang w:val="es-ES"/>
        </w:rPr>
      </w:pPr>
      <w:r w:rsidRPr="00BA2084">
        <w:rPr>
          <w:lang w:val="es-ES"/>
        </w:rPr>
        <w:lastRenderedPageBreak/>
        <w:t xml:space="preserve">Invito a su Administración a visitar esta página web, en la que podrá encontrar información técnica y administrativa sobre las instalaciones de comprobación técnica espacial disponibles, incluidos los Memorandos de Entendimiento concluidos entre la UIT y las Administraciones de </w:t>
      </w:r>
      <w:proofErr w:type="spellStart"/>
      <w:r w:rsidRPr="00BA2084">
        <w:rPr>
          <w:lang w:val="es-ES"/>
        </w:rPr>
        <w:t>Belarús</w:t>
      </w:r>
      <w:proofErr w:type="spellEnd"/>
      <w:r w:rsidRPr="00BA2084">
        <w:rPr>
          <w:lang w:val="es-ES"/>
        </w:rPr>
        <w:t xml:space="preserve">, Brasil, China, Alemania, la República de Corea, la Sultanía de Omán, Pakistán y </w:t>
      </w:r>
      <w:proofErr w:type="spellStart"/>
      <w:r w:rsidRPr="00BA2084">
        <w:rPr>
          <w:lang w:val="es-ES"/>
        </w:rPr>
        <w:t>Viet</w:t>
      </w:r>
      <w:proofErr w:type="spellEnd"/>
      <w:r w:rsidR="00811822">
        <w:rPr>
          <w:lang w:val="es-ES"/>
        </w:rPr>
        <w:t> </w:t>
      </w:r>
      <w:proofErr w:type="spellStart"/>
      <w:r w:rsidRPr="00BA2084">
        <w:rPr>
          <w:lang w:val="es-ES"/>
        </w:rPr>
        <w:t>Nam</w:t>
      </w:r>
      <w:proofErr w:type="spellEnd"/>
      <w:r w:rsidRPr="00BA2084">
        <w:rPr>
          <w:lang w:val="es-ES"/>
        </w:rPr>
        <w:t>.</w:t>
      </w:r>
    </w:p>
    <w:p w14:paraId="59B2C38A" w14:textId="77777777" w:rsidR="00BA2084" w:rsidRPr="00BA2084" w:rsidRDefault="00BA2084" w:rsidP="003A2A8C">
      <w:pPr>
        <w:ind w:left="142"/>
        <w:rPr>
          <w:lang w:val="es-ES"/>
        </w:rPr>
      </w:pPr>
      <w:r w:rsidRPr="00BA2084">
        <w:rPr>
          <w:lang w:val="es-ES"/>
        </w:rPr>
        <w:t>Podrá encontrar también un enlace a la base de datos relacionada con la Lista VIII – Nomenclátor de las estaciones de comprobación técnica internacional de las emisiones, así como otras Recomendaciones UIT-R pertinentes a la comprobación técnica de satélites y la denuncia de interferencias.</w:t>
      </w:r>
    </w:p>
    <w:p w14:paraId="3A0469B0" w14:textId="77777777" w:rsidR="00BA2084" w:rsidRPr="00BA2084" w:rsidRDefault="00BA2084" w:rsidP="003A2A8C">
      <w:pPr>
        <w:ind w:left="142"/>
        <w:rPr>
          <w:lang w:val="es-ES"/>
        </w:rPr>
      </w:pPr>
      <w:r w:rsidRPr="00BA2084">
        <w:rPr>
          <w:lang w:val="es-ES"/>
        </w:rPr>
        <w:t>Esta página web se actualizará constantemente a medida que se disponga de más información sobre el tema.</w:t>
      </w:r>
    </w:p>
    <w:p w14:paraId="565755A2" w14:textId="34372304" w:rsidR="00BA2084" w:rsidRPr="00BA2084" w:rsidRDefault="00BA2084" w:rsidP="003A2A8C">
      <w:pPr>
        <w:ind w:left="142"/>
        <w:rPr>
          <w:lang w:val="es-ES"/>
        </w:rPr>
      </w:pPr>
      <w:r w:rsidRPr="00BA2084">
        <w:rPr>
          <w:lang w:val="es-ES"/>
        </w:rPr>
        <w:t xml:space="preserve">En este contexto, y recordando el número 16.1 del Reglamento de Radiocomunicaciones, las </w:t>
      </w:r>
      <w:r w:rsidR="00811822">
        <w:rPr>
          <w:lang w:val="es-ES"/>
        </w:rPr>
        <w:t>a</w:t>
      </w:r>
      <w:r w:rsidRPr="00BA2084">
        <w:rPr>
          <w:lang w:val="es-ES"/>
        </w:rPr>
        <w:t>dministraciones con instalaciones de comprobación técnica de las radiocomunicaciones espaciales quedan invitadas a comunicar a la Oficina toda modificación de sus características y a sumarse al grupo de países que han concluido con la UIT Memorandos de Entendimiento sobre el particular.</w:t>
      </w:r>
    </w:p>
    <w:p w14:paraId="6F7D19BD" w14:textId="191332FA" w:rsidR="00BA2084" w:rsidRPr="00BA2084" w:rsidRDefault="00BA2084" w:rsidP="003A2A8C">
      <w:pPr>
        <w:ind w:left="142"/>
        <w:rPr>
          <w:lang w:val="es-ES"/>
        </w:rPr>
      </w:pPr>
      <w:r w:rsidRPr="00BA2084">
        <w:rPr>
          <w:lang w:val="es-ES"/>
        </w:rPr>
        <w:t xml:space="preserve">Si desea más información sobre la comprobación técnica de las radiocomunicaciones espaciales, diríjase al Sr. Jorge Ciccorossi (correo-e: </w:t>
      </w:r>
      <w:hyperlink r:id="rId9" w:history="1">
        <w:r w:rsidRPr="00BA2084">
          <w:rPr>
            <w:rStyle w:val="Hyperlink"/>
            <w:lang w:val="es-ES"/>
          </w:rPr>
          <w:t>jorge.ciccorossi@itu.int</w:t>
        </w:r>
      </w:hyperlink>
      <w:r w:rsidRPr="00BA2084">
        <w:rPr>
          <w:lang w:val="es-ES"/>
        </w:rPr>
        <w:t>).</w:t>
      </w:r>
    </w:p>
    <w:p w14:paraId="0CC75DB1" w14:textId="0D538F79" w:rsidR="00D239B4" w:rsidRDefault="001B3D4D" w:rsidP="00B5478B">
      <w:pPr>
        <w:spacing w:before="1200"/>
        <w:ind w:left="142"/>
        <w:jc w:val="left"/>
        <w:rPr>
          <w:szCs w:val="24"/>
          <w:lang w:val="es-ES"/>
        </w:rPr>
      </w:pPr>
      <w:r w:rsidRPr="008163ED">
        <w:rPr>
          <w:lang w:val="fr-FR"/>
        </w:rPr>
        <w:t>Mario Maniewicz</w:t>
      </w:r>
      <w:r w:rsidR="00E53DCE" w:rsidRPr="0033029C">
        <w:rPr>
          <w:szCs w:val="24"/>
          <w:lang w:val="es-ES"/>
        </w:rPr>
        <w:br/>
      </w:r>
      <w:r w:rsidR="00A96D3A" w:rsidRPr="0033029C">
        <w:rPr>
          <w:szCs w:val="24"/>
          <w:lang w:val="es-ES"/>
        </w:rPr>
        <w:t>Director</w:t>
      </w:r>
    </w:p>
    <w:p w14:paraId="62A9CA26" w14:textId="77777777" w:rsidR="00BA2084" w:rsidRPr="00BA2084" w:rsidRDefault="00BA2084" w:rsidP="003A2A8C">
      <w:pPr>
        <w:spacing w:before="6000" w:after="120" w:line="240" w:lineRule="auto"/>
        <w:ind w:left="142"/>
        <w:rPr>
          <w:b/>
          <w:bCs/>
          <w:sz w:val="18"/>
          <w:szCs w:val="18"/>
          <w:lang w:val="es-ES"/>
        </w:rPr>
      </w:pPr>
      <w:r w:rsidRPr="00BA2084">
        <w:rPr>
          <w:b/>
          <w:bCs/>
          <w:sz w:val="18"/>
          <w:szCs w:val="18"/>
          <w:u w:val="single"/>
          <w:lang w:val="es-ES"/>
        </w:rPr>
        <w:t>Distribución</w:t>
      </w:r>
      <w:r w:rsidRPr="00BA2084">
        <w:rPr>
          <w:b/>
          <w:bCs/>
          <w:sz w:val="18"/>
          <w:szCs w:val="18"/>
          <w:lang w:val="es-ES"/>
        </w:rPr>
        <w:t>:</w:t>
      </w:r>
    </w:p>
    <w:p w14:paraId="26BCF3F1" w14:textId="2CB48180" w:rsidR="00BA2084" w:rsidRPr="00BA2084" w:rsidRDefault="00BA2084" w:rsidP="003A2A8C">
      <w:pPr>
        <w:tabs>
          <w:tab w:val="clear" w:pos="794"/>
          <w:tab w:val="left" w:pos="284"/>
        </w:tabs>
        <w:spacing w:before="0" w:line="240" w:lineRule="auto"/>
        <w:ind w:left="142"/>
        <w:rPr>
          <w:sz w:val="18"/>
          <w:szCs w:val="18"/>
          <w:lang w:val="es-ES"/>
        </w:rPr>
      </w:pPr>
      <w:r w:rsidRPr="00BA2084">
        <w:rPr>
          <w:sz w:val="18"/>
          <w:szCs w:val="18"/>
          <w:lang w:val="es-ES"/>
        </w:rPr>
        <w:t>–</w:t>
      </w:r>
      <w:r w:rsidRPr="00BA2084">
        <w:rPr>
          <w:sz w:val="18"/>
          <w:szCs w:val="18"/>
          <w:lang w:val="es-ES"/>
        </w:rPr>
        <w:tab/>
        <w:t>Administraciones de los Estados Miembros de la UIT</w:t>
      </w:r>
    </w:p>
    <w:p w14:paraId="39E719C0" w14:textId="51C0B957" w:rsidR="00BA2084" w:rsidRPr="00BA2084" w:rsidRDefault="00BA2084" w:rsidP="003A2A8C">
      <w:pPr>
        <w:tabs>
          <w:tab w:val="clear" w:pos="794"/>
          <w:tab w:val="left" w:pos="284"/>
        </w:tabs>
        <w:spacing w:before="0" w:line="240" w:lineRule="auto"/>
        <w:ind w:left="142"/>
        <w:rPr>
          <w:sz w:val="18"/>
          <w:szCs w:val="18"/>
          <w:lang w:val="es-ES"/>
        </w:rPr>
      </w:pPr>
      <w:r w:rsidRPr="00BA2084">
        <w:rPr>
          <w:sz w:val="18"/>
          <w:szCs w:val="18"/>
          <w:lang w:val="es-ES"/>
        </w:rPr>
        <w:t>–</w:t>
      </w:r>
      <w:r w:rsidRPr="00BA2084">
        <w:rPr>
          <w:sz w:val="18"/>
          <w:szCs w:val="18"/>
          <w:lang w:val="es-ES"/>
        </w:rPr>
        <w:tab/>
        <w:t>Miembros de la Junta del Reglamento de Radiocomunicaciones</w:t>
      </w:r>
    </w:p>
    <w:p w14:paraId="59B3D2C6" w14:textId="46F8BF7F" w:rsidR="00BA2084" w:rsidRPr="00BA2084" w:rsidRDefault="00BA2084" w:rsidP="003A2A8C">
      <w:pPr>
        <w:tabs>
          <w:tab w:val="clear" w:pos="794"/>
          <w:tab w:val="left" w:pos="284"/>
        </w:tabs>
        <w:spacing w:before="0" w:line="240" w:lineRule="auto"/>
        <w:ind w:left="142"/>
        <w:rPr>
          <w:sz w:val="18"/>
          <w:szCs w:val="18"/>
          <w:lang w:val="es-ES"/>
        </w:rPr>
      </w:pPr>
      <w:r w:rsidRPr="00BA2084">
        <w:rPr>
          <w:sz w:val="18"/>
          <w:szCs w:val="18"/>
          <w:lang w:val="es-ES"/>
        </w:rPr>
        <w:t>–</w:t>
      </w:r>
      <w:r w:rsidRPr="00BA2084">
        <w:rPr>
          <w:sz w:val="18"/>
          <w:szCs w:val="18"/>
          <w:lang w:val="es-ES"/>
        </w:rPr>
        <w:tab/>
      </w:r>
      <w:r w:rsidR="008163ED" w:rsidRPr="00BA2084">
        <w:rPr>
          <w:sz w:val="18"/>
          <w:szCs w:val="18"/>
          <w:lang w:val="es-ES"/>
        </w:rPr>
        <w:t>secretaria general</w:t>
      </w:r>
      <w:r w:rsidRPr="00BA2084">
        <w:rPr>
          <w:sz w:val="18"/>
          <w:szCs w:val="18"/>
          <w:lang w:val="es-ES"/>
        </w:rPr>
        <w:t xml:space="preserve">, Vicesecretario General y </w:t>
      </w:r>
      <w:proofErr w:type="gramStart"/>
      <w:r w:rsidRPr="00BA2084">
        <w:rPr>
          <w:sz w:val="18"/>
          <w:szCs w:val="18"/>
          <w:lang w:val="es-ES"/>
        </w:rPr>
        <w:t>Directores</w:t>
      </w:r>
      <w:proofErr w:type="gramEnd"/>
      <w:r w:rsidRPr="00BA2084">
        <w:rPr>
          <w:sz w:val="18"/>
          <w:szCs w:val="18"/>
          <w:lang w:val="es-ES"/>
        </w:rPr>
        <w:t xml:space="preserve"> de las Oficinas de la UIT</w:t>
      </w:r>
    </w:p>
    <w:sectPr w:rsidR="00BA2084" w:rsidRPr="00BA2084" w:rsidSect="003A2A8C">
      <w:headerReference w:type="even" r:id="rId10"/>
      <w:headerReference w:type="default" r:id="rId11"/>
      <w:headerReference w:type="first" r:id="rId12"/>
      <w:footerReference w:type="first" r:id="rId13"/>
      <w:pgSz w:w="11907" w:h="16834" w:code="9"/>
      <w:pgMar w:top="1134" w:right="1134" w:bottom="993" w:left="1276"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876E0" w14:textId="77777777" w:rsidR="00AA6F80" w:rsidRDefault="00AA6F80">
      <w:r>
        <w:separator/>
      </w:r>
    </w:p>
  </w:endnote>
  <w:endnote w:type="continuationSeparator" w:id="0">
    <w:p w14:paraId="099D8D78" w14:textId="77777777" w:rsidR="00AA6F80" w:rsidRDefault="00AA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90FE" w14:textId="77777777" w:rsidR="00137226" w:rsidRPr="00C23C75" w:rsidRDefault="00137226" w:rsidP="00137226">
    <w:pPr>
      <w:pStyle w:val="FirstFooter"/>
      <w:spacing w:line="240" w:lineRule="auto"/>
      <w:ind w:left="-397" w:right="-397"/>
      <w:jc w:val="center"/>
      <w:rPr>
        <w:color w:val="4F81BD" w:themeColor="accent1"/>
        <w:sz w:val="19"/>
        <w:szCs w:val="19"/>
        <w:lang w:val="es-ES"/>
      </w:rPr>
    </w:pPr>
    <w:r w:rsidRPr="00B83F72">
      <w:rPr>
        <w:color w:val="4F81BD" w:themeColor="accent1"/>
        <w:sz w:val="19"/>
        <w:szCs w:val="19"/>
        <w:lang w:val="es-ES"/>
      </w:rPr>
      <w:t>Unión Internacional de Telecomunicaciones • Place des Nations</w:t>
    </w:r>
    <w:r>
      <w:rPr>
        <w:color w:val="4F81BD" w:themeColor="accent1"/>
        <w:sz w:val="19"/>
        <w:szCs w:val="19"/>
        <w:lang w:val="es-ES"/>
      </w:rPr>
      <w:t>,</w:t>
    </w:r>
    <w:r w:rsidRPr="00B83F72">
      <w:rPr>
        <w:color w:val="4F81BD" w:themeColor="accent1"/>
        <w:sz w:val="19"/>
        <w:szCs w:val="19"/>
        <w:lang w:val="es-ES"/>
      </w:rPr>
      <w:t xml:space="preserve"> CH</w:t>
    </w:r>
    <w:r>
      <w:rPr>
        <w:color w:val="4F81BD" w:themeColor="accent1"/>
        <w:sz w:val="19"/>
        <w:szCs w:val="19"/>
        <w:lang w:val="es-ES"/>
      </w:rPr>
      <w:t>-</w:t>
    </w:r>
    <w:r w:rsidRPr="00B83F72">
      <w:rPr>
        <w:color w:val="4F81BD" w:themeColor="accent1"/>
        <w:sz w:val="19"/>
        <w:szCs w:val="19"/>
        <w:lang w:val="es-ES"/>
      </w:rPr>
      <w:t>1211 Ginebra 20</w:t>
    </w:r>
    <w:r>
      <w:rPr>
        <w:color w:val="4F81BD" w:themeColor="accent1"/>
        <w:sz w:val="19"/>
        <w:szCs w:val="19"/>
        <w:lang w:val="es-ES"/>
      </w:rPr>
      <w:t>,</w:t>
    </w:r>
    <w:r w:rsidRPr="00B83F72">
      <w:rPr>
        <w:color w:val="4F81BD" w:themeColor="accent1"/>
        <w:sz w:val="19"/>
        <w:szCs w:val="19"/>
        <w:lang w:val="es-ES"/>
      </w:rPr>
      <w:t xml:space="preserve"> Suiza</w:t>
    </w:r>
    <w:r w:rsidRPr="00B83F72">
      <w:rPr>
        <w:color w:val="4F81BD" w:themeColor="accent1"/>
        <w:sz w:val="19"/>
        <w:szCs w:val="19"/>
        <w:lang w:val="es-ES"/>
      </w:rPr>
      <w:br/>
      <w:t>Tel</w:t>
    </w:r>
    <w:r>
      <w:rPr>
        <w:color w:val="4F81BD" w:themeColor="accent1"/>
        <w:sz w:val="19"/>
        <w:szCs w:val="19"/>
        <w:lang w:val="es-ES"/>
      </w:rPr>
      <w:t>.</w:t>
    </w:r>
    <w:r w:rsidRPr="00B83F72">
      <w:rPr>
        <w:color w:val="4F81BD" w:themeColor="accent1"/>
        <w:sz w:val="19"/>
        <w:szCs w:val="19"/>
        <w:lang w:val="es-ES"/>
      </w:rPr>
      <w:t xml:space="preserve">: +41 22 730 5111 • Correo-e: </w:t>
    </w:r>
    <w:hyperlink r:id="rId1" w:history="1">
      <w:r w:rsidRPr="00B83F72">
        <w:rPr>
          <w:rStyle w:val="Hyperlink"/>
          <w:sz w:val="19"/>
          <w:szCs w:val="19"/>
          <w:lang w:val="es-ES"/>
        </w:rPr>
        <w:t>itumail@itu.int</w:t>
      </w:r>
    </w:hyperlink>
    <w:r w:rsidRPr="00B83F72">
      <w:rPr>
        <w:color w:val="4F81BD" w:themeColor="accent1"/>
        <w:sz w:val="19"/>
        <w:szCs w:val="19"/>
        <w:lang w:val="es-ES"/>
      </w:rPr>
      <w:t xml:space="preserve"> </w:t>
    </w:r>
    <w:r w:rsidRPr="00B83F72">
      <w:rPr>
        <w:color w:val="4F81BD"/>
        <w:sz w:val="19"/>
        <w:szCs w:val="19"/>
        <w:lang w:val="es-ES"/>
      </w:rPr>
      <w:t xml:space="preserve">• Fax: +41 22 733 7256 • </w:t>
    </w:r>
    <w:r w:rsidR="00B5478B">
      <w:fldChar w:fldCharType="begin"/>
    </w:r>
    <w:r w:rsidR="00B5478B" w:rsidRPr="00B5478B">
      <w:rPr>
        <w:lang w:val="fr-FR"/>
      </w:rPr>
      <w:instrText>HYPERLINK "http://www.itu.int"</w:instrText>
    </w:r>
    <w:r w:rsidR="00B5478B">
      <w:fldChar w:fldCharType="separate"/>
    </w:r>
    <w:r w:rsidRPr="00B83F72">
      <w:rPr>
        <w:rStyle w:val="Hyperlink"/>
        <w:sz w:val="19"/>
        <w:szCs w:val="19"/>
        <w:lang w:val="es-ES"/>
      </w:rPr>
      <w:t>www.itu.int</w:t>
    </w:r>
    <w:r w:rsidR="00B5478B">
      <w:rPr>
        <w:rStyle w:val="Hyperlink"/>
        <w:sz w:val="19"/>
        <w:szCs w:val="19"/>
        <w:lang w:val="es-ES"/>
      </w:rPr>
      <w:fldChar w:fldCharType="end"/>
    </w:r>
    <w:r w:rsidRPr="00B83F72">
      <w:rPr>
        <w:color w:val="4F81BD" w:themeColor="accent1"/>
        <w:sz w:val="19"/>
        <w:szCs w:val="19"/>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1F61D" w14:textId="77777777" w:rsidR="00AA6F80" w:rsidRDefault="00AA6F80">
      <w:r>
        <w:t>____________________</w:t>
      </w:r>
    </w:p>
  </w:footnote>
  <w:footnote w:type="continuationSeparator" w:id="0">
    <w:p w14:paraId="76D2BE98" w14:textId="77777777" w:rsidR="00AA6F80" w:rsidRDefault="00AA6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8F1E" w14:textId="01A9EA4E" w:rsidR="00E915AF" w:rsidRPr="00D239B4" w:rsidRDefault="00D97EF5" w:rsidP="00BA2084">
    <w:pPr>
      <w:pStyle w:val="Header"/>
      <w:jc w:val="center"/>
      <w:rPr>
        <w:sz w:val="18"/>
        <w:szCs w:val="16"/>
      </w:rPr>
    </w:pPr>
    <w:r>
      <w:rPr>
        <w:sz w:val="18"/>
        <w:szCs w:val="16"/>
      </w:rPr>
      <w:t xml:space="preserve">- </w:t>
    </w:r>
    <w:r w:rsidR="001B42C9" w:rsidRPr="00D239B4">
      <w:rPr>
        <w:rStyle w:val="PageNumber"/>
        <w:sz w:val="18"/>
        <w:szCs w:val="16"/>
      </w:rPr>
      <w:fldChar w:fldCharType="begin"/>
    </w:r>
    <w:r w:rsidR="00E915AF" w:rsidRPr="00D239B4">
      <w:rPr>
        <w:rStyle w:val="PageNumber"/>
        <w:sz w:val="18"/>
        <w:szCs w:val="16"/>
      </w:rPr>
      <w:instrText xml:space="preserve"> PAGE </w:instrText>
    </w:r>
    <w:r w:rsidR="001B42C9" w:rsidRPr="00D239B4">
      <w:rPr>
        <w:rStyle w:val="PageNumber"/>
        <w:sz w:val="18"/>
        <w:szCs w:val="16"/>
      </w:rPr>
      <w:fldChar w:fldCharType="separate"/>
    </w:r>
    <w:r w:rsidR="00535FEF">
      <w:rPr>
        <w:rStyle w:val="PageNumber"/>
        <w:noProof/>
        <w:sz w:val="18"/>
        <w:szCs w:val="16"/>
      </w:rPr>
      <w:t>2</w:t>
    </w:r>
    <w:r w:rsidR="001B42C9" w:rsidRPr="00D239B4">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3172" w14:textId="77777777" w:rsidR="00E915AF" w:rsidRPr="00AF3325" w:rsidRDefault="00E915AF">
    <w:pPr>
      <w:pStyle w:val="Header"/>
    </w:pPr>
    <w:r>
      <w:tab/>
    </w:r>
    <w:r>
      <w:tab/>
    </w:r>
    <w:r w:rsidR="001B42C9" w:rsidRPr="00AF3325">
      <w:rPr>
        <w:i/>
      </w:rPr>
      <w:fldChar w:fldCharType="begin"/>
    </w:r>
    <w:r w:rsidRPr="00AF3325">
      <w:rPr>
        <w:i/>
      </w:rPr>
      <w:instrText xml:space="preserve"> PAGE  \* MERGEFORMAT </w:instrText>
    </w:r>
    <w:r w:rsidR="001B42C9" w:rsidRPr="00AF3325">
      <w:rPr>
        <w:i/>
      </w:rPr>
      <w:fldChar w:fldCharType="separate"/>
    </w:r>
    <w:r w:rsidR="00EE03A0">
      <w:rPr>
        <w:i/>
        <w:noProof/>
      </w:rPr>
      <w:t>3</w:t>
    </w:r>
    <w:r w:rsidR="001B42C9" w:rsidRPr="00AF3325">
      <w:rPr>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5074"/>
    </w:tblGrid>
    <w:tr w:rsidR="00C07D41" w14:paraId="11FCBC14" w14:textId="77777777" w:rsidTr="00AC24D4">
      <w:trPr>
        <w:jc w:val="center"/>
      </w:trPr>
      <w:tc>
        <w:tcPr>
          <w:tcW w:w="4814" w:type="dxa"/>
          <w:hideMark/>
        </w:tcPr>
        <w:p w14:paraId="4A033257" w14:textId="0340C8B1" w:rsidR="00C07D41" w:rsidRDefault="00C07D41" w:rsidP="00C07D41">
          <w:pPr>
            <w:pStyle w:val="Header"/>
            <w:spacing w:line="360" w:lineRule="auto"/>
          </w:pPr>
          <w:r>
            <w:rPr>
              <w:noProof/>
              <w:lang w:val="en-GB" w:eastAsia="en-GB"/>
            </w:rPr>
            <w:drawing>
              <wp:inline distT="0" distB="0" distL="0" distR="0" wp14:anchorId="7200B126" wp14:editId="4004626D">
                <wp:extent cx="762000" cy="7620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5104" w:type="dxa"/>
          <w:hideMark/>
        </w:tcPr>
        <w:p w14:paraId="77AF0FC4" w14:textId="79CE6A14" w:rsidR="00C07D41" w:rsidRDefault="00C07D41" w:rsidP="00C07D41">
          <w:pPr>
            <w:pStyle w:val="Header"/>
            <w:spacing w:line="360" w:lineRule="auto"/>
            <w:jc w:val="right"/>
          </w:pPr>
          <w:r>
            <w:rPr>
              <w:noProof/>
            </w:rPr>
            <w:drawing>
              <wp:inline distT="0" distB="0" distL="0" distR="0" wp14:anchorId="7EC86930" wp14:editId="6978543D">
                <wp:extent cx="2938780" cy="723186"/>
                <wp:effectExtent l="0" t="0" r="0" b="127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5663_WRC-23_logo_S-02.png"/>
                        <pic:cNvPicPr/>
                      </pic:nvPicPr>
                      <pic:blipFill>
                        <a:blip r:embed="rId2"/>
                        <a:stretch>
                          <a:fillRect/>
                        </a:stretch>
                      </pic:blipFill>
                      <pic:spPr>
                        <a:xfrm>
                          <a:off x="0" y="0"/>
                          <a:ext cx="3005593" cy="739628"/>
                        </a:xfrm>
                        <a:prstGeom prst="rect">
                          <a:avLst/>
                        </a:prstGeom>
                      </pic:spPr>
                    </pic:pic>
                  </a:graphicData>
                </a:graphic>
              </wp:inline>
            </w:drawing>
          </w:r>
        </w:p>
      </w:tc>
    </w:tr>
  </w:tbl>
  <w:p w14:paraId="729CA284"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5AC3ECA"/>
    <w:multiLevelType w:val="hybridMultilevel"/>
    <w:tmpl w:val="782489BE"/>
    <w:lvl w:ilvl="0" w:tplc="51D8349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6245782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8527803">
    <w:abstractNumId w:val="6"/>
  </w:num>
  <w:num w:numId="3" w16cid:durableId="609162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AA6F80"/>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4404"/>
    <w:rsid w:val="00137226"/>
    <w:rsid w:val="00144DFB"/>
    <w:rsid w:val="00187CA3"/>
    <w:rsid w:val="00195EB7"/>
    <w:rsid w:val="00196710"/>
    <w:rsid w:val="00196770"/>
    <w:rsid w:val="00197324"/>
    <w:rsid w:val="001B351B"/>
    <w:rsid w:val="001B3D4D"/>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7BE7"/>
    <w:rsid w:val="00266E74"/>
    <w:rsid w:val="002758D5"/>
    <w:rsid w:val="00283C3B"/>
    <w:rsid w:val="002861E6"/>
    <w:rsid w:val="00287D18"/>
    <w:rsid w:val="002A2618"/>
    <w:rsid w:val="002A5DD7"/>
    <w:rsid w:val="002B0CAC"/>
    <w:rsid w:val="002D5A15"/>
    <w:rsid w:val="002D5BDD"/>
    <w:rsid w:val="002E3D27"/>
    <w:rsid w:val="002F0890"/>
    <w:rsid w:val="002F2531"/>
    <w:rsid w:val="002F4967"/>
    <w:rsid w:val="00306452"/>
    <w:rsid w:val="00311970"/>
    <w:rsid w:val="00316935"/>
    <w:rsid w:val="003266ED"/>
    <w:rsid w:val="00326C68"/>
    <w:rsid w:val="0033029C"/>
    <w:rsid w:val="003370B8"/>
    <w:rsid w:val="00345D38"/>
    <w:rsid w:val="00352097"/>
    <w:rsid w:val="003666FF"/>
    <w:rsid w:val="0037309C"/>
    <w:rsid w:val="00380A6E"/>
    <w:rsid w:val="003836D4"/>
    <w:rsid w:val="003974CD"/>
    <w:rsid w:val="003A1F49"/>
    <w:rsid w:val="003A2A8C"/>
    <w:rsid w:val="003A55ED"/>
    <w:rsid w:val="003A5D52"/>
    <w:rsid w:val="003B2BDA"/>
    <w:rsid w:val="003B55EC"/>
    <w:rsid w:val="003C2EA7"/>
    <w:rsid w:val="003C4471"/>
    <w:rsid w:val="003C7D41"/>
    <w:rsid w:val="003D4A69"/>
    <w:rsid w:val="003E504F"/>
    <w:rsid w:val="003E78D6"/>
    <w:rsid w:val="003F0E9F"/>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35FEF"/>
    <w:rsid w:val="005370F0"/>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94515"/>
    <w:rsid w:val="006A518B"/>
    <w:rsid w:val="006B0590"/>
    <w:rsid w:val="006B49DA"/>
    <w:rsid w:val="006C53F8"/>
    <w:rsid w:val="006C7CDE"/>
    <w:rsid w:val="007234B1"/>
    <w:rsid w:val="00723D08"/>
    <w:rsid w:val="00725FDA"/>
    <w:rsid w:val="00727816"/>
    <w:rsid w:val="00730B9A"/>
    <w:rsid w:val="00750CFA"/>
    <w:rsid w:val="007553DA"/>
    <w:rsid w:val="00775DB8"/>
    <w:rsid w:val="00782354"/>
    <w:rsid w:val="007921A7"/>
    <w:rsid w:val="007B3DB1"/>
    <w:rsid w:val="007D183E"/>
    <w:rsid w:val="007D43D0"/>
    <w:rsid w:val="007E1833"/>
    <w:rsid w:val="007E3F13"/>
    <w:rsid w:val="007F751A"/>
    <w:rsid w:val="00800012"/>
    <w:rsid w:val="0080261F"/>
    <w:rsid w:val="00805A02"/>
    <w:rsid w:val="00806160"/>
    <w:rsid w:val="00811822"/>
    <w:rsid w:val="008143A4"/>
    <w:rsid w:val="0081513E"/>
    <w:rsid w:val="008163ED"/>
    <w:rsid w:val="00854131"/>
    <w:rsid w:val="0085652D"/>
    <w:rsid w:val="00871500"/>
    <w:rsid w:val="0087694B"/>
    <w:rsid w:val="00880F4D"/>
    <w:rsid w:val="008B35A3"/>
    <w:rsid w:val="008B37E1"/>
    <w:rsid w:val="008B45F8"/>
    <w:rsid w:val="008C2E74"/>
    <w:rsid w:val="008D5409"/>
    <w:rsid w:val="008D6955"/>
    <w:rsid w:val="008E006D"/>
    <w:rsid w:val="008E38B4"/>
    <w:rsid w:val="008F4F21"/>
    <w:rsid w:val="00904D4A"/>
    <w:rsid w:val="009076D7"/>
    <w:rsid w:val="00912DAB"/>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20FBC"/>
    <w:rsid w:val="00A31370"/>
    <w:rsid w:val="00A34D6F"/>
    <w:rsid w:val="00A41F91"/>
    <w:rsid w:val="00A63355"/>
    <w:rsid w:val="00A7596D"/>
    <w:rsid w:val="00A80EFE"/>
    <w:rsid w:val="00A963DF"/>
    <w:rsid w:val="00A96D3A"/>
    <w:rsid w:val="00AA6F80"/>
    <w:rsid w:val="00AC0C22"/>
    <w:rsid w:val="00AC24D4"/>
    <w:rsid w:val="00AC3896"/>
    <w:rsid w:val="00AD2CF2"/>
    <w:rsid w:val="00AE2D88"/>
    <w:rsid w:val="00AE6F6F"/>
    <w:rsid w:val="00AF3325"/>
    <w:rsid w:val="00AF34D9"/>
    <w:rsid w:val="00AF5B37"/>
    <w:rsid w:val="00AF70DA"/>
    <w:rsid w:val="00B019D3"/>
    <w:rsid w:val="00B34CF9"/>
    <w:rsid w:val="00B37559"/>
    <w:rsid w:val="00B4054B"/>
    <w:rsid w:val="00B5478B"/>
    <w:rsid w:val="00B579B0"/>
    <w:rsid w:val="00B57D11"/>
    <w:rsid w:val="00B649D7"/>
    <w:rsid w:val="00B81C2F"/>
    <w:rsid w:val="00B90743"/>
    <w:rsid w:val="00B90C45"/>
    <w:rsid w:val="00B933BE"/>
    <w:rsid w:val="00BA2084"/>
    <w:rsid w:val="00BD6738"/>
    <w:rsid w:val="00BD7E5E"/>
    <w:rsid w:val="00BE63DB"/>
    <w:rsid w:val="00BE6574"/>
    <w:rsid w:val="00C07319"/>
    <w:rsid w:val="00C07D41"/>
    <w:rsid w:val="00C16858"/>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39B4"/>
    <w:rsid w:val="00D24EB5"/>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4037"/>
    <w:rsid w:val="00DE66A5"/>
    <w:rsid w:val="00DF0180"/>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D4AB7"/>
    <w:rsid w:val="00EE03A0"/>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FD9F4"/>
  <w15:docId w15:val="{B87CE72B-203A-4005-A13A-DA230802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styleId="UnresolvedMention">
    <w:name w:val="Unresolved Mention"/>
    <w:basedOn w:val="DefaultParagraphFont"/>
    <w:uiPriority w:val="99"/>
    <w:semiHidden/>
    <w:unhideWhenUsed/>
    <w:rsid w:val="00BA2084"/>
    <w:rPr>
      <w:color w:val="605E5C"/>
      <w:shd w:val="clear" w:color="auto" w:fill="E1DFDD"/>
    </w:rPr>
  </w:style>
  <w:style w:type="character" w:styleId="FollowedHyperlink">
    <w:name w:val="FollowedHyperlink"/>
    <w:basedOn w:val="DefaultParagraphFont"/>
    <w:semiHidden/>
    <w:unhideWhenUsed/>
    <w:rsid w:val="00AC24D4"/>
    <w:rPr>
      <w:color w:val="800080" w:themeColor="followedHyperlink"/>
      <w:u w:val="single"/>
    </w:rPr>
  </w:style>
  <w:style w:type="paragraph" w:styleId="Revision">
    <w:name w:val="Revision"/>
    <w:hidden/>
    <w:uiPriority w:val="99"/>
    <w:semiHidden/>
    <w:rsid w:val="00811822"/>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144489">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ITU-R/space/Pages/ITU-Space-RadioMonitoring.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rge.ciccorossi@itu.i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760CA-1C68-4640-902D-DE25967CB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539</Words>
  <Characters>3404</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3936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9</cp:revision>
  <cp:lastPrinted>2023-01-25T04:13:00Z</cp:lastPrinted>
  <dcterms:created xsi:type="dcterms:W3CDTF">2023-01-24T05:11:00Z</dcterms:created>
  <dcterms:modified xsi:type="dcterms:W3CDTF">2023-01-25T14:14:00Z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