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C460C5" w14:paraId="22963F11" w14:textId="77777777" w:rsidTr="006A1921">
        <w:trPr>
          <w:jc w:val="center"/>
        </w:trPr>
        <w:tc>
          <w:tcPr>
            <w:tcW w:w="9889" w:type="dxa"/>
            <w:gridSpan w:val="3"/>
            <w:shd w:val="clear" w:color="auto" w:fill="auto"/>
          </w:tcPr>
          <w:p w14:paraId="31487D8C" w14:textId="77777777" w:rsidR="00EA15B3" w:rsidRPr="00C460C5" w:rsidRDefault="008E38B4" w:rsidP="00117282">
            <w:pPr>
              <w:spacing w:before="0"/>
              <w:jc w:val="left"/>
              <w:rPr>
                <w:rFonts w:cstheme="minorHAnsi"/>
                <w:b/>
                <w:bCs/>
                <w:color w:val="808080"/>
                <w:sz w:val="28"/>
                <w:szCs w:val="28"/>
                <w:lang w:val="en-GB"/>
              </w:rPr>
            </w:pPr>
            <w:r w:rsidRPr="00C460C5">
              <w:rPr>
                <w:rFonts w:cstheme="minorHAnsi"/>
                <w:b/>
                <w:bCs/>
                <w:color w:val="808080"/>
                <w:sz w:val="28"/>
                <w:szCs w:val="28"/>
                <w:lang w:val="en-GB"/>
              </w:rPr>
              <w:t xml:space="preserve">Radiocommunication </w:t>
            </w:r>
            <w:r w:rsidR="00AF70DA" w:rsidRPr="00C460C5">
              <w:rPr>
                <w:rFonts w:cstheme="minorHAnsi"/>
                <w:b/>
                <w:bCs/>
                <w:color w:val="808080"/>
                <w:sz w:val="28"/>
                <w:szCs w:val="28"/>
                <w:lang w:val="en-GB"/>
              </w:rPr>
              <w:t>Bureau (BR)</w:t>
            </w:r>
          </w:p>
          <w:p w14:paraId="72E3A74E" w14:textId="77777777" w:rsidR="008E38B4" w:rsidRPr="00C460C5" w:rsidRDefault="008E38B4" w:rsidP="00117282">
            <w:pPr>
              <w:spacing w:before="0"/>
              <w:jc w:val="left"/>
              <w:rPr>
                <w:rFonts w:cs="Times New Roman Bold"/>
                <w:b/>
                <w:bCs/>
                <w:color w:val="808080"/>
                <w:sz w:val="28"/>
                <w:szCs w:val="28"/>
                <w:lang w:val="en-GB"/>
              </w:rPr>
            </w:pPr>
          </w:p>
        </w:tc>
      </w:tr>
      <w:tr w:rsidR="00651777" w:rsidRPr="00C460C5" w14:paraId="2EBBF017" w14:textId="77777777" w:rsidTr="006A1921">
        <w:trPr>
          <w:jc w:val="center"/>
        </w:trPr>
        <w:tc>
          <w:tcPr>
            <w:tcW w:w="7054" w:type="dxa"/>
            <w:gridSpan w:val="2"/>
            <w:shd w:val="clear" w:color="auto" w:fill="auto"/>
          </w:tcPr>
          <w:p w14:paraId="78FE4005" w14:textId="39B91559" w:rsidR="00A52F57" w:rsidRPr="00C460C5" w:rsidRDefault="009E50C2" w:rsidP="009E50C2">
            <w:pPr>
              <w:spacing w:before="0"/>
              <w:jc w:val="left"/>
              <w:rPr>
                <w:sz w:val="28"/>
                <w:szCs w:val="28"/>
                <w:lang w:val="en-GB"/>
              </w:rPr>
            </w:pPr>
            <w:r w:rsidRPr="00C460C5">
              <w:rPr>
                <w:szCs w:val="24"/>
                <w:lang w:val="en-GB"/>
              </w:rPr>
              <w:t xml:space="preserve">Circular </w:t>
            </w:r>
            <w:r w:rsidR="00C106CD" w:rsidRPr="00C460C5">
              <w:rPr>
                <w:szCs w:val="24"/>
                <w:lang w:val="en-GB"/>
              </w:rPr>
              <w:t>Letter</w:t>
            </w:r>
          </w:p>
          <w:p w14:paraId="4CEAFFA5" w14:textId="044847C0" w:rsidR="00651777" w:rsidRPr="00C460C5" w:rsidRDefault="00A52F57" w:rsidP="00A52F57">
            <w:pPr>
              <w:spacing w:before="0"/>
              <w:jc w:val="left"/>
              <w:rPr>
                <w:b/>
                <w:bCs/>
                <w:szCs w:val="24"/>
                <w:lang w:val="en-GB"/>
              </w:rPr>
            </w:pPr>
            <w:r w:rsidRPr="00C460C5">
              <w:rPr>
                <w:b/>
                <w:bCs/>
                <w:szCs w:val="24"/>
                <w:lang w:val="en-GB"/>
              </w:rPr>
              <w:t>CR</w:t>
            </w:r>
            <w:r w:rsidR="00351AC1">
              <w:rPr>
                <w:b/>
                <w:bCs/>
                <w:szCs w:val="24"/>
                <w:lang w:val="en-GB"/>
              </w:rPr>
              <w:t>/</w:t>
            </w:r>
            <w:r w:rsidR="006A5FC9">
              <w:rPr>
                <w:b/>
                <w:bCs/>
                <w:szCs w:val="24"/>
                <w:lang w:val="en-GB"/>
              </w:rPr>
              <w:t>495</w:t>
            </w:r>
          </w:p>
        </w:tc>
        <w:tc>
          <w:tcPr>
            <w:tcW w:w="2835" w:type="dxa"/>
            <w:shd w:val="clear" w:color="auto" w:fill="auto"/>
          </w:tcPr>
          <w:p w14:paraId="6E5E3248" w14:textId="5FA2C903" w:rsidR="00651777" w:rsidRPr="00C460C5" w:rsidRDefault="00351AC1" w:rsidP="00034340">
            <w:pPr>
              <w:spacing w:before="0"/>
              <w:jc w:val="right"/>
              <w:rPr>
                <w:szCs w:val="24"/>
                <w:lang w:val="en-GB"/>
              </w:rPr>
            </w:pPr>
            <w:r>
              <w:rPr>
                <w:szCs w:val="24"/>
                <w:lang w:val="en-GB"/>
              </w:rPr>
              <w:t>26 January 2023</w:t>
            </w:r>
          </w:p>
        </w:tc>
      </w:tr>
      <w:tr w:rsidR="0037309C" w:rsidRPr="00C460C5" w14:paraId="59CB8115" w14:textId="77777777" w:rsidTr="006A1921">
        <w:trPr>
          <w:jc w:val="center"/>
        </w:trPr>
        <w:tc>
          <w:tcPr>
            <w:tcW w:w="9889" w:type="dxa"/>
            <w:gridSpan w:val="3"/>
            <w:shd w:val="clear" w:color="auto" w:fill="auto"/>
          </w:tcPr>
          <w:p w14:paraId="7AF6669D" w14:textId="77777777" w:rsidR="0037309C" w:rsidRPr="00C460C5" w:rsidRDefault="0037309C" w:rsidP="006047E5">
            <w:pPr>
              <w:spacing w:before="0"/>
              <w:jc w:val="left"/>
              <w:rPr>
                <w:rFonts w:cs="Arial"/>
                <w:szCs w:val="24"/>
                <w:lang w:val="en-GB"/>
              </w:rPr>
            </w:pPr>
          </w:p>
        </w:tc>
      </w:tr>
      <w:tr w:rsidR="00B4054B" w:rsidRPr="00C460C5" w14:paraId="0190633E" w14:textId="77777777" w:rsidTr="006A1921">
        <w:trPr>
          <w:jc w:val="center"/>
        </w:trPr>
        <w:tc>
          <w:tcPr>
            <w:tcW w:w="1526" w:type="dxa"/>
            <w:shd w:val="clear" w:color="auto" w:fill="auto"/>
          </w:tcPr>
          <w:p w14:paraId="349122F0" w14:textId="77777777" w:rsidR="00B4054B" w:rsidRPr="00C460C5" w:rsidRDefault="00B4054B" w:rsidP="006A0053">
            <w:pPr>
              <w:spacing w:before="0"/>
              <w:jc w:val="left"/>
              <w:rPr>
                <w:b/>
                <w:bCs/>
                <w:szCs w:val="24"/>
                <w:lang w:val="en-GB"/>
              </w:rPr>
            </w:pPr>
          </w:p>
        </w:tc>
        <w:tc>
          <w:tcPr>
            <w:tcW w:w="8363" w:type="dxa"/>
            <w:gridSpan w:val="2"/>
            <w:shd w:val="clear" w:color="auto" w:fill="auto"/>
          </w:tcPr>
          <w:p w14:paraId="3EF614FF" w14:textId="77777777" w:rsidR="00B4054B" w:rsidRPr="00C460C5" w:rsidRDefault="00B4054B" w:rsidP="006A0053">
            <w:pPr>
              <w:spacing w:before="0"/>
              <w:rPr>
                <w:b/>
                <w:bCs/>
                <w:szCs w:val="24"/>
                <w:lang w:val="en-GB"/>
              </w:rPr>
            </w:pPr>
          </w:p>
        </w:tc>
      </w:tr>
      <w:tr w:rsidR="00C51E92" w:rsidRPr="00C460C5" w14:paraId="63BA6F1F" w14:textId="77777777" w:rsidTr="006A1921">
        <w:trPr>
          <w:jc w:val="center"/>
        </w:trPr>
        <w:tc>
          <w:tcPr>
            <w:tcW w:w="9889" w:type="dxa"/>
            <w:gridSpan w:val="3"/>
            <w:shd w:val="clear" w:color="auto" w:fill="auto"/>
          </w:tcPr>
          <w:p w14:paraId="1B3BE484" w14:textId="77777777" w:rsidR="00C51E92" w:rsidRPr="00C460C5" w:rsidRDefault="00C51E92" w:rsidP="00F72DBF">
            <w:pPr>
              <w:spacing w:before="0"/>
              <w:jc w:val="left"/>
              <w:rPr>
                <w:b/>
                <w:bCs/>
                <w:szCs w:val="24"/>
                <w:lang w:val="en-GB"/>
              </w:rPr>
            </w:pPr>
          </w:p>
        </w:tc>
      </w:tr>
      <w:tr w:rsidR="00C51E92" w:rsidRPr="00C460C5" w14:paraId="50E5542D" w14:textId="77777777" w:rsidTr="006A1921">
        <w:trPr>
          <w:jc w:val="center"/>
        </w:trPr>
        <w:tc>
          <w:tcPr>
            <w:tcW w:w="9889" w:type="dxa"/>
            <w:gridSpan w:val="3"/>
            <w:shd w:val="clear" w:color="auto" w:fill="auto"/>
          </w:tcPr>
          <w:p w14:paraId="0245F56F" w14:textId="77777777" w:rsidR="00C51E92" w:rsidRPr="00C460C5" w:rsidRDefault="00C51E92" w:rsidP="00F72DBF">
            <w:pPr>
              <w:spacing w:before="0"/>
              <w:jc w:val="left"/>
              <w:rPr>
                <w:b/>
                <w:bCs/>
                <w:szCs w:val="24"/>
                <w:lang w:val="en-GB"/>
              </w:rPr>
            </w:pPr>
          </w:p>
        </w:tc>
      </w:tr>
      <w:tr w:rsidR="00351AC1" w:rsidRPr="00351AC1" w14:paraId="7439D201" w14:textId="77777777" w:rsidTr="00CB5A8F">
        <w:tblPrEx>
          <w:jc w:val="left"/>
        </w:tblPrEx>
        <w:tc>
          <w:tcPr>
            <w:tcW w:w="9889" w:type="dxa"/>
            <w:gridSpan w:val="3"/>
            <w:shd w:val="clear" w:color="auto" w:fill="auto"/>
          </w:tcPr>
          <w:tbl>
            <w:tblPr>
              <w:tblW w:w="9889" w:type="dxa"/>
              <w:jc w:val="center"/>
              <w:tblLayout w:type="fixed"/>
              <w:tblLook w:val="04A0" w:firstRow="1" w:lastRow="0" w:firstColumn="1" w:lastColumn="0" w:noHBand="0" w:noVBand="1"/>
            </w:tblPr>
            <w:tblGrid>
              <w:gridCol w:w="9889"/>
            </w:tblGrid>
            <w:tr w:rsidR="00351AC1" w:rsidRPr="00351AC1" w14:paraId="1F1BE600" w14:textId="77777777" w:rsidTr="00CB5A8F">
              <w:trPr>
                <w:jc w:val="center"/>
              </w:trPr>
              <w:tc>
                <w:tcPr>
                  <w:tcW w:w="9889" w:type="dxa"/>
                  <w:shd w:val="clear" w:color="auto" w:fill="auto"/>
                </w:tcPr>
                <w:p w14:paraId="12866456" w14:textId="77777777" w:rsidR="00351AC1" w:rsidRPr="00351AC1" w:rsidRDefault="00351AC1" w:rsidP="00351AC1">
                  <w:pPr>
                    <w:tabs>
                      <w:tab w:val="clear" w:pos="794"/>
                      <w:tab w:val="clear" w:pos="1191"/>
                      <w:tab w:val="clear" w:pos="1588"/>
                      <w:tab w:val="clear" w:pos="1985"/>
                    </w:tabs>
                    <w:spacing w:before="0"/>
                    <w:jc w:val="left"/>
                    <w:rPr>
                      <w:rFonts w:eastAsiaTheme="minorEastAsia"/>
                      <w:szCs w:val="24"/>
                    </w:rPr>
                  </w:pPr>
                  <w:r w:rsidRPr="00351AC1">
                    <w:rPr>
                      <w:rFonts w:asciiTheme="minorHAnsi" w:eastAsiaTheme="minorEastAsia" w:hAnsiTheme="minorHAnsi"/>
                      <w:b/>
                      <w:bCs/>
                      <w:szCs w:val="24"/>
                    </w:rPr>
                    <w:t xml:space="preserve">To Administrations of Member States of the ITU </w:t>
                  </w:r>
                </w:p>
                <w:p w14:paraId="48C3EB04" w14:textId="77777777" w:rsidR="00351AC1" w:rsidRPr="00351AC1" w:rsidRDefault="00351AC1" w:rsidP="00351AC1">
                  <w:pPr>
                    <w:tabs>
                      <w:tab w:val="clear" w:pos="794"/>
                      <w:tab w:val="clear" w:pos="1191"/>
                      <w:tab w:val="clear" w:pos="1588"/>
                      <w:tab w:val="clear" w:pos="1985"/>
                    </w:tabs>
                    <w:spacing w:before="0"/>
                    <w:jc w:val="left"/>
                    <w:rPr>
                      <w:rFonts w:eastAsiaTheme="minorEastAsia"/>
                      <w:b/>
                      <w:bCs/>
                      <w:szCs w:val="24"/>
                      <w:lang w:val="en-GB"/>
                    </w:rPr>
                  </w:pPr>
                </w:p>
              </w:tc>
            </w:tr>
          </w:tbl>
          <w:p w14:paraId="0C5356E9" w14:textId="77777777" w:rsidR="00351AC1" w:rsidRPr="00351AC1" w:rsidRDefault="00351AC1" w:rsidP="00351AC1">
            <w:pPr>
              <w:tabs>
                <w:tab w:val="clear" w:pos="794"/>
                <w:tab w:val="clear" w:pos="1191"/>
                <w:tab w:val="clear" w:pos="1588"/>
                <w:tab w:val="clear" w:pos="1985"/>
              </w:tabs>
              <w:spacing w:before="0"/>
              <w:jc w:val="left"/>
              <w:rPr>
                <w:rFonts w:eastAsiaTheme="minorEastAsia"/>
                <w:b/>
                <w:bCs/>
                <w:szCs w:val="24"/>
                <w:lang w:val="en-GB"/>
              </w:rPr>
            </w:pPr>
          </w:p>
        </w:tc>
      </w:tr>
      <w:tr w:rsidR="00351AC1" w:rsidRPr="00351AC1" w14:paraId="7DC46D0C" w14:textId="77777777" w:rsidTr="00CB5A8F">
        <w:tblPrEx>
          <w:jc w:val="left"/>
        </w:tblPrEx>
        <w:tc>
          <w:tcPr>
            <w:tcW w:w="9889" w:type="dxa"/>
            <w:gridSpan w:val="3"/>
            <w:shd w:val="clear" w:color="auto" w:fill="auto"/>
          </w:tcPr>
          <w:p w14:paraId="693A5464" w14:textId="77777777" w:rsidR="00351AC1" w:rsidRPr="00351AC1" w:rsidRDefault="00351AC1" w:rsidP="00351AC1">
            <w:pPr>
              <w:tabs>
                <w:tab w:val="clear" w:pos="794"/>
                <w:tab w:val="clear" w:pos="1191"/>
                <w:tab w:val="clear" w:pos="1588"/>
                <w:tab w:val="clear" w:pos="1985"/>
              </w:tabs>
              <w:spacing w:before="0"/>
              <w:jc w:val="left"/>
              <w:rPr>
                <w:rFonts w:eastAsiaTheme="minorEastAsia"/>
                <w:szCs w:val="24"/>
                <w:lang w:val="en-GB"/>
              </w:rPr>
            </w:pPr>
          </w:p>
        </w:tc>
      </w:tr>
      <w:tr w:rsidR="00351AC1" w:rsidRPr="00351AC1" w14:paraId="35F6543C" w14:textId="77777777" w:rsidTr="00CB5A8F">
        <w:tblPrEx>
          <w:jc w:val="left"/>
        </w:tblPrEx>
        <w:tc>
          <w:tcPr>
            <w:tcW w:w="9889" w:type="dxa"/>
            <w:gridSpan w:val="3"/>
            <w:shd w:val="clear" w:color="auto" w:fill="auto"/>
          </w:tcPr>
          <w:p w14:paraId="739854B3" w14:textId="77777777" w:rsidR="00351AC1" w:rsidRPr="00351AC1" w:rsidRDefault="00351AC1" w:rsidP="00351AC1">
            <w:pPr>
              <w:tabs>
                <w:tab w:val="clear" w:pos="794"/>
                <w:tab w:val="clear" w:pos="1191"/>
                <w:tab w:val="clear" w:pos="1588"/>
                <w:tab w:val="clear" w:pos="1985"/>
              </w:tabs>
              <w:spacing w:before="0"/>
              <w:jc w:val="left"/>
              <w:rPr>
                <w:rFonts w:eastAsiaTheme="minorEastAsia"/>
                <w:szCs w:val="24"/>
                <w:lang w:val="en-GB"/>
              </w:rPr>
            </w:pPr>
          </w:p>
        </w:tc>
      </w:tr>
      <w:tr w:rsidR="00351AC1" w:rsidRPr="00351AC1" w14:paraId="6C1DE988" w14:textId="77777777" w:rsidTr="00CB5A8F">
        <w:tblPrEx>
          <w:jc w:val="left"/>
        </w:tblPrEx>
        <w:tc>
          <w:tcPr>
            <w:tcW w:w="1526" w:type="dxa"/>
            <w:shd w:val="clear" w:color="auto" w:fill="auto"/>
          </w:tcPr>
          <w:p w14:paraId="460A495A" w14:textId="77777777" w:rsidR="00351AC1" w:rsidRPr="00351AC1" w:rsidRDefault="00351AC1" w:rsidP="00351AC1">
            <w:pPr>
              <w:tabs>
                <w:tab w:val="clear" w:pos="794"/>
                <w:tab w:val="clear" w:pos="1191"/>
                <w:tab w:val="clear" w:pos="1588"/>
                <w:tab w:val="clear" w:pos="1985"/>
              </w:tabs>
              <w:spacing w:before="0"/>
              <w:jc w:val="left"/>
              <w:rPr>
                <w:rFonts w:eastAsiaTheme="minorEastAsia"/>
                <w:szCs w:val="24"/>
                <w:lang w:val="en-GB"/>
              </w:rPr>
            </w:pPr>
            <w:r w:rsidRPr="00351AC1">
              <w:rPr>
                <w:rFonts w:eastAsiaTheme="minorEastAsia"/>
                <w:szCs w:val="24"/>
                <w:lang w:val="en-GB"/>
              </w:rPr>
              <w:t>Subject:</w:t>
            </w:r>
          </w:p>
        </w:tc>
        <w:tc>
          <w:tcPr>
            <w:tcW w:w="8363" w:type="dxa"/>
            <w:gridSpan w:val="2"/>
            <w:shd w:val="clear" w:color="auto" w:fill="auto"/>
          </w:tcPr>
          <w:p w14:paraId="13ACED72" w14:textId="77777777" w:rsidR="00351AC1" w:rsidRPr="00351AC1" w:rsidRDefault="00351AC1" w:rsidP="00351AC1">
            <w:pPr>
              <w:tabs>
                <w:tab w:val="clear" w:pos="794"/>
                <w:tab w:val="clear" w:pos="1191"/>
                <w:tab w:val="clear" w:pos="1588"/>
                <w:tab w:val="clear" w:pos="1985"/>
                <w:tab w:val="left" w:pos="6690"/>
              </w:tabs>
              <w:spacing w:before="0" w:after="360" w:line="276" w:lineRule="auto"/>
              <w:rPr>
                <w:b/>
                <w:bCs/>
                <w:szCs w:val="24"/>
              </w:rPr>
            </w:pPr>
            <w:r w:rsidRPr="00351AC1">
              <w:rPr>
                <w:rFonts w:asciiTheme="minorHAnsi" w:eastAsiaTheme="minorEastAsia" w:hAnsiTheme="minorHAnsi" w:cstheme="minorHAnsi"/>
                <w:b/>
                <w:bCs/>
                <w:szCs w:val="24"/>
                <w:lang w:val="en-GB"/>
              </w:rPr>
              <w:t xml:space="preserve">Online information on Space Radio Monitoring Facilities </w:t>
            </w:r>
          </w:p>
        </w:tc>
      </w:tr>
    </w:tbl>
    <w:p w14:paraId="1D32457A" w14:textId="77777777" w:rsidR="00351AC1" w:rsidRPr="006608CE" w:rsidRDefault="00351AC1" w:rsidP="00351AC1">
      <w:pPr>
        <w:tabs>
          <w:tab w:val="left" w:pos="2835"/>
        </w:tabs>
        <w:spacing w:before="240" w:line="276" w:lineRule="auto"/>
        <w:rPr>
          <w:rFonts w:eastAsiaTheme="minorEastAsia"/>
          <w:szCs w:val="24"/>
        </w:rPr>
      </w:pPr>
      <w:r w:rsidRPr="006608CE">
        <w:rPr>
          <w:rFonts w:eastAsiaTheme="minorEastAsia"/>
          <w:szCs w:val="24"/>
        </w:rPr>
        <w:t xml:space="preserve">The recent ITU Plenipotentiary Conference held from 26 September to 14 October 2022 in Bucharest, Romania addressed the growing number of space systems being, or planned to be, deployed in a near future with the consequential challenges put on radio spectrum sharing. The Conference reviewed Resolution 186 on “Strengthening the role of ITU with regard to transparency and confidence-building measures in outer space </w:t>
      </w:r>
      <w:proofErr w:type="gramStart"/>
      <w:r w:rsidRPr="006608CE">
        <w:rPr>
          <w:rFonts w:eastAsiaTheme="minorEastAsia"/>
          <w:szCs w:val="24"/>
        </w:rPr>
        <w:t>activities</w:t>
      </w:r>
      <w:proofErr w:type="gramEnd"/>
      <w:r w:rsidRPr="006608CE">
        <w:rPr>
          <w:rFonts w:eastAsiaTheme="minorEastAsia"/>
          <w:szCs w:val="24"/>
        </w:rPr>
        <w:t>”</w:t>
      </w:r>
    </w:p>
    <w:p w14:paraId="2CA02D9E" w14:textId="77777777" w:rsidR="00351AC1" w:rsidRPr="006608CE" w:rsidRDefault="00351AC1" w:rsidP="00351AC1">
      <w:pPr>
        <w:tabs>
          <w:tab w:val="left" w:pos="2835"/>
        </w:tabs>
        <w:spacing w:before="240" w:line="276" w:lineRule="auto"/>
        <w:rPr>
          <w:rFonts w:eastAsiaTheme="minorEastAsia"/>
          <w:i/>
          <w:iCs/>
          <w:szCs w:val="24"/>
        </w:rPr>
      </w:pPr>
      <w:proofErr w:type="gramStart"/>
      <w:r w:rsidRPr="006608CE">
        <w:rPr>
          <w:rFonts w:eastAsiaTheme="minorEastAsia"/>
          <w:szCs w:val="24"/>
        </w:rPr>
        <w:t>In particular, when</w:t>
      </w:r>
      <w:proofErr w:type="gramEnd"/>
      <w:r w:rsidRPr="006608CE">
        <w:rPr>
          <w:rFonts w:eastAsiaTheme="minorEastAsia"/>
          <w:szCs w:val="24"/>
        </w:rPr>
        <w:t xml:space="preserve"> considering:</w:t>
      </w:r>
    </w:p>
    <w:p w14:paraId="1802C724" w14:textId="77777777" w:rsidR="00351AC1" w:rsidRPr="006608CE" w:rsidRDefault="00351AC1" w:rsidP="00351AC1">
      <w:pPr>
        <w:tabs>
          <w:tab w:val="left" w:pos="2835"/>
        </w:tabs>
        <w:spacing w:before="240" w:line="276" w:lineRule="auto"/>
        <w:ind w:left="426"/>
        <w:rPr>
          <w:rFonts w:eastAsiaTheme="minorEastAsia"/>
          <w:i/>
          <w:iCs/>
          <w:szCs w:val="24"/>
        </w:rPr>
      </w:pPr>
      <w:r w:rsidRPr="006608CE">
        <w:rPr>
          <w:rFonts w:eastAsiaTheme="minorEastAsia"/>
          <w:i/>
          <w:iCs/>
          <w:szCs w:val="24"/>
        </w:rPr>
        <w:t xml:space="preserve">“a) that ITU Member States rely, inter alia, on reliable space radiocommunication services, such as the Earth exploration-satellite service, radiocommunication satellite services, the radionavigation-satellite service and the space research </w:t>
      </w:r>
      <w:proofErr w:type="gramStart"/>
      <w:r w:rsidRPr="006608CE">
        <w:rPr>
          <w:rFonts w:eastAsiaTheme="minorEastAsia"/>
          <w:i/>
          <w:iCs/>
          <w:szCs w:val="24"/>
        </w:rPr>
        <w:t>service;</w:t>
      </w:r>
      <w:proofErr w:type="gramEnd"/>
      <w:r w:rsidRPr="006608CE">
        <w:rPr>
          <w:rFonts w:eastAsiaTheme="minorEastAsia"/>
          <w:i/>
          <w:iCs/>
          <w:szCs w:val="24"/>
        </w:rPr>
        <w:t xml:space="preserve"> </w:t>
      </w:r>
    </w:p>
    <w:p w14:paraId="3D9E6128" w14:textId="77777777" w:rsidR="00351AC1" w:rsidRPr="006608CE" w:rsidRDefault="00351AC1" w:rsidP="00351AC1">
      <w:pPr>
        <w:tabs>
          <w:tab w:val="left" w:pos="2835"/>
        </w:tabs>
        <w:spacing w:before="240" w:line="276" w:lineRule="auto"/>
        <w:ind w:left="426"/>
        <w:rPr>
          <w:rFonts w:eastAsiaTheme="minorEastAsia"/>
          <w:i/>
          <w:iCs/>
          <w:szCs w:val="24"/>
        </w:rPr>
      </w:pPr>
      <w:r w:rsidRPr="006608CE">
        <w:rPr>
          <w:rFonts w:eastAsiaTheme="minorEastAsia"/>
          <w:i/>
          <w:iCs/>
          <w:szCs w:val="24"/>
        </w:rPr>
        <w:t>b) that one of the strategic goals of the ITU Radiocommunication Sector (ITU-R) is "to ensure interference-free operations of radiocommunication systems by implementing the Radio Regulations and regional agreements, as well as updating these instruments in an efficient and timely manner through the processes of world and regional radiocommunication conferences";”</w:t>
      </w:r>
    </w:p>
    <w:p w14:paraId="00021467" w14:textId="77777777" w:rsidR="00351AC1" w:rsidRPr="006608CE" w:rsidRDefault="00351AC1" w:rsidP="00351AC1">
      <w:pPr>
        <w:tabs>
          <w:tab w:val="left" w:pos="2835"/>
        </w:tabs>
        <w:spacing w:before="240" w:line="276" w:lineRule="auto"/>
        <w:rPr>
          <w:rFonts w:eastAsiaTheme="minorEastAsia"/>
          <w:szCs w:val="24"/>
        </w:rPr>
      </w:pPr>
      <w:r w:rsidRPr="006608CE">
        <w:rPr>
          <w:rFonts w:eastAsiaTheme="minorEastAsia"/>
          <w:szCs w:val="24"/>
        </w:rPr>
        <w:t>and</w:t>
      </w:r>
      <w:r w:rsidRPr="006608CE">
        <w:rPr>
          <w:rFonts w:eastAsiaTheme="minorEastAsia"/>
          <w:i/>
          <w:iCs/>
          <w:szCs w:val="24"/>
        </w:rPr>
        <w:t xml:space="preserve"> </w:t>
      </w:r>
      <w:proofErr w:type="gramStart"/>
      <w:r w:rsidRPr="006608CE">
        <w:rPr>
          <w:rFonts w:eastAsiaTheme="minorEastAsia"/>
          <w:szCs w:val="24"/>
        </w:rPr>
        <w:t>taking into account</w:t>
      </w:r>
      <w:proofErr w:type="gramEnd"/>
      <w:r w:rsidRPr="006608CE">
        <w:rPr>
          <w:rFonts w:eastAsiaTheme="minorEastAsia"/>
          <w:szCs w:val="24"/>
        </w:rPr>
        <w:t xml:space="preserve"> Articles 15 and 16 of the Radio Regulations, the Conference instructed the Director of the Radiocommunications Bureau:</w:t>
      </w:r>
    </w:p>
    <w:p w14:paraId="6AD550DD" w14:textId="77777777" w:rsidR="00351AC1" w:rsidRPr="006608CE" w:rsidRDefault="00351AC1" w:rsidP="00351AC1">
      <w:pPr>
        <w:tabs>
          <w:tab w:val="left" w:pos="2835"/>
        </w:tabs>
        <w:spacing w:before="240" w:line="276" w:lineRule="auto"/>
        <w:ind w:left="426"/>
        <w:rPr>
          <w:rFonts w:eastAsiaTheme="minorEastAsia"/>
          <w:i/>
          <w:iCs/>
          <w:szCs w:val="24"/>
        </w:rPr>
      </w:pPr>
      <w:r w:rsidRPr="006608CE">
        <w:rPr>
          <w:rFonts w:eastAsiaTheme="minorEastAsia"/>
          <w:i/>
          <w:iCs/>
          <w:szCs w:val="24"/>
        </w:rPr>
        <w:t>“2) to make available to administrations information related to satellite-monitoring facilities; and (…)</w:t>
      </w:r>
    </w:p>
    <w:p w14:paraId="148C16E4" w14:textId="77777777" w:rsidR="00351AC1" w:rsidRPr="006608CE" w:rsidRDefault="00351AC1" w:rsidP="00351AC1">
      <w:pPr>
        <w:tabs>
          <w:tab w:val="left" w:pos="2835"/>
        </w:tabs>
        <w:spacing w:before="240" w:line="276" w:lineRule="auto"/>
        <w:ind w:left="426"/>
        <w:rPr>
          <w:rFonts w:eastAsiaTheme="minorEastAsia"/>
          <w:i/>
          <w:iCs/>
          <w:szCs w:val="24"/>
        </w:rPr>
      </w:pPr>
      <w:r w:rsidRPr="006608CE">
        <w:rPr>
          <w:rFonts w:eastAsiaTheme="minorEastAsia"/>
          <w:i/>
          <w:iCs/>
          <w:szCs w:val="24"/>
        </w:rPr>
        <w:t>7) to report on the implementation of this resolution.”</w:t>
      </w:r>
    </w:p>
    <w:p w14:paraId="5D56D9C1" w14:textId="54A07359" w:rsidR="00351AC1" w:rsidRPr="006608CE" w:rsidRDefault="00351AC1" w:rsidP="00351AC1">
      <w:pPr>
        <w:tabs>
          <w:tab w:val="left" w:pos="2835"/>
        </w:tabs>
        <w:spacing w:before="240" w:line="276" w:lineRule="auto"/>
        <w:rPr>
          <w:rFonts w:eastAsiaTheme="minorEastAsia"/>
          <w:szCs w:val="24"/>
        </w:rPr>
      </w:pPr>
      <w:r w:rsidRPr="006608CE">
        <w:rPr>
          <w:rFonts w:eastAsiaTheme="minorEastAsia"/>
          <w:szCs w:val="24"/>
        </w:rPr>
        <w:t>In this regard, I am pleased to inform your Administration that the Radiocommunication Bureau has developed a new dedicated webpage</w:t>
      </w:r>
      <w:r w:rsidR="008F59F3" w:rsidRPr="006608CE">
        <w:rPr>
          <w:rFonts w:eastAsiaTheme="minorEastAsia"/>
          <w:szCs w:val="24"/>
        </w:rPr>
        <w:t xml:space="preserve"> for this purpose</w:t>
      </w:r>
      <w:r w:rsidRPr="006608CE">
        <w:rPr>
          <w:rFonts w:eastAsiaTheme="minorEastAsia"/>
          <w:szCs w:val="24"/>
        </w:rPr>
        <w:t xml:space="preserve">, </w:t>
      </w:r>
      <w:r w:rsidR="006F30F3" w:rsidRPr="006608CE">
        <w:rPr>
          <w:rFonts w:eastAsiaTheme="minorEastAsia"/>
          <w:szCs w:val="24"/>
        </w:rPr>
        <w:t xml:space="preserve">which </w:t>
      </w:r>
      <w:r w:rsidRPr="006608CE">
        <w:rPr>
          <w:rFonts w:eastAsiaTheme="minorEastAsia"/>
          <w:szCs w:val="24"/>
        </w:rPr>
        <w:t>may be found at:</w:t>
      </w:r>
    </w:p>
    <w:p w14:paraId="67ECB267" w14:textId="55EE3BCA" w:rsidR="00351AC1" w:rsidRPr="006608CE" w:rsidRDefault="00904A8E" w:rsidP="00351AC1">
      <w:pPr>
        <w:tabs>
          <w:tab w:val="left" w:pos="2835"/>
        </w:tabs>
        <w:spacing w:before="240" w:line="276" w:lineRule="auto"/>
        <w:jc w:val="center"/>
        <w:rPr>
          <w:rFonts w:eastAsiaTheme="minorEastAsia"/>
          <w:color w:val="0000FF"/>
          <w:szCs w:val="24"/>
          <w:u w:val="single"/>
        </w:rPr>
      </w:pPr>
      <w:hyperlink r:id="rId8" w:history="1">
        <w:r w:rsidR="00351AC1" w:rsidRPr="006608CE">
          <w:rPr>
            <w:rFonts w:eastAsiaTheme="minorEastAsia"/>
            <w:color w:val="0000FF"/>
            <w:szCs w:val="24"/>
            <w:u w:val="single"/>
          </w:rPr>
          <w:t>https://www.itu.int/en/ITU-R/space/Pages/ITU-Space-RadioMonitoring.aspx</w:t>
        </w:r>
      </w:hyperlink>
    </w:p>
    <w:p w14:paraId="2F788934" w14:textId="77777777" w:rsidR="00351AC1" w:rsidRPr="006608CE" w:rsidRDefault="00351AC1">
      <w:pPr>
        <w:tabs>
          <w:tab w:val="clear" w:pos="794"/>
          <w:tab w:val="clear" w:pos="1191"/>
          <w:tab w:val="clear" w:pos="1588"/>
          <w:tab w:val="clear" w:pos="1985"/>
        </w:tabs>
        <w:overflowPunct/>
        <w:autoSpaceDE/>
        <w:autoSpaceDN/>
        <w:adjustRightInd/>
        <w:spacing w:before="0" w:line="240" w:lineRule="auto"/>
        <w:jc w:val="left"/>
        <w:textAlignment w:val="auto"/>
        <w:rPr>
          <w:rFonts w:eastAsiaTheme="minorEastAsia"/>
          <w:color w:val="0000FF"/>
          <w:szCs w:val="24"/>
          <w:u w:val="single"/>
        </w:rPr>
      </w:pPr>
      <w:r w:rsidRPr="006608CE">
        <w:rPr>
          <w:rFonts w:eastAsiaTheme="minorEastAsia"/>
          <w:color w:val="0000FF"/>
          <w:szCs w:val="24"/>
          <w:u w:val="single"/>
        </w:rPr>
        <w:br w:type="page"/>
      </w:r>
    </w:p>
    <w:p w14:paraId="7E850BD4" w14:textId="77777777" w:rsidR="00351AC1" w:rsidRPr="006608CE" w:rsidRDefault="00351AC1" w:rsidP="00351AC1">
      <w:pPr>
        <w:tabs>
          <w:tab w:val="left" w:pos="2835"/>
        </w:tabs>
        <w:spacing w:before="240" w:line="276" w:lineRule="auto"/>
        <w:rPr>
          <w:rFonts w:eastAsiaTheme="minorEastAsia"/>
          <w:szCs w:val="24"/>
        </w:rPr>
      </w:pPr>
      <w:r w:rsidRPr="006608CE">
        <w:rPr>
          <w:rFonts w:eastAsiaTheme="minorEastAsia"/>
          <w:szCs w:val="24"/>
        </w:rPr>
        <w:lastRenderedPageBreak/>
        <w:t>Your Administration is invited to visit this webpage where technical and administrative information concerning space monitoring facilities has been made available, including the Memoranda of Understanding signed between ITU and the Administrations of Belarus, Brazil, China, Germany, Republic of Korea, Sultanate of Oman, Pakistan and Vietnam.</w:t>
      </w:r>
    </w:p>
    <w:p w14:paraId="5123D23B" w14:textId="636F7172" w:rsidR="00351AC1" w:rsidRPr="006608CE" w:rsidRDefault="00351AC1" w:rsidP="00351AC1">
      <w:pPr>
        <w:tabs>
          <w:tab w:val="left" w:pos="2835"/>
        </w:tabs>
        <w:spacing w:before="240" w:line="276" w:lineRule="auto"/>
        <w:rPr>
          <w:rFonts w:eastAsiaTheme="minorEastAsia"/>
          <w:szCs w:val="24"/>
        </w:rPr>
      </w:pPr>
      <w:r w:rsidRPr="006608CE">
        <w:rPr>
          <w:rFonts w:eastAsiaTheme="minorEastAsia"/>
          <w:szCs w:val="24"/>
        </w:rPr>
        <w:t>A link to the online database of data related to List VIII – List of International Monitoring Stations is also displayed together with other relevant ITU-R Recommendations on satellite monitoring and interference reporting.</w:t>
      </w:r>
    </w:p>
    <w:p w14:paraId="6644F1FB" w14:textId="2A75FB98" w:rsidR="00351AC1" w:rsidRPr="006608CE" w:rsidRDefault="00351AC1" w:rsidP="00351AC1">
      <w:pPr>
        <w:tabs>
          <w:tab w:val="left" w:pos="2835"/>
        </w:tabs>
        <w:spacing w:before="240" w:line="276" w:lineRule="auto"/>
        <w:rPr>
          <w:rFonts w:eastAsiaTheme="minorEastAsia"/>
          <w:szCs w:val="24"/>
        </w:rPr>
      </w:pPr>
      <w:r w:rsidRPr="006608CE">
        <w:rPr>
          <w:rFonts w:eastAsiaTheme="minorEastAsia"/>
          <w:szCs w:val="24"/>
        </w:rPr>
        <w:t xml:space="preserve">The webpage will be continuously updated with any further information that </w:t>
      </w:r>
      <w:r w:rsidR="008F59F3" w:rsidRPr="006608CE">
        <w:rPr>
          <w:rFonts w:eastAsiaTheme="minorEastAsia"/>
          <w:szCs w:val="24"/>
        </w:rPr>
        <w:t xml:space="preserve">becomes </w:t>
      </w:r>
      <w:r w:rsidRPr="006608CE">
        <w:rPr>
          <w:rFonts w:eastAsiaTheme="minorEastAsia"/>
          <w:szCs w:val="24"/>
        </w:rPr>
        <w:t>available on this domain.</w:t>
      </w:r>
    </w:p>
    <w:p w14:paraId="7E040E22" w14:textId="73FD81F8" w:rsidR="00351AC1" w:rsidRPr="006608CE" w:rsidRDefault="00351AC1" w:rsidP="00351AC1">
      <w:pPr>
        <w:tabs>
          <w:tab w:val="left" w:pos="2835"/>
        </w:tabs>
        <w:spacing w:before="240" w:line="276" w:lineRule="auto"/>
        <w:rPr>
          <w:rFonts w:eastAsiaTheme="minorEastAsia"/>
          <w:szCs w:val="24"/>
        </w:rPr>
      </w:pPr>
      <w:r w:rsidRPr="006608CE">
        <w:rPr>
          <w:rFonts w:eastAsiaTheme="minorEastAsia"/>
          <w:szCs w:val="24"/>
        </w:rPr>
        <w:t xml:space="preserve">In this regard, and recalling No. 16.1 of the Radio Regulations, </w:t>
      </w:r>
      <w:r w:rsidR="006F30F3" w:rsidRPr="006608CE">
        <w:rPr>
          <w:rFonts w:eastAsiaTheme="minorEastAsia"/>
          <w:szCs w:val="24"/>
        </w:rPr>
        <w:t>a</w:t>
      </w:r>
      <w:r w:rsidRPr="006608CE">
        <w:rPr>
          <w:rFonts w:eastAsiaTheme="minorEastAsia"/>
          <w:szCs w:val="24"/>
        </w:rPr>
        <w:t xml:space="preserve">dministrations having Space Radio Monitoring Facilities are invited to communicate to the Bureau any update of their characteristics and to join the group of countries having signed a Memorandum of Understanding with ITU in this domain.  </w:t>
      </w:r>
    </w:p>
    <w:p w14:paraId="7C9F3A64" w14:textId="5A878F6C" w:rsidR="00351AC1" w:rsidRPr="006608CE" w:rsidRDefault="00351AC1" w:rsidP="00351AC1">
      <w:pPr>
        <w:tabs>
          <w:tab w:val="left" w:pos="2835"/>
        </w:tabs>
        <w:spacing w:before="240" w:line="276" w:lineRule="auto"/>
        <w:rPr>
          <w:rFonts w:eastAsiaTheme="minorEastAsia"/>
          <w:szCs w:val="24"/>
        </w:rPr>
      </w:pPr>
      <w:r w:rsidRPr="006608CE">
        <w:rPr>
          <w:rFonts w:eastAsiaTheme="minorEastAsia"/>
          <w:szCs w:val="24"/>
        </w:rPr>
        <w:t xml:space="preserve">In case you need further information concerning space radio monitoring issues, the contact person is Mr Jorge Ciccorossi (email: </w:t>
      </w:r>
      <w:hyperlink r:id="rId9" w:history="1">
        <w:r w:rsidRPr="006608CE">
          <w:rPr>
            <w:rFonts w:eastAsiaTheme="minorEastAsia"/>
            <w:color w:val="0000FF"/>
            <w:szCs w:val="24"/>
            <w:u w:val="single"/>
          </w:rPr>
          <w:t>jorge.ciccorossi@itu.int</w:t>
        </w:r>
      </w:hyperlink>
      <w:r w:rsidRPr="006608CE">
        <w:rPr>
          <w:rFonts w:eastAsiaTheme="minorEastAsia"/>
          <w:szCs w:val="24"/>
        </w:rPr>
        <w:t xml:space="preserve"> ).</w:t>
      </w:r>
    </w:p>
    <w:p w14:paraId="2014DE2D" w14:textId="77777777" w:rsidR="00351AC1" w:rsidRPr="006608CE" w:rsidRDefault="00351AC1" w:rsidP="00351AC1">
      <w:pPr>
        <w:tabs>
          <w:tab w:val="left" w:pos="900"/>
        </w:tabs>
        <w:spacing w:before="240" w:line="276" w:lineRule="auto"/>
        <w:rPr>
          <w:rFonts w:eastAsiaTheme="minorEastAsia"/>
          <w:szCs w:val="24"/>
        </w:rPr>
      </w:pPr>
    </w:p>
    <w:p w14:paraId="5B9C1905" w14:textId="77777777" w:rsidR="00351AC1" w:rsidRPr="006608CE" w:rsidRDefault="00351AC1" w:rsidP="00351AC1">
      <w:pPr>
        <w:tabs>
          <w:tab w:val="left" w:pos="900"/>
        </w:tabs>
        <w:spacing w:before="240" w:line="276" w:lineRule="auto"/>
        <w:rPr>
          <w:rFonts w:eastAsiaTheme="minorEastAsia"/>
          <w:szCs w:val="24"/>
        </w:rPr>
      </w:pPr>
    </w:p>
    <w:p w14:paraId="4ACDA6CB" w14:textId="4E6B07E5" w:rsidR="00351AC1" w:rsidRPr="006608CE" w:rsidRDefault="00351AC1" w:rsidP="00351AC1">
      <w:pPr>
        <w:tabs>
          <w:tab w:val="clear" w:pos="794"/>
          <w:tab w:val="clear" w:pos="1191"/>
          <w:tab w:val="clear" w:pos="1588"/>
          <w:tab w:val="clear" w:pos="1985"/>
          <w:tab w:val="left" w:pos="0"/>
        </w:tabs>
        <w:spacing w:before="0" w:line="276" w:lineRule="auto"/>
        <w:jc w:val="left"/>
        <w:rPr>
          <w:rFonts w:eastAsiaTheme="majorEastAsia"/>
          <w:szCs w:val="24"/>
        </w:rPr>
      </w:pPr>
      <w:r w:rsidRPr="006608CE">
        <w:rPr>
          <w:rFonts w:eastAsiaTheme="majorEastAsia"/>
          <w:szCs w:val="24"/>
        </w:rPr>
        <w:t>Mario Maniewicz</w:t>
      </w:r>
      <w:r w:rsidRPr="006608CE">
        <w:rPr>
          <w:rFonts w:eastAsiaTheme="majorEastAsia"/>
          <w:szCs w:val="24"/>
        </w:rPr>
        <w:br/>
        <w:t>Director</w:t>
      </w:r>
    </w:p>
    <w:p w14:paraId="4E848DF7" w14:textId="77777777" w:rsidR="00351AC1" w:rsidRPr="006608CE" w:rsidRDefault="00351AC1" w:rsidP="00351AC1">
      <w:pPr>
        <w:tabs>
          <w:tab w:val="clear" w:pos="794"/>
          <w:tab w:val="clear" w:pos="1191"/>
          <w:tab w:val="clear" w:pos="1588"/>
          <w:tab w:val="clear" w:pos="1985"/>
          <w:tab w:val="left" w:pos="0"/>
        </w:tabs>
        <w:spacing w:before="0" w:line="276" w:lineRule="auto"/>
        <w:jc w:val="lowKashida"/>
        <w:rPr>
          <w:rFonts w:eastAsiaTheme="majorEastAsia"/>
          <w:szCs w:val="24"/>
        </w:rPr>
      </w:pPr>
    </w:p>
    <w:p w14:paraId="4E471CDD" w14:textId="77777777" w:rsidR="00351AC1" w:rsidRPr="006608CE" w:rsidRDefault="00351AC1" w:rsidP="00351AC1">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rPr>
      </w:pPr>
    </w:p>
    <w:p w14:paraId="192B25DA" w14:textId="77777777" w:rsidR="00351AC1" w:rsidRPr="006608CE" w:rsidRDefault="00351AC1" w:rsidP="00351AC1">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rPr>
      </w:pPr>
    </w:p>
    <w:p w14:paraId="2757CE53" w14:textId="77777777" w:rsidR="00351AC1" w:rsidRPr="006608CE" w:rsidRDefault="00351AC1" w:rsidP="00351AC1">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rPr>
      </w:pPr>
    </w:p>
    <w:p w14:paraId="6E930D7B" w14:textId="77777777" w:rsidR="00351AC1" w:rsidRPr="006608CE" w:rsidRDefault="00351AC1" w:rsidP="00351AC1">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rPr>
      </w:pPr>
    </w:p>
    <w:p w14:paraId="1A7924E4" w14:textId="77777777" w:rsidR="00351AC1" w:rsidRPr="006608CE" w:rsidRDefault="00351AC1" w:rsidP="00351AC1">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rPr>
      </w:pPr>
    </w:p>
    <w:p w14:paraId="34890663" w14:textId="77777777" w:rsidR="00351AC1" w:rsidRPr="006608CE" w:rsidRDefault="00351AC1" w:rsidP="00351AC1">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rPr>
      </w:pPr>
    </w:p>
    <w:p w14:paraId="07C6C95A" w14:textId="77777777" w:rsidR="00351AC1" w:rsidRPr="006608CE" w:rsidRDefault="00351AC1" w:rsidP="00351AC1">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rPr>
      </w:pPr>
    </w:p>
    <w:p w14:paraId="70273CD0" w14:textId="77777777" w:rsidR="00351AC1" w:rsidRPr="006608CE" w:rsidRDefault="00351AC1" w:rsidP="00351AC1">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rPr>
      </w:pPr>
    </w:p>
    <w:p w14:paraId="2C54DD77" w14:textId="77777777" w:rsidR="00351AC1" w:rsidRPr="006608CE" w:rsidRDefault="00351AC1" w:rsidP="00351AC1">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rPr>
      </w:pPr>
    </w:p>
    <w:p w14:paraId="4EC0F945" w14:textId="77777777" w:rsidR="00351AC1" w:rsidRPr="006608CE" w:rsidRDefault="00351AC1" w:rsidP="00351AC1">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rPr>
      </w:pPr>
    </w:p>
    <w:p w14:paraId="5C279A24" w14:textId="77777777" w:rsidR="00351AC1" w:rsidRPr="006608CE" w:rsidRDefault="00351AC1" w:rsidP="00351AC1">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rPr>
      </w:pPr>
    </w:p>
    <w:p w14:paraId="76513B41" w14:textId="77777777" w:rsidR="00351AC1" w:rsidRPr="006608CE" w:rsidRDefault="00351AC1" w:rsidP="00351AC1">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rPr>
      </w:pPr>
    </w:p>
    <w:p w14:paraId="255B2733" w14:textId="77777777" w:rsidR="00351AC1" w:rsidRPr="006608CE" w:rsidRDefault="00351AC1" w:rsidP="00351AC1">
      <w:pPr>
        <w:keepLines/>
        <w:tabs>
          <w:tab w:val="clear" w:pos="794"/>
          <w:tab w:val="clear" w:pos="1191"/>
          <w:tab w:val="clear" w:pos="1588"/>
          <w:tab w:val="clear" w:pos="1985"/>
          <w:tab w:val="right" w:pos="9639"/>
        </w:tabs>
        <w:spacing w:before="0" w:after="120"/>
        <w:jc w:val="lowKashida"/>
        <w:rPr>
          <w:rFonts w:asciiTheme="minorHAnsi" w:eastAsiaTheme="majorEastAsia" w:hAnsiTheme="minorHAnsi" w:cstheme="minorHAnsi"/>
          <w:b/>
          <w:bCs/>
          <w:sz w:val="18"/>
          <w:szCs w:val="18"/>
          <w:u w:val="single"/>
        </w:rPr>
      </w:pPr>
      <w:r w:rsidRPr="006608CE">
        <w:rPr>
          <w:rFonts w:asciiTheme="minorHAnsi" w:eastAsiaTheme="majorEastAsia" w:hAnsiTheme="minorHAnsi" w:cstheme="minorHAnsi"/>
          <w:b/>
          <w:bCs/>
          <w:sz w:val="18"/>
          <w:szCs w:val="18"/>
          <w:u w:val="single"/>
        </w:rPr>
        <w:t>Distribution:</w:t>
      </w:r>
    </w:p>
    <w:p w14:paraId="34FB894C" w14:textId="77777777" w:rsidR="00351AC1" w:rsidRPr="006608CE" w:rsidRDefault="00351AC1" w:rsidP="00351AC1">
      <w:pPr>
        <w:numPr>
          <w:ilvl w:val="0"/>
          <w:numId w:val="2"/>
        </w:numPr>
        <w:tabs>
          <w:tab w:val="clear" w:pos="794"/>
          <w:tab w:val="clear" w:pos="1191"/>
          <w:tab w:val="clear" w:pos="1588"/>
          <w:tab w:val="clear" w:pos="1985"/>
          <w:tab w:val="left" w:pos="567"/>
        </w:tabs>
        <w:spacing w:before="0" w:line="240" w:lineRule="auto"/>
        <w:ind w:left="0" w:firstLine="0"/>
        <w:jc w:val="lowKashida"/>
        <w:rPr>
          <w:rFonts w:asciiTheme="minorHAnsi" w:eastAsiaTheme="majorEastAsia" w:hAnsiTheme="minorHAnsi" w:cstheme="minorHAnsi"/>
          <w:sz w:val="18"/>
          <w:szCs w:val="18"/>
        </w:rPr>
      </w:pPr>
      <w:r w:rsidRPr="006608CE">
        <w:rPr>
          <w:rFonts w:asciiTheme="minorHAnsi" w:eastAsiaTheme="majorEastAsia" w:hAnsiTheme="minorHAnsi" w:cstheme="minorHAnsi"/>
          <w:sz w:val="18"/>
          <w:szCs w:val="18"/>
        </w:rPr>
        <w:t>Administrations of ITU Member States</w:t>
      </w:r>
    </w:p>
    <w:p w14:paraId="30CF042C" w14:textId="77777777" w:rsidR="00351AC1" w:rsidRPr="006608CE" w:rsidRDefault="00351AC1" w:rsidP="00351AC1">
      <w:pPr>
        <w:numPr>
          <w:ilvl w:val="0"/>
          <w:numId w:val="2"/>
        </w:numPr>
        <w:tabs>
          <w:tab w:val="clear" w:pos="794"/>
          <w:tab w:val="clear" w:pos="1191"/>
          <w:tab w:val="clear" w:pos="1588"/>
          <w:tab w:val="clear" w:pos="1985"/>
          <w:tab w:val="left" w:pos="0"/>
          <w:tab w:val="left" w:pos="567"/>
          <w:tab w:val="left" w:pos="900"/>
        </w:tabs>
        <w:spacing w:before="0" w:line="240" w:lineRule="auto"/>
        <w:ind w:left="0" w:firstLine="0"/>
        <w:jc w:val="lowKashida"/>
        <w:rPr>
          <w:rFonts w:asciiTheme="minorHAnsi" w:eastAsiaTheme="majorEastAsia" w:hAnsiTheme="minorHAnsi" w:cstheme="minorHAnsi"/>
          <w:sz w:val="18"/>
          <w:szCs w:val="18"/>
        </w:rPr>
      </w:pPr>
      <w:r w:rsidRPr="006608CE">
        <w:rPr>
          <w:rFonts w:asciiTheme="minorHAnsi" w:eastAsiaTheme="majorEastAsia" w:hAnsiTheme="minorHAnsi" w:cstheme="minorHAnsi"/>
          <w:sz w:val="18"/>
          <w:szCs w:val="18"/>
        </w:rPr>
        <w:t>Members of the Radio Regulations Board</w:t>
      </w:r>
    </w:p>
    <w:p w14:paraId="10DFE47A" w14:textId="77777777" w:rsidR="00351AC1" w:rsidRPr="006608CE" w:rsidRDefault="00351AC1" w:rsidP="00351AC1">
      <w:pPr>
        <w:numPr>
          <w:ilvl w:val="0"/>
          <w:numId w:val="2"/>
        </w:numPr>
        <w:tabs>
          <w:tab w:val="clear" w:pos="794"/>
          <w:tab w:val="clear" w:pos="1191"/>
          <w:tab w:val="clear" w:pos="1588"/>
          <w:tab w:val="clear" w:pos="1985"/>
          <w:tab w:val="left" w:pos="0"/>
          <w:tab w:val="left" w:pos="567"/>
          <w:tab w:val="left" w:pos="900"/>
        </w:tabs>
        <w:spacing w:before="0" w:line="240" w:lineRule="auto"/>
        <w:ind w:left="0" w:firstLine="0"/>
        <w:jc w:val="lowKashida"/>
        <w:rPr>
          <w:rFonts w:asciiTheme="minorHAnsi" w:eastAsiaTheme="majorEastAsia" w:hAnsiTheme="minorHAnsi" w:cstheme="minorHAnsi"/>
          <w:sz w:val="18"/>
          <w:szCs w:val="18"/>
        </w:rPr>
      </w:pPr>
      <w:r w:rsidRPr="006608CE">
        <w:rPr>
          <w:rFonts w:asciiTheme="minorHAnsi" w:eastAsiaTheme="majorEastAsia" w:hAnsiTheme="minorHAnsi" w:cstheme="minorHAnsi"/>
          <w:sz w:val="18"/>
          <w:szCs w:val="18"/>
        </w:rPr>
        <w:t>ITU Secretary General, Deputy Secretary General and Directors of Bureaus</w:t>
      </w:r>
    </w:p>
    <w:sectPr w:rsidR="00351AC1" w:rsidRPr="006608CE"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7C8EB" w14:textId="77777777" w:rsidR="00F83748" w:rsidRDefault="00F83748">
      <w:r>
        <w:separator/>
      </w:r>
    </w:p>
  </w:endnote>
  <w:endnote w:type="continuationSeparator" w:id="0">
    <w:p w14:paraId="2A71E766" w14:textId="77777777" w:rsidR="00F83748" w:rsidRDefault="00F8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DF0D" w14:textId="17BE9779" w:rsidR="00AD4554" w:rsidRPr="00C460C5" w:rsidRDefault="00C460C5" w:rsidP="00C460C5">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EF168" w14:textId="77777777" w:rsidR="00F83748" w:rsidRDefault="00F83748">
      <w:r>
        <w:t>____________________</w:t>
      </w:r>
    </w:p>
  </w:footnote>
  <w:footnote w:type="continuationSeparator" w:id="0">
    <w:p w14:paraId="7BAC1122" w14:textId="77777777" w:rsidR="00F83748" w:rsidRDefault="00F8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01C7" w14:textId="4D4F3981" w:rsidR="00FC6F6B" w:rsidRPr="00FC6F6B" w:rsidRDefault="006231F4" w:rsidP="007647A8">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51612A">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373F" w14:textId="77777777"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1</w:t>
    </w:r>
    <w:r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14:paraId="5792F973" w14:textId="77777777" w:rsidTr="009E50C2">
      <w:tc>
        <w:tcPr>
          <w:tcW w:w="4800" w:type="dxa"/>
          <w:noWrap/>
          <w:tcMar>
            <w:left w:w="0" w:type="dxa"/>
          </w:tcMar>
        </w:tcPr>
        <w:p w14:paraId="19868A35" w14:textId="5A1937AC" w:rsidR="00A52F57" w:rsidRDefault="00663D7B" w:rsidP="00C460C5">
          <w:pPr>
            <w:pStyle w:val="Header"/>
            <w:tabs>
              <w:tab w:val="clear" w:pos="794"/>
              <w:tab w:val="clear" w:pos="4820"/>
              <w:tab w:val="clear" w:pos="9639"/>
            </w:tabs>
            <w:spacing w:line="360" w:lineRule="auto"/>
            <w:ind w:left="567"/>
          </w:pPr>
          <w:r>
            <w:rPr>
              <w:noProof/>
              <w:lang w:val="en-GB" w:eastAsia="en-GB"/>
            </w:rPr>
            <w:drawing>
              <wp:inline distT="0" distB="0" distL="0" distR="0" wp14:anchorId="4CE4E35A" wp14:editId="03F2E178">
                <wp:extent cx="765175" cy="7651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noWrap/>
        </w:tcPr>
        <w:p w14:paraId="5970CDC6" w14:textId="60AB27C0" w:rsidR="00A52F57" w:rsidRDefault="00663D7B" w:rsidP="00C460C5">
          <w:pPr>
            <w:pStyle w:val="Header"/>
            <w:spacing w:line="360" w:lineRule="auto"/>
            <w:jc w:val="right"/>
          </w:pPr>
          <w:r>
            <w:rPr>
              <w:noProof/>
            </w:rPr>
            <w:drawing>
              <wp:inline distT="0" distB="0" distL="0" distR="0" wp14:anchorId="2120EC89" wp14:editId="071F0569">
                <wp:extent cx="2588260" cy="728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63302" cy="749891"/>
                        </a:xfrm>
                        <a:prstGeom prst="rect">
                          <a:avLst/>
                        </a:prstGeom>
                      </pic:spPr>
                    </pic:pic>
                  </a:graphicData>
                </a:graphic>
              </wp:inline>
            </w:drawing>
          </w:r>
        </w:p>
      </w:tc>
    </w:tr>
  </w:tbl>
  <w:p w14:paraId="3C78866C" w14:textId="77777777" w:rsidR="00E915AF" w:rsidRPr="00A52F57" w:rsidRDefault="00E915AF" w:rsidP="00A5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1641245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7251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663D7B"/>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2490F"/>
    <w:rsid w:val="00134404"/>
    <w:rsid w:val="00144DFB"/>
    <w:rsid w:val="001758FF"/>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2747"/>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1AC1"/>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754E6"/>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608CE"/>
    <w:rsid w:val="00663D7B"/>
    <w:rsid w:val="006829F3"/>
    <w:rsid w:val="006A1921"/>
    <w:rsid w:val="006A518B"/>
    <w:rsid w:val="006A5FC9"/>
    <w:rsid w:val="006B0590"/>
    <w:rsid w:val="006B49DA"/>
    <w:rsid w:val="006B4C75"/>
    <w:rsid w:val="006C53F8"/>
    <w:rsid w:val="006C7CDE"/>
    <w:rsid w:val="006F30F3"/>
    <w:rsid w:val="006F63A6"/>
    <w:rsid w:val="00714B22"/>
    <w:rsid w:val="007234B1"/>
    <w:rsid w:val="00723D08"/>
    <w:rsid w:val="00725FDA"/>
    <w:rsid w:val="00727816"/>
    <w:rsid w:val="00730B9A"/>
    <w:rsid w:val="00750CFA"/>
    <w:rsid w:val="007553DA"/>
    <w:rsid w:val="007647A8"/>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142E"/>
    <w:rsid w:val="008A580F"/>
    <w:rsid w:val="008B35A3"/>
    <w:rsid w:val="008B37E1"/>
    <w:rsid w:val="008B45F8"/>
    <w:rsid w:val="008C2E74"/>
    <w:rsid w:val="008D5409"/>
    <w:rsid w:val="008E006D"/>
    <w:rsid w:val="008E38B4"/>
    <w:rsid w:val="008F4F21"/>
    <w:rsid w:val="008F59F3"/>
    <w:rsid w:val="00903FD9"/>
    <w:rsid w:val="00904A8E"/>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6966"/>
    <w:rsid w:val="00A119E6"/>
    <w:rsid w:val="00A20FBC"/>
    <w:rsid w:val="00A31370"/>
    <w:rsid w:val="00A34D6F"/>
    <w:rsid w:val="00A41F91"/>
    <w:rsid w:val="00A47119"/>
    <w:rsid w:val="00A52F57"/>
    <w:rsid w:val="00A63355"/>
    <w:rsid w:val="00A7596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06CD"/>
    <w:rsid w:val="00C16FD2"/>
    <w:rsid w:val="00C4395E"/>
    <w:rsid w:val="00C460C5"/>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83748"/>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3ED2B98"/>
  <w15:docId w15:val="{94EA3470-9A32-4476-84A8-88AA0411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character" w:styleId="PlaceholderText">
    <w:name w:val="Placeholder Text"/>
    <w:basedOn w:val="DefaultParagraphFont"/>
    <w:uiPriority w:val="99"/>
    <w:semiHidden/>
    <w:rsid w:val="00C106CD"/>
    <w:rPr>
      <w:color w:val="808080"/>
    </w:rPr>
  </w:style>
  <w:style w:type="paragraph" w:styleId="Revision">
    <w:name w:val="Revision"/>
    <w:hidden/>
    <w:uiPriority w:val="99"/>
    <w:semiHidden/>
    <w:rsid w:val="006F30F3"/>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space/Pages/ITU-Space-RadioMonitoring.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rge.ciccorossi@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B067C-71C4-4143-AA99-186EBB12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2876</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Marchetti, Caroline</cp:lastModifiedBy>
  <cp:revision>4</cp:revision>
  <cp:lastPrinted>2023-01-19T05:19:00Z</cp:lastPrinted>
  <dcterms:created xsi:type="dcterms:W3CDTF">2023-01-19T13:48:00Z</dcterms:created>
  <dcterms:modified xsi:type="dcterms:W3CDTF">2023-01-25T09:23:00Z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