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7" w:type="dxa"/>
        <w:tblInd w:w="-142" w:type="dxa"/>
        <w:tblLayout w:type="fixed"/>
        <w:tblLook w:val="04A0" w:firstRow="1" w:lastRow="0" w:firstColumn="1" w:lastColumn="0" w:noHBand="0" w:noVBand="1"/>
      </w:tblPr>
      <w:tblGrid>
        <w:gridCol w:w="1685"/>
        <w:gridCol w:w="3868"/>
        <w:gridCol w:w="4474"/>
      </w:tblGrid>
      <w:tr w:rsidR="004345B5" w14:paraId="232BAD14" w14:textId="77777777" w:rsidTr="007979B9">
        <w:tc>
          <w:tcPr>
            <w:tcW w:w="10027" w:type="dxa"/>
            <w:gridSpan w:val="3"/>
            <w:shd w:val="clear" w:color="auto" w:fill="auto"/>
          </w:tcPr>
          <w:p w14:paraId="6418B6DA" w14:textId="77777777" w:rsidR="004345B5" w:rsidRDefault="004345B5" w:rsidP="004C7B27">
            <w:pPr>
              <w:jc w:val="left"/>
              <w:rPr>
                <w:rFonts w:cs="Times New Roman Bold"/>
                <w:b/>
                <w:bCs/>
                <w:color w:val="808080"/>
                <w:szCs w:val="24"/>
                <w:lang w:val="en-GB" w:eastAsia="zh-CN"/>
              </w:rPr>
            </w:pPr>
            <w:bookmarkStart w:id="0" w:name="Origine"/>
            <w:bookmarkEnd w:id="0"/>
            <w:r>
              <w:rPr>
                <w:rFonts w:cstheme="minorHAnsi"/>
                <w:b/>
                <w:bCs/>
                <w:color w:val="808080"/>
                <w:szCs w:val="24"/>
                <w:lang w:val="en-GB" w:eastAsia="zh-CN"/>
              </w:rPr>
              <w:t>无线电通信局（</w:t>
            </w:r>
            <w:r>
              <w:rPr>
                <w:rFonts w:cstheme="minorHAnsi"/>
                <w:b/>
                <w:bCs/>
                <w:color w:val="808080"/>
                <w:szCs w:val="24"/>
                <w:lang w:val="en-GB" w:eastAsia="zh-CN"/>
              </w:rPr>
              <w:t>BR</w:t>
            </w:r>
            <w:r>
              <w:rPr>
                <w:rFonts w:cstheme="minorHAnsi"/>
                <w:b/>
                <w:bCs/>
                <w:color w:val="808080"/>
                <w:szCs w:val="24"/>
                <w:lang w:val="en-GB" w:eastAsia="zh-CN"/>
              </w:rPr>
              <w:t>）</w:t>
            </w:r>
          </w:p>
        </w:tc>
      </w:tr>
      <w:tr w:rsidR="004345B5" w14:paraId="3407A14A" w14:textId="77777777" w:rsidTr="007979B9">
        <w:tc>
          <w:tcPr>
            <w:tcW w:w="10027" w:type="dxa"/>
            <w:gridSpan w:val="3"/>
            <w:shd w:val="clear" w:color="auto" w:fill="auto"/>
          </w:tcPr>
          <w:p w14:paraId="5D9B909C" w14:textId="77777777" w:rsidR="004345B5" w:rsidRDefault="004345B5" w:rsidP="004C7B27">
            <w:pPr>
              <w:jc w:val="left"/>
              <w:rPr>
                <w:szCs w:val="24"/>
                <w:lang w:val="en-GB" w:eastAsia="zh-CN"/>
              </w:rPr>
            </w:pPr>
          </w:p>
        </w:tc>
      </w:tr>
      <w:tr w:rsidR="004345B5" w14:paraId="5C16D8D2" w14:textId="77777777" w:rsidTr="007979B9">
        <w:tc>
          <w:tcPr>
            <w:tcW w:w="5553" w:type="dxa"/>
            <w:gridSpan w:val="2"/>
            <w:shd w:val="clear" w:color="auto" w:fill="auto"/>
          </w:tcPr>
          <w:p w14:paraId="23C36DF3" w14:textId="77777777" w:rsidR="004345B5" w:rsidRDefault="004345B5" w:rsidP="007979B9">
            <w:pPr>
              <w:spacing w:before="0"/>
              <w:jc w:val="left"/>
              <w:rPr>
                <w:szCs w:val="24"/>
                <w:lang w:val="en-GB"/>
              </w:rPr>
            </w:pPr>
            <w:r>
              <w:rPr>
                <w:rFonts w:hint="eastAsia"/>
                <w:szCs w:val="24"/>
              </w:rPr>
              <w:t>通函</w:t>
            </w:r>
          </w:p>
          <w:p w14:paraId="1B5DC37E" w14:textId="77777777" w:rsidR="004345B5" w:rsidRDefault="004345B5" w:rsidP="007979B9">
            <w:pPr>
              <w:spacing w:before="0"/>
              <w:jc w:val="left"/>
              <w:rPr>
                <w:szCs w:val="24"/>
                <w:lang w:val="en-GB"/>
              </w:rPr>
            </w:pPr>
            <w:r>
              <w:rPr>
                <w:b/>
                <w:bCs/>
                <w:szCs w:val="24"/>
                <w:lang w:val="en-GB"/>
              </w:rPr>
              <w:t>CR/495</w:t>
            </w:r>
          </w:p>
        </w:tc>
        <w:tc>
          <w:tcPr>
            <w:tcW w:w="4474" w:type="dxa"/>
            <w:shd w:val="clear" w:color="auto" w:fill="auto"/>
          </w:tcPr>
          <w:p w14:paraId="772185CC" w14:textId="77777777" w:rsidR="004345B5" w:rsidRDefault="003944CC" w:rsidP="004C7B27">
            <w:pPr>
              <w:ind w:right="57"/>
              <w:jc w:val="right"/>
              <w:rPr>
                <w:szCs w:val="24"/>
                <w:lang w:val="en-GB"/>
              </w:rPr>
            </w:pPr>
            <w:sdt>
              <w:sdtPr>
                <w:rPr>
                  <w:rFonts w:hint="eastAsia"/>
                  <w:szCs w:val="24"/>
                  <w:lang w:val="en-GB"/>
                </w:rPr>
                <w:alias w:val="Date"/>
                <w:tag w:val="Date"/>
                <w:id w:val="-659919731"/>
                <w:placeholder>
                  <w:docPart w:val="7B77707E0FF3476182EB38A49B19C9DD"/>
                </w:placeholder>
                <w:date w:fullDate="2023-01-26T00:00:00Z">
                  <w:dateFormat w:val="yyyy'年'M'月'd'日'"/>
                  <w:lid w:val="zh-CN"/>
                  <w:storeMappedDataAs w:val="date"/>
                  <w:calendar w:val="gregorian"/>
                </w:date>
              </w:sdtPr>
              <w:sdtEndPr/>
              <w:sdtContent>
                <w:r w:rsidR="004345B5">
                  <w:rPr>
                    <w:rFonts w:hint="eastAsia"/>
                    <w:szCs w:val="24"/>
                    <w:lang w:val="en-GB"/>
                  </w:rPr>
                  <w:t>2023</w:t>
                </w:r>
                <w:r w:rsidR="004345B5">
                  <w:rPr>
                    <w:rFonts w:hint="eastAsia"/>
                    <w:szCs w:val="24"/>
                    <w:lang w:val="en-GB"/>
                  </w:rPr>
                  <w:t>年</w:t>
                </w:r>
                <w:r w:rsidR="004345B5">
                  <w:rPr>
                    <w:rFonts w:hint="eastAsia"/>
                    <w:szCs w:val="24"/>
                    <w:lang w:val="en-GB"/>
                  </w:rPr>
                  <w:t>1</w:t>
                </w:r>
                <w:r w:rsidR="004345B5">
                  <w:rPr>
                    <w:rFonts w:hint="eastAsia"/>
                    <w:szCs w:val="24"/>
                    <w:lang w:val="en-GB"/>
                  </w:rPr>
                  <w:t>月</w:t>
                </w:r>
                <w:r w:rsidR="004345B5">
                  <w:rPr>
                    <w:szCs w:val="24"/>
                    <w:lang w:val="en-GB"/>
                  </w:rPr>
                  <w:t>26</w:t>
                </w:r>
                <w:r w:rsidR="004345B5">
                  <w:rPr>
                    <w:rFonts w:hint="eastAsia"/>
                    <w:szCs w:val="24"/>
                    <w:lang w:val="en-GB"/>
                  </w:rPr>
                  <w:t>日</w:t>
                </w:r>
              </w:sdtContent>
            </w:sdt>
          </w:p>
        </w:tc>
      </w:tr>
      <w:tr w:rsidR="004345B5" w14:paraId="63D00DDD" w14:textId="77777777" w:rsidTr="007979B9">
        <w:tc>
          <w:tcPr>
            <w:tcW w:w="10027" w:type="dxa"/>
            <w:gridSpan w:val="3"/>
          </w:tcPr>
          <w:p w14:paraId="7388D7E9" w14:textId="77777777" w:rsidR="004345B5" w:rsidRDefault="004345B5" w:rsidP="004C7B27">
            <w:pPr>
              <w:spacing w:before="0"/>
              <w:jc w:val="left"/>
              <w:rPr>
                <w:rFonts w:cs="Arial"/>
                <w:szCs w:val="24"/>
                <w:lang w:val="en-GB"/>
              </w:rPr>
            </w:pPr>
            <w:bookmarkStart w:id="1" w:name="Signature"/>
            <w:bookmarkStart w:id="2" w:name="lt_pId040"/>
            <w:bookmarkEnd w:id="1"/>
          </w:p>
        </w:tc>
      </w:tr>
      <w:tr w:rsidR="004345B5" w14:paraId="091C3A52" w14:textId="77777777" w:rsidTr="007979B9">
        <w:tc>
          <w:tcPr>
            <w:tcW w:w="1685" w:type="dxa"/>
          </w:tcPr>
          <w:p w14:paraId="3FB0B9D1" w14:textId="77777777" w:rsidR="004345B5" w:rsidRDefault="004345B5" w:rsidP="004C7B27">
            <w:pPr>
              <w:spacing w:before="0"/>
              <w:jc w:val="left"/>
              <w:rPr>
                <w:b/>
                <w:bCs/>
                <w:szCs w:val="24"/>
                <w:lang w:val="en-GB"/>
              </w:rPr>
            </w:pPr>
          </w:p>
        </w:tc>
        <w:tc>
          <w:tcPr>
            <w:tcW w:w="8342" w:type="dxa"/>
            <w:gridSpan w:val="2"/>
          </w:tcPr>
          <w:p w14:paraId="79D55B4B" w14:textId="77777777" w:rsidR="004345B5" w:rsidRDefault="004345B5" w:rsidP="004C7B27">
            <w:pPr>
              <w:spacing w:before="0"/>
              <w:rPr>
                <w:b/>
                <w:bCs/>
                <w:szCs w:val="24"/>
                <w:lang w:val="en-GB"/>
              </w:rPr>
            </w:pPr>
          </w:p>
        </w:tc>
      </w:tr>
      <w:tr w:rsidR="004345B5" w14:paraId="6BBD407F" w14:textId="77777777" w:rsidTr="007979B9">
        <w:tc>
          <w:tcPr>
            <w:tcW w:w="10027" w:type="dxa"/>
            <w:gridSpan w:val="3"/>
          </w:tcPr>
          <w:p w14:paraId="1AF608D3" w14:textId="77777777" w:rsidR="004345B5" w:rsidRDefault="004345B5" w:rsidP="004C7B27">
            <w:pPr>
              <w:spacing w:before="0"/>
              <w:jc w:val="left"/>
              <w:rPr>
                <w:b/>
                <w:bCs/>
                <w:szCs w:val="24"/>
                <w:lang w:val="en-GB"/>
              </w:rPr>
            </w:pPr>
          </w:p>
        </w:tc>
      </w:tr>
      <w:tr w:rsidR="004345B5" w14:paraId="4251B691" w14:textId="77777777" w:rsidTr="007979B9">
        <w:tc>
          <w:tcPr>
            <w:tcW w:w="10027" w:type="dxa"/>
            <w:gridSpan w:val="3"/>
          </w:tcPr>
          <w:p w14:paraId="56602AAB" w14:textId="77777777" w:rsidR="004345B5" w:rsidRDefault="004345B5" w:rsidP="004C7B27">
            <w:pPr>
              <w:spacing w:before="0"/>
              <w:jc w:val="left"/>
              <w:rPr>
                <w:b/>
                <w:bCs/>
                <w:szCs w:val="24"/>
                <w:lang w:val="en-GB"/>
              </w:rPr>
            </w:pPr>
          </w:p>
        </w:tc>
      </w:tr>
      <w:tr w:rsidR="004345B5" w14:paraId="2380CE7D" w14:textId="77777777" w:rsidTr="007979B9">
        <w:tc>
          <w:tcPr>
            <w:tcW w:w="10027" w:type="dxa"/>
            <w:gridSpan w:val="3"/>
          </w:tcPr>
          <w:p w14:paraId="1F0832C8" w14:textId="77777777" w:rsidR="007979B9" w:rsidRDefault="007979B9" w:rsidP="007979B9">
            <w:pPr>
              <w:tabs>
                <w:tab w:val="left" w:pos="720"/>
              </w:tabs>
              <w:spacing w:before="0"/>
              <w:jc w:val="left"/>
              <w:rPr>
                <w:rFonts w:asciiTheme="minorHAnsi" w:hAnsiTheme="minorHAnsi"/>
                <w:b/>
                <w:bCs/>
                <w:szCs w:val="24"/>
                <w:lang w:eastAsia="zh-CN"/>
              </w:rPr>
            </w:pPr>
            <w:r>
              <w:rPr>
                <w:rFonts w:asciiTheme="minorHAnsi" w:hAnsiTheme="minorHAnsi" w:hint="eastAsia"/>
                <w:b/>
                <w:bCs/>
                <w:szCs w:val="24"/>
                <w:lang w:eastAsia="zh-CN"/>
              </w:rPr>
              <w:t>致国际电联各成员国主管部门</w:t>
            </w:r>
          </w:p>
          <w:p w14:paraId="543229F7" w14:textId="286E0024" w:rsidR="007979B9" w:rsidRDefault="007979B9" w:rsidP="007979B9">
            <w:pPr>
              <w:tabs>
                <w:tab w:val="left" w:pos="720"/>
              </w:tabs>
              <w:spacing w:before="0"/>
              <w:jc w:val="left"/>
              <w:rPr>
                <w:b/>
                <w:bCs/>
                <w:szCs w:val="24"/>
                <w:lang w:val="en-GB" w:eastAsia="zh-CN"/>
              </w:rPr>
            </w:pPr>
          </w:p>
        </w:tc>
      </w:tr>
      <w:tr w:rsidR="004345B5" w14:paraId="4BAF586B" w14:textId="77777777" w:rsidTr="007979B9">
        <w:tc>
          <w:tcPr>
            <w:tcW w:w="10027" w:type="dxa"/>
            <w:gridSpan w:val="3"/>
          </w:tcPr>
          <w:p w14:paraId="1F7E4F27" w14:textId="77777777" w:rsidR="004345B5" w:rsidRDefault="004345B5" w:rsidP="004C7B27">
            <w:pPr>
              <w:tabs>
                <w:tab w:val="left" w:pos="720"/>
              </w:tabs>
              <w:spacing w:before="0"/>
              <w:jc w:val="left"/>
              <w:rPr>
                <w:szCs w:val="24"/>
                <w:lang w:val="en-GB" w:eastAsia="zh-CN"/>
              </w:rPr>
            </w:pPr>
          </w:p>
        </w:tc>
      </w:tr>
      <w:tr w:rsidR="004345B5" w14:paraId="4865D7D0" w14:textId="77777777" w:rsidTr="007979B9">
        <w:tc>
          <w:tcPr>
            <w:tcW w:w="10027" w:type="dxa"/>
            <w:gridSpan w:val="3"/>
          </w:tcPr>
          <w:p w14:paraId="20DFE521" w14:textId="77777777" w:rsidR="004345B5" w:rsidRDefault="004345B5" w:rsidP="004C7B27">
            <w:pPr>
              <w:tabs>
                <w:tab w:val="left" w:pos="720"/>
              </w:tabs>
              <w:spacing w:before="0"/>
              <w:jc w:val="left"/>
              <w:rPr>
                <w:szCs w:val="24"/>
                <w:lang w:val="en-GB" w:eastAsia="zh-CN"/>
              </w:rPr>
            </w:pPr>
          </w:p>
        </w:tc>
      </w:tr>
      <w:tr w:rsidR="004345B5" w14:paraId="632A0793" w14:textId="77777777" w:rsidTr="007979B9">
        <w:tc>
          <w:tcPr>
            <w:tcW w:w="1685" w:type="dxa"/>
          </w:tcPr>
          <w:p w14:paraId="06152294" w14:textId="77777777" w:rsidR="004345B5" w:rsidRDefault="004345B5" w:rsidP="004C7B27">
            <w:pPr>
              <w:tabs>
                <w:tab w:val="left" w:pos="720"/>
              </w:tabs>
              <w:spacing w:before="0"/>
              <w:jc w:val="left"/>
              <w:rPr>
                <w:szCs w:val="24"/>
                <w:lang w:val="en-GB"/>
              </w:rPr>
            </w:pPr>
            <w:r>
              <w:rPr>
                <w:rFonts w:hint="eastAsia"/>
                <w:szCs w:val="24"/>
                <w:lang w:val="en-GB"/>
              </w:rPr>
              <w:t>事由：</w:t>
            </w:r>
          </w:p>
        </w:tc>
        <w:tc>
          <w:tcPr>
            <w:tcW w:w="8342" w:type="dxa"/>
            <w:gridSpan w:val="2"/>
          </w:tcPr>
          <w:p w14:paraId="73DC3D56" w14:textId="77777777" w:rsidR="004345B5" w:rsidRDefault="004345B5" w:rsidP="004C7B27">
            <w:pPr>
              <w:tabs>
                <w:tab w:val="clear" w:pos="794"/>
                <w:tab w:val="clear" w:pos="1191"/>
                <w:tab w:val="clear" w:pos="1588"/>
                <w:tab w:val="clear" w:pos="1985"/>
                <w:tab w:val="left" w:pos="6690"/>
              </w:tabs>
              <w:spacing w:before="0" w:after="360" w:line="276" w:lineRule="auto"/>
              <w:rPr>
                <w:rFonts w:eastAsia="Times New Roman"/>
                <w:b/>
                <w:bCs/>
                <w:szCs w:val="24"/>
                <w:lang w:eastAsia="zh-CN"/>
              </w:rPr>
            </w:pPr>
            <w:r>
              <w:rPr>
                <w:rFonts w:asciiTheme="minorHAnsi" w:hAnsiTheme="minorHAnsi" w:cstheme="minorHAnsi" w:hint="eastAsia"/>
                <w:b/>
                <w:bCs/>
                <w:szCs w:val="24"/>
                <w:lang w:val="en-GB" w:eastAsia="zh-CN"/>
              </w:rPr>
              <w:t>关于空间无线电监测设施的在线信息</w:t>
            </w:r>
          </w:p>
        </w:tc>
      </w:tr>
    </w:tbl>
    <w:bookmarkEnd w:id="2"/>
    <w:p w14:paraId="2BE6D019" w14:textId="77777777" w:rsidR="004345B5" w:rsidRDefault="004345B5" w:rsidP="003944CC">
      <w:pPr>
        <w:tabs>
          <w:tab w:val="left" w:pos="2835"/>
        </w:tabs>
        <w:spacing w:before="240" w:line="276" w:lineRule="auto"/>
        <w:rPr>
          <w:szCs w:val="24"/>
          <w:lang w:val="en-GB" w:eastAsia="zh-CN"/>
        </w:rPr>
      </w:pPr>
      <w:r>
        <w:rPr>
          <w:rFonts w:eastAsia="SimSun"/>
          <w:szCs w:val="24"/>
          <w:lang w:eastAsia="zh-CN"/>
        </w:rPr>
        <w:t>2022</w:t>
      </w:r>
      <w:r>
        <w:rPr>
          <w:rFonts w:eastAsia="SimSun"/>
          <w:szCs w:val="24"/>
          <w:lang w:eastAsia="zh-CN"/>
        </w:rPr>
        <w:t>年</w:t>
      </w:r>
      <w:r>
        <w:rPr>
          <w:rFonts w:eastAsia="SimSun"/>
          <w:szCs w:val="24"/>
          <w:lang w:eastAsia="zh-CN"/>
        </w:rPr>
        <w:t>9</w:t>
      </w:r>
      <w:r>
        <w:rPr>
          <w:rFonts w:eastAsia="SimSun"/>
          <w:szCs w:val="24"/>
          <w:lang w:eastAsia="zh-CN"/>
        </w:rPr>
        <w:t>月</w:t>
      </w:r>
      <w:r>
        <w:rPr>
          <w:rFonts w:eastAsia="SimSun"/>
          <w:szCs w:val="24"/>
          <w:lang w:eastAsia="zh-CN"/>
        </w:rPr>
        <w:t>26</w:t>
      </w:r>
      <w:r>
        <w:rPr>
          <w:rFonts w:eastAsia="SimSun"/>
          <w:szCs w:val="24"/>
          <w:lang w:eastAsia="zh-CN"/>
        </w:rPr>
        <w:t>日至</w:t>
      </w:r>
      <w:r>
        <w:rPr>
          <w:rFonts w:eastAsia="SimSun"/>
          <w:szCs w:val="24"/>
          <w:lang w:eastAsia="zh-CN"/>
        </w:rPr>
        <w:t>10</w:t>
      </w:r>
      <w:r>
        <w:rPr>
          <w:rFonts w:eastAsia="SimSun"/>
          <w:szCs w:val="24"/>
          <w:lang w:eastAsia="zh-CN"/>
        </w:rPr>
        <w:t>月</w:t>
      </w:r>
      <w:r>
        <w:rPr>
          <w:rFonts w:eastAsia="SimSun"/>
          <w:szCs w:val="24"/>
          <w:lang w:eastAsia="zh-CN"/>
        </w:rPr>
        <w:t>14</w:t>
      </w:r>
      <w:r>
        <w:rPr>
          <w:rFonts w:eastAsia="SimSun"/>
          <w:szCs w:val="24"/>
          <w:lang w:eastAsia="zh-CN"/>
        </w:rPr>
        <w:t>日</w:t>
      </w:r>
      <w:r>
        <w:rPr>
          <w:rFonts w:hint="eastAsia"/>
          <w:szCs w:val="24"/>
          <w:lang w:eastAsia="zh-CN"/>
        </w:rPr>
        <w:t>，</w:t>
      </w:r>
      <w:r>
        <w:rPr>
          <w:rFonts w:eastAsia="SimSun"/>
          <w:szCs w:val="24"/>
          <w:lang w:eastAsia="zh-CN"/>
        </w:rPr>
        <w:t>国际电联全权代表</w:t>
      </w:r>
      <w:r>
        <w:rPr>
          <w:rFonts w:hint="eastAsia"/>
          <w:szCs w:val="24"/>
          <w:lang w:eastAsia="zh-CN"/>
        </w:rPr>
        <w:t>大会</w:t>
      </w:r>
      <w:r>
        <w:rPr>
          <w:rFonts w:eastAsia="SimSun"/>
          <w:szCs w:val="24"/>
          <w:lang w:eastAsia="zh-CN"/>
        </w:rPr>
        <w:t>在罗马尼亚布加勒斯特</w:t>
      </w:r>
      <w:r>
        <w:rPr>
          <w:rFonts w:hint="eastAsia"/>
          <w:szCs w:val="24"/>
          <w:lang w:eastAsia="zh-CN"/>
        </w:rPr>
        <w:t>召开。鉴于目前</w:t>
      </w:r>
      <w:r>
        <w:rPr>
          <w:rFonts w:eastAsia="SimSun"/>
          <w:szCs w:val="24"/>
          <w:lang w:eastAsia="zh-CN"/>
        </w:rPr>
        <w:t>或</w:t>
      </w:r>
      <w:r>
        <w:rPr>
          <w:rFonts w:hint="eastAsia"/>
          <w:szCs w:val="24"/>
          <w:lang w:eastAsia="zh-CN"/>
        </w:rPr>
        <w:t>在</w:t>
      </w:r>
      <w:r>
        <w:rPr>
          <w:rFonts w:eastAsia="SimSun"/>
          <w:szCs w:val="24"/>
          <w:lang w:eastAsia="zh-CN"/>
        </w:rPr>
        <w:t>不久的将来</w:t>
      </w:r>
      <w:r>
        <w:rPr>
          <w:rFonts w:hint="eastAsia"/>
          <w:szCs w:val="24"/>
          <w:lang w:eastAsia="zh-CN"/>
        </w:rPr>
        <w:t>计划部署的</w:t>
      </w:r>
      <w:r>
        <w:rPr>
          <w:rFonts w:eastAsia="SimSun"/>
          <w:szCs w:val="24"/>
          <w:lang w:eastAsia="zh-CN"/>
        </w:rPr>
        <w:t>空间系统</w:t>
      </w:r>
      <w:r>
        <w:rPr>
          <w:rFonts w:hint="eastAsia"/>
          <w:szCs w:val="24"/>
          <w:lang w:eastAsia="zh-CN"/>
        </w:rPr>
        <w:t>日益增多，大会</w:t>
      </w:r>
      <w:r>
        <w:rPr>
          <w:rFonts w:eastAsia="SimSun"/>
          <w:szCs w:val="24"/>
          <w:lang w:eastAsia="zh-CN"/>
        </w:rPr>
        <w:t>讨论了</w:t>
      </w:r>
      <w:r>
        <w:rPr>
          <w:rFonts w:hint="eastAsia"/>
          <w:szCs w:val="24"/>
          <w:lang w:eastAsia="zh-CN"/>
        </w:rPr>
        <w:t>此类系统</w:t>
      </w:r>
      <w:r>
        <w:rPr>
          <w:rFonts w:eastAsia="SimSun"/>
          <w:szCs w:val="24"/>
          <w:lang w:eastAsia="zh-CN"/>
        </w:rPr>
        <w:t>给无线电</w:t>
      </w:r>
      <w:r>
        <w:rPr>
          <w:rFonts w:hint="eastAsia"/>
          <w:szCs w:val="24"/>
          <w:lang w:eastAsia="zh-CN"/>
        </w:rPr>
        <w:t>频谱共用</w:t>
      </w:r>
      <w:r>
        <w:rPr>
          <w:rFonts w:eastAsia="SimSun"/>
          <w:szCs w:val="24"/>
          <w:lang w:eastAsia="zh-CN"/>
        </w:rPr>
        <w:t>带来的相应挑战</w:t>
      </w:r>
      <w:r>
        <w:rPr>
          <w:rFonts w:hint="eastAsia"/>
          <w:szCs w:val="24"/>
          <w:lang w:eastAsia="zh-CN"/>
        </w:rPr>
        <w:t>，并审议</w:t>
      </w:r>
      <w:r>
        <w:rPr>
          <w:rFonts w:eastAsia="SimSun"/>
          <w:szCs w:val="24"/>
          <w:lang w:eastAsia="zh-CN"/>
        </w:rPr>
        <w:t>了第</w:t>
      </w:r>
      <w:r>
        <w:rPr>
          <w:rFonts w:eastAsia="SimSun"/>
          <w:szCs w:val="24"/>
          <w:lang w:eastAsia="zh-CN"/>
        </w:rPr>
        <w:t>186</w:t>
      </w:r>
      <w:r>
        <w:rPr>
          <w:rFonts w:eastAsia="SimSun"/>
          <w:szCs w:val="24"/>
          <w:lang w:eastAsia="zh-CN"/>
        </w:rPr>
        <w:t>号决议</w:t>
      </w:r>
      <w:r>
        <w:rPr>
          <w:rFonts w:hint="eastAsia"/>
          <w:szCs w:val="24"/>
          <w:lang w:eastAsia="zh-CN"/>
        </w:rPr>
        <w:t xml:space="preserve"> </w:t>
      </w:r>
      <w:r>
        <w:rPr>
          <w:rFonts w:hint="eastAsia"/>
          <w:szCs w:val="24"/>
          <w:lang w:eastAsia="zh-CN"/>
        </w:rPr>
        <w:t>—</w:t>
      </w:r>
      <w:r>
        <w:rPr>
          <w:rFonts w:hint="eastAsia"/>
          <w:szCs w:val="24"/>
          <w:lang w:eastAsia="zh-CN"/>
        </w:rPr>
        <w:t xml:space="preserve"> </w:t>
      </w:r>
      <w:r>
        <w:rPr>
          <w:rFonts w:hint="eastAsia"/>
          <w:szCs w:val="24"/>
          <w:lang w:eastAsia="zh-CN"/>
        </w:rPr>
        <w:t>“</w:t>
      </w:r>
      <w:r>
        <w:rPr>
          <w:rFonts w:eastAsia="SimSun"/>
          <w:szCs w:val="24"/>
          <w:lang w:eastAsia="zh-CN"/>
        </w:rPr>
        <w:t>加强国际电联在增加外层空间活动透明度和树立信心措施方面的作用</w:t>
      </w:r>
      <w:r>
        <w:rPr>
          <w:rFonts w:hint="eastAsia"/>
          <w:szCs w:val="24"/>
          <w:lang w:eastAsia="zh-CN"/>
        </w:rPr>
        <w:t>”</w:t>
      </w:r>
      <w:r>
        <w:rPr>
          <w:rFonts w:eastAsia="SimSun"/>
          <w:szCs w:val="24"/>
          <w:lang w:eastAsia="zh-CN"/>
        </w:rPr>
        <w:t>。</w:t>
      </w:r>
    </w:p>
    <w:p w14:paraId="50CA1597" w14:textId="77777777" w:rsidR="004345B5" w:rsidRPr="007979B9" w:rsidRDefault="004345B5" w:rsidP="003944CC">
      <w:pPr>
        <w:tabs>
          <w:tab w:val="left" w:pos="2835"/>
        </w:tabs>
        <w:spacing w:before="240" w:line="276" w:lineRule="auto"/>
        <w:rPr>
          <w:szCs w:val="24"/>
          <w:lang w:eastAsia="zh-CN"/>
        </w:rPr>
      </w:pPr>
      <w:r>
        <w:rPr>
          <w:rFonts w:eastAsia="SimSun"/>
          <w:szCs w:val="24"/>
          <w:lang w:eastAsia="zh-CN"/>
        </w:rPr>
        <w:t>特别是，当考虑</w:t>
      </w:r>
      <w:r>
        <w:rPr>
          <w:rFonts w:hint="eastAsia"/>
          <w:szCs w:val="24"/>
          <w:lang w:eastAsia="zh-CN"/>
        </w:rPr>
        <w:t>到</w:t>
      </w:r>
      <w:r>
        <w:rPr>
          <w:rFonts w:eastAsia="SimSun" w:hint="eastAsia"/>
          <w:szCs w:val="24"/>
          <w:lang w:eastAsia="zh-CN"/>
        </w:rPr>
        <w:t>：</w:t>
      </w:r>
    </w:p>
    <w:p w14:paraId="73AB18C5" w14:textId="77777777" w:rsidR="004345B5" w:rsidRDefault="004345B5" w:rsidP="007027CA">
      <w:pPr>
        <w:pStyle w:val="enumlev1"/>
        <w:tabs>
          <w:tab w:val="clear" w:pos="794"/>
          <w:tab w:val="clear" w:pos="1588"/>
          <w:tab w:val="left" w:pos="1276"/>
        </w:tabs>
        <w:spacing w:before="240" w:line="276" w:lineRule="auto"/>
        <w:ind w:left="851" w:hanging="227"/>
        <w:rPr>
          <w:rFonts w:eastAsia="STKaiti"/>
          <w:szCs w:val="24"/>
          <w:lang w:eastAsia="zh-CN"/>
        </w:rPr>
      </w:pPr>
      <w:r w:rsidRPr="007979B9">
        <w:rPr>
          <w:rFonts w:ascii="STKaiti" w:eastAsia="STKaiti" w:hAnsi="STKaiti" w:hint="eastAsia"/>
          <w:iCs/>
          <w:szCs w:val="24"/>
          <w:lang w:eastAsia="zh-CN"/>
        </w:rPr>
        <w:t>“</w:t>
      </w:r>
      <w:r>
        <w:rPr>
          <w:rFonts w:eastAsia="STKaiti"/>
          <w:i/>
          <w:szCs w:val="24"/>
          <w:lang w:eastAsia="zh-CN"/>
        </w:rPr>
        <w:t>a)</w:t>
      </w:r>
      <w:r>
        <w:rPr>
          <w:rFonts w:eastAsia="STKaiti"/>
          <w:szCs w:val="24"/>
          <w:lang w:eastAsia="zh-CN"/>
        </w:rPr>
        <w:tab/>
      </w:r>
      <w:r>
        <w:rPr>
          <w:rFonts w:eastAsia="STKaiti" w:hint="eastAsia"/>
          <w:szCs w:val="24"/>
          <w:lang w:eastAsia="zh-CN"/>
        </w:rPr>
        <w:t>国际电联各成员国尤其依靠卫星地球探测、卫星无线电通信、卫星无线电导航和空间研究业务等可靠的空间无线电通信业务；</w:t>
      </w:r>
    </w:p>
    <w:p w14:paraId="05E23262" w14:textId="77777777" w:rsidR="004345B5" w:rsidRDefault="004345B5" w:rsidP="007027CA">
      <w:pPr>
        <w:pStyle w:val="enumlev1"/>
        <w:tabs>
          <w:tab w:val="clear" w:pos="794"/>
          <w:tab w:val="left" w:pos="851"/>
        </w:tabs>
        <w:spacing w:before="240" w:line="276" w:lineRule="auto"/>
        <w:ind w:firstLine="57"/>
        <w:rPr>
          <w:i/>
          <w:iCs/>
          <w:szCs w:val="24"/>
          <w:lang w:eastAsia="zh-CN"/>
        </w:rPr>
      </w:pPr>
      <w:r>
        <w:rPr>
          <w:rFonts w:eastAsia="STKaiti"/>
          <w:i/>
          <w:szCs w:val="24"/>
          <w:lang w:eastAsia="zh-CN"/>
        </w:rPr>
        <w:t>b)</w:t>
      </w:r>
      <w:r>
        <w:rPr>
          <w:rFonts w:eastAsia="STKaiti"/>
          <w:szCs w:val="24"/>
          <w:lang w:eastAsia="zh-CN"/>
        </w:rPr>
        <w:tab/>
      </w:r>
      <w:r>
        <w:rPr>
          <w:rFonts w:eastAsia="STKaiti" w:hint="eastAsia"/>
          <w:szCs w:val="24"/>
          <w:lang w:eastAsia="zh-CN"/>
        </w:rPr>
        <w:t>国际电联</w:t>
      </w:r>
      <w:r>
        <w:rPr>
          <w:rFonts w:eastAsia="STKaiti"/>
          <w:szCs w:val="24"/>
          <w:lang w:eastAsia="zh-CN"/>
        </w:rPr>
        <w:t>无线电通信部门（</w:t>
      </w:r>
      <w:r>
        <w:rPr>
          <w:rFonts w:eastAsia="STKaiti" w:hint="eastAsia"/>
          <w:szCs w:val="24"/>
          <w:lang w:eastAsia="zh-CN"/>
        </w:rPr>
        <w:t>ITU-R</w:t>
      </w:r>
      <w:r>
        <w:rPr>
          <w:rFonts w:eastAsia="STKaiti"/>
          <w:szCs w:val="24"/>
          <w:lang w:eastAsia="zh-CN"/>
        </w:rPr>
        <w:t>）</w:t>
      </w:r>
      <w:r>
        <w:rPr>
          <w:rFonts w:eastAsia="STKaiti" w:hint="eastAsia"/>
          <w:szCs w:val="24"/>
          <w:lang w:eastAsia="zh-CN"/>
        </w:rPr>
        <w:t>的战略目标之一是，</w:t>
      </w:r>
      <w:r>
        <w:rPr>
          <w:rFonts w:ascii="SimSun" w:eastAsia="STKaiti" w:hAnsi="SimSun" w:hint="eastAsia"/>
          <w:szCs w:val="24"/>
          <w:lang w:eastAsia="zh-CN"/>
        </w:rPr>
        <w:t>‘</w:t>
      </w:r>
      <w:r>
        <w:rPr>
          <w:rFonts w:eastAsia="STKaiti" w:hint="eastAsia"/>
          <w:szCs w:val="24"/>
          <w:lang w:eastAsia="zh-CN"/>
        </w:rPr>
        <w:t>通过实施《无线电规则》和区域性协议，有效而及时地通过世界无线电通信大会和区域性无线电通信大会更新上述法律文件确保无线电通信系统的无干扰运行</w:t>
      </w:r>
      <w:r>
        <w:rPr>
          <w:rFonts w:ascii="SimSun" w:eastAsia="STKaiti" w:hAnsi="SimSun" w:hint="eastAsia"/>
          <w:szCs w:val="24"/>
          <w:lang w:eastAsia="zh-CN"/>
        </w:rPr>
        <w:t>’</w:t>
      </w:r>
      <w:r w:rsidRPr="007979B9">
        <w:rPr>
          <w:rFonts w:ascii="STKaiti" w:eastAsia="STKaiti" w:hAnsi="STKaiti" w:hint="eastAsia"/>
          <w:szCs w:val="24"/>
          <w:lang w:eastAsia="zh-CN"/>
        </w:rPr>
        <w:t>；”</w:t>
      </w:r>
    </w:p>
    <w:p w14:paraId="51B393F8" w14:textId="77777777" w:rsidR="004345B5" w:rsidRDefault="004345B5" w:rsidP="003944CC">
      <w:pPr>
        <w:tabs>
          <w:tab w:val="left" w:pos="2835"/>
        </w:tabs>
        <w:spacing w:before="240" w:line="276" w:lineRule="auto"/>
        <w:rPr>
          <w:szCs w:val="24"/>
          <w:lang w:eastAsia="zh-CN"/>
        </w:rPr>
      </w:pPr>
      <w:r>
        <w:rPr>
          <w:rFonts w:hint="eastAsia"/>
          <w:szCs w:val="24"/>
          <w:lang w:eastAsia="zh-CN"/>
        </w:rPr>
        <w:t>此外，</w:t>
      </w:r>
      <w:r>
        <w:rPr>
          <w:rFonts w:eastAsia="SimSun"/>
          <w:szCs w:val="24"/>
          <w:lang w:eastAsia="zh-CN"/>
        </w:rPr>
        <w:t>考虑到《无线电</w:t>
      </w:r>
      <w:r>
        <w:rPr>
          <w:rFonts w:eastAsia="SimSun" w:hint="eastAsia"/>
          <w:szCs w:val="24"/>
          <w:lang w:eastAsia="zh-CN"/>
        </w:rPr>
        <w:t>规则</w:t>
      </w:r>
      <w:r>
        <w:rPr>
          <w:rFonts w:eastAsia="SimSun"/>
          <w:szCs w:val="24"/>
          <w:lang w:eastAsia="zh-CN"/>
        </w:rPr>
        <w:t>》第</w:t>
      </w:r>
      <w:r>
        <w:rPr>
          <w:rFonts w:eastAsia="SimSun"/>
          <w:szCs w:val="24"/>
          <w:lang w:eastAsia="zh-CN"/>
        </w:rPr>
        <w:t>15</w:t>
      </w:r>
      <w:r>
        <w:rPr>
          <w:rFonts w:eastAsia="SimSun"/>
          <w:szCs w:val="24"/>
          <w:lang w:eastAsia="zh-CN"/>
        </w:rPr>
        <w:t>和第</w:t>
      </w:r>
      <w:r>
        <w:rPr>
          <w:rFonts w:eastAsia="SimSun"/>
          <w:szCs w:val="24"/>
          <w:lang w:eastAsia="zh-CN"/>
        </w:rPr>
        <w:t>16</w:t>
      </w:r>
      <w:r>
        <w:rPr>
          <w:rFonts w:eastAsia="SimSun"/>
          <w:szCs w:val="24"/>
          <w:lang w:eastAsia="zh-CN"/>
        </w:rPr>
        <w:t>条，</w:t>
      </w:r>
      <w:r>
        <w:rPr>
          <w:rFonts w:hint="eastAsia"/>
          <w:szCs w:val="24"/>
          <w:lang w:eastAsia="zh-CN"/>
        </w:rPr>
        <w:t>大会责成</w:t>
      </w:r>
      <w:r>
        <w:rPr>
          <w:rFonts w:eastAsia="SimSun"/>
          <w:szCs w:val="24"/>
          <w:lang w:eastAsia="zh-CN"/>
        </w:rPr>
        <w:t>无线电通信局</w:t>
      </w:r>
      <w:r>
        <w:rPr>
          <w:rFonts w:eastAsia="SimSun" w:hint="eastAsia"/>
          <w:szCs w:val="24"/>
          <w:lang w:eastAsia="zh-CN"/>
        </w:rPr>
        <w:t>主任：</w:t>
      </w:r>
    </w:p>
    <w:p w14:paraId="71407E09" w14:textId="2E646348" w:rsidR="004345B5" w:rsidRDefault="004345B5" w:rsidP="007979B9">
      <w:pPr>
        <w:tabs>
          <w:tab w:val="clear" w:pos="1191"/>
          <w:tab w:val="left" w:pos="1276"/>
          <w:tab w:val="left" w:pos="2835"/>
        </w:tabs>
        <w:spacing w:before="240" w:line="276" w:lineRule="auto"/>
        <w:ind w:left="709"/>
        <w:rPr>
          <w:rFonts w:eastAsia="STKaiti"/>
          <w:i/>
          <w:iCs/>
          <w:szCs w:val="24"/>
          <w:lang w:eastAsia="zh-CN"/>
        </w:rPr>
      </w:pPr>
      <w:r w:rsidRPr="007979B9">
        <w:rPr>
          <w:rFonts w:ascii="STKaiti" w:eastAsia="STKaiti" w:hAnsi="STKaiti" w:hint="eastAsia"/>
          <w:szCs w:val="24"/>
          <w:lang w:eastAsia="zh-CN"/>
        </w:rPr>
        <w:t>“</w:t>
      </w:r>
      <w:r w:rsidRPr="007979B9">
        <w:rPr>
          <w:rFonts w:eastAsia="STKaiti"/>
          <w:szCs w:val="24"/>
          <w:lang w:eastAsia="zh-CN"/>
        </w:rPr>
        <w:t>2</w:t>
      </w:r>
      <w:r>
        <w:rPr>
          <w:rFonts w:eastAsia="STKaiti" w:hint="eastAsia"/>
          <w:szCs w:val="24"/>
          <w:lang w:eastAsia="zh-CN"/>
        </w:rPr>
        <w:t>)</w:t>
      </w:r>
      <w:r w:rsidR="007979B9">
        <w:rPr>
          <w:rFonts w:eastAsia="STKaiti"/>
          <w:szCs w:val="24"/>
          <w:lang w:eastAsia="zh-CN"/>
        </w:rPr>
        <w:tab/>
      </w:r>
      <w:r>
        <w:rPr>
          <w:rFonts w:eastAsia="STKaiti" w:hint="eastAsia"/>
          <w:szCs w:val="24"/>
          <w:lang w:eastAsia="zh-CN"/>
        </w:rPr>
        <w:t>向主管部门提供与卫星监测设施有关的信息；以及（</w:t>
      </w:r>
      <w:r>
        <w:rPr>
          <w:rFonts w:eastAsia="STKaiti" w:hint="eastAsia"/>
          <w:szCs w:val="24"/>
          <w:lang w:eastAsia="zh-CN"/>
        </w:rPr>
        <w:t>......</w:t>
      </w:r>
      <w:r>
        <w:rPr>
          <w:rFonts w:eastAsia="STKaiti" w:hint="eastAsia"/>
          <w:szCs w:val="24"/>
          <w:lang w:eastAsia="zh-CN"/>
        </w:rPr>
        <w:t>）</w:t>
      </w:r>
    </w:p>
    <w:p w14:paraId="52302384" w14:textId="77777777" w:rsidR="004345B5" w:rsidRDefault="004345B5" w:rsidP="007027CA">
      <w:pPr>
        <w:tabs>
          <w:tab w:val="clear" w:pos="1191"/>
          <w:tab w:val="left" w:pos="1276"/>
          <w:tab w:val="left" w:pos="2835"/>
        </w:tabs>
        <w:spacing w:before="240" w:line="276" w:lineRule="auto"/>
        <w:ind w:left="426" w:firstLine="425"/>
        <w:rPr>
          <w:rFonts w:eastAsia="STKaiti"/>
          <w:i/>
          <w:iCs/>
          <w:szCs w:val="24"/>
          <w:lang w:eastAsia="zh-CN"/>
        </w:rPr>
      </w:pPr>
      <w:r w:rsidRPr="007979B9">
        <w:rPr>
          <w:rFonts w:eastAsia="STKaiti"/>
          <w:szCs w:val="24"/>
          <w:lang w:eastAsia="zh-CN"/>
        </w:rPr>
        <w:t>7</w:t>
      </w:r>
      <w:r>
        <w:rPr>
          <w:rFonts w:eastAsia="STKaiti" w:hint="eastAsia"/>
          <w:szCs w:val="24"/>
          <w:lang w:eastAsia="zh-CN"/>
        </w:rPr>
        <w:t>)</w:t>
      </w:r>
      <w:r>
        <w:rPr>
          <w:rFonts w:eastAsia="STKaiti"/>
          <w:szCs w:val="24"/>
          <w:lang w:eastAsia="zh-CN"/>
        </w:rPr>
        <w:tab/>
      </w:r>
      <w:r>
        <w:rPr>
          <w:rFonts w:eastAsia="STKaiti" w:hint="eastAsia"/>
          <w:szCs w:val="24"/>
          <w:lang w:eastAsia="zh-CN"/>
        </w:rPr>
        <w:t>报告本决议的落实情况</w:t>
      </w:r>
      <w:r w:rsidRPr="007979B9">
        <w:rPr>
          <w:rFonts w:ascii="STKaiti" w:eastAsia="STKaiti" w:hAnsi="STKaiti" w:hint="eastAsia"/>
          <w:szCs w:val="24"/>
          <w:lang w:eastAsia="zh-CN"/>
        </w:rPr>
        <w:t>。”</w:t>
      </w:r>
    </w:p>
    <w:p w14:paraId="1BCF6FB9" w14:textId="77777777" w:rsidR="004345B5" w:rsidRDefault="004345B5" w:rsidP="003944CC">
      <w:pPr>
        <w:tabs>
          <w:tab w:val="left" w:pos="2835"/>
        </w:tabs>
        <w:spacing w:before="240" w:line="276" w:lineRule="auto"/>
        <w:rPr>
          <w:szCs w:val="24"/>
          <w:lang w:eastAsia="zh-CN"/>
        </w:rPr>
      </w:pPr>
      <w:r>
        <w:rPr>
          <w:rFonts w:eastAsia="SimSun"/>
          <w:szCs w:val="24"/>
          <w:lang w:eastAsia="zh-CN"/>
        </w:rPr>
        <w:t>在</w:t>
      </w:r>
      <w:r>
        <w:rPr>
          <w:rFonts w:eastAsia="SimSun" w:hint="eastAsia"/>
          <w:szCs w:val="24"/>
          <w:lang w:eastAsia="zh-CN"/>
        </w:rPr>
        <w:t>此</w:t>
      </w:r>
      <w:r>
        <w:rPr>
          <w:rFonts w:eastAsia="SimSun"/>
          <w:szCs w:val="24"/>
          <w:lang w:eastAsia="zh-CN"/>
        </w:rPr>
        <w:t>方面，我高兴地通知</w:t>
      </w:r>
      <w:r>
        <w:rPr>
          <w:rFonts w:hint="eastAsia"/>
          <w:szCs w:val="24"/>
          <w:lang w:eastAsia="zh-CN"/>
        </w:rPr>
        <w:t>贵主管部门</w:t>
      </w:r>
      <w:r>
        <w:rPr>
          <w:rFonts w:eastAsia="SimSun"/>
          <w:szCs w:val="24"/>
          <w:lang w:eastAsia="zh-CN"/>
        </w:rPr>
        <w:t>，无线电通信局已为此开发了一个新的专门网页，网址</w:t>
      </w:r>
      <w:r>
        <w:rPr>
          <w:rFonts w:hint="eastAsia"/>
          <w:szCs w:val="24"/>
          <w:lang w:eastAsia="zh-CN"/>
        </w:rPr>
        <w:t>如下</w:t>
      </w:r>
      <w:r>
        <w:rPr>
          <w:rFonts w:eastAsia="SimSun" w:hint="eastAsia"/>
          <w:szCs w:val="24"/>
          <w:lang w:eastAsia="zh-CN"/>
        </w:rPr>
        <w:t>：</w:t>
      </w:r>
    </w:p>
    <w:p w14:paraId="7FFDCDD7" w14:textId="77777777" w:rsidR="004345B5" w:rsidRDefault="003944CC" w:rsidP="004345B5">
      <w:pPr>
        <w:tabs>
          <w:tab w:val="left" w:pos="2835"/>
        </w:tabs>
        <w:spacing w:before="240" w:line="276" w:lineRule="auto"/>
        <w:jc w:val="center"/>
        <w:rPr>
          <w:color w:val="0000FF"/>
          <w:szCs w:val="24"/>
          <w:u w:val="single"/>
        </w:rPr>
      </w:pPr>
      <w:hyperlink r:id="rId8" w:history="1">
        <w:r w:rsidR="004345B5">
          <w:rPr>
            <w:rStyle w:val="Hyperlink"/>
            <w:szCs w:val="24"/>
          </w:rPr>
          <w:t>https://www.itu.int/en/ITU-R/space/Pages/ITU-Space-RadioMonitoring.aspx</w:t>
        </w:r>
      </w:hyperlink>
    </w:p>
    <w:p w14:paraId="46CEB5CE" w14:textId="77777777" w:rsidR="004345B5" w:rsidRDefault="004345B5" w:rsidP="004345B5">
      <w:pPr>
        <w:tabs>
          <w:tab w:val="left" w:pos="720"/>
        </w:tabs>
        <w:overflowPunct/>
        <w:autoSpaceDE/>
        <w:adjustRightInd/>
        <w:spacing w:before="0" w:line="240" w:lineRule="auto"/>
        <w:jc w:val="left"/>
        <w:rPr>
          <w:color w:val="0000FF"/>
          <w:szCs w:val="24"/>
          <w:u w:val="single"/>
        </w:rPr>
      </w:pPr>
      <w:r>
        <w:rPr>
          <w:color w:val="0000FF"/>
          <w:szCs w:val="24"/>
          <w:u w:val="single"/>
        </w:rPr>
        <w:br w:type="page"/>
      </w:r>
    </w:p>
    <w:p w14:paraId="03216DB1" w14:textId="77777777" w:rsidR="004345B5" w:rsidRDefault="004345B5" w:rsidP="003944CC">
      <w:pPr>
        <w:tabs>
          <w:tab w:val="left" w:pos="2835"/>
        </w:tabs>
        <w:spacing w:before="240" w:line="276" w:lineRule="auto"/>
        <w:rPr>
          <w:szCs w:val="24"/>
          <w:lang w:eastAsia="zh-CN"/>
        </w:rPr>
      </w:pPr>
      <w:r>
        <w:rPr>
          <w:rFonts w:eastAsia="SimSun"/>
          <w:szCs w:val="24"/>
          <w:lang w:eastAsia="zh-CN"/>
        </w:rPr>
        <w:lastRenderedPageBreak/>
        <w:t>请</w:t>
      </w:r>
      <w:r>
        <w:rPr>
          <w:rFonts w:eastAsia="SimSun" w:hint="eastAsia"/>
          <w:szCs w:val="24"/>
          <w:lang w:eastAsia="zh-CN"/>
        </w:rPr>
        <w:t>贵主管部门</w:t>
      </w:r>
      <w:r>
        <w:rPr>
          <w:rFonts w:eastAsia="SimSun"/>
          <w:szCs w:val="24"/>
          <w:lang w:eastAsia="zh-CN"/>
        </w:rPr>
        <w:t>访问</w:t>
      </w:r>
      <w:r>
        <w:rPr>
          <w:rFonts w:hint="eastAsia"/>
          <w:szCs w:val="24"/>
          <w:lang w:eastAsia="zh-CN"/>
        </w:rPr>
        <w:t>该</w:t>
      </w:r>
      <w:r>
        <w:rPr>
          <w:rFonts w:eastAsia="SimSun"/>
          <w:szCs w:val="24"/>
          <w:lang w:eastAsia="zh-CN"/>
        </w:rPr>
        <w:t>网页，其中提供了有关空间监测设施的技术和行政信息，包括国际电联与白俄罗斯、巴西、中国、德国、韩国、阿曼苏丹国、巴基斯坦和越南</w:t>
      </w:r>
      <w:r>
        <w:rPr>
          <w:rFonts w:hint="eastAsia"/>
          <w:szCs w:val="24"/>
          <w:lang w:eastAsia="zh-CN"/>
        </w:rPr>
        <w:t>主管部门</w:t>
      </w:r>
      <w:r>
        <w:rPr>
          <w:rFonts w:eastAsia="SimSun"/>
          <w:szCs w:val="24"/>
          <w:lang w:eastAsia="zh-CN"/>
        </w:rPr>
        <w:t>签署的谅解备忘录。</w:t>
      </w:r>
    </w:p>
    <w:p w14:paraId="3479C836" w14:textId="77777777" w:rsidR="004345B5" w:rsidRDefault="004345B5" w:rsidP="003944CC">
      <w:pPr>
        <w:tabs>
          <w:tab w:val="left" w:pos="2835"/>
        </w:tabs>
        <w:spacing w:before="240" w:line="276" w:lineRule="auto"/>
        <w:rPr>
          <w:szCs w:val="24"/>
          <w:lang w:eastAsia="zh-CN"/>
        </w:rPr>
      </w:pPr>
      <w:r>
        <w:rPr>
          <w:rFonts w:hint="eastAsia"/>
          <w:szCs w:val="24"/>
          <w:lang w:eastAsia="zh-CN"/>
        </w:rPr>
        <w:t>该网页</w:t>
      </w:r>
      <w:r>
        <w:rPr>
          <w:rFonts w:eastAsia="SimSun"/>
          <w:szCs w:val="24"/>
          <w:lang w:eastAsia="zh-CN"/>
        </w:rPr>
        <w:t>还</w:t>
      </w:r>
      <w:r>
        <w:rPr>
          <w:rFonts w:hint="eastAsia"/>
          <w:szCs w:val="24"/>
          <w:lang w:eastAsia="zh-CN"/>
        </w:rPr>
        <w:t>包括</w:t>
      </w:r>
      <w:r>
        <w:rPr>
          <w:rFonts w:eastAsia="SimSun"/>
          <w:szCs w:val="24"/>
          <w:lang w:eastAsia="zh-CN"/>
        </w:rPr>
        <w:t>与国际监测</w:t>
      </w:r>
      <w:r>
        <w:rPr>
          <w:rFonts w:hint="eastAsia"/>
          <w:szCs w:val="24"/>
          <w:lang w:eastAsia="zh-CN"/>
        </w:rPr>
        <w:t>电台表的表</w:t>
      </w:r>
      <w:r>
        <w:rPr>
          <w:rFonts w:eastAsia="SimSun"/>
          <w:szCs w:val="24"/>
          <w:lang w:eastAsia="zh-CN"/>
        </w:rPr>
        <w:t>VIII</w:t>
      </w:r>
      <w:r>
        <w:rPr>
          <w:rFonts w:eastAsia="SimSun"/>
          <w:szCs w:val="24"/>
          <w:lang w:eastAsia="zh-CN"/>
        </w:rPr>
        <w:t>相关的在线数据库的链接，以及</w:t>
      </w:r>
      <w:r>
        <w:rPr>
          <w:szCs w:val="24"/>
          <w:lang w:eastAsia="zh-CN"/>
        </w:rPr>
        <w:t>ITU-R</w:t>
      </w:r>
      <w:r>
        <w:rPr>
          <w:rFonts w:hint="eastAsia"/>
          <w:szCs w:val="24"/>
          <w:lang w:eastAsia="zh-CN"/>
        </w:rPr>
        <w:t>有关</w:t>
      </w:r>
      <w:r>
        <w:rPr>
          <w:rFonts w:eastAsia="SimSun"/>
          <w:szCs w:val="24"/>
          <w:lang w:eastAsia="zh-CN"/>
        </w:rPr>
        <w:t>卫星监测和干扰报告的其他相关建议</w:t>
      </w:r>
      <w:r>
        <w:rPr>
          <w:rFonts w:hint="eastAsia"/>
          <w:szCs w:val="24"/>
          <w:lang w:eastAsia="zh-CN"/>
        </w:rPr>
        <w:t>书</w:t>
      </w:r>
      <w:r>
        <w:rPr>
          <w:rFonts w:eastAsia="SimSun"/>
          <w:szCs w:val="24"/>
          <w:lang w:eastAsia="zh-CN"/>
        </w:rPr>
        <w:t>。</w:t>
      </w:r>
    </w:p>
    <w:p w14:paraId="3F02A034" w14:textId="77777777" w:rsidR="004345B5" w:rsidRDefault="004345B5" w:rsidP="003944CC">
      <w:pPr>
        <w:tabs>
          <w:tab w:val="left" w:pos="2835"/>
        </w:tabs>
        <w:spacing w:before="240" w:line="276" w:lineRule="auto"/>
        <w:rPr>
          <w:szCs w:val="24"/>
          <w:lang w:eastAsia="zh-CN"/>
        </w:rPr>
      </w:pPr>
      <w:r>
        <w:rPr>
          <w:rFonts w:eastAsia="SimSun"/>
          <w:szCs w:val="24"/>
          <w:lang w:eastAsia="zh-CN"/>
        </w:rPr>
        <w:t>该网页将不断更新</w:t>
      </w:r>
      <w:r>
        <w:rPr>
          <w:rFonts w:hint="eastAsia"/>
          <w:szCs w:val="24"/>
          <w:lang w:eastAsia="zh-CN"/>
        </w:rPr>
        <w:t>有关此</w:t>
      </w:r>
      <w:r>
        <w:rPr>
          <w:rFonts w:eastAsia="SimSun"/>
          <w:szCs w:val="24"/>
          <w:lang w:eastAsia="zh-CN"/>
        </w:rPr>
        <w:t>领域</w:t>
      </w:r>
      <w:r>
        <w:rPr>
          <w:rFonts w:hint="eastAsia"/>
          <w:szCs w:val="24"/>
          <w:lang w:eastAsia="zh-CN"/>
        </w:rPr>
        <w:t>的任何</w:t>
      </w:r>
      <w:r>
        <w:rPr>
          <w:rFonts w:eastAsia="SimSun"/>
          <w:szCs w:val="24"/>
          <w:lang w:eastAsia="zh-CN"/>
        </w:rPr>
        <w:t>进一步信息。</w:t>
      </w:r>
    </w:p>
    <w:p w14:paraId="62C8BA8A" w14:textId="77777777" w:rsidR="004345B5" w:rsidRDefault="004345B5" w:rsidP="003944CC">
      <w:pPr>
        <w:rPr>
          <w:szCs w:val="24"/>
          <w:lang w:eastAsia="zh-CN"/>
        </w:rPr>
      </w:pPr>
      <w:r>
        <w:rPr>
          <w:rFonts w:eastAsia="SimSun"/>
          <w:szCs w:val="24"/>
          <w:lang w:eastAsia="zh-CN"/>
        </w:rPr>
        <w:t>在</w:t>
      </w:r>
      <w:r>
        <w:rPr>
          <w:rFonts w:eastAsia="SimSun" w:hint="eastAsia"/>
          <w:szCs w:val="24"/>
          <w:lang w:eastAsia="zh-CN"/>
        </w:rPr>
        <w:t>此</w:t>
      </w:r>
      <w:r>
        <w:rPr>
          <w:rFonts w:eastAsia="SimSun"/>
          <w:szCs w:val="24"/>
          <w:lang w:eastAsia="zh-CN"/>
        </w:rPr>
        <w:t>方面，</w:t>
      </w:r>
      <w:r>
        <w:rPr>
          <w:rFonts w:hint="eastAsia"/>
          <w:szCs w:val="24"/>
          <w:lang w:eastAsia="zh-CN"/>
        </w:rPr>
        <w:t>同时忆及</w:t>
      </w:r>
      <w:r>
        <w:rPr>
          <w:rFonts w:eastAsia="SimSun"/>
          <w:szCs w:val="24"/>
          <w:lang w:eastAsia="zh-CN"/>
        </w:rPr>
        <w:t>《无线电</w:t>
      </w:r>
      <w:r>
        <w:rPr>
          <w:rFonts w:hint="eastAsia"/>
          <w:szCs w:val="24"/>
          <w:lang w:eastAsia="zh-CN"/>
        </w:rPr>
        <w:t>规则</w:t>
      </w:r>
      <w:r>
        <w:rPr>
          <w:rFonts w:eastAsia="SimSun"/>
          <w:szCs w:val="24"/>
          <w:lang w:eastAsia="zh-CN"/>
        </w:rPr>
        <w:t>》第</w:t>
      </w:r>
      <w:r>
        <w:rPr>
          <w:rFonts w:eastAsia="SimSun"/>
          <w:szCs w:val="24"/>
          <w:lang w:eastAsia="zh-CN"/>
        </w:rPr>
        <w:t>16.1</w:t>
      </w:r>
      <w:r>
        <w:rPr>
          <w:rFonts w:hint="eastAsia"/>
          <w:szCs w:val="24"/>
          <w:lang w:eastAsia="zh-CN"/>
        </w:rPr>
        <w:t>款</w:t>
      </w:r>
      <w:r>
        <w:rPr>
          <w:rFonts w:eastAsia="SimSun"/>
          <w:szCs w:val="24"/>
          <w:lang w:eastAsia="zh-CN"/>
        </w:rPr>
        <w:t>，请拥有空间无线电监测设施的</w:t>
      </w:r>
      <w:r>
        <w:rPr>
          <w:rFonts w:hint="eastAsia"/>
          <w:szCs w:val="24"/>
          <w:lang w:eastAsia="zh-CN"/>
        </w:rPr>
        <w:t>主管部门</w:t>
      </w:r>
      <w:r>
        <w:rPr>
          <w:rFonts w:eastAsia="SimSun"/>
          <w:szCs w:val="24"/>
          <w:lang w:eastAsia="zh-CN"/>
        </w:rPr>
        <w:t>向无线电</w:t>
      </w:r>
      <w:r>
        <w:rPr>
          <w:rFonts w:hint="eastAsia"/>
          <w:szCs w:val="24"/>
          <w:lang w:eastAsia="zh-CN"/>
        </w:rPr>
        <w:t>通信</w:t>
      </w:r>
      <w:r>
        <w:rPr>
          <w:rFonts w:eastAsia="SimSun"/>
          <w:szCs w:val="24"/>
          <w:lang w:eastAsia="zh-CN"/>
        </w:rPr>
        <w:t>局通报其</w:t>
      </w:r>
      <w:r>
        <w:rPr>
          <w:rFonts w:hint="eastAsia"/>
          <w:szCs w:val="24"/>
          <w:lang w:eastAsia="zh-CN"/>
        </w:rPr>
        <w:t>设施</w:t>
      </w:r>
      <w:r>
        <w:rPr>
          <w:rFonts w:eastAsia="SimSun"/>
          <w:szCs w:val="24"/>
          <w:lang w:eastAsia="zh-CN"/>
        </w:rPr>
        <w:t>特性的</w:t>
      </w:r>
      <w:r>
        <w:rPr>
          <w:rFonts w:hint="eastAsia"/>
          <w:szCs w:val="24"/>
          <w:lang w:eastAsia="zh-CN"/>
        </w:rPr>
        <w:t>任何</w:t>
      </w:r>
      <w:r>
        <w:rPr>
          <w:rFonts w:eastAsia="SimSun"/>
          <w:szCs w:val="24"/>
          <w:lang w:eastAsia="zh-CN"/>
        </w:rPr>
        <w:t>最新情况，并加入在</w:t>
      </w:r>
      <w:r>
        <w:rPr>
          <w:rFonts w:hint="eastAsia"/>
          <w:szCs w:val="24"/>
          <w:lang w:eastAsia="zh-CN"/>
        </w:rPr>
        <w:t>此</w:t>
      </w:r>
      <w:r>
        <w:rPr>
          <w:rFonts w:eastAsia="SimSun"/>
          <w:szCs w:val="24"/>
          <w:lang w:eastAsia="zh-CN"/>
        </w:rPr>
        <w:t>领域</w:t>
      </w:r>
      <w:r>
        <w:rPr>
          <w:rFonts w:hint="eastAsia"/>
          <w:szCs w:val="24"/>
          <w:lang w:eastAsia="zh-CN"/>
        </w:rPr>
        <w:t>已</w:t>
      </w:r>
      <w:r>
        <w:rPr>
          <w:rFonts w:eastAsia="SimSun"/>
          <w:szCs w:val="24"/>
          <w:lang w:eastAsia="zh-CN"/>
        </w:rPr>
        <w:t>与国际电联签署谅解备忘录的国家行列。</w:t>
      </w:r>
    </w:p>
    <w:p w14:paraId="49A91D32" w14:textId="77777777" w:rsidR="004345B5" w:rsidRDefault="004345B5" w:rsidP="003944CC">
      <w:pPr>
        <w:tabs>
          <w:tab w:val="left" w:pos="2835"/>
        </w:tabs>
        <w:spacing w:before="240" w:line="276" w:lineRule="auto"/>
        <w:rPr>
          <w:szCs w:val="24"/>
          <w:lang w:eastAsia="zh-CN"/>
        </w:rPr>
      </w:pPr>
      <w:r>
        <w:rPr>
          <w:rFonts w:eastAsia="SimSun"/>
          <w:szCs w:val="24"/>
          <w:lang w:eastAsia="zh-CN"/>
        </w:rPr>
        <w:t>如</w:t>
      </w:r>
      <w:r>
        <w:rPr>
          <w:rFonts w:hint="eastAsia"/>
          <w:szCs w:val="24"/>
          <w:lang w:eastAsia="zh-CN"/>
        </w:rPr>
        <w:t>贵方</w:t>
      </w:r>
      <w:r>
        <w:rPr>
          <w:rFonts w:eastAsia="SimSun"/>
          <w:szCs w:val="24"/>
          <w:lang w:eastAsia="zh-CN"/>
        </w:rPr>
        <w:t>需要</w:t>
      </w:r>
      <w:r>
        <w:rPr>
          <w:rFonts w:hint="eastAsia"/>
          <w:szCs w:val="24"/>
          <w:lang w:eastAsia="zh-CN"/>
        </w:rPr>
        <w:t>有关</w:t>
      </w:r>
      <w:r>
        <w:rPr>
          <w:rFonts w:eastAsia="SimSun"/>
          <w:szCs w:val="24"/>
          <w:lang w:eastAsia="zh-CN"/>
        </w:rPr>
        <w:t>空间无线电监测问题的进一步信息，</w:t>
      </w:r>
      <w:r>
        <w:rPr>
          <w:rFonts w:hint="eastAsia"/>
          <w:szCs w:val="24"/>
          <w:lang w:eastAsia="zh-CN"/>
        </w:rPr>
        <w:t>请</w:t>
      </w:r>
      <w:r>
        <w:rPr>
          <w:rFonts w:eastAsia="SimSun"/>
          <w:szCs w:val="24"/>
          <w:lang w:eastAsia="zh-CN"/>
        </w:rPr>
        <w:t>联系</w:t>
      </w:r>
      <w:r>
        <w:rPr>
          <w:rFonts w:eastAsia="SimSun"/>
          <w:szCs w:val="24"/>
          <w:lang w:eastAsia="zh-CN"/>
        </w:rPr>
        <w:t>Jorge Ciccorossi</w:t>
      </w:r>
      <w:r>
        <w:rPr>
          <w:rFonts w:eastAsia="SimSun"/>
          <w:szCs w:val="24"/>
          <w:lang w:eastAsia="zh-CN"/>
        </w:rPr>
        <w:t>先生</w:t>
      </w:r>
      <w:r>
        <w:rPr>
          <w:rFonts w:hint="eastAsia"/>
          <w:szCs w:val="24"/>
          <w:lang w:eastAsia="zh-CN"/>
        </w:rPr>
        <w:t>（</w:t>
      </w:r>
      <w:r>
        <w:rPr>
          <w:rFonts w:eastAsia="SimSun"/>
          <w:szCs w:val="24"/>
          <w:lang w:eastAsia="zh-CN"/>
        </w:rPr>
        <w:t>电子邮件</w:t>
      </w:r>
      <w:r>
        <w:rPr>
          <w:rFonts w:eastAsia="SimSun" w:hint="eastAsia"/>
          <w:szCs w:val="24"/>
          <w:lang w:eastAsia="zh-CN"/>
        </w:rPr>
        <w:t>：</w:t>
      </w:r>
      <w:hyperlink r:id="rId9" w:history="1">
        <w:r>
          <w:rPr>
            <w:rStyle w:val="Hyperlink"/>
            <w:szCs w:val="24"/>
            <w:lang w:eastAsia="zh-CN"/>
          </w:rPr>
          <w:t>jorge.ciccorossi@itu.int</w:t>
        </w:r>
      </w:hyperlink>
      <w:r>
        <w:rPr>
          <w:rFonts w:hint="eastAsia"/>
          <w:szCs w:val="24"/>
          <w:lang w:eastAsia="zh-CN"/>
        </w:rPr>
        <w:t>）</w:t>
      </w:r>
      <w:r>
        <w:rPr>
          <w:rFonts w:eastAsia="SimSun"/>
          <w:szCs w:val="24"/>
          <w:lang w:eastAsia="zh-CN"/>
        </w:rPr>
        <w:t>。</w:t>
      </w:r>
    </w:p>
    <w:p w14:paraId="04D1BE30" w14:textId="77777777" w:rsidR="004345B5" w:rsidRDefault="004345B5" w:rsidP="004345B5">
      <w:pPr>
        <w:tabs>
          <w:tab w:val="left" w:pos="900"/>
        </w:tabs>
        <w:spacing w:before="240" w:line="276" w:lineRule="auto"/>
        <w:rPr>
          <w:szCs w:val="24"/>
          <w:lang w:eastAsia="zh-CN"/>
        </w:rPr>
      </w:pPr>
    </w:p>
    <w:p w14:paraId="7D79DED9" w14:textId="77777777" w:rsidR="004345B5" w:rsidRDefault="004345B5" w:rsidP="004345B5">
      <w:pPr>
        <w:tabs>
          <w:tab w:val="left" w:pos="900"/>
        </w:tabs>
        <w:spacing w:before="240" w:line="276" w:lineRule="auto"/>
        <w:rPr>
          <w:szCs w:val="24"/>
          <w:lang w:eastAsia="zh-CN"/>
        </w:rPr>
      </w:pPr>
    </w:p>
    <w:p w14:paraId="47671980" w14:textId="77777777" w:rsidR="004345B5" w:rsidRDefault="004345B5" w:rsidP="004345B5">
      <w:pPr>
        <w:tabs>
          <w:tab w:val="left" w:pos="0"/>
        </w:tabs>
        <w:spacing w:before="0" w:line="276" w:lineRule="auto"/>
        <w:jc w:val="left"/>
        <w:rPr>
          <w:rFonts w:eastAsiaTheme="majorEastAsia"/>
          <w:szCs w:val="24"/>
          <w:lang w:eastAsia="zh-CN"/>
        </w:rPr>
      </w:pPr>
      <w:r>
        <w:rPr>
          <w:rFonts w:asciiTheme="majorEastAsia" w:eastAsiaTheme="majorEastAsia" w:hAnsiTheme="majorEastAsia" w:hint="eastAsia"/>
          <w:szCs w:val="24"/>
          <w:lang w:eastAsia="zh-CN"/>
        </w:rPr>
        <w:t>主任</w:t>
      </w:r>
      <w:r w:rsidRPr="00095D8E">
        <w:rPr>
          <w:rFonts w:asciiTheme="majorEastAsia" w:eastAsiaTheme="majorEastAsia" w:hAnsiTheme="majorEastAsia"/>
          <w:szCs w:val="24"/>
          <w:lang w:eastAsia="zh-CN"/>
        </w:rPr>
        <w:br/>
      </w:r>
      <w:r>
        <w:rPr>
          <w:rFonts w:hint="eastAsia"/>
          <w:szCs w:val="24"/>
          <w:lang w:eastAsia="zh-CN"/>
        </w:rPr>
        <w:t>马里奥·马尼维奇</w:t>
      </w:r>
    </w:p>
    <w:p w14:paraId="594A2847" w14:textId="77777777" w:rsidR="004345B5" w:rsidRDefault="004345B5" w:rsidP="004345B5">
      <w:pPr>
        <w:tabs>
          <w:tab w:val="left" w:pos="0"/>
        </w:tabs>
        <w:spacing w:before="0" w:line="276" w:lineRule="auto"/>
        <w:jc w:val="lowKashida"/>
        <w:rPr>
          <w:rFonts w:eastAsiaTheme="majorEastAsia"/>
          <w:szCs w:val="24"/>
          <w:lang w:eastAsia="zh-CN"/>
        </w:rPr>
      </w:pPr>
    </w:p>
    <w:p w14:paraId="0CF81166"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23C03539"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1FC683E8"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1DBF179A"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46F92AE3"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5FEF2C4A"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75830D50"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3FA2AE9F"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5F11EDA4"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4DD68B49"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3AAA6023"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3536F8C8" w14:textId="77777777" w:rsidR="004345B5" w:rsidRDefault="004345B5" w:rsidP="004345B5">
      <w:pPr>
        <w:tabs>
          <w:tab w:val="left" w:pos="0"/>
        </w:tabs>
        <w:spacing w:before="0" w:line="240" w:lineRule="auto"/>
        <w:jc w:val="lowKashida"/>
        <w:rPr>
          <w:rFonts w:asciiTheme="minorHAnsi" w:eastAsiaTheme="majorEastAsia" w:hAnsiTheme="minorHAnsi" w:cstheme="minorHAnsi"/>
          <w:szCs w:val="24"/>
          <w:lang w:eastAsia="zh-CN"/>
        </w:rPr>
      </w:pPr>
    </w:p>
    <w:p w14:paraId="18F2D0DF" w14:textId="77777777" w:rsidR="004345B5" w:rsidRPr="00403B82" w:rsidRDefault="004345B5" w:rsidP="00095D8E">
      <w:pPr>
        <w:tabs>
          <w:tab w:val="left" w:pos="284"/>
        </w:tabs>
        <w:spacing w:before="720" w:after="120"/>
        <w:jc w:val="left"/>
        <w:rPr>
          <w:rFonts w:cstheme="minorHAnsi"/>
          <w:b/>
          <w:bCs/>
          <w:sz w:val="18"/>
          <w:szCs w:val="18"/>
          <w:u w:val="single"/>
          <w:lang w:eastAsia="zh-CN"/>
        </w:rPr>
      </w:pPr>
      <w:r w:rsidRPr="00403B82">
        <w:rPr>
          <w:rFonts w:cstheme="minorHAnsi" w:hint="eastAsia"/>
          <w:b/>
          <w:bCs/>
          <w:sz w:val="18"/>
          <w:szCs w:val="18"/>
          <w:u w:val="single"/>
          <w:lang w:eastAsia="zh-CN"/>
        </w:rPr>
        <w:t>分发：</w:t>
      </w:r>
    </w:p>
    <w:p w14:paraId="012216AE" w14:textId="77777777" w:rsidR="00095D8E" w:rsidRDefault="004345B5" w:rsidP="00095D8E">
      <w:pPr>
        <w:tabs>
          <w:tab w:val="clear" w:pos="794"/>
          <w:tab w:val="left" w:pos="1134"/>
        </w:tabs>
        <w:spacing w:before="0" w:line="240" w:lineRule="auto"/>
        <w:ind w:left="284" w:hanging="284"/>
        <w:jc w:val="lowKashida"/>
        <w:rPr>
          <w:rFonts w:cstheme="minorHAnsi"/>
          <w:sz w:val="18"/>
          <w:szCs w:val="18"/>
          <w:lang w:eastAsia="zh-CN"/>
        </w:rPr>
      </w:pPr>
      <w:r w:rsidRPr="00403B82">
        <w:rPr>
          <w:rFonts w:cstheme="minorHAnsi"/>
          <w:sz w:val="18"/>
          <w:szCs w:val="18"/>
          <w:lang w:eastAsia="zh-CN"/>
        </w:rPr>
        <w:t>–</w:t>
      </w:r>
      <w:r w:rsidRPr="00403B82">
        <w:rPr>
          <w:rFonts w:cstheme="minorHAnsi"/>
          <w:sz w:val="18"/>
          <w:szCs w:val="18"/>
          <w:lang w:eastAsia="zh-CN"/>
        </w:rPr>
        <w:tab/>
      </w:r>
      <w:r w:rsidRPr="00403B82">
        <w:rPr>
          <w:rFonts w:cstheme="minorHAnsi" w:hint="eastAsia"/>
          <w:sz w:val="18"/>
          <w:szCs w:val="18"/>
          <w:lang w:eastAsia="zh-CN"/>
        </w:rPr>
        <w:t>国际电联各成员国主管部门</w:t>
      </w:r>
    </w:p>
    <w:p w14:paraId="3643C80A" w14:textId="1771BB10" w:rsidR="004345B5" w:rsidRPr="00403B82" w:rsidRDefault="004345B5" w:rsidP="00095D8E">
      <w:pPr>
        <w:tabs>
          <w:tab w:val="clear" w:pos="794"/>
          <w:tab w:val="left" w:pos="1134"/>
        </w:tabs>
        <w:spacing w:before="0" w:line="240" w:lineRule="auto"/>
        <w:ind w:left="284" w:hanging="284"/>
        <w:jc w:val="lowKashida"/>
        <w:rPr>
          <w:rFonts w:asciiTheme="minorHAnsi" w:eastAsiaTheme="majorEastAsia" w:hAnsiTheme="minorHAnsi" w:cstheme="minorHAnsi"/>
          <w:sz w:val="18"/>
          <w:szCs w:val="18"/>
          <w:lang w:eastAsia="zh-CN"/>
        </w:rPr>
      </w:pPr>
      <w:r w:rsidRPr="00403B82">
        <w:rPr>
          <w:rFonts w:cstheme="minorHAnsi"/>
          <w:sz w:val="18"/>
          <w:szCs w:val="18"/>
          <w:lang w:eastAsia="zh-CN"/>
        </w:rPr>
        <w:t>–</w:t>
      </w:r>
      <w:r w:rsidRPr="00403B82">
        <w:rPr>
          <w:rFonts w:cstheme="minorHAnsi"/>
          <w:sz w:val="18"/>
          <w:szCs w:val="18"/>
          <w:lang w:eastAsia="zh-CN"/>
        </w:rPr>
        <w:tab/>
      </w:r>
      <w:r w:rsidRPr="00403B82">
        <w:rPr>
          <w:rFonts w:cstheme="minorHAnsi" w:hint="eastAsia"/>
          <w:sz w:val="18"/>
          <w:szCs w:val="18"/>
          <w:lang w:eastAsia="zh-CN"/>
        </w:rPr>
        <w:t>无线电规则委员会委员</w:t>
      </w:r>
    </w:p>
    <w:p w14:paraId="6ADA8E53" w14:textId="34A2428F" w:rsidR="00AF051D" w:rsidRDefault="004345B5" w:rsidP="00095D8E">
      <w:pPr>
        <w:tabs>
          <w:tab w:val="clear" w:pos="794"/>
          <w:tab w:val="left" w:pos="0"/>
          <w:tab w:val="left" w:pos="567"/>
          <w:tab w:val="left" w:pos="1134"/>
        </w:tabs>
        <w:spacing w:before="0" w:line="240" w:lineRule="auto"/>
        <w:ind w:left="284" w:hanging="284"/>
        <w:jc w:val="lowKashida"/>
        <w:rPr>
          <w:rFonts w:asciiTheme="majorEastAsia" w:eastAsiaTheme="majorEastAsia" w:hAnsiTheme="majorEastAsia"/>
          <w:szCs w:val="24"/>
          <w:lang w:eastAsia="zh-CN"/>
        </w:rPr>
      </w:pPr>
      <w:r w:rsidRPr="00403B82">
        <w:rPr>
          <w:rFonts w:asciiTheme="minorHAnsi" w:eastAsiaTheme="majorEastAsia" w:hAnsiTheme="minorHAnsi" w:cstheme="minorHAnsi"/>
          <w:sz w:val="18"/>
          <w:szCs w:val="18"/>
          <w:lang w:eastAsia="zh-CN"/>
        </w:rPr>
        <w:t>–</w:t>
      </w:r>
      <w:r w:rsidRPr="00403B82">
        <w:rPr>
          <w:rFonts w:asciiTheme="minorHAnsi" w:eastAsiaTheme="majorEastAsia" w:hAnsiTheme="minorHAnsi" w:cstheme="minorHAnsi"/>
          <w:sz w:val="18"/>
          <w:szCs w:val="18"/>
          <w:lang w:eastAsia="zh-CN"/>
        </w:rPr>
        <w:tab/>
      </w:r>
      <w:r w:rsidRPr="00403B82">
        <w:rPr>
          <w:rFonts w:asciiTheme="minorHAnsi" w:eastAsiaTheme="majorEastAsia" w:hAnsiTheme="minorHAnsi" w:cstheme="minorHAnsi" w:hint="eastAsia"/>
          <w:sz w:val="18"/>
          <w:szCs w:val="18"/>
          <w:lang w:eastAsia="zh-CN"/>
        </w:rPr>
        <w:t>国际电联秘书长、副秘书长和各局主任</w:t>
      </w:r>
    </w:p>
    <w:sectPr w:rsidR="00AF051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BA48" w14:textId="77777777" w:rsidR="00853C5F" w:rsidRDefault="00853C5F">
      <w:r>
        <w:separator/>
      </w:r>
    </w:p>
  </w:endnote>
  <w:endnote w:type="continuationSeparator" w:id="0">
    <w:p w14:paraId="669323E4" w14:textId="77777777" w:rsidR="00853C5F" w:rsidRDefault="0085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egoe Print"/>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AF8A" w14:textId="62E1B532" w:rsidR="00ED20E1" w:rsidRPr="006F49DD" w:rsidRDefault="006F49DD" w:rsidP="006F49DD">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Tel</w:t>
    </w:r>
    <w:r>
      <w:rPr>
        <w:color w:val="4F81BD" w:themeColor="accent1"/>
        <w:sz w:val="19"/>
        <w:szCs w:val="19"/>
      </w:rPr>
      <w:t>.</w:t>
    </w:r>
    <w:r w:rsidRPr="00011018">
      <w:rPr>
        <w:color w:val="4F81BD" w:themeColor="accent1"/>
        <w:sz w:val="19"/>
        <w:szCs w:val="19"/>
      </w:rPr>
      <w:t xml:space="preserve">: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DF23" w14:textId="77777777" w:rsidR="00853C5F" w:rsidRDefault="00853C5F">
      <w:r>
        <w:t>____________________</w:t>
      </w:r>
    </w:p>
  </w:footnote>
  <w:footnote w:type="continuationSeparator" w:id="0">
    <w:p w14:paraId="6CEAB996" w14:textId="77777777" w:rsidR="00853C5F" w:rsidRDefault="0085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40DA3678" w:rsidR="00295CFA" w:rsidRDefault="00B669E4" w:rsidP="00730BF9">
          <w:pPr>
            <w:pStyle w:val="Header"/>
            <w:tabs>
              <w:tab w:val="clear" w:pos="794"/>
            </w:tabs>
            <w:spacing w:line="360" w:lineRule="auto"/>
            <w:ind w:left="546"/>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46618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536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95D8E"/>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7A0"/>
    <w:rsid w:val="00280917"/>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44CC"/>
    <w:rsid w:val="003A1F49"/>
    <w:rsid w:val="003A55ED"/>
    <w:rsid w:val="003A5D52"/>
    <w:rsid w:val="003B2BDA"/>
    <w:rsid w:val="003B55EC"/>
    <w:rsid w:val="003C2EA7"/>
    <w:rsid w:val="003C4471"/>
    <w:rsid w:val="003C7D41"/>
    <w:rsid w:val="003D4A69"/>
    <w:rsid w:val="003D509C"/>
    <w:rsid w:val="003E504F"/>
    <w:rsid w:val="003E78D6"/>
    <w:rsid w:val="00400573"/>
    <w:rsid w:val="004007A3"/>
    <w:rsid w:val="00403B82"/>
    <w:rsid w:val="00406D71"/>
    <w:rsid w:val="004326DB"/>
    <w:rsid w:val="004345B5"/>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2D62"/>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1FF0"/>
    <w:rsid w:val="006A518B"/>
    <w:rsid w:val="006B0590"/>
    <w:rsid w:val="006B49DA"/>
    <w:rsid w:val="006C53F8"/>
    <w:rsid w:val="006C7CDE"/>
    <w:rsid w:val="006F49DD"/>
    <w:rsid w:val="007027CA"/>
    <w:rsid w:val="007234B1"/>
    <w:rsid w:val="00723D08"/>
    <w:rsid w:val="007253AF"/>
    <w:rsid w:val="00725FDA"/>
    <w:rsid w:val="00727816"/>
    <w:rsid w:val="00730B9A"/>
    <w:rsid w:val="00730BF9"/>
    <w:rsid w:val="00750CFA"/>
    <w:rsid w:val="007553DA"/>
    <w:rsid w:val="007616E7"/>
    <w:rsid w:val="00775DB8"/>
    <w:rsid w:val="00782354"/>
    <w:rsid w:val="007921A7"/>
    <w:rsid w:val="00796CD6"/>
    <w:rsid w:val="007979B9"/>
    <w:rsid w:val="007B3DB1"/>
    <w:rsid w:val="007D183E"/>
    <w:rsid w:val="007D43D0"/>
    <w:rsid w:val="007E1833"/>
    <w:rsid w:val="007E3F13"/>
    <w:rsid w:val="007F751A"/>
    <w:rsid w:val="00800012"/>
    <w:rsid w:val="0080261F"/>
    <w:rsid w:val="00806160"/>
    <w:rsid w:val="008143A4"/>
    <w:rsid w:val="0081513E"/>
    <w:rsid w:val="00853C5F"/>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2B57"/>
    <w:rsid w:val="00A63355"/>
    <w:rsid w:val="00A7596D"/>
    <w:rsid w:val="00A802F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2BB1"/>
    <w:rsid w:val="00B579B0"/>
    <w:rsid w:val="00B57D11"/>
    <w:rsid w:val="00B649D7"/>
    <w:rsid w:val="00B669E4"/>
    <w:rsid w:val="00B81C2F"/>
    <w:rsid w:val="00B90743"/>
    <w:rsid w:val="00B90C45"/>
    <w:rsid w:val="00B933BE"/>
    <w:rsid w:val="00BD6738"/>
    <w:rsid w:val="00BD7E5E"/>
    <w:rsid w:val="00BE63DB"/>
    <w:rsid w:val="00BE6574"/>
    <w:rsid w:val="00C07319"/>
    <w:rsid w:val="00C151AD"/>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4067"/>
    <w:rsid w:val="00D76586"/>
    <w:rsid w:val="00D82657"/>
    <w:rsid w:val="00D87E20"/>
    <w:rsid w:val="00DA16E6"/>
    <w:rsid w:val="00DA4037"/>
    <w:rsid w:val="00DA4711"/>
    <w:rsid w:val="00DE66A5"/>
    <w:rsid w:val="00DF17E0"/>
    <w:rsid w:val="00DF2B50"/>
    <w:rsid w:val="00E01059"/>
    <w:rsid w:val="00E04C86"/>
    <w:rsid w:val="00E17344"/>
    <w:rsid w:val="00E20F30"/>
    <w:rsid w:val="00E2189C"/>
    <w:rsid w:val="00E25BB1"/>
    <w:rsid w:val="00E27BBA"/>
    <w:rsid w:val="00E30E3F"/>
    <w:rsid w:val="00E35E8F"/>
    <w:rsid w:val="00E36B68"/>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744FD"/>
    <w:rsid w:val="00F81CA1"/>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Pages/ITU-Space-RadioMonitoring.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rge.ciccorossi@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7707E0FF3476182EB38A49B19C9DD"/>
        <w:category>
          <w:name w:val="General"/>
          <w:gallery w:val="placeholder"/>
        </w:category>
        <w:types>
          <w:type w:val="bbPlcHdr"/>
        </w:types>
        <w:behaviors>
          <w:behavior w:val="content"/>
        </w:behaviors>
        <w:guid w:val="{ABC921B3-2858-448E-A4EA-2AE4D7E85940}"/>
      </w:docPartPr>
      <w:docPartBody>
        <w:p w:rsidR="00770222" w:rsidRDefault="005F42B8" w:rsidP="005F42B8">
          <w:pPr>
            <w:pStyle w:val="7B77707E0FF3476182EB38A49B19C9DD"/>
          </w:pPr>
          <w:r>
            <w:t>&lt;</w:t>
          </w:r>
          <w:r>
            <w:rPr>
              <w:rStyle w:val="PlaceholderText"/>
              <w:color w:val="0000FF"/>
            </w:rPr>
            <w:t>Saisir la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egoe Print"/>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B8"/>
    <w:rsid w:val="005F42B8"/>
    <w:rsid w:val="007702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2B8"/>
    <w:rPr>
      <w:color w:val="808080"/>
    </w:rPr>
  </w:style>
  <w:style w:type="paragraph" w:customStyle="1" w:styleId="7B77707E0FF3476182EB38A49B19C9DD">
    <w:name w:val="7B77707E0FF3476182EB38A49B19C9DD"/>
    <w:rsid w:val="005F4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C43E-DE45-45C8-BEA7-9D7F1323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791</Words>
  <Characters>363</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1152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zhou ting</dc:creator>
  <cp:lastModifiedBy>Marchetti, Caroline</cp:lastModifiedBy>
  <cp:revision>5</cp:revision>
  <cp:lastPrinted>2013-03-08T10:15:00Z</cp:lastPrinted>
  <dcterms:created xsi:type="dcterms:W3CDTF">2023-01-24T05:09:00Z</dcterms:created>
  <dcterms:modified xsi:type="dcterms:W3CDTF">2023-01-25T09:30:00Z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