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94635" w14:paraId="742D7FBF" w14:textId="77777777" w:rsidTr="008B23D5">
        <w:trPr>
          <w:jc w:val="center"/>
        </w:trPr>
        <w:tc>
          <w:tcPr>
            <w:tcW w:w="9889" w:type="dxa"/>
            <w:gridSpan w:val="3"/>
            <w:shd w:val="clear" w:color="auto" w:fill="auto"/>
          </w:tcPr>
          <w:p w14:paraId="7E87BABE" w14:textId="77777777" w:rsidR="00E53DCE" w:rsidRPr="00494635" w:rsidRDefault="00BD1315" w:rsidP="001152EF">
            <w:pPr>
              <w:spacing w:before="0"/>
              <w:rPr>
                <w:rFonts w:cstheme="minorHAnsi"/>
                <w:b/>
                <w:bCs/>
                <w:color w:val="808080"/>
                <w:sz w:val="28"/>
                <w:szCs w:val="28"/>
                <w:lang w:val="ru-RU"/>
              </w:rPr>
            </w:pPr>
            <w:r w:rsidRPr="00494635">
              <w:rPr>
                <w:rFonts w:cstheme="minorHAnsi"/>
                <w:b/>
                <w:bCs/>
                <w:color w:val="808080"/>
                <w:sz w:val="28"/>
                <w:szCs w:val="28"/>
                <w:lang w:val="ru-RU" w:eastAsia="fr-CH"/>
              </w:rPr>
              <w:t>Бюро радиосвязи (БР)</w:t>
            </w:r>
          </w:p>
          <w:p w14:paraId="38140C6D" w14:textId="77777777" w:rsidR="00E53DCE" w:rsidRPr="00494635" w:rsidRDefault="00E53DCE" w:rsidP="00A06CB6">
            <w:pPr>
              <w:spacing w:before="0"/>
              <w:rPr>
                <w:rFonts w:cs="Times New Roman Bold"/>
                <w:b/>
                <w:bCs/>
                <w:color w:val="808080"/>
                <w:sz w:val="28"/>
                <w:szCs w:val="28"/>
                <w:lang w:val="ru-RU"/>
              </w:rPr>
            </w:pPr>
          </w:p>
        </w:tc>
      </w:tr>
      <w:tr w:rsidR="00DD45BD" w:rsidRPr="00494635" w14:paraId="05573BBA" w14:textId="77777777" w:rsidTr="00A06CB6">
        <w:tblPrEx>
          <w:jc w:val="left"/>
        </w:tblPrEx>
        <w:tc>
          <w:tcPr>
            <w:tcW w:w="7054" w:type="dxa"/>
            <w:gridSpan w:val="2"/>
            <w:shd w:val="clear" w:color="auto" w:fill="auto"/>
          </w:tcPr>
          <w:p w14:paraId="42B6C180" w14:textId="555515EB" w:rsidR="00DD45BD" w:rsidRPr="00494635" w:rsidRDefault="00DD45BD" w:rsidP="00C95844">
            <w:pPr>
              <w:tabs>
                <w:tab w:val="left" w:pos="7513"/>
              </w:tabs>
              <w:spacing w:before="0"/>
              <w:rPr>
                <w:b/>
                <w:bCs/>
                <w:lang w:val="ru-RU"/>
              </w:rPr>
            </w:pPr>
            <w:r w:rsidRPr="00494635">
              <w:rPr>
                <w:lang w:val="ru-RU"/>
              </w:rPr>
              <w:t>Циркулярное письмо</w:t>
            </w:r>
            <w:r w:rsidRPr="00494635">
              <w:rPr>
                <w:lang w:val="ru-RU"/>
              </w:rPr>
              <w:br/>
            </w:r>
            <w:r w:rsidRPr="00494635">
              <w:rPr>
                <w:b/>
                <w:bCs/>
                <w:lang w:val="ru-RU"/>
              </w:rPr>
              <w:t>CR/</w:t>
            </w:r>
            <w:r w:rsidR="00C95844" w:rsidRPr="00494635">
              <w:rPr>
                <w:b/>
                <w:bCs/>
                <w:lang w:val="ru-RU"/>
              </w:rPr>
              <w:t>494</w:t>
            </w:r>
          </w:p>
        </w:tc>
        <w:tc>
          <w:tcPr>
            <w:tcW w:w="2835" w:type="dxa"/>
            <w:shd w:val="clear" w:color="auto" w:fill="auto"/>
          </w:tcPr>
          <w:p w14:paraId="782A2EED" w14:textId="616BD244" w:rsidR="00DD45BD" w:rsidRPr="00494635" w:rsidRDefault="002C00DA" w:rsidP="00C95844">
            <w:pPr>
              <w:spacing w:before="0"/>
              <w:jc w:val="right"/>
              <w:rPr>
                <w:sz w:val="24"/>
                <w:szCs w:val="24"/>
                <w:lang w:val="ru-RU"/>
              </w:rPr>
            </w:pPr>
            <w:sdt>
              <w:sdtPr>
                <w:rPr>
                  <w:rFonts w:cs="Arial"/>
                  <w:lang w:val="ru-RU"/>
                </w:rPr>
                <w:alias w:val="Date"/>
                <w:tag w:val="Date"/>
                <w:id w:val="20922293"/>
                <w:placeholder>
                  <w:docPart w:val="6129EB9851F64D77A134C5F73508B1C9"/>
                </w:placeholder>
                <w:date>
                  <w:dateFormat w:val="d MMMM yyyy 'г.'"/>
                  <w:lid w:val="ru-RU"/>
                  <w:storeMappedDataAs w:val="date"/>
                  <w:calendar w:val="gregorian"/>
                </w:date>
              </w:sdtPr>
              <w:sdtEndPr/>
              <w:sdtContent>
                <w:r w:rsidR="00C95844" w:rsidRPr="00494635">
                  <w:rPr>
                    <w:rFonts w:cs="Arial"/>
                    <w:lang w:val="ru-RU"/>
                  </w:rPr>
                  <w:t>23 января</w:t>
                </w:r>
                <w:r w:rsidR="00DD45BD" w:rsidRPr="00494635">
                  <w:rPr>
                    <w:rFonts w:cs="Arial"/>
                    <w:lang w:val="ru-RU"/>
                  </w:rPr>
                  <w:t xml:space="preserve"> 2023 года</w:t>
                </w:r>
              </w:sdtContent>
            </w:sdt>
          </w:p>
        </w:tc>
      </w:tr>
      <w:tr w:rsidR="00DD45BD" w:rsidRPr="00494635" w14:paraId="1D0EC7FF" w14:textId="77777777" w:rsidTr="00A06CB6">
        <w:tblPrEx>
          <w:jc w:val="left"/>
        </w:tblPrEx>
        <w:tc>
          <w:tcPr>
            <w:tcW w:w="9889" w:type="dxa"/>
            <w:gridSpan w:val="3"/>
            <w:shd w:val="clear" w:color="auto" w:fill="auto"/>
          </w:tcPr>
          <w:p w14:paraId="7E9B0B55" w14:textId="77777777" w:rsidR="00DD45BD" w:rsidRPr="00494635" w:rsidRDefault="00DD45BD" w:rsidP="00A06CB6">
            <w:pPr>
              <w:spacing w:before="0"/>
              <w:rPr>
                <w:rFonts w:cs="Arial"/>
                <w:lang w:val="ru-RU"/>
              </w:rPr>
            </w:pPr>
          </w:p>
        </w:tc>
      </w:tr>
      <w:tr w:rsidR="00DD45BD" w:rsidRPr="00494635" w14:paraId="41AE3EB8" w14:textId="77777777" w:rsidTr="00A06CB6">
        <w:tblPrEx>
          <w:jc w:val="left"/>
        </w:tblPrEx>
        <w:tc>
          <w:tcPr>
            <w:tcW w:w="9889" w:type="dxa"/>
            <w:gridSpan w:val="3"/>
            <w:shd w:val="clear" w:color="auto" w:fill="auto"/>
          </w:tcPr>
          <w:p w14:paraId="5B1B4EE3" w14:textId="77777777" w:rsidR="00DD45BD" w:rsidRPr="00494635" w:rsidRDefault="00DD45BD" w:rsidP="00A06CB6">
            <w:pPr>
              <w:spacing w:before="0"/>
              <w:rPr>
                <w:lang w:val="ru-RU"/>
              </w:rPr>
            </w:pPr>
          </w:p>
        </w:tc>
      </w:tr>
      <w:tr w:rsidR="00DD45BD" w:rsidRPr="00494635" w14:paraId="462ABD4F" w14:textId="77777777" w:rsidTr="00A06CB6">
        <w:tblPrEx>
          <w:jc w:val="left"/>
        </w:tblPrEx>
        <w:tc>
          <w:tcPr>
            <w:tcW w:w="9889" w:type="dxa"/>
            <w:gridSpan w:val="3"/>
            <w:shd w:val="clear" w:color="auto" w:fill="auto"/>
          </w:tcPr>
          <w:p w14:paraId="54A8F408" w14:textId="4CFD5059" w:rsidR="00DD45BD" w:rsidRPr="00494635" w:rsidRDefault="00C95844" w:rsidP="00A06CB6">
            <w:pPr>
              <w:spacing w:before="0"/>
              <w:rPr>
                <w:b/>
                <w:bCs/>
                <w:lang w:val="ru-RU"/>
              </w:rPr>
            </w:pPr>
            <w:r w:rsidRPr="00494635">
              <w:rPr>
                <w:b/>
                <w:bCs/>
                <w:lang w:val="ru-RU"/>
              </w:rPr>
              <w:t>Администрациям Государств – Членов МСЭ</w:t>
            </w:r>
          </w:p>
          <w:p w14:paraId="70A6B2EA" w14:textId="77777777" w:rsidR="00DD45BD" w:rsidRPr="00494635" w:rsidRDefault="00DD45BD" w:rsidP="00A06CB6">
            <w:pPr>
              <w:spacing w:before="0"/>
              <w:rPr>
                <w:b/>
                <w:bCs/>
                <w:lang w:val="ru-RU"/>
              </w:rPr>
            </w:pPr>
          </w:p>
        </w:tc>
      </w:tr>
      <w:tr w:rsidR="00DD45BD" w:rsidRPr="00494635" w14:paraId="4498DD15" w14:textId="77777777" w:rsidTr="00A06CB6">
        <w:tblPrEx>
          <w:jc w:val="left"/>
        </w:tblPrEx>
        <w:tc>
          <w:tcPr>
            <w:tcW w:w="9889" w:type="dxa"/>
            <w:gridSpan w:val="3"/>
            <w:shd w:val="clear" w:color="auto" w:fill="auto"/>
          </w:tcPr>
          <w:p w14:paraId="70AD54BD" w14:textId="77777777" w:rsidR="00DD45BD" w:rsidRPr="00494635" w:rsidRDefault="00DD45BD" w:rsidP="00A06CB6">
            <w:pPr>
              <w:spacing w:before="0"/>
              <w:rPr>
                <w:lang w:val="ru-RU"/>
              </w:rPr>
            </w:pPr>
          </w:p>
        </w:tc>
      </w:tr>
      <w:tr w:rsidR="00DD45BD" w:rsidRPr="00494635" w14:paraId="69337E0F" w14:textId="77777777" w:rsidTr="00A06CB6">
        <w:tblPrEx>
          <w:jc w:val="left"/>
        </w:tblPrEx>
        <w:tc>
          <w:tcPr>
            <w:tcW w:w="9889" w:type="dxa"/>
            <w:gridSpan w:val="3"/>
            <w:shd w:val="clear" w:color="auto" w:fill="auto"/>
          </w:tcPr>
          <w:p w14:paraId="37664360" w14:textId="77777777" w:rsidR="00DD45BD" w:rsidRPr="00494635" w:rsidRDefault="00DD45BD" w:rsidP="00A06CB6">
            <w:pPr>
              <w:spacing w:before="0"/>
              <w:rPr>
                <w:lang w:val="ru-RU"/>
              </w:rPr>
            </w:pPr>
          </w:p>
        </w:tc>
      </w:tr>
      <w:tr w:rsidR="00DD45BD" w:rsidRPr="002C00DA" w14:paraId="4A448B93" w14:textId="77777777" w:rsidTr="00A06CB6">
        <w:tblPrEx>
          <w:jc w:val="left"/>
        </w:tblPrEx>
        <w:tc>
          <w:tcPr>
            <w:tcW w:w="1526" w:type="dxa"/>
            <w:shd w:val="clear" w:color="auto" w:fill="auto"/>
          </w:tcPr>
          <w:p w14:paraId="7777EA86" w14:textId="77777777" w:rsidR="00DD45BD" w:rsidRPr="00494635" w:rsidRDefault="00DD45BD" w:rsidP="00A06CB6">
            <w:pPr>
              <w:tabs>
                <w:tab w:val="clear" w:pos="1588"/>
                <w:tab w:val="left" w:pos="1560"/>
              </w:tabs>
              <w:spacing w:before="0"/>
              <w:rPr>
                <w:lang w:val="ru-RU"/>
              </w:rPr>
            </w:pPr>
            <w:r w:rsidRPr="00494635">
              <w:rPr>
                <w:lang w:val="ru-RU"/>
              </w:rPr>
              <w:t>Предмет:</w:t>
            </w:r>
          </w:p>
        </w:tc>
        <w:tc>
          <w:tcPr>
            <w:tcW w:w="8363" w:type="dxa"/>
            <w:gridSpan w:val="2"/>
            <w:shd w:val="clear" w:color="auto" w:fill="auto"/>
          </w:tcPr>
          <w:p w14:paraId="4E6D1828" w14:textId="3C122848" w:rsidR="00DD45BD" w:rsidRPr="00494635" w:rsidRDefault="00C95844" w:rsidP="00C95844">
            <w:pPr>
              <w:tabs>
                <w:tab w:val="clear" w:pos="1588"/>
                <w:tab w:val="left" w:pos="1560"/>
              </w:tabs>
              <w:spacing w:before="0"/>
              <w:jc w:val="lowKashida"/>
              <w:rPr>
                <w:rFonts w:asciiTheme="minorHAnsi" w:hAnsiTheme="minorHAnsi"/>
                <w:b/>
                <w:bCs/>
                <w:lang w:val="ru-RU"/>
              </w:rPr>
            </w:pPr>
            <w:r w:rsidRPr="00494635">
              <w:rPr>
                <w:rFonts w:asciiTheme="minorHAnsi" w:hAnsiTheme="minorHAnsi"/>
                <w:b/>
                <w:bCs/>
                <w:lang w:val="ru-RU"/>
              </w:rPr>
              <w:t>Протокол 91-го собрания Радиорегламентарного комитета</w:t>
            </w:r>
          </w:p>
        </w:tc>
      </w:tr>
    </w:tbl>
    <w:p w14:paraId="2D682345" w14:textId="64105700" w:rsidR="00C95844" w:rsidRPr="00494635" w:rsidRDefault="00C95844" w:rsidP="008D3EC0">
      <w:pPr>
        <w:spacing w:before="1080" w:line="276" w:lineRule="auto"/>
        <w:jc w:val="both"/>
        <w:rPr>
          <w:rFonts w:cs="Calibri"/>
          <w:szCs w:val="22"/>
          <w:lang w:val="ru-RU"/>
        </w:rPr>
      </w:pPr>
      <w:r w:rsidRPr="00494635">
        <w:rPr>
          <w:rFonts w:cs="Calibri"/>
          <w:szCs w:val="22"/>
          <w:lang w:val="ru-RU"/>
        </w:rPr>
        <w:t>В соответствии с положениями п. </w:t>
      </w:r>
      <w:r w:rsidRPr="00494635">
        <w:rPr>
          <w:rFonts w:cs="Calibri"/>
          <w:b/>
          <w:szCs w:val="22"/>
          <w:lang w:val="ru-RU"/>
        </w:rPr>
        <w:t>13.18</w:t>
      </w:r>
      <w:r w:rsidRPr="00494635">
        <w:rPr>
          <w:rFonts w:cs="Calibri"/>
          <w:szCs w:val="22"/>
          <w:lang w:val="ru-RU"/>
        </w:rPr>
        <w:t xml:space="preserve"> Регламента радиосвязи и п. 1.10 Части С Правил процедуры в Приложении содержится утвержденный протокол 91-го собрания Радиорегламентарного комитета (31</w:t>
      </w:r>
      <w:r w:rsidR="0047140C" w:rsidRPr="00494635">
        <w:rPr>
          <w:rFonts w:cs="Calibri"/>
          <w:szCs w:val="22"/>
          <w:lang w:val="ru-RU"/>
        </w:rPr>
        <w:t> </w:t>
      </w:r>
      <w:r w:rsidRPr="00494635">
        <w:rPr>
          <w:rFonts w:cs="Calibri"/>
          <w:szCs w:val="22"/>
          <w:lang w:val="ru-RU"/>
        </w:rPr>
        <w:t>октября − 4 ноября 2022 г.).</w:t>
      </w:r>
    </w:p>
    <w:p w14:paraId="0175ADD3" w14:textId="0F1DCC7C" w:rsidR="00DD45BD" w:rsidRPr="00494635" w:rsidRDefault="00C95844" w:rsidP="008D3EC0">
      <w:pPr>
        <w:spacing w:line="276" w:lineRule="auto"/>
        <w:jc w:val="both"/>
        <w:rPr>
          <w:lang w:val="ru-RU"/>
        </w:rPr>
      </w:pPr>
      <w:r w:rsidRPr="00494635">
        <w:rPr>
          <w:rFonts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730F4DC2" w14:textId="77777777" w:rsidR="00C95844" w:rsidRPr="00494635" w:rsidRDefault="00C95844" w:rsidP="002C00DA">
      <w:pPr>
        <w:spacing w:before="1200"/>
        <w:rPr>
          <w:rFonts w:cs="Calibri"/>
          <w:szCs w:val="22"/>
          <w:lang w:val="ru-RU"/>
        </w:rPr>
      </w:pPr>
      <w:r w:rsidRPr="00494635">
        <w:rPr>
          <w:rFonts w:cs="Calibri"/>
          <w:szCs w:val="22"/>
          <w:lang w:val="ru-RU"/>
        </w:rPr>
        <w:t>Марио Маневич</w:t>
      </w:r>
      <w:r w:rsidRPr="00494635">
        <w:rPr>
          <w:rFonts w:cs="Calibri"/>
          <w:szCs w:val="22"/>
          <w:lang w:val="ru-RU"/>
        </w:rPr>
        <w:br/>
        <w:t>Директор</w:t>
      </w:r>
    </w:p>
    <w:p w14:paraId="2D270BAE" w14:textId="18D84D26" w:rsidR="00C95844" w:rsidRPr="00494635" w:rsidRDefault="00C95844" w:rsidP="00C95844">
      <w:pPr>
        <w:spacing w:before="1440"/>
        <w:rPr>
          <w:rFonts w:cs="Calibri"/>
          <w:szCs w:val="22"/>
          <w:lang w:val="ru-RU"/>
        </w:rPr>
      </w:pPr>
      <w:r w:rsidRPr="00494635">
        <w:rPr>
          <w:rFonts w:cs="Calibri"/>
          <w:b/>
          <w:bCs/>
          <w:szCs w:val="22"/>
          <w:lang w:val="ru-RU"/>
        </w:rPr>
        <w:t>Приложение</w:t>
      </w:r>
      <w:r w:rsidRPr="00494635">
        <w:rPr>
          <w:rFonts w:cs="Calibri"/>
          <w:szCs w:val="22"/>
          <w:lang w:val="ru-RU"/>
        </w:rPr>
        <w:t>: Протокол 91-го собрания Радиорегламентарного комитета</w:t>
      </w:r>
    </w:p>
    <w:p w14:paraId="4DF7E3F5" w14:textId="77777777" w:rsidR="00C95844" w:rsidRPr="00494635" w:rsidRDefault="00C95844" w:rsidP="00C95844">
      <w:pPr>
        <w:spacing w:before="2400"/>
        <w:rPr>
          <w:rFonts w:cs="Calibri"/>
          <w:sz w:val="20"/>
          <w:lang w:val="ru-RU" w:eastAsia="zh-CN"/>
        </w:rPr>
      </w:pPr>
      <w:r w:rsidRPr="00494635">
        <w:rPr>
          <w:rFonts w:cs="Calibri,Bold"/>
          <w:b/>
          <w:bCs/>
          <w:sz w:val="20"/>
          <w:lang w:val="ru-RU" w:eastAsia="zh-CN"/>
        </w:rPr>
        <w:t>Рассылка</w:t>
      </w:r>
      <w:r w:rsidRPr="00494635">
        <w:rPr>
          <w:rFonts w:cs="Calibri"/>
          <w:sz w:val="20"/>
          <w:lang w:val="ru-RU" w:eastAsia="zh-CN"/>
        </w:rPr>
        <w:t>:</w:t>
      </w:r>
    </w:p>
    <w:p w14:paraId="39F10E5D" w14:textId="77777777" w:rsidR="00C95844" w:rsidRPr="00494635" w:rsidRDefault="00C95844" w:rsidP="00C95844">
      <w:pPr>
        <w:tabs>
          <w:tab w:val="clear" w:pos="794"/>
          <w:tab w:val="clear" w:pos="1191"/>
          <w:tab w:val="clear" w:pos="1588"/>
          <w:tab w:val="clear" w:pos="1985"/>
        </w:tabs>
        <w:overflowPunct/>
        <w:ind w:left="284" w:hanging="284"/>
        <w:textAlignment w:val="auto"/>
        <w:rPr>
          <w:rFonts w:cs="Calibri"/>
          <w:sz w:val="20"/>
          <w:lang w:val="ru-RU" w:eastAsia="zh-CN"/>
        </w:rPr>
      </w:pPr>
      <w:r w:rsidRPr="00494635">
        <w:rPr>
          <w:rFonts w:cs="Calibri"/>
          <w:sz w:val="20"/>
          <w:lang w:val="ru-RU" w:eastAsia="zh-CN"/>
        </w:rPr>
        <w:t>−</w:t>
      </w:r>
      <w:r w:rsidRPr="00494635">
        <w:rPr>
          <w:rFonts w:cs="Calibri"/>
          <w:sz w:val="20"/>
          <w:lang w:val="ru-RU" w:eastAsia="zh-CN"/>
        </w:rPr>
        <w:tab/>
        <w:t>Администрациям Государств – Членов МСЭ</w:t>
      </w:r>
    </w:p>
    <w:p w14:paraId="6FC0CFE3" w14:textId="77777777" w:rsidR="00C95844" w:rsidRPr="00494635" w:rsidRDefault="00C95844"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r w:rsidRPr="00494635">
        <w:rPr>
          <w:rFonts w:cs="Calibri"/>
          <w:sz w:val="20"/>
          <w:lang w:val="ru-RU" w:eastAsia="zh-CN"/>
        </w:rPr>
        <w:t>−</w:t>
      </w:r>
      <w:r w:rsidRPr="00494635">
        <w:rPr>
          <w:rFonts w:cs="Calibri"/>
          <w:sz w:val="20"/>
          <w:lang w:val="ru-RU" w:eastAsia="zh-CN"/>
        </w:rPr>
        <w:tab/>
        <w:t>Членам Радиорегламентарного комитета</w:t>
      </w:r>
    </w:p>
    <w:p w14:paraId="71488DEF" w14:textId="77777777" w:rsidR="00493F90" w:rsidRPr="00494635" w:rsidRDefault="00493F90">
      <w:pPr>
        <w:tabs>
          <w:tab w:val="clear" w:pos="794"/>
          <w:tab w:val="clear" w:pos="1191"/>
          <w:tab w:val="clear" w:pos="1588"/>
          <w:tab w:val="clear" w:pos="1985"/>
        </w:tabs>
        <w:overflowPunct/>
        <w:autoSpaceDE/>
        <w:autoSpaceDN/>
        <w:adjustRightInd/>
        <w:spacing w:before="0"/>
        <w:textAlignment w:val="auto"/>
        <w:rPr>
          <w:lang w:val="ru-RU"/>
        </w:rPr>
        <w:sectPr w:rsidR="00493F90" w:rsidRPr="00494635" w:rsidSect="00DD45BD">
          <w:headerReference w:type="even" r:id="rId8"/>
          <w:headerReference w:type="default" r:id="rId9"/>
          <w:footerReference w:type="even" r:id="rId10"/>
          <w:headerReference w:type="first" r:id="rId11"/>
          <w:footerReference w:type="first" r:id="rId12"/>
          <w:pgSz w:w="11907" w:h="16834" w:code="9"/>
          <w:pgMar w:top="1134" w:right="1134" w:bottom="1134" w:left="1134" w:header="567" w:footer="567" w:gutter="0"/>
          <w:cols w:space="720"/>
          <w:titlePg/>
        </w:sectPr>
      </w:pPr>
    </w:p>
    <w:p w14:paraId="79777FEC" w14:textId="77777777" w:rsidR="00E1584B" w:rsidRPr="00494635" w:rsidRDefault="00E1584B" w:rsidP="00A06CB6">
      <w:pPr>
        <w:pStyle w:val="AnnexNo"/>
        <w:spacing w:before="120"/>
        <w:rPr>
          <w:lang w:val="ru-RU"/>
        </w:rPr>
      </w:pPr>
      <w:r w:rsidRPr="00494635">
        <w:rPr>
          <w:lang w:val="ru-RU"/>
        </w:rPr>
        <w:lastRenderedPageBreak/>
        <w:t>ПРИЛОЖЕНИЕ</w:t>
      </w:r>
    </w:p>
    <w:tbl>
      <w:tblPr>
        <w:tblpPr w:leftFromText="181" w:rightFromText="181" w:horzAnchor="margin" w:tblpY="840"/>
        <w:tblW w:w="9889" w:type="dxa"/>
        <w:tblLayout w:type="fixed"/>
        <w:tblLook w:val="0000" w:firstRow="0" w:lastRow="0" w:firstColumn="0" w:lastColumn="0" w:noHBand="0" w:noVBand="0"/>
      </w:tblPr>
      <w:tblGrid>
        <w:gridCol w:w="6521"/>
        <w:gridCol w:w="3368"/>
      </w:tblGrid>
      <w:tr w:rsidR="00A06CB6" w:rsidRPr="00494635" w14:paraId="7C87FF7E" w14:textId="77777777" w:rsidTr="00A06CB6">
        <w:trPr>
          <w:cantSplit/>
          <w:trHeight w:val="1170"/>
        </w:trPr>
        <w:tc>
          <w:tcPr>
            <w:tcW w:w="6521" w:type="dxa"/>
            <w:vAlign w:val="center"/>
          </w:tcPr>
          <w:p w14:paraId="2CA1B377" w14:textId="77777777" w:rsidR="00A06CB6" w:rsidRPr="00494635" w:rsidRDefault="00A06CB6" w:rsidP="00A06CB6">
            <w:pPr>
              <w:shd w:val="solid" w:color="FFFFFF" w:fill="FFFFFF"/>
              <w:spacing w:before="0"/>
              <w:rPr>
                <w:rFonts w:asciiTheme="majorBidi" w:hAnsiTheme="majorBidi" w:cstheme="majorBidi"/>
                <w:b/>
                <w:bCs/>
                <w:sz w:val="26"/>
                <w:szCs w:val="26"/>
                <w:lang w:val="ru-RU"/>
              </w:rPr>
            </w:pPr>
            <w:bookmarkStart w:id="0" w:name="dbreak"/>
            <w:bookmarkEnd w:id="0"/>
            <w:r w:rsidRPr="00494635">
              <w:rPr>
                <w:rFonts w:ascii="Verdana" w:hAnsi="Verdana" w:cstheme="majorBidi"/>
                <w:b/>
                <w:szCs w:val="22"/>
                <w:lang w:val="ru-RU"/>
              </w:rPr>
              <w:t>Радиорегламентарный комитет</w:t>
            </w:r>
            <w:r w:rsidRPr="00494635">
              <w:rPr>
                <w:rFonts w:ascii="Verdana" w:hAnsi="Verdana" w:cstheme="majorBidi"/>
                <w:b/>
                <w:szCs w:val="22"/>
                <w:lang w:val="ru-RU"/>
              </w:rPr>
              <w:br/>
            </w:r>
            <w:r w:rsidRPr="00494635">
              <w:rPr>
                <w:rFonts w:ascii="Verdana" w:hAnsi="Verdana" w:cstheme="majorBidi"/>
                <w:b/>
                <w:bCs/>
                <w:sz w:val="18"/>
                <w:szCs w:val="18"/>
                <w:lang w:val="ru-RU"/>
              </w:rPr>
              <w:t>Женева, 31 октября – 4 ноября 2022 года</w:t>
            </w:r>
          </w:p>
        </w:tc>
        <w:tc>
          <w:tcPr>
            <w:tcW w:w="3368" w:type="dxa"/>
          </w:tcPr>
          <w:p w14:paraId="526EB7A4" w14:textId="77777777" w:rsidR="00A06CB6" w:rsidRPr="00494635" w:rsidRDefault="00A06CB6" w:rsidP="00A06CB6">
            <w:pPr>
              <w:shd w:val="solid" w:color="FFFFFF" w:fill="FFFFFF"/>
              <w:spacing w:before="0"/>
              <w:rPr>
                <w:rFonts w:asciiTheme="majorBidi" w:hAnsiTheme="majorBidi" w:cstheme="majorBidi"/>
                <w:lang w:val="ru-RU"/>
              </w:rPr>
            </w:pPr>
            <w:bookmarkStart w:id="1" w:name="ditulogo"/>
            <w:bookmarkEnd w:id="1"/>
            <w:r w:rsidRPr="00494635">
              <w:rPr>
                <w:noProof/>
                <w:lang w:val="ru-RU"/>
              </w:rPr>
              <w:drawing>
                <wp:inline distT="0" distB="0" distL="0" distR="0" wp14:anchorId="6FD6F9A0" wp14:editId="253370FA">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22144" name="Picture 2" descr="ITU official logo_blue_RGB"/>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r>
      <w:tr w:rsidR="00A06CB6" w:rsidRPr="00494635" w14:paraId="7E6F9BE1" w14:textId="77777777" w:rsidTr="00A06CB6">
        <w:trPr>
          <w:cantSplit/>
        </w:trPr>
        <w:tc>
          <w:tcPr>
            <w:tcW w:w="6521" w:type="dxa"/>
            <w:tcBorders>
              <w:bottom w:val="single" w:sz="12" w:space="0" w:color="auto"/>
            </w:tcBorders>
          </w:tcPr>
          <w:p w14:paraId="08617AB7" w14:textId="77777777" w:rsidR="00A06CB6" w:rsidRPr="00494635" w:rsidRDefault="00A06CB6" w:rsidP="00A06CB6">
            <w:pPr>
              <w:shd w:val="solid" w:color="FFFFFF" w:fill="FFFFFF"/>
              <w:spacing w:before="0"/>
              <w:rPr>
                <w:rFonts w:ascii="Verdana" w:hAnsi="Verdana" w:cstheme="majorBidi"/>
                <w:b/>
                <w:bCs/>
                <w:sz w:val="18"/>
                <w:szCs w:val="18"/>
                <w:lang w:val="ru-RU"/>
              </w:rPr>
            </w:pPr>
          </w:p>
        </w:tc>
        <w:tc>
          <w:tcPr>
            <w:tcW w:w="3368" w:type="dxa"/>
            <w:tcBorders>
              <w:bottom w:val="single" w:sz="12" w:space="0" w:color="auto"/>
            </w:tcBorders>
          </w:tcPr>
          <w:p w14:paraId="1EAD6E5D" w14:textId="77777777" w:rsidR="00A06CB6" w:rsidRPr="00494635" w:rsidRDefault="00A06CB6" w:rsidP="00A06CB6">
            <w:pPr>
              <w:shd w:val="solid" w:color="FFFFFF" w:fill="FFFFFF"/>
              <w:spacing w:before="0" w:line="240" w:lineRule="atLeast"/>
              <w:rPr>
                <w:rFonts w:asciiTheme="majorBidi" w:hAnsiTheme="majorBidi" w:cstheme="majorBidi"/>
                <w:sz w:val="20"/>
                <w:lang w:val="ru-RU"/>
              </w:rPr>
            </w:pPr>
          </w:p>
        </w:tc>
      </w:tr>
      <w:tr w:rsidR="00A06CB6" w:rsidRPr="00494635" w14:paraId="67C268E0" w14:textId="77777777" w:rsidTr="00A06CB6">
        <w:trPr>
          <w:cantSplit/>
        </w:trPr>
        <w:tc>
          <w:tcPr>
            <w:tcW w:w="6521" w:type="dxa"/>
            <w:tcBorders>
              <w:top w:val="single" w:sz="12" w:space="0" w:color="auto"/>
            </w:tcBorders>
          </w:tcPr>
          <w:p w14:paraId="1ABC0C7D" w14:textId="77777777" w:rsidR="00A06CB6" w:rsidRPr="00494635" w:rsidRDefault="00A06CB6" w:rsidP="00A06CB6">
            <w:pPr>
              <w:shd w:val="solid" w:color="FFFFFF" w:fill="FFFFFF"/>
              <w:spacing w:before="0"/>
              <w:rPr>
                <w:rFonts w:asciiTheme="majorBidi" w:hAnsiTheme="majorBidi" w:cstheme="majorBidi"/>
                <w:bCs/>
                <w:sz w:val="20"/>
                <w:lang w:val="ru-RU"/>
              </w:rPr>
            </w:pPr>
          </w:p>
        </w:tc>
        <w:tc>
          <w:tcPr>
            <w:tcW w:w="3368" w:type="dxa"/>
            <w:tcBorders>
              <w:top w:val="single" w:sz="12" w:space="0" w:color="auto"/>
            </w:tcBorders>
          </w:tcPr>
          <w:p w14:paraId="3B37D3BA" w14:textId="77777777" w:rsidR="00A06CB6" w:rsidRPr="00494635" w:rsidRDefault="00A06CB6" w:rsidP="00A06CB6">
            <w:pPr>
              <w:shd w:val="solid" w:color="FFFFFF" w:fill="FFFFFF"/>
              <w:spacing w:before="0" w:line="240" w:lineRule="atLeast"/>
              <w:rPr>
                <w:rFonts w:asciiTheme="majorBidi" w:hAnsiTheme="majorBidi" w:cstheme="majorBidi"/>
                <w:sz w:val="20"/>
                <w:lang w:val="ru-RU"/>
              </w:rPr>
            </w:pPr>
          </w:p>
        </w:tc>
      </w:tr>
      <w:tr w:rsidR="00A06CB6" w:rsidRPr="002C00DA" w14:paraId="0F858C91" w14:textId="77777777" w:rsidTr="00A06CB6">
        <w:trPr>
          <w:cantSplit/>
          <w:trHeight w:val="660"/>
        </w:trPr>
        <w:tc>
          <w:tcPr>
            <w:tcW w:w="6521" w:type="dxa"/>
          </w:tcPr>
          <w:p w14:paraId="283E3F34" w14:textId="77777777" w:rsidR="00A06CB6" w:rsidRPr="00494635" w:rsidRDefault="00A06CB6" w:rsidP="00A06CB6">
            <w:pPr>
              <w:shd w:val="solid" w:color="FFFFFF" w:fill="FFFFFF"/>
              <w:spacing w:before="0" w:after="240"/>
              <w:ind w:left="1134" w:hanging="1134"/>
              <w:rPr>
                <w:rFonts w:asciiTheme="majorBidi" w:hAnsiTheme="majorBidi" w:cstheme="majorBidi"/>
                <w:sz w:val="20"/>
                <w:lang w:val="ru-RU"/>
              </w:rPr>
            </w:pPr>
            <w:bookmarkStart w:id="2" w:name="recibido"/>
            <w:bookmarkStart w:id="3" w:name="dnum" w:colFirst="1" w:colLast="1"/>
            <w:bookmarkEnd w:id="2"/>
          </w:p>
        </w:tc>
        <w:tc>
          <w:tcPr>
            <w:tcW w:w="3368" w:type="dxa"/>
          </w:tcPr>
          <w:p w14:paraId="770B81F5" w14:textId="77777777" w:rsidR="00A06CB6" w:rsidRPr="00494635" w:rsidRDefault="00A06CB6" w:rsidP="00A06CB6">
            <w:pPr>
              <w:shd w:val="solid" w:color="FFFFFF" w:fill="FFFFFF"/>
              <w:tabs>
                <w:tab w:val="clear" w:pos="794"/>
              </w:tabs>
              <w:spacing w:before="0"/>
              <w:rPr>
                <w:rFonts w:ascii="Verdana" w:hAnsi="Verdana" w:cstheme="majorBidi"/>
                <w:sz w:val="18"/>
                <w:szCs w:val="18"/>
                <w:lang w:val="ru-RU" w:eastAsia="zh-CN"/>
              </w:rPr>
            </w:pPr>
            <w:r w:rsidRPr="00494635">
              <w:rPr>
                <w:rFonts w:ascii="Verdana" w:hAnsi="Verdana"/>
                <w:b/>
                <w:sz w:val="18"/>
                <w:szCs w:val="18"/>
                <w:lang w:val="ru-RU" w:eastAsia="zh-CN"/>
              </w:rPr>
              <w:t>Документ RRB22-3/18-R</w:t>
            </w:r>
            <w:r w:rsidRPr="00494635">
              <w:rPr>
                <w:rFonts w:ascii="Verdana" w:hAnsi="Verdana"/>
                <w:b/>
                <w:sz w:val="18"/>
                <w:szCs w:val="18"/>
                <w:lang w:val="ru-RU" w:eastAsia="zh-CN"/>
              </w:rPr>
              <w:br/>
              <w:t>4 ноября 2022 года</w:t>
            </w:r>
            <w:r w:rsidRPr="00494635">
              <w:rPr>
                <w:rFonts w:ascii="Verdana" w:hAnsi="Verdana"/>
                <w:b/>
                <w:sz w:val="18"/>
                <w:szCs w:val="18"/>
                <w:lang w:val="ru-RU" w:eastAsia="zh-CN"/>
              </w:rPr>
              <w:br/>
              <w:t>Оригинал: английский</w:t>
            </w:r>
          </w:p>
        </w:tc>
      </w:tr>
      <w:tr w:rsidR="00A06CB6" w:rsidRPr="002C00DA" w14:paraId="50A0BA82" w14:textId="77777777" w:rsidTr="00A06CB6">
        <w:trPr>
          <w:cantSplit/>
        </w:trPr>
        <w:tc>
          <w:tcPr>
            <w:tcW w:w="9889" w:type="dxa"/>
            <w:gridSpan w:val="2"/>
            <w:tcMar>
              <w:left w:w="0" w:type="dxa"/>
              <w:right w:w="0" w:type="dxa"/>
            </w:tcMar>
          </w:tcPr>
          <w:p w14:paraId="116E5432" w14:textId="77777777" w:rsidR="00A06CB6" w:rsidRPr="00494635" w:rsidRDefault="00A06CB6" w:rsidP="00A06CB6">
            <w:pPr>
              <w:pStyle w:val="Source"/>
              <w:rPr>
                <w:lang w:val="ru-RU"/>
              </w:rPr>
            </w:pPr>
            <w:bookmarkStart w:id="4" w:name="drec" w:colFirst="0" w:colLast="0"/>
            <w:bookmarkStart w:id="5" w:name="dtitle1"/>
            <w:bookmarkEnd w:id="3"/>
          </w:p>
        </w:tc>
      </w:tr>
      <w:tr w:rsidR="00A06CB6" w:rsidRPr="002C00DA" w14:paraId="035A2189" w14:textId="77777777" w:rsidTr="00A06CB6">
        <w:trPr>
          <w:cantSplit/>
        </w:trPr>
        <w:tc>
          <w:tcPr>
            <w:tcW w:w="9889" w:type="dxa"/>
            <w:gridSpan w:val="2"/>
            <w:tcMar>
              <w:left w:w="0" w:type="dxa"/>
              <w:right w:w="0" w:type="dxa"/>
            </w:tcMar>
          </w:tcPr>
          <w:p w14:paraId="411FFDD8" w14:textId="77777777" w:rsidR="00A06CB6" w:rsidRPr="00494635" w:rsidRDefault="00A06CB6" w:rsidP="00A06CB6">
            <w:pPr>
              <w:pStyle w:val="Title1"/>
              <w:rPr>
                <w:lang w:val="ru-RU"/>
              </w:rPr>
            </w:pPr>
            <w:r w:rsidRPr="00494635">
              <w:rPr>
                <w:lang w:val="ru-RU"/>
              </w:rPr>
              <w:t>протокол</w:t>
            </w:r>
            <w:r w:rsidRPr="00494635">
              <w:rPr>
                <w:rStyle w:val="FootnoteReference"/>
                <w:lang w:val="ru-RU"/>
              </w:rPr>
              <w:footnoteReference w:customMarkFollows="1" w:id="1"/>
              <w:t>*</w:t>
            </w:r>
            <w:r w:rsidRPr="00494635">
              <w:rPr>
                <w:lang w:val="ru-RU"/>
              </w:rPr>
              <w:br/>
              <w:t>девяносто первого СОБРАНИЯ</w:t>
            </w:r>
            <w:r w:rsidRPr="00494635">
              <w:rPr>
                <w:lang w:val="ru-RU"/>
              </w:rPr>
              <w:br/>
              <w:t>РАДИОРЕГЛАМЕНТАРНОГО КОМИТЕТА</w:t>
            </w:r>
          </w:p>
        </w:tc>
      </w:tr>
      <w:tr w:rsidR="00A06CB6" w:rsidRPr="00494635" w14:paraId="31F44493" w14:textId="77777777" w:rsidTr="00A06CB6">
        <w:trPr>
          <w:cantSplit/>
        </w:trPr>
        <w:tc>
          <w:tcPr>
            <w:tcW w:w="9889" w:type="dxa"/>
            <w:gridSpan w:val="2"/>
          </w:tcPr>
          <w:p w14:paraId="33C544FC" w14:textId="77777777" w:rsidR="00A06CB6" w:rsidRPr="00494635" w:rsidRDefault="00A06CB6" w:rsidP="00A06CB6">
            <w:pPr>
              <w:pStyle w:val="Title2"/>
              <w:rPr>
                <w:rFonts w:asciiTheme="majorBidi" w:hAnsiTheme="majorBidi" w:cstheme="majorBidi"/>
                <w:lang w:val="ru-RU"/>
              </w:rPr>
            </w:pPr>
            <w:bookmarkStart w:id="6" w:name="lt_pId013"/>
            <w:r w:rsidRPr="00494635">
              <w:rPr>
                <w:caps w:val="0"/>
                <w:sz w:val="22"/>
                <w:szCs w:val="22"/>
                <w:lang w:val="ru-RU"/>
              </w:rPr>
              <w:t>31 октября − 4 ноября 2022 года</w:t>
            </w:r>
            <w:bookmarkEnd w:id="6"/>
          </w:p>
        </w:tc>
      </w:tr>
    </w:tbl>
    <w:bookmarkEnd w:id="4"/>
    <w:bookmarkEnd w:id="5"/>
    <w:p w14:paraId="02F78AC1" w14:textId="324227AB" w:rsidR="00A06CB6" w:rsidRPr="00494635" w:rsidRDefault="00A06CB6" w:rsidP="00494635">
      <w:pPr>
        <w:tabs>
          <w:tab w:val="clear" w:pos="1588"/>
          <w:tab w:val="clear" w:pos="1985"/>
        </w:tabs>
        <w:spacing w:before="720"/>
        <w:ind w:left="2693" w:hanging="2693"/>
        <w:rPr>
          <w:rFonts w:asciiTheme="majorBidi" w:hAnsiTheme="majorBidi" w:cstheme="majorBidi"/>
          <w:bCs/>
          <w:lang w:val="ru-RU"/>
        </w:rPr>
      </w:pPr>
      <w:r w:rsidRPr="00494635">
        <w:rPr>
          <w:bCs/>
          <w:u w:val="single"/>
          <w:lang w:val="ru-RU"/>
        </w:rPr>
        <w:t>Присутствовали</w:t>
      </w:r>
      <w:r w:rsidRPr="00494635">
        <w:rPr>
          <w:bCs/>
          <w:lang w:val="ru-RU"/>
        </w:rPr>
        <w:t>:</w:t>
      </w:r>
      <w:r w:rsidRPr="00494635">
        <w:rPr>
          <w:bCs/>
          <w:lang w:val="ru-RU"/>
        </w:rPr>
        <w:tab/>
      </w:r>
      <w:r w:rsidRPr="00494635">
        <w:rPr>
          <w:u w:val="single"/>
          <w:lang w:val="ru-RU"/>
        </w:rPr>
        <w:t>Члены РРК</w:t>
      </w:r>
      <w:r w:rsidRPr="00494635">
        <w:rPr>
          <w:u w:val="single"/>
          <w:lang w:val="ru-RU"/>
        </w:rPr>
        <w:br/>
      </w:r>
      <w:r w:rsidRPr="00494635">
        <w:rPr>
          <w:lang w:val="ru-RU"/>
        </w:rPr>
        <w:t>г</w:t>
      </w:r>
      <w:r w:rsidRPr="00494635">
        <w:rPr>
          <w:lang w:val="ru-RU"/>
        </w:rPr>
        <w:noBreakHyphen/>
        <w:t>н T. АЛАМРИ, Председатель</w:t>
      </w:r>
      <w:r w:rsidRPr="00494635">
        <w:rPr>
          <w:rFonts w:asciiTheme="majorBidi" w:hAnsiTheme="majorBidi" w:cstheme="majorBidi"/>
          <w:bCs/>
          <w:lang w:val="ru-RU"/>
        </w:rPr>
        <w:t xml:space="preserve"> </w:t>
      </w:r>
      <w:r w:rsidRPr="00494635">
        <w:rPr>
          <w:rFonts w:asciiTheme="majorBidi" w:hAnsiTheme="majorBidi" w:cstheme="majorBidi"/>
          <w:bCs/>
          <w:lang w:val="ru-RU"/>
        </w:rPr>
        <w:br/>
      </w:r>
      <w:r w:rsidRPr="00494635">
        <w:rPr>
          <w:lang w:val="ru-RU"/>
        </w:rPr>
        <w:t>г-н E. АЗЗУЗ, заместитель Председателя</w:t>
      </w:r>
      <w:r w:rsidRPr="00494635">
        <w:rPr>
          <w:rFonts w:asciiTheme="majorBidi" w:hAnsiTheme="majorBidi" w:cstheme="majorBidi"/>
          <w:bCs/>
          <w:lang w:val="ru-RU"/>
        </w:rPr>
        <w:br/>
      </w:r>
      <w:r w:rsidRPr="00494635">
        <w:rPr>
          <w:lang w:val="ru-RU"/>
        </w:rPr>
        <w:t>г</w:t>
      </w:r>
      <w:r w:rsidRPr="00494635">
        <w:rPr>
          <w:lang w:val="ru-RU"/>
        </w:rPr>
        <w:noBreakHyphen/>
        <w:t>жа Ш. БОМЬЕ, г-н Л.Ф. БОРХОН</w:t>
      </w:r>
      <w:r w:rsidRPr="00494635">
        <w:rPr>
          <w:lang w:val="ru-RU"/>
        </w:rPr>
        <w:noBreakHyphen/>
        <w:t>ФИГЕРОА, г</w:t>
      </w:r>
      <w:r w:rsidRPr="00494635">
        <w:rPr>
          <w:lang w:val="ru-RU"/>
        </w:rPr>
        <w:noBreakHyphen/>
        <w:t>жа С. ГАСАНОВА, г</w:t>
      </w:r>
      <w:r w:rsidRPr="00494635">
        <w:rPr>
          <w:lang w:val="ru-RU"/>
        </w:rPr>
        <w:noBreakHyphen/>
        <w:t>н A. ХАСИМОТО, г</w:t>
      </w:r>
      <w:r w:rsidRPr="00494635">
        <w:rPr>
          <w:lang w:val="ru-RU"/>
        </w:rPr>
        <w:noBreakHyphen/>
        <w:t>н И. АНРИ, г-н Д.К. ХОАН, г-жа Л. ЖЕАНТИ, г</w:t>
      </w:r>
      <w:r w:rsidRPr="00494635">
        <w:rPr>
          <w:lang w:val="ru-RU"/>
        </w:rPr>
        <w:noBreakHyphen/>
        <w:t>н С.М. МЧУНУ, г</w:t>
      </w:r>
      <w:r w:rsidRPr="00494635">
        <w:rPr>
          <w:lang w:val="ru-RU"/>
        </w:rPr>
        <w:noBreakHyphen/>
        <w:t>н Х. ТАЛИБ, г-н Н. ВАРЛАМОВ</w:t>
      </w:r>
    </w:p>
    <w:p w14:paraId="6D92CF4C" w14:textId="77777777" w:rsidR="00A06CB6" w:rsidRPr="00494635" w:rsidRDefault="00A06CB6" w:rsidP="00A06CB6">
      <w:pPr>
        <w:tabs>
          <w:tab w:val="clear" w:pos="1985"/>
        </w:tabs>
        <w:spacing w:before="240"/>
        <w:ind w:left="2693"/>
        <w:rPr>
          <w:bCs/>
          <w:lang w:val="ru-RU"/>
        </w:rPr>
      </w:pPr>
      <w:r w:rsidRPr="00494635">
        <w:rPr>
          <w:bCs/>
          <w:u w:val="single"/>
          <w:lang w:val="ru-RU"/>
        </w:rPr>
        <w:t>Исполнительный секретарь РРК</w:t>
      </w:r>
      <w:r w:rsidRPr="00494635">
        <w:rPr>
          <w:bCs/>
          <w:u w:val="single"/>
          <w:lang w:val="ru-RU"/>
        </w:rPr>
        <w:br/>
      </w:r>
      <w:r w:rsidRPr="00494635">
        <w:rPr>
          <w:bCs/>
          <w:lang w:val="ru-RU"/>
        </w:rPr>
        <w:t>г-н М. МАНЕВИЧ, Директор БР</w:t>
      </w:r>
    </w:p>
    <w:p w14:paraId="342797DD" w14:textId="77777777" w:rsidR="00A06CB6" w:rsidRPr="00494635" w:rsidRDefault="00A06CB6" w:rsidP="00A06CB6">
      <w:pPr>
        <w:tabs>
          <w:tab w:val="clear" w:pos="1985"/>
        </w:tabs>
        <w:spacing w:before="240"/>
        <w:ind w:left="2693"/>
        <w:rPr>
          <w:bCs/>
          <w:lang w:val="ru-RU"/>
        </w:rPr>
      </w:pPr>
      <w:r w:rsidRPr="00494635">
        <w:rPr>
          <w:bCs/>
          <w:u w:val="single"/>
          <w:lang w:val="ru-RU"/>
        </w:rPr>
        <w:t>Составители протоколов</w:t>
      </w:r>
      <w:r w:rsidRPr="00494635">
        <w:rPr>
          <w:bCs/>
          <w:u w:val="single"/>
          <w:lang w:val="ru-RU"/>
        </w:rPr>
        <w:br/>
      </w:r>
      <w:r w:rsidRPr="00494635">
        <w:rPr>
          <w:bCs/>
          <w:lang w:val="ru-RU"/>
        </w:rPr>
        <w:t>г-жа К. РАМАЖ и г-жа С. МУТТИ</w:t>
      </w:r>
    </w:p>
    <w:p w14:paraId="6DF9D06D" w14:textId="77777777" w:rsidR="00A06CB6" w:rsidRPr="00494635" w:rsidRDefault="00A06CB6" w:rsidP="00A06CB6">
      <w:pPr>
        <w:tabs>
          <w:tab w:val="clear" w:pos="1985"/>
        </w:tabs>
        <w:spacing w:before="240"/>
        <w:ind w:left="2693" w:hanging="2693"/>
        <w:rPr>
          <w:bCs/>
          <w:lang w:val="ru-RU"/>
        </w:rPr>
      </w:pPr>
      <w:r w:rsidRPr="00494635">
        <w:rPr>
          <w:bCs/>
          <w:u w:val="single"/>
          <w:lang w:val="ru-RU"/>
        </w:rPr>
        <w:t>Также присутствовали</w:t>
      </w:r>
      <w:r w:rsidRPr="00494635">
        <w:rPr>
          <w:bCs/>
          <w:lang w:val="ru-RU"/>
        </w:rPr>
        <w:t>:</w:t>
      </w:r>
      <w:r w:rsidRPr="00494635">
        <w:rPr>
          <w:bCs/>
          <w:lang w:val="ru-RU"/>
        </w:rPr>
        <w:tab/>
      </w:r>
      <w:bookmarkStart w:id="7" w:name="lt_pId050"/>
      <w:r w:rsidRPr="00494635">
        <w:rPr>
          <w:bCs/>
          <w:lang w:val="ru-RU"/>
        </w:rPr>
        <w:t>г</w:t>
      </w:r>
      <w:r w:rsidRPr="00494635">
        <w:rPr>
          <w:bCs/>
          <w:lang w:val="ru-RU"/>
        </w:rPr>
        <w:noBreakHyphen/>
        <w:t xml:space="preserve">жа </w:t>
      </w:r>
      <w:r w:rsidRPr="00494635">
        <w:rPr>
          <w:color w:val="000000"/>
          <w:lang w:val="ru-RU"/>
        </w:rPr>
        <w:t>Дж. УИЛСОН, заместитель Директора БР и руководитель IAP</w:t>
      </w:r>
      <w:r w:rsidRPr="00494635">
        <w:rPr>
          <w:color w:val="000000"/>
          <w:lang w:val="ru-RU"/>
        </w:rPr>
        <w:br/>
        <w:t>г-н А. ВАЛЛЕ, руководитель SSD</w:t>
      </w:r>
      <w:r w:rsidRPr="00494635">
        <w:rPr>
          <w:color w:val="000000"/>
          <w:lang w:val="ru-RU"/>
        </w:rPr>
        <w:br/>
        <w:t>г-н Ч.Ч. ЛOO, руководитель SSD/SPR</w:t>
      </w:r>
      <w:r w:rsidRPr="00494635">
        <w:rPr>
          <w:color w:val="000000"/>
          <w:lang w:val="ru-RU"/>
        </w:rPr>
        <w:br/>
        <w:t>г</w:t>
      </w:r>
      <w:r w:rsidRPr="00494635">
        <w:rPr>
          <w:color w:val="000000"/>
          <w:lang w:val="ru-RU"/>
        </w:rPr>
        <w:noBreakHyphen/>
        <w:t>н M. САКАМОТО, руководитель SSD/SSC</w:t>
      </w:r>
      <w:r w:rsidRPr="00494635">
        <w:rPr>
          <w:color w:val="000000"/>
          <w:lang w:val="ru-RU"/>
        </w:rPr>
        <w:br/>
        <w:t>г-н Ц. ВАН, руководитель SSD/SNP</w:t>
      </w:r>
      <w:r w:rsidRPr="00494635">
        <w:rPr>
          <w:color w:val="000000"/>
          <w:lang w:val="ru-RU"/>
        </w:rPr>
        <w:br/>
        <w:t>г-жа С. ВАН, SSD/SPR</w:t>
      </w:r>
      <w:r w:rsidRPr="00494635">
        <w:rPr>
          <w:color w:val="000000"/>
          <w:lang w:val="ru-RU"/>
        </w:rPr>
        <w:br/>
        <w:t>г-н Н. ВАСИЛЬЕВ, руководитель TSD</w:t>
      </w:r>
      <w:r w:rsidRPr="00494635">
        <w:rPr>
          <w:color w:val="000000"/>
          <w:lang w:val="ru-RU"/>
        </w:rPr>
        <w:br/>
        <w:t>г-н Б. БА, руководитель TSD/TPR</w:t>
      </w:r>
      <w:r w:rsidRPr="00494635">
        <w:rPr>
          <w:color w:val="000000"/>
          <w:lang w:val="ru-RU"/>
        </w:rPr>
        <w:br/>
        <w:t>г-жа И. ГАЗИ, руководитель TSD/BCD</w:t>
      </w:r>
      <w:r w:rsidRPr="00494635">
        <w:rPr>
          <w:color w:val="000000"/>
          <w:lang w:val="ru-RU"/>
        </w:rPr>
        <w:br/>
      </w:r>
      <w:bookmarkEnd w:id="7"/>
      <w:r w:rsidRPr="00494635">
        <w:rPr>
          <w:color w:val="000000"/>
          <w:lang w:val="ru-RU"/>
        </w:rPr>
        <w:t>г-н Д. БОТА,</w:t>
      </w:r>
      <w:r w:rsidRPr="00494635">
        <w:rPr>
          <w:bCs/>
          <w:lang w:val="ru-RU"/>
        </w:rPr>
        <w:t xml:space="preserve"> SGD </w:t>
      </w:r>
      <w:r w:rsidRPr="00494635">
        <w:rPr>
          <w:bCs/>
          <w:lang w:val="ru-RU"/>
        </w:rPr>
        <w:br/>
        <w:t>г-жа К. ГОЗАЛЬ, административный секретарь</w:t>
      </w:r>
    </w:p>
    <w:p w14:paraId="23BDC8F4" w14:textId="77777777" w:rsidR="00A06CB6" w:rsidRPr="00494635" w:rsidRDefault="00A06CB6">
      <w:pPr>
        <w:tabs>
          <w:tab w:val="clear" w:pos="794"/>
          <w:tab w:val="clear" w:pos="1191"/>
          <w:tab w:val="clear" w:pos="1588"/>
          <w:tab w:val="clear" w:pos="1985"/>
        </w:tabs>
        <w:overflowPunct/>
        <w:autoSpaceDE/>
        <w:autoSpaceDN/>
        <w:adjustRightInd/>
        <w:spacing w:before="0"/>
        <w:textAlignment w:val="auto"/>
        <w:rPr>
          <w:lang w:val="ru-RU"/>
        </w:rPr>
        <w:sectPr w:rsidR="00A06CB6" w:rsidRPr="00494635" w:rsidSect="00A06CB6">
          <w:headerReference w:type="even" r:id="rId14"/>
          <w:headerReference w:type="default" r:id="rId15"/>
          <w:footerReference w:type="default" r:id="rId16"/>
          <w:headerReference w:type="first" r:id="rId17"/>
          <w:footerReference w:type="first" r:id="rId18"/>
          <w:pgSz w:w="11907" w:h="16834" w:code="9"/>
          <w:pgMar w:top="993" w:right="1134" w:bottom="1134" w:left="1134" w:header="567" w:footer="567" w:gutter="0"/>
          <w:cols w:space="720"/>
          <w:docGrid w:linePitch="299"/>
        </w:sectPr>
      </w:pPr>
    </w:p>
    <w:tbl>
      <w:tblPr>
        <w:tblStyle w:val="GridTable1Light-Accent1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723"/>
        <w:gridCol w:w="6218"/>
        <w:gridCol w:w="2840"/>
      </w:tblGrid>
      <w:tr w:rsidR="00A06CB6" w:rsidRPr="00494635" w14:paraId="1CA72168" w14:textId="77777777" w:rsidTr="00A06C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 w:type="dxa"/>
            <w:tcBorders>
              <w:bottom w:val="none" w:sz="0" w:space="0" w:color="auto"/>
            </w:tcBorders>
            <w:shd w:val="clear" w:color="auto" w:fill="auto"/>
            <w:vAlign w:val="center"/>
          </w:tcPr>
          <w:p w14:paraId="42D30D16" w14:textId="77777777" w:rsidR="00A06CB6" w:rsidRPr="00494635" w:rsidRDefault="00A06CB6" w:rsidP="00A06CB6">
            <w:pPr>
              <w:pStyle w:val="Tablehead"/>
              <w:ind w:left="-57" w:right="-57"/>
              <w:rPr>
                <w:b/>
                <w:bCs w:val="0"/>
                <w:szCs w:val="20"/>
                <w:lang w:val="ru-RU"/>
              </w:rPr>
            </w:pPr>
          </w:p>
        </w:tc>
        <w:tc>
          <w:tcPr>
            <w:tcW w:w="6218" w:type="dxa"/>
            <w:tcBorders>
              <w:bottom w:val="none" w:sz="0" w:space="0" w:color="auto"/>
            </w:tcBorders>
            <w:shd w:val="clear" w:color="auto" w:fill="auto"/>
            <w:vAlign w:val="center"/>
          </w:tcPr>
          <w:p w14:paraId="35A9D3AB" w14:textId="77777777" w:rsidR="00A06CB6" w:rsidRPr="00494635" w:rsidRDefault="00A06CB6" w:rsidP="00A06CB6">
            <w:pPr>
              <w:pStyle w:val="Tablehead"/>
              <w:ind w:left="-57" w:right="-57"/>
              <w:jc w:val="both"/>
              <w:cnfStyle w:val="100000000000" w:firstRow="1" w:lastRow="0" w:firstColumn="0" w:lastColumn="0" w:oddVBand="0" w:evenVBand="0" w:oddHBand="0" w:evenHBand="0" w:firstRowFirstColumn="0" w:firstRowLastColumn="0" w:lastRowFirstColumn="0" w:lastRowLastColumn="0"/>
              <w:rPr>
                <w:b/>
                <w:bCs w:val="0"/>
                <w:szCs w:val="20"/>
                <w:lang w:val="ru-RU"/>
              </w:rPr>
            </w:pPr>
            <w:r w:rsidRPr="00494635">
              <w:rPr>
                <w:b/>
                <w:szCs w:val="20"/>
                <w:lang w:val="ru-RU"/>
              </w:rPr>
              <w:t>Обсуждаемые вопросы</w:t>
            </w:r>
          </w:p>
        </w:tc>
        <w:tc>
          <w:tcPr>
            <w:tcW w:w="2840" w:type="dxa"/>
            <w:tcBorders>
              <w:bottom w:val="none" w:sz="0" w:space="0" w:color="auto"/>
            </w:tcBorders>
            <w:shd w:val="clear" w:color="auto" w:fill="auto"/>
            <w:vAlign w:val="center"/>
          </w:tcPr>
          <w:p w14:paraId="4F2A1652" w14:textId="77777777" w:rsidR="00A06CB6" w:rsidRPr="00494635" w:rsidRDefault="00A06CB6" w:rsidP="00A06CB6">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cnfStyle w:val="100000000000" w:firstRow="1" w:lastRow="0" w:firstColumn="0" w:lastColumn="0" w:oddVBand="0" w:evenVBand="0" w:oddHBand="0" w:evenHBand="0" w:firstRowFirstColumn="0" w:firstRowLastColumn="0" w:lastRowFirstColumn="0" w:lastRowLastColumn="0"/>
              <w:rPr>
                <w:b/>
                <w:bCs w:val="0"/>
                <w:szCs w:val="20"/>
                <w:lang w:val="ru-RU"/>
              </w:rPr>
            </w:pPr>
            <w:r w:rsidRPr="00494635">
              <w:rPr>
                <w:b/>
                <w:szCs w:val="20"/>
                <w:lang w:val="ru-RU"/>
              </w:rPr>
              <w:t>Документы</w:t>
            </w:r>
          </w:p>
        </w:tc>
      </w:tr>
      <w:tr w:rsidR="00A06CB6" w:rsidRPr="00494635" w14:paraId="4C0C0408"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52B94F8C" w14:textId="77777777" w:rsidR="00A06CB6" w:rsidRPr="00494635" w:rsidRDefault="00A06CB6" w:rsidP="00A06CB6">
            <w:pPr>
              <w:pStyle w:val="Tabletext"/>
              <w:jc w:val="center"/>
              <w:rPr>
                <w:bCs w:val="0"/>
                <w:szCs w:val="20"/>
                <w:lang w:val="ru-RU"/>
              </w:rPr>
            </w:pPr>
            <w:r w:rsidRPr="00494635">
              <w:rPr>
                <w:szCs w:val="20"/>
                <w:lang w:val="ru-RU"/>
              </w:rPr>
              <w:t>1</w:t>
            </w:r>
          </w:p>
        </w:tc>
        <w:tc>
          <w:tcPr>
            <w:tcW w:w="6218" w:type="dxa"/>
          </w:tcPr>
          <w:p w14:paraId="2A2D939D" w14:textId="77777777" w:rsidR="00A06CB6" w:rsidRPr="00494635" w:rsidRDefault="00A06CB6" w:rsidP="00A06CB6">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Открытие собрания</w:t>
            </w:r>
          </w:p>
        </w:tc>
        <w:tc>
          <w:tcPr>
            <w:tcW w:w="2840" w:type="dxa"/>
          </w:tcPr>
          <w:p w14:paraId="3184BB23" w14:textId="77777777" w:rsidR="00A06CB6" w:rsidRPr="00494635" w:rsidRDefault="00A06CB6" w:rsidP="00A06CB6">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w:t>
            </w:r>
          </w:p>
        </w:tc>
      </w:tr>
      <w:tr w:rsidR="00A06CB6" w:rsidRPr="00494635" w14:paraId="5E691148"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04038A57" w14:textId="77777777" w:rsidR="00A06CB6" w:rsidRPr="00494635" w:rsidRDefault="00A06CB6" w:rsidP="00A06CB6">
            <w:pPr>
              <w:pStyle w:val="Tabletext"/>
              <w:jc w:val="center"/>
              <w:rPr>
                <w:bCs w:val="0"/>
                <w:szCs w:val="20"/>
                <w:lang w:val="ru-RU"/>
              </w:rPr>
            </w:pPr>
            <w:r w:rsidRPr="00494635">
              <w:rPr>
                <w:szCs w:val="20"/>
                <w:lang w:val="ru-RU"/>
              </w:rPr>
              <w:t>2</w:t>
            </w:r>
          </w:p>
        </w:tc>
        <w:tc>
          <w:tcPr>
            <w:tcW w:w="6218" w:type="dxa"/>
          </w:tcPr>
          <w:p w14:paraId="16DEE082" w14:textId="77777777" w:rsidR="00A06CB6" w:rsidRPr="00494635" w:rsidRDefault="00A06CB6" w:rsidP="00A06CB6">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Принятие повестки дня</w:t>
            </w:r>
          </w:p>
        </w:tc>
        <w:tc>
          <w:tcPr>
            <w:tcW w:w="2840" w:type="dxa"/>
          </w:tcPr>
          <w:p w14:paraId="7F5797D7" w14:textId="77777777" w:rsidR="00A06CB6" w:rsidRPr="00494635" w:rsidRDefault="00A06CB6" w:rsidP="00A06CB6">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eastAsia="zh-CN"/>
              </w:rPr>
              <w:t>RRB22-3/OJ/1(Rev.1)</w:t>
            </w:r>
          </w:p>
        </w:tc>
      </w:tr>
      <w:tr w:rsidR="00A06CB6" w:rsidRPr="002C00DA" w14:paraId="4150E3F9" w14:textId="77777777" w:rsidTr="00A06CB6">
        <w:tc>
          <w:tcPr>
            <w:tcW w:w="723" w:type="dxa"/>
          </w:tcPr>
          <w:p w14:paraId="7FC8F2DC" w14:textId="77777777" w:rsidR="00A06CB6" w:rsidRPr="00494635" w:rsidRDefault="00A06CB6" w:rsidP="00A06CB6">
            <w:pPr>
              <w:pStyle w:val="Tabletext"/>
              <w:jc w:val="center"/>
              <w:cnfStyle w:val="001000000000" w:firstRow="0" w:lastRow="0" w:firstColumn="1" w:lastColumn="0" w:oddVBand="0" w:evenVBand="0" w:oddHBand="0" w:evenHBand="0" w:firstRowFirstColumn="0" w:firstRowLastColumn="0" w:lastRowFirstColumn="0" w:lastRowLastColumn="0"/>
              <w:rPr>
                <w:bCs w:val="0"/>
                <w:szCs w:val="20"/>
                <w:lang w:val="ru-RU"/>
              </w:rPr>
            </w:pPr>
            <w:r w:rsidRPr="00494635">
              <w:rPr>
                <w:szCs w:val="20"/>
                <w:lang w:val="ru-RU"/>
              </w:rPr>
              <w:t>3</w:t>
            </w:r>
          </w:p>
        </w:tc>
        <w:tc>
          <w:tcPr>
            <w:tcW w:w="6218" w:type="dxa"/>
          </w:tcPr>
          <w:p w14:paraId="5B19DDDA" w14:textId="77777777" w:rsidR="00A06CB6" w:rsidRPr="00494635" w:rsidRDefault="00A06CB6" w:rsidP="00A06CB6">
            <w:pPr>
              <w:spacing w:before="40" w:after="40"/>
              <w:jc w:val="both"/>
              <w:rPr>
                <w:szCs w:val="20"/>
                <w:lang w:val="ru-RU"/>
              </w:rPr>
            </w:pPr>
            <w:r w:rsidRPr="00494635">
              <w:rPr>
                <w:szCs w:val="20"/>
                <w:lang w:val="ru-RU"/>
              </w:rPr>
              <w:t>Отчет Директора БР</w:t>
            </w:r>
          </w:p>
        </w:tc>
        <w:tc>
          <w:tcPr>
            <w:tcW w:w="2840" w:type="dxa"/>
          </w:tcPr>
          <w:p w14:paraId="0A60DED2" w14:textId="77777777" w:rsidR="00A06CB6" w:rsidRPr="00494635" w:rsidRDefault="002C00DA" w:rsidP="00A06CB6">
            <w:pPr>
              <w:pStyle w:val="Tabletext"/>
              <w:tabs>
                <w:tab w:val="clear" w:pos="284"/>
                <w:tab w:val="clear" w:pos="567"/>
                <w:tab w:val="clear" w:pos="851"/>
                <w:tab w:val="clear" w:pos="1134"/>
                <w:tab w:val="clear" w:pos="1418"/>
                <w:tab w:val="clear" w:pos="1701"/>
                <w:tab w:val="clear" w:pos="1985"/>
              </w:tabs>
              <w:ind w:right="28"/>
              <w:jc w:val="center"/>
              <w:rPr>
                <w:szCs w:val="20"/>
                <w:lang w:val="ru-RU"/>
              </w:rPr>
            </w:pPr>
            <w:hyperlink r:id="rId19" w:history="1">
              <w:r w:rsidR="00A06CB6" w:rsidRPr="00494635">
                <w:rPr>
                  <w:rStyle w:val="Hyperlink"/>
                  <w:szCs w:val="20"/>
                  <w:lang w:val="ru-RU" w:eastAsia="zh-CN"/>
                </w:rPr>
                <w:t>RRB22-3/5</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0" w:history="1">
              <w:r w:rsidR="00A06CB6" w:rsidRPr="00494635">
                <w:rPr>
                  <w:rStyle w:val="Hyperlink"/>
                  <w:szCs w:val="20"/>
                  <w:lang w:val="ru-RU" w:eastAsia="zh-CN"/>
                </w:rPr>
                <w:t>RRB22-3/5(Corr.1)</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1" w:history="1">
              <w:r w:rsidR="00A06CB6" w:rsidRPr="00494635">
                <w:rPr>
                  <w:rStyle w:val="Hyperlink"/>
                  <w:szCs w:val="20"/>
                  <w:lang w:val="ru-RU" w:eastAsia="zh-CN"/>
                </w:rPr>
                <w:t>RRB22-3/5(Add.1)</w:t>
              </w:r>
            </w:hyperlink>
            <w:r w:rsidR="00A06CB6" w:rsidRPr="00494635">
              <w:rPr>
                <w:rStyle w:val="Hyperlink"/>
                <w:szCs w:val="20"/>
                <w:lang w:val="ru-RU" w:eastAsia="zh-CN"/>
              </w:rPr>
              <w:t xml:space="preserve">(Rev.1); </w:t>
            </w:r>
            <w:hyperlink r:id="rId22" w:history="1">
              <w:r w:rsidR="00A06CB6" w:rsidRPr="00494635">
                <w:rPr>
                  <w:rStyle w:val="Hyperlink"/>
                  <w:szCs w:val="20"/>
                  <w:lang w:val="ru-RU" w:eastAsia="zh-CN"/>
                </w:rPr>
                <w:t>RRB22</w:t>
              </w:r>
              <w:r w:rsidR="00A06CB6" w:rsidRPr="00494635">
                <w:rPr>
                  <w:rStyle w:val="Hyperlink"/>
                  <w:szCs w:val="20"/>
                  <w:lang w:val="ru-RU" w:eastAsia="zh-CN"/>
                </w:rPr>
                <w:noBreakHyphen/>
                <w:t>3/5(Add.2)</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3" w:history="1">
              <w:r w:rsidR="00A06CB6" w:rsidRPr="00494635">
                <w:rPr>
                  <w:rStyle w:val="Hyperlink"/>
                  <w:szCs w:val="20"/>
                  <w:lang w:val="ru-RU" w:eastAsia="zh-CN"/>
                </w:rPr>
                <w:t>RRB22-3/5(Add.3)</w:t>
              </w:r>
            </w:hyperlink>
            <w:r w:rsidR="00A06CB6" w:rsidRPr="00494635">
              <w:rPr>
                <w:rStyle w:val="Hyperlink"/>
                <w:szCs w:val="20"/>
                <w:lang w:val="ru-RU" w:eastAsia="zh-CN"/>
              </w:rPr>
              <w:t xml:space="preserve">; </w:t>
            </w:r>
            <w:hyperlink r:id="rId24" w:history="1">
              <w:r w:rsidR="00A06CB6" w:rsidRPr="00494635">
                <w:rPr>
                  <w:rStyle w:val="Hyperlink"/>
                  <w:szCs w:val="20"/>
                  <w:lang w:val="ru-RU" w:eastAsia="zh-CN"/>
                </w:rPr>
                <w:t>RRB22</w:t>
              </w:r>
              <w:r w:rsidR="00A06CB6" w:rsidRPr="00494635">
                <w:rPr>
                  <w:rStyle w:val="Hyperlink"/>
                  <w:szCs w:val="20"/>
                  <w:lang w:val="ru-RU" w:eastAsia="zh-CN"/>
                </w:rPr>
                <w:noBreakHyphen/>
                <w:t>3/5(Add.4)</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5" w:history="1">
              <w:r w:rsidR="00A06CB6" w:rsidRPr="00494635">
                <w:rPr>
                  <w:rStyle w:val="Hyperlink"/>
                  <w:szCs w:val="20"/>
                  <w:lang w:val="ru-RU" w:eastAsia="zh-CN"/>
                </w:rPr>
                <w:t>RRB22-3/5(Add.5)</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6" w:history="1">
              <w:r w:rsidR="00A06CB6" w:rsidRPr="00494635">
                <w:rPr>
                  <w:rStyle w:val="Hyperlink"/>
                  <w:szCs w:val="20"/>
                  <w:lang w:val="ru-RU" w:eastAsia="zh-CN"/>
                </w:rPr>
                <w:t>RRB22-3/5(Add.6)</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7" w:history="1">
              <w:r w:rsidR="00A06CB6" w:rsidRPr="00494635">
                <w:rPr>
                  <w:rStyle w:val="Hyperlink"/>
                  <w:szCs w:val="20"/>
                  <w:lang w:val="ru-RU" w:eastAsia="zh-CN"/>
                </w:rPr>
                <w:t>RRB22-3/5(Add.7)</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8" w:history="1">
              <w:r w:rsidR="00A06CB6" w:rsidRPr="00494635">
                <w:rPr>
                  <w:rStyle w:val="Hyperlink"/>
                  <w:szCs w:val="20"/>
                  <w:lang w:val="ru-RU" w:eastAsia="zh-CN"/>
                </w:rPr>
                <w:t>RRB22-3/5(Add.8)</w:t>
              </w:r>
            </w:hyperlink>
            <w:r w:rsidR="00A06CB6" w:rsidRPr="00494635">
              <w:rPr>
                <w:rStyle w:val="Hyperlink"/>
                <w:szCs w:val="20"/>
                <w:lang w:val="ru-RU" w:eastAsia="zh-CN"/>
              </w:rPr>
              <w:t xml:space="preserve">; </w:t>
            </w:r>
            <w:r w:rsidR="00A06CB6" w:rsidRPr="00494635">
              <w:rPr>
                <w:rStyle w:val="Hyperlink"/>
                <w:szCs w:val="20"/>
                <w:lang w:val="ru-RU" w:eastAsia="zh-CN"/>
              </w:rPr>
              <w:br/>
            </w:r>
            <w:hyperlink r:id="rId29" w:history="1">
              <w:r w:rsidR="00A06CB6" w:rsidRPr="00494635">
                <w:rPr>
                  <w:rStyle w:val="Hyperlink"/>
                  <w:szCs w:val="20"/>
                  <w:lang w:val="ru-RU" w:eastAsia="zh-CN"/>
                </w:rPr>
                <w:t>RRB22-3/5(Add.9)</w:t>
              </w:r>
            </w:hyperlink>
          </w:p>
        </w:tc>
      </w:tr>
      <w:tr w:rsidR="00A06CB6" w:rsidRPr="00494635" w14:paraId="3CE1DA61"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57469E73" w14:textId="77777777" w:rsidR="00A06CB6" w:rsidRPr="00494635" w:rsidRDefault="00A06CB6" w:rsidP="00A06CB6">
            <w:pPr>
              <w:pStyle w:val="Tabletext"/>
              <w:jc w:val="center"/>
              <w:rPr>
                <w:szCs w:val="20"/>
                <w:lang w:val="ru-RU"/>
              </w:rPr>
            </w:pPr>
            <w:r w:rsidRPr="00494635">
              <w:rPr>
                <w:szCs w:val="20"/>
                <w:lang w:val="ru-RU"/>
              </w:rPr>
              <w:t>4</w:t>
            </w:r>
          </w:p>
        </w:tc>
        <w:tc>
          <w:tcPr>
            <w:tcW w:w="6218" w:type="dxa"/>
          </w:tcPr>
          <w:p w14:paraId="4B397732" w14:textId="77777777" w:rsidR="00A06CB6" w:rsidRPr="00494635" w:rsidRDefault="00A06CB6" w:rsidP="00A06CB6">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Правила процедуры</w:t>
            </w:r>
          </w:p>
        </w:tc>
        <w:tc>
          <w:tcPr>
            <w:tcW w:w="2840" w:type="dxa"/>
          </w:tcPr>
          <w:p w14:paraId="769E95B3" w14:textId="77777777" w:rsidR="00A06CB6" w:rsidRPr="00494635" w:rsidRDefault="00A06CB6" w:rsidP="00A06CB6">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0"/>
                <w:shd w:val="clear" w:color="auto" w:fill="FFFFFF"/>
                <w:lang w:val="ru-RU"/>
              </w:rPr>
            </w:pPr>
            <w:r w:rsidRPr="00494635">
              <w:rPr>
                <w:szCs w:val="20"/>
                <w:lang w:val="ru-RU"/>
              </w:rPr>
              <w:t>−</w:t>
            </w:r>
          </w:p>
        </w:tc>
      </w:tr>
      <w:tr w:rsidR="00A06CB6" w:rsidRPr="00494635" w14:paraId="02C6D1F9"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3F8399E0" w14:textId="77777777" w:rsidR="00A06CB6" w:rsidRPr="00494635" w:rsidRDefault="00A06CB6" w:rsidP="00A06CB6">
            <w:pPr>
              <w:pStyle w:val="Tabletext"/>
              <w:jc w:val="center"/>
              <w:rPr>
                <w:lang w:val="ru-RU"/>
              </w:rPr>
            </w:pPr>
            <w:r w:rsidRPr="00494635">
              <w:rPr>
                <w:lang w:val="ru-RU"/>
              </w:rPr>
              <w:t>4.1</w:t>
            </w:r>
          </w:p>
        </w:tc>
        <w:tc>
          <w:tcPr>
            <w:tcW w:w="6218" w:type="dxa"/>
          </w:tcPr>
          <w:p w14:paraId="36B2E9A9" w14:textId="77777777" w:rsidR="00A06CB6" w:rsidRPr="00494635" w:rsidRDefault="00A06CB6" w:rsidP="00A06CB6">
            <w:pPr>
              <w:pStyle w:val="Tabletext"/>
              <w:jc w:val="both"/>
              <w:cnfStyle w:val="000000000000" w:firstRow="0" w:lastRow="0" w:firstColumn="0" w:lastColumn="0" w:oddVBand="0" w:evenVBand="0" w:oddHBand="0" w:evenHBand="0" w:firstRowFirstColumn="0" w:firstRowLastColumn="0" w:lastRowFirstColumn="0" w:lastRowLastColumn="0"/>
              <w:rPr>
                <w:lang w:val="ru-RU"/>
              </w:rPr>
            </w:pPr>
            <w:r w:rsidRPr="00494635">
              <w:rPr>
                <w:szCs w:val="20"/>
                <w:lang w:val="ru-RU"/>
              </w:rPr>
              <w:t>Перечень Правил процедуры</w:t>
            </w:r>
          </w:p>
        </w:tc>
        <w:tc>
          <w:tcPr>
            <w:tcW w:w="2840" w:type="dxa"/>
          </w:tcPr>
          <w:p w14:paraId="08BAD695" w14:textId="77777777" w:rsidR="00A06CB6" w:rsidRPr="00494635" w:rsidRDefault="002C00DA" w:rsidP="00A06CB6">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30">
              <w:r w:rsidR="00A06CB6" w:rsidRPr="00494635">
                <w:rPr>
                  <w:rStyle w:val="Hyperlink"/>
                  <w:lang w:val="ru-RU"/>
                </w:rPr>
                <w:t>RRB22-3/1</w:t>
              </w:r>
              <w:r w:rsidR="00A06CB6" w:rsidRPr="00494635">
                <w:rPr>
                  <w:rStyle w:val="Hyperlink"/>
                  <w:lang w:val="ru-RU"/>
                </w:rPr>
                <w:br/>
              </w:r>
            </w:hyperlink>
            <w:hyperlink r:id="rId31">
              <w:r w:rsidR="00A06CB6" w:rsidRPr="00494635">
                <w:rPr>
                  <w:rStyle w:val="Hyperlink"/>
                  <w:lang w:val="ru-RU"/>
                </w:rPr>
                <w:t>RRB20-2/1(Rev.7)</w:t>
              </w:r>
            </w:hyperlink>
          </w:p>
        </w:tc>
      </w:tr>
      <w:tr w:rsidR="00A06CB6" w:rsidRPr="00494635" w14:paraId="301A476C"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2071E7A5" w14:textId="77777777" w:rsidR="00A06CB6" w:rsidRPr="00494635" w:rsidRDefault="00A06CB6" w:rsidP="00A06CB6">
            <w:pPr>
              <w:pStyle w:val="Tabletext"/>
              <w:jc w:val="center"/>
              <w:rPr>
                <w:lang w:val="ru-RU"/>
              </w:rPr>
            </w:pPr>
            <w:r w:rsidRPr="00494635">
              <w:rPr>
                <w:lang w:val="ru-RU"/>
              </w:rPr>
              <w:t>5</w:t>
            </w:r>
          </w:p>
        </w:tc>
        <w:tc>
          <w:tcPr>
            <w:tcW w:w="6218" w:type="dxa"/>
          </w:tcPr>
          <w:p w14:paraId="4CD06289" w14:textId="77777777" w:rsidR="00A06CB6" w:rsidRPr="00494635" w:rsidRDefault="00A06CB6" w:rsidP="00A06CB6">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сетям/системам</w:t>
            </w:r>
          </w:p>
        </w:tc>
        <w:tc>
          <w:tcPr>
            <w:tcW w:w="2840" w:type="dxa"/>
          </w:tcPr>
          <w:p w14:paraId="7160F816" w14:textId="77777777" w:rsidR="00A06CB6" w:rsidRPr="00494635" w:rsidRDefault="00A06CB6" w:rsidP="00A06CB6">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657F3BC4"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7B32D592" w14:textId="77777777" w:rsidR="00A06CB6" w:rsidRPr="00494635" w:rsidRDefault="00A06CB6" w:rsidP="00A06CB6">
            <w:pPr>
              <w:pStyle w:val="Tabletext"/>
              <w:jc w:val="center"/>
              <w:rPr>
                <w:szCs w:val="20"/>
                <w:lang w:val="ru-RU"/>
              </w:rPr>
            </w:pPr>
            <w:r w:rsidRPr="00494635">
              <w:rPr>
                <w:szCs w:val="20"/>
                <w:lang w:val="ru-RU"/>
              </w:rPr>
              <w:t>5.1</w:t>
            </w:r>
          </w:p>
        </w:tc>
        <w:tc>
          <w:tcPr>
            <w:tcW w:w="6218" w:type="dxa"/>
          </w:tcPr>
          <w:p w14:paraId="68382BFC"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DUB DUB-5-18W</w:t>
            </w:r>
          </w:p>
        </w:tc>
        <w:tc>
          <w:tcPr>
            <w:tcW w:w="2840" w:type="dxa"/>
          </w:tcPr>
          <w:p w14:paraId="4DFC5CC1"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lang w:val="ru-RU"/>
              </w:rPr>
            </w:pPr>
            <w:hyperlink r:id="rId32" w:history="1">
              <w:r w:rsidR="00A06CB6" w:rsidRPr="00494635">
                <w:rPr>
                  <w:rStyle w:val="Hyperlink"/>
                  <w:szCs w:val="20"/>
                  <w:lang w:val="ru-RU"/>
                </w:rPr>
                <w:t>RRB22-3/4</w:t>
              </w:r>
            </w:hyperlink>
          </w:p>
        </w:tc>
      </w:tr>
      <w:tr w:rsidR="00A06CB6" w:rsidRPr="00494635" w14:paraId="2713783E" w14:textId="77777777" w:rsidTr="00A06CB6">
        <w:tc>
          <w:tcPr>
            <w:cnfStyle w:val="001000000000" w:firstRow="0" w:lastRow="0" w:firstColumn="1" w:lastColumn="0" w:oddVBand="0" w:evenVBand="0" w:oddHBand="0" w:evenHBand="0" w:firstRowFirstColumn="0" w:firstRowLastColumn="0" w:lastRowFirstColumn="0" w:lastRowLastColumn="0"/>
            <w:tcW w:w="723" w:type="dxa"/>
          </w:tcPr>
          <w:p w14:paraId="5D24BE5F" w14:textId="77777777" w:rsidR="00A06CB6" w:rsidRPr="00494635" w:rsidRDefault="00A06CB6" w:rsidP="00A06CB6">
            <w:pPr>
              <w:pStyle w:val="Tabletext"/>
              <w:jc w:val="center"/>
              <w:rPr>
                <w:szCs w:val="20"/>
                <w:lang w:val="ru-RU"/>
              </w:rPr>
            </w:pPr>
            <w:r w:rsidRPr="00494635">
              <w:rPr>
                <w:szCs w:val="20"/>
                <w:lang w:val="ru-RU"/>
              </w:rPr>
              <w:t>5.2</w:t>
            </w:r>
          </w:p>
        </w:tc>
        <w:tc>
          <w:tcPr>
            <w:tcW w:w="6218" w:type="dxa"/>
          </w:tcPr>
          <w:p w14:paraId="65A81920"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w:t>
            </w:r>
          </w:p>
        </w:tc>
        <w:tc>
          <w:tcPr>
            <w:tcW w:w="2840" w:type="dxa"/>
          </w:tcPr>
          <w:p w14:paraId="7CD8DFED"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highlight w:val="yellow"/>
                <w:lang w:val="ru-RU"/>
              </w:rPr>
            </w:pPr>
            <w:hyperlink r:id="rId33" w:history="1">
              <w:r w:rsidR="00A06CB6" w:rsidRPr="00494635">
                <w:rPr>
                  <w:rStyle w:val="Hyperlink"/>
                  <w:szCs w:val="20"/>
                  <w:lang w:val="ru-RU"/>
                </w:rPr>
                <w:t>RRB22-3/6</w:t>
              </w:r>
            </w:hyperlink>
          </w:p>
        </w:tc>
      </w:tr>
      <w:tr w:rsidR="00A06CB6" w:rsidRPr="00494635" w14:paraId="7D2546CC"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30F8A0CA" w14:textId="77777777" w:rsidR="00A06CB6" w:rsidRPr="00494635" w:rsidRDefault="00A06CB6" w:rsidP="00A06CB6">
            <w:pPr>
              <w:pStyle w:val="Tabletext"/>
              <w:jc w:val="center"/>
              <w:rPr>
                <w:szCs w:val="20"/>
                <w:lang w:val="ru-RU"/>
              </w:rPr>
            </w:pPr>
            <w:r w:rsidRPr="00494635">
              <w:rPr>
                <w:szCs w:val="20"/>
                <w:lang w:val="ru-RU"/>
              </w:rPr>
              <w:t>5.3</w:t>
            </w:r>
          </w:p>
        </w:tc>
        <w:tc>
          <w:tcPr>
            <w:tcW w:w="6218" w:type="dxa"/>
          </w:tcPr>
          <w:p w14:paraId="4D3D3D0C"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PSN</w:t>
            </w:r>
            <w:r w:rsidRPr="00494635">
              <w:rPr>
                <w:szCs w:val="20"/>
                <w:lang w:val="ru-RU"/>
              </w:rPr>
              <w:noBreakHyphen/>
              <w:t>146E</w:t>
            </w:r>
          </w:p>
        </w:tc>
        <w:tc>
          <w:tcPr>
            <w:tcW w:w="2840" w:type="dxa"/>
          </w:tcPr>
          <w:p w14:paraId="415BE321" w14:textId="77777777" w:rsidR="00A06CB6" w:rsidRPr="00494635" w:rsidRDefault="002C00DA" w:rsidP="00A06CB6">
            <w:pPr>
              <w:pStyle w:val="enumlev1"/>
              <w:tabs>
                <w:tab w:val="clear" w:pos="794"/>
              </w:tabs>
              <w:ind w:left="483" w:hanging="483"/>
              <w:jc w:val="center"/>
              <w:cnfStyle w:val="000000000000" w:firstRow="0" w:lastRow="0" w:firstColumn="0" w:lastColumn="0" w:oddVBand="0" w:evenVBand="0" w:oddHBand="0" w:evenHBand="0" w:firstRowFirstColumn="0" w:firstRowLastColumn="0" w:lastRowFirstColumn="0" w:lastRowLastColumn="0"/>
              <w:rPr>
                <w:szCs w:val="20"/>
                <w:lang w:val="ru-RU"/>
              </w:rPr>
            </w:pPr>
            <w:hyperlink r:id="rId34" w:history="1">
              <w:r w:rsidR="00A06CB6" w:rsidRPr="00494635">
                <w:rPr>
                  <w:rStyle w:val="Hyperlink"/>
                  <w:szCs w:val="20"/>
                  <w:lang w:val="ru-RU"/>
                </w:rPr>
                <w:t>RRB22-3/7</w:t>
              </w:r>
            </w:hyperlink>
          </w:p>
        </w:tc>
      </w:tr>
      <w:tr w:rsidR="00A06CB6" w:rsidRPr="00494635" w14:paraId="3BB62A60"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1A19E9D6" w14:textId="77777777" w:rsidR="00A06CB6" w:rsidRPr="00494635" w:rsidRDefault="00A06CB6" w:rsidP="00A06CB6">
            <w:pPr>
              <w:pStyle w:val="Tabletext"/>
              <w:jc w:val="center"/>
              <w:rPr>
                <w:szCs w:val="20"/>
                <w:lang w:val="ru-RU"/>
              </w:rPr>
            </w:pPr>
            <w:r w:rsidRPr="00494635">
              <w:rPr>
                <w:szCs w:val="20"/>
                <w:lang w:val="ru-RU"/>
              </w:rPr>
              <w:t>5.4</w:t>
            </w:r>
          </w:p>
        </w:tc>
        <w:tc>
          <w:tcPr>
            <w:tcW w:w="6218" w:type="dxa"/>
          </w:tcPr>
          <w:p w14:paraId="6F2C759B"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Германии (Федеративной Республики) с просьбой о продлении регламентарного предельного срока ввода в действие частотных присвоений спутниковой сети H2M</w:t>
            </w:r>
            <w:r w:rsidRPr="00494635">
              <w:rPr>
                <w:szCs w:val="20"/>
                <w:lang w:val="ru-RU"/>
              </w:rPr>
              <w:noBreakHyphen/>
              <w:t>0.5E</w:t>
            </w:r>
          </w:p>
        </w:tc>
        <w:tc>
          <w:tcPr>
            <w:tcW w:w="2840" w:type="dxa"/>
          </w:tcPr>
          <w:p w14:paraId="17A8A45C"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lang w:val="ru-RU"/>
              </w:rPr>
            </w:pPr>
            <w:hyperlink r:id="rId35" w:history="1">
              <w:r w:rsidR="00A06CB6" w:rsidRPr="00494635">
                <w:rPr>
                  <w:rStyle w:val="Hyperlink"/>
                  <w:szCs w:val="20"/>
                  <w:lang w:val="ru-RU"/>
                </w:rPr>
                <w:t>RRB22-3/8</w:t>
              </w:r>
            </w:hyperlink>
          </w:p>
        </w:tc>
      </w:tr>
      <w:tr w:rsidR="00A06CB6" w:rsidRPr="00494635" w14:paraId="0E22ADEF"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56846D41" w14:textId="77777777" w:rsidR="00A06CB6" w:rsidRPr="00494635" w:rsidRDefault="00A06CB6" w:rsidP="00A06CB6">
            <w:pPr>
              <w:pStyle w:val="Tabletext"/>
              <w:jc w:val="center"/>
              <w:rPr>
                <w:szCs w:val="20"/>
                <w:lang w:val="ru-RU"/>
              </w:rPr>
            </w:pPr>
            <w:r w:rsidRPr="00494635">
              <w:rPr>
                <w:szCs w:val="20"/>
                <w:lang w:val="ru-RU"/>
              </w:rPr>
              <w:t>5.5</w:t>
            </w:r>
          </w:p>
        </w:tc>
        <w:tc>
          <w:tcPr>
            <w:tcW w:w="6218" w:type="dxa"/>
          </w:tcPr>
          <w:p w14:paraId="31604249"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Пакистана с повторной просьбой о продлении регламентарных предельных сроков ввода в действие частотных присвоений спутниковым сетям PAKSAT-MM1-38.2E-KA и PAKSAT-MM1-38.2E-FSS</w:t>
            </w:r>
          </w:p>
        </w:tc>
        <w:tc>
          <w:tcPr>
            <w:tcW w:w="2840" w:type="dxa"/>
          </w:tcPr>
          <w:p w14:paraId="54DBC508"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lang w:val="ru-RU"/>
              </w:rPr>
            </w:pPr>
            <w:hyperlink r:id="rId36" w:history="1">
              <w:r w:rsidR="00A06CB6" w:rsidRPr="00494635">
                <w:rPr>
                  <w:rStyle w:val="Hyperlink"/>
                  <w:szCs w:val="20"/>
                  <w:lang w:val="ru-RU"/>
                </w:rPr>
                <w:t>RRB22-3/9</w:t>
              </w:r>
            </w:hyperlink>
          </w:p>
        </w:tc>
      </w:tr>
      <w:tr w:rsidR="00A06CB6" w:rsidRPr="00494635" w14:paraId="2F24A856"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63775E1F" w14:textId="77777777" w:rsidR="00A06CB6" w:rsidRPr="00494635" w:rsidRDefault="00A06CB6" w:rsidP="00A06CB6">
            <w:pPr>
              <w:pStyle w:val="Tabletext"/>
              <w:jc w:val="center"/>
              <w:rPr>
                <w:szCs w:val="20"/>
                <w:lang w:val="ru-RU"/>
              </w:rPr>
            </w:pPr>
            <w:r w:rsidRPr="00494635">
              <w:rPr>
                <w:szCs w:val="20"/>
                <w:lang w:val="ru-RU"/>
              </w:rPr>
              <w:t>5.6</w:t>
            </w:r>
          </w:p>
        </w:tc>
        <w:tc>
          <w:tcPr>
            <w:tcW w:w="6218" w:type="dxa"/>
          </w:tcPr>
          <w:p w14:paraId="7562C338"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сети MICRONSAT</w:t>
            </w:r>
          </w:p>
        </w:tc>
        <w:tc>
          <w:tcPr>
            <w:tcW w:w="2840" w:type="dxa"/>
          </w:tcPr>
          <w:p w14:paraId="68E83420"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lang w:val="ru-RU"/>
              </w:rPr>
            </w:pPr>
            <w:hyperlink r:id="rId37" w:history="1">
              <w:r w:rsidR="00A06CB6" w:rsidRPr="00494635">
                <w:rPr>
                  <w:rStyle w:val="Hyperlink"/>
                  <w:szCs w:val="20"/>
                  <w:lang w:val="ru-RU"/>
                </w:rPr>
                <w:t>RRB22-3/10</w:t>
              </w:r>
            </w:hyperlink>
          </w:p>
        </w:tc>
      </w:tr>
      <w:tr w:rsidR="00A06CB6" w:rsidRPr="00494635" w14:paraId="0DB205E1"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2C5AB69F" w14:textId="77777777" w:rsidR="00A06CB6" w:rsidRPr="00494635" w:rsidRDefault="00A06CB6" w:rsidP="00A06CB6">
            <w:pPr>
              <w:pStyle w:val="Tabletext"/>
              <w:jc w:val="center"/>
              <w:rPr>
                <w:szCs w:val="20"/>
                <w:lang w:val="ru-RU"/>
              </w:rPr>
            </w:pPr>
            <w:r w:rsidRPr="00494635">
              <w:rPr>
                <w:szCs w:val="20"/>
                <w:lang w:val="ru-RU"/>
              </w:rPr>
              <w:t>5.7</w:t>
            </w:r>
          </w:p>
        </w:tc>
        <w:tc>
          <w:tcPr>
            <w:tcW w:w="6218" w:type="dxa"/>
          </w:tcPr>
          <w:p w14:paraId="2F1CC143"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Кипра с просьбой о продлении регламентарного предельного срока ввода в действие частотных присвоений спутниковой сети CYP</w:t>
            </w:r>
            <w:r w:rsidRPr="00494635">
              <w:rPr>
                <w:szCs w:val="20"/>
                <w:lang w:val="ru-RU"/>
              </w:rPr>
              <w:noBreakHyphen/>
              <w:t>30B-59.7E-3</w:t>
            </w:r>
          </w:p>
        </w:tc>
        <w:tc>
          <w:tcPr>
            <w:tcW w:w="2840" w:type="dxa"/>
          </w:tcPr>
          <w:p w14:paraId="7D2EF676"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Cs w:val="20"/>
                <w:highlight w:val="lightGray"/>
                <w:lang w:val="ru-RU"/>
              </w:rPr>
            </w:pPr>
            <w:hyperlink r:id="rId38" w:history="1">
              <w:r w:rsidR="00A06CB6" w:rsidRPr="00494635">
                <w:rPr>
                  <w:rStyle w:val="Hyperlink"/>
                  <w:szCs w:val="20"/>
                  <w:lang w:val="ru-RU"/>
                </w:rPr>
                <w:t>RRB22-3/12</w:t>
              </w:r>
            </w:hyperlink>
          </w:p>
        </w:tc>
      </w:tr>
      <w:tr w:rsidR="00A06CB6" w:rsidRPr="00494635" w14:paraId="542ED0A3"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019849B5" w14:textId="77777777" w:rsidR="00A06CB6" w:rsidRPr="00494635" w:rsidRDefault="00A06CB6" w:rsidP="00A06CB6">
            <w:pPr>
              <w:pStyle w:val="Tabletext"/>
              <w:keepNext/>
              <w:keepLines/>
              <w:jc w:val="center"/>
              <w:rPr>
                <w:szCs w:val="20"/>
                <w:lang w:val="ru-RU"/>
              </w:rPr>
            </w:pPr>
            <w:r w:rsidRPr="00494635">
              <w:rPr>
                <w:szCs w:val="20"/>
                <w:lang w:val="ru-RU"/>
              </w:rPr>
              <w:t>5.8</w:t>
            </w:r>
          </w:p>
        </w:tc>
        <w:tc>
          <w:tcPr>
            <w:tcW w:w="6218" w:type="dxa"/>
          </w:tcPr>
          <w:p w14:paraId="4A504460"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Российской Федерации,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системы SKY-F</w:t>
            </w:r>
          </w:p>
        </w:tc>
        <w:tc>
          <w:tcPr>
            <w:tcW w:w="2840" w:type="dxa"/>
          </w:tcPr>
          <w:p w14:paraId="045BE362" w14:textId="77777777" w:rsidR="00A06CB6" w:rsidRPr="00494635" w:rsidRDefault="002C00DA" w:rsidP="00A06CB6">
            <w:pPr>
              <w:pStyle w:val="Tabletext"/>
              <w:keepNext/>
              <w:keepLines/>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39" w:history="1">
              <w:r w:rsidR="00A06CB6" w:rsidRPr="00494635">
                <w:rPr>
                  <w:rStyle w:val="Hyperlink"/>
                  <w:lang w:val="ru-RU"/>
                </w:rPr>
                <w:t>RRB22-3/15</w:t>
              </w:r>
            </w:hyperlink>
          </w:p>
        </w:tc>
      </w:tr>
      <w:tr w:rsidR="00A06CB6" w:rsidRPr="00494635" w14:paraId="1DA86489"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2306D33C" w14:textId="77777777" w:rsidR="00A06CB6" w:rsidRPr="00494635" w:rsidRDefault="00A06CB6" w:rsidP="00A06CB6">
            <w:pPr>
              <w:pStyle w:val="Tabletext"/>
              <w:jc w:val="center"/>
              <w:rPr>
                <w:lang w:val="ru-RU"/>
              </w:rPr>
            </w:pPr>
            <w:r w:rsidRPr="00494635">
              <w:rPr>
                <w:lang w:val="ru-RU"/>
              </w:rPr>
              <w:t>6</w:t>
            </w:r>
          </w:p>
        </w:tc>
        <w:tc>
          <w:tcPr>
            <w:tcW w:w="6218" w:type="dxa"/>
          </w:tcPr>
          <w:p w14:paraId="57E26C5A"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Случаи вредных помех</w:t>
            </w:r>
          </w:p>
        </w:tc>
        <w:tc>
          <w:tcPr>
            <w:tcW w:w="2840" w:type="dxa"/>
          </w:tcPr>
          <w:p w14:paraId="2463A472"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26BDB07A" w14:textId="77777777" w:rsidTr="00A06CB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60259B4F" w14:textId="77777777" w:rsidR="00A06CB6" w:rsidRPr="00494635" w:rsidRDefault="00A06CB6" w:rsidP="00A06CB6">
            <w:pPr>
              <w:pStyle w:val="Tabletext"/>
              <w:jc w:val="center"/>
              <w:rPr>
                <w:szCs w:val="20"/>
                <w:lang w:val="ru-RU"/>
              </w:rPr>
            </w:pPr>
            <w:r w:rsidRPr="00494635">
              <w:rPr>
                <w:szCs w:val="20"/>
                <w:lang w:val="ru-RU"/>
              </w:rPr>
              <w:t>6.1</w:t>
            </w:r>
          </w:p>
        </w:tc>
        <w:tc>
          <w:tcPr>
            <w:tcW w:w="6218" w:type="dxa"/>
          </w:tcPr>
          <w:p w14:paraId="1DC400BD"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 xml:space="preserve">Представление администрации Китайской Народной Республики в ответ на представление администрации Соединенного Королевства Великобритании и Северной Ирландии, касающееся вредных помех </w:t>
            </w:r>
            <w:r w:rsidRPr="00494635">
              <w:rPr>
                <w:szCs w:val="20"/>
                <w:lang w:val="ru-RU"/>
              </w:rPr>
              <w:lastRenderedPageBreak/>
              <w:t>передачам станций радиовещания на высоких частотах Соединенного Королевства, опубликованных согласно Статье </w:t>
            </w:r>
            <w:r w:rsidRPr="00494635">
              <w:rPr>
                <w:b/>
                <w:szCs w:val="20"/>
                <w:lang w:val="ru-RU"/>
              </w:rPr>
              <w:t>12</w:t>
            </w:r>
            <w:r w:rsidRPr="00494635">
              <w:rPr>
                <w:szCs w:val="20"/>
                <w:lang w:val="ru-RU"/>
              </w:rPr>
              <w:t xml:space="preserve"> РР</w:t>
            </w:r>
          </w:p>
        </w:tc>
        <w:tc>
          <w:tcPr>
            <w:tcW w:w="2840" w:type="dxa"/>
          </w:tcPr>
          <w:p w14:paraId="035D20BD" w14:textId="77777777" w:rsidR="00A06CB6" w:rsidRPr="00494635" w:rsidRDefault="002C00DA" w:rsidP="00A06CB6">
            <w:pPr>
              <w:pStyle w:val="enumlev1"/>
              <w:tabs>
                <w:tab w:val="clear" w:pos="794"/>
              </w:tabs>
              <w:ind w:left="0" w:firstLine="0"/>
              <w:jc w:val="center"/>
              <w:cnfStyle w:val="000000000000" w:firstRow="0" w:lastRow="0" w:firstColumn="0" w:lastColumn="0" w:oddVBand="0" w:evenVBand="0" w:oddHBand="0" w:evenHBand="0" w:firstRowFirstColumn="0" w:firstRowLastColumn="0" w:lastRowFirstColumn="0" w:lastRowLastColumn="0"/>
              <w:rPr>
                <w:lang w:val="ru-RU"/>
              </w:rPr>
            </w:pPr>
            <w:hyperlink r:id="rId40" w:history="1">
              <w:r w:rsidR="00A06CB6" w:rsidRPr="00494635">
                <w:rPr>
                  <w:rStyle w:val="Hyperlink"/>
                  <w:lang w:val="ru-RU"/>
                </w:rPr>
                <w:t>RRB22-3/3</w:t>
              </w:r>
            </w:hyperlink>
            <w:r w:rsidR="00A06CB6" w:rsidRPr="00494635">
              <w:rPr>
                <w:rStyle w:val="Hyperlink"/>
                <w:lang w:val="ru-RU"/>
              </w:rPr>
              <w:br/>
              <w:t>(</w:t>
            </w:r>
            <w:hyperlink r:id="rId41" w:history="1">
              <w:r w:rsidR="00A06CB6" w:rsidRPr="00494635">
                <w:rPr>
                  <w:rStyle w:val="Hyperlink"/>
                  <w:lang w:val="ru-RU"/>
                </w:rPr>
                <w:t>RRB22-2/DELAYED/2)</w:t>
              </w:r>
              <w:r w:rsidR="00A06CB6" w:rsidRPr="00494635">
                <w:rPr>
                  <w:color w:val="002060"/>
                  <w:lang w:val="ru-RU"/>
                </w:rPr>
                <w:t>;</w:t>
              </w:r>
            </w:hyperlink>
            <w:r w:rsidR="00A06CB6" w:rsidRPr="00494635">
              <w:rPr>
                <w:color w:val="002060"/>
                <w:lang w:val="ru-RU"/>
              </w:rPr>
              <w:br/>
            </w:r>
            <w:hyperlink r:id="rId42" w:history="1">
              <w:r w:rsidR="00A06CB6" w:rsidRPr="00494635">
                <w:rPr>
                  <w:rStyle w:val="Hyperlink"/>
                  <w:lang w:val="ru-RU"/>
                </w:rPr>
                <w:t>RRB22-3/DELAYED/1</w:t>
              </w:r>
            </w:hyperlink>
            <w:r w:rsidR="00A06CB6" w:rsidRPr="00494635">
              <w:rPr>
                <w:rStyle w:val="Hyperlink"/>
                <w:lang w:val="ru-RU"/>
              </w:rPr>
              <w:t>;</w:t>
            </w:r>
            <w:r w:rsidR="00A06CB6" w:rsidRPr="00494635">
              <w:rPr>
                <w:rStyle w:val="Hyperlink"/>
                <w:lang w:val="ru-RU"/>
              </w:rPr>
              <w:br/>
            </w:r>
            <w:hyperlink r:id="rId43" w:history="1">
              <w:r w:rsidR="00A06CB6" w:rsidRPr="00494635">
                <w:rPr>
                  <w:rStyle w:val="Hyperlink"/>
                  <w:lang w:val="ru-RU"/>
                </w:rPr>
                <w:t>RRB22-3/DELAYED/2</w:t>
              </w:r>
            </w:hyperlink>
          </w:p>
        </w:tc>
      </w:tr>
      <w:tr w:rsidR="00A06CB6" w:rsidRPr="00494635" w14:paraId="3F951F32" w14:textId="77777777" w:rsidTr="00A06CB6">
        <w:tblPrEx>
          <w:tblCellMar>
            <w:left w:w="108" w:type="dxa"/>
            <w:right w:w="108" w:type="dxa"/>
          </w:tblCellMar>
        </w:tblPrEx>
        <w:trPr>
          <w:trHeight w:val="248"/>
        </w:trPr>
        <w:tc>
          <w:tcPr>
            <w:cnfStyle w:val="001000000000" w:firstRow="0" w:lastRow="0" w:firstColumn="1" w:lastColumn="0" w:oddVBand="0" w:evenVBand="0" w:oddHBand="0" w:evenHBand="0" w:firstRowFirstColumn="0" w:firstRowLastColumn="0" w:lastRowFirstColumn="0" w:lastRowLastColumn="0"/>
            <w:tcW w:w="723" w:type="dxa"/>
          </w:tcPr>
          <w:p w14:paraId="56280C8A" w14:textId="77777777" w:rsidR="00A06CB6" w:rsidRPr="00494635" w:rsidRDefault="00A06CB6" w:rsidP="00A06CB6">
            <w:pPr>
              <w:pStyle w:val="Tabletext"/>
              <w:jc w:val="center"/>
              <w:rPr>
                <w:lang w:val="ru-RU"/>
              </w:rPr>
            </w:pPr>
            <w:r w:rsidRPr="00494635">
              <w:rPr>
                <w:lang w:val="ru-RU"/>
              </w:rPr>
              <w:lastRenderedPageBreak/>
              <w:t>7</w:t>
            </w:r>
          </w:p>
        </w:tc>
        <w:tc>
          <w:tcPr>
            <w:tcW w:w="6218" w:type="dxa"/>
          </w:tcPr>
          <w:p w14:paraId="5975EA44"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Координация спутниковых сетей ARABSAT и TURKSAT</w:t>
            </w:r>
          </w:p>
        </w:tc>
        <w:tc>
          <w:tcPr>
            <w:tcW w:w="2840" w:type="dxa"/>
          </w:tcPr>
          <w:p w14:paraId="1BA90E45"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44">
              <w:r w:rsidR="00A06CB6" w:rsidRPr="00494635">
                <w:rPr>
                  <w:rStyle w:val="Hyperlink"/>
                  <w:lang w:val="ru-RU"/>
                </w:rPr>
                <w:t>RRB22-3/5(Add.10)</w:t>
              </w:r>
            </w:hyperlink>
          </w:p>
        </w:tc>
      </w:tr>
      <w:tr w:rsidR="00A06CB6" w:rsidRPr="00494635" w14:paraId="70BCA889" w14:textId="77777777" w:rsidTr="00A06CB6">
        <w:tblPrEx>
          <w:tblCellMar>
            <w:left w:w="108" w:type="dxa"/>
            <w:right w:w="108" w:type="dxa"/>
          </w:tblCellMar>
        </w:tblPrEx>
        <w:trPr>
          <w:trHeight w:val="1060"/>
        </w:trPr>
        <w:tc>
          <w:tcPr>
            <w:cnfStyle w:val="001000000000" w:firstRow="0" w:lastRow="0" w:firstColumn="1" w:lastColumn="0" w:oddVBand="0" w:evenVBand="0" w:oddHBand="0" w:evenHBand="0" w:firstRowFirstColumn="0" w:firstRowLastColumn="0" w:lastRowFirstColumn="0" w:lastRowLastColumn="0"/>
            <w:tcW w:w="723" w:type="dxa"/>
            <w:vMerge w:val="restart"/>
          </w:tcPr>
          <w:p w14:paraId="56DA887F" w14:textId="77777777" w:rsidR="00A06CB6" w:rsidRPr="00494635" w:rsidRDefault="00A06CB6" w:rsidP="00A06CB6">
            <w:pPr>
              <w:pStyle w:val="Tabletext"/>
              <w:jc w:val="center"/>
              <w:rPr>
                <w:szCs w:val="20"/>
                <w:lang w:val="ru-RU"/>
              </w:rPr>
            </w:pPr>
            <w:r w:rsidRPr="00494635">
              <w:rPr>
                <w:szCs w:val="20"/>
                <w:lang w:val="ru-RU"/>
              </w:rPr>
              <w:t>7.1</w:t>
            </w:r>
          </w:p>
        </w:tc>
        <w:tc>
          <w:tcPr>
            <w:tcW w:w="6218" w:type="dxa"/>
          </w:tcPr>
          <w:p w14:paraId="18B346FB"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Турции в ответ на представление администрации Саудовской Аравии (Королевства), касающееся координации спутниковых сетей ARABSAT 5A и 6A в позиции 30,5</w:t>
            </w:r>
            <w:r w:rsidRPr="00494635">
              <w:rPr>
                <w:szCs w:val="20"/>
                <w:lang w:val="ru-RU"/>
              </w:rPr>
              <w:sym w:font="Symbol" w:char="F0B0"/>
            </w:r>
            <w:r w:rsidRPr="00494635">
              <w:rPr>
                <w:szCs w:val="20"/>
                <w:lang w:val="ru-RU"/>
              </w:rPr>
              <w:t> в. д. и спутниковой сети TURKSAT-5A в позиции 31</w:t>
            </w:r>
            <w:r w:rsidRPr="00494635">
              <w:rPr>
                <w:szCs w:val="20"/>
                <w:lang w:val="ru-RU"/>
              </w:rPr>
              <w:sym w:font="Symbol" w:char="F0B0"/>
            </w:r>
            <w:r w:rsidRPr="00494635">
              <w:rPr>
                <w:szCs w:val="20"/>
                <w:lang w:val="ru-RU"/>
              </w:rPr>
              <w:t xml:space="preserve"> в. д. в диапазоне Ku (10,95−11,2 ГГц, 11,45–11,7 ГГц и 14,0–14,5 ГГц)</w:t>
            </w:r>
          </w:p>
        </w:tc>
        <w:tc>
          <w:tcPr>
            <w:tcW w:w="2840" w:type="dxa"/>
          </w:tcPr>
          <w:p w14:paraId="30B6D2AB"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45" w:history="1">
              <w:r w:rsidR="00A06CB6" w:rsidRPr="00494635">
                <w:rPr>
                  <w:rStyle w:val="Hyperlink"/>
                  <w:lang w:val="ru-RU"/>
                </w:rPr>
                <w:t>RRB22-3/2</w:t>
              </w:r>
            </w:hyperlink>
            <w:r w:rsidR="00A06CB6" w:rsidRPr="00494635">
              <w:rPr>
                <w:rStyle w:val="Hyperlink"/>
                <w:lang w:val="ru-RU"/>
              </w:rPr>
              <w:br/>
              <w:t>(</w:t>
            </w:r>
            <w:hyperlink r:id="rId46" w:history="1">
              <w:r w:rsidR="00A06CB6" w:rsidRPr="00494635">
                <w:rPr>
                  <w:rStyle w:val="Hyperlink"/>
                  <w:lang w:val="ru-RU"/>
                </w:rPr>
                <w:t>RRB22-2/DELAYED/1</w:t>
              </w:r>
            </w:hyperlink>
            <w:r w:rsidR="00A06CB6" w:rsidRPr="00494635">
              <w:rPr>
                <w:rStyle w:val="Hyperlink"/>
                <w:lang w:val="ru-RU"/>
              </w:rPr>
              <w:t>)</w:t>
            </w:r>
          </w:p>
        </w:tc>
      </w:tr>
      <w:tr w:rsidR="00A06CB6" w:rsidRPr="00494635" w14:paraId="2D145B7C" w14:textId="77777777" w:rsidTr="00A06CB6">
        <w:tblPrEx>
          <w:tblCellMar>
            <w:left w:w="108" w:type="dxa"/>
            <w:right w:w="108" w:type="dxa"/>
          </w:tblCellMar>
        </w:tblPrEx>
        <w:trPr>
          <w:trHeight w:val="708"/>
        </w:trPr>
        <w:tc>
          <w:tcPr>
            <w:cnfStyle w:val="001000000000" w:firstRow="0" w:lastRow="0" w:firstColumn="1" w:lastColumn="0" w:oddVBand="0" w:evenVBand="0" w:oddHBand="0" w:evenHBand="0" w:firstRowFirstColumn="0" w:firstRowLastColumn="0" w:lastRowFirstColumn="0" w:lastRowLastColumn="0"/>
            <w:tcW w:w="723" w:type="dxa"/>
            <w:vMerge/>
          </w:tcPr>
          <w:p w14:paraId="109A7560" w14:textId="77777777" w:rsidR="00A06CB6" w:rsidRPr="00494635" w:rsidRDefault="00A06CB6" w:rsidP="00A06CB6">
            <w:pPr>
              <w:pStyle w:val="Tabletext"/>
              <w:jc w:val="center"/>
              <w:rPr>
                <w:szCs w:val="20"/>
                <w:lang w:val="ru-RU"/>
              </w:rPr>
            </w:pPr>
          </w:p>
        </w:tc>
        <w:tc>
          <w:tcPr>
            <w:tcW w:w="6218" w:type="dxa"/>
          </w:tcPr>
          <w:p w14:paraId="1095A30B"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Турции, касающееся вредных помех от спутниковых сетей ARABSAT в позиции 30,5</w:t>
            </w:r>
            <w:r w:rsidRPr="00494635">
              <w:rPr>
                <w:szCs w:val="20"/>
                <w:lang w:val="ru-RU"/>
              </w:rPr>
              <w:sym w:font="Symbol" w:char="F0B0"/>
            </w:r>
            <w:r w:rsidRPr="00494635">
              <w:rPr>
                <w:szCs w:val="20"/>
                <w:lang w:val="ru-RU"/>
              </w:rPr>
              <w:t> в. д. спутниковым сетям TURKSAT в позиции 31</w:t>
            </w:r>
            <w:r w:rsidRPr="00494635">
              <w:rPr>
                <w:szCs w:val="20"/>
                <w:lang w:val="ru-RU"/>
              </w:rPr>
              <w:sym w:font="Symbol" w:char="F0B0"/>
            </w:r>
            <w:r w:rsidRPr="00494635">
              <w:rPr>
                <w:szCs w:val="20"/>
                <w:lang w:val="ru-RU"/>
              </w:rPr>
              <w:t> в. д.</w:t>
            </w:r>
          </w:p>
        </w:tc>
        <w:tc>
          <w:tcPr>
            <w:tcW w:w="2840" w:type="dxa"/>
          </w:tcPr>
          <w:p w14:paraId="579C9531"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47" w:history="1">
              <w:r w:rsidR="00A06CB6" w:rsidRPr="00494635">
                <w:rPr>
                  <w:rStyle w:val="Hyperlink"/>
                  <w:lang w:val="ru-RU"/>
                </w:rPr>
                <w:t>RRB22-3/13</w:t>
              </w:r>
            </w:hyperlink>
          </w:p>
        </w:tc>
      </w:tr>
      <w:tr w:rsidR="00A06CB6" w:rsidRPr="00494635" w14:paraId="2FCF13AC" w14:textId="77777777" w:rsidTr="00A06CB6">
        <w:tblPrEx>
          <w:tblCellMar>
            <w:left w:w="108" w:type="dxa"/>
            <w:right w:w="108" w:type="dxa"/>
          </w:tblCellMar>
        </w:tblPrEx>
        <w:trPr>
          <w:trHeight w:val="1025"/>
        </w:trPr>
        <w:tc>
          <w:tcPr>
            <w:cnfStyle w:val="001000000000" w:firstRow="0" w:lastRow="0" w:firstColumn="1" w:lastColumn="0" w:oddVBand="0" w:evenVBand="0" w:oddHBand="0" w:evenHBand="0" w:firstRowFirstColumn="0" w:firstRowLastColumn="0" w:lastRowFirstColumn="0" w:lastRowLastColumn="0"/>
            <w:tcW w:w="723" w:type="dxa"/>
            <w:vMerge/>
          </w:tcPr>
          <w:p w14:paraId="01065FFE" w14:textId="77777777" w:rsidR="00A06CB6" w:rsidRPr="00494635" w:rsidRDefault="00A06CB6" w:rsidP="00A06CB6">
            <w:pPr>
              <w:pStyle w:val="Tabletext"/>
              <w:jc w:val="center"/>
              <w:rPr>
                <w:szCs w:val="20"/>
                <w:lang w:val="ru-RU"/>
              </w:rPr>
            </w:pPr>
          </w:p>
        </w:tc>
        <w:tc>
          <w:tcPr>
            <w:tcW w:w="6218" w:type="dxa"/>
          </w:tcPr>
          <w:p w14:paraId="6C9D52BC"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администрации Саудовской Аравии (Королевства), касающееся координации спутниковых сетей ARABSAT 5A и 6A в позиции 30,5</w:t>
            </w:r>
            <w:r w:rsidRPr="00494635">
              <w:rPr>
                <w:szCs w:val="20"/>
                <w:lang w:val="ru-RU"/>
              </w:rPr>
              <w:sym w:font="Symbol" w:char="F0B0"/>
            </w:r>
            <w:r w:rsidRPr="00494635">
              <w:rPr>
                <w:szCs w:val="20"/>
                <w:lang w:val="ru-RU"/>
              </w:rPr>
              <w:t xml:space="preserve"> в. д. и спутниковых сетей TURKSAT 5A и ARABSAT в позиции 31</w:t>
            </w:r>
            <w:r w:rsidRPr="00494635">
              <w:rPr>
                <w:szCs w:val="20"/>
                <w:lang w:val="ru-RU"/>
              </w:rPr>
              <w:sym w:font="Symbol" w:char="F0B0"/>
            </w:r>
            <w:r w:rsidRPr="00494635">
              <w:rPr>
                <w:szCs w:val="20"/>
                <w:lang w:val="ru-RU"/>
              </w:rPr>
              <w:t xml:space="preserve"> в. д. в диапазоне Ku</w:t>
            </w:r>
          </w:p>
        </w:tc>
        <w:tc>
          <w:tcPr>
            <w:tcW w:w="2840" w:type="dxa"/>
          </w:tcPr>
          <w:p w14:paraId="6A7BF0BB"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48" w:history="1">
              <w:r w:rsidR="00A06CB6" w:rsidRPr="00494635">
                <w:rPr>
                  <w:rStyle w:val="Hyperlink"/>
                  <w:lang w:val="ru-RU"/>
                </w:rPr>
                <w:t>RRB22-3/14</w:t>
              </w:r>
            </w:hyperlink>
          </w:p>
        </w:tc>
      </w:tr>
      <w:tr w:rsidR="00A06CB6" w:rsidRPr="00494635" w14:paraId="3C249889" w14:textId="77777777" w:rsidTr="00A06CB6">
        <w:tblPrEx>
          <w:tblCellMar>
            <w:left w:w="108" w:type="dxa"/>
            <w:right w:w="108" w:type="dxa"/>
          </w:tblCellMar>
        </w:tblPrEx>
        <w:trPr>
          <w:trHeight w:val="430"/>
        </w:trPr>
        <w:tc>
          <w:tcPr>
            <w:cnfStyle w:val="001000000000" w:firstRow="0" w:lastRow="0" w:firstColumn="1" w:lastColumn="0" w:oddVBand="0" w:evenVBand="0" w:oddHBand="0" w:evenHBand="0" w:firstRowFirstColumn="0" w:firstRowLastColumn="0" w:lastRowFirstColumn="0" w:lastRowLastColumn="0"/>
            <w:tcW w:w="723" w:type="dxa"/>
          </w:tcPr>
          <w:p w14:paraId="363269E1" w14:textId="77777777" w:rsidR="00A06CB6" w:rsidRPr="00494635" w:rsidRDefault="00A06CB6" w:rsidP="00A06CB6">
            <w:pPr>
              <w:pStyle w:val="Tabletext"/>
              <w:jc w:val="center"/>
              <w:rPr>
                <w:lang w:val="ru-RU"/>
              </w:rPr>
            </w:pPr>
            <w:r w:rsidRPr="00494635">
              <w:rPr>
                <w:szCs w:val="20"/>
                <w:lang w:val="ru-RU"/>
              </w:rPr>
              <w:t>8</w:t>
            </w:r>
          </w:p>
        </w:tc>
        <w:tc>
          <w:tcPr>
            <w:tcW w:w="6218" w:type="dxa"/>
          </w:tcPr>
          <w:p w14:paraId="47149FA6"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bookmarkStart w:id="8" w:name="_Hlk96443119"/>
            <w:r w:rsidRPr="00494635">
              <w:rPr>
                <w:szCs w:val="20"/>
                <w:lang w:val="ru-RU"/>
              </w:rPr>
              <w:t>Отчет Радиорегламентарного комитета по Резолюции </w:t>
            </w:r>
            <w:r w:rsidRPr="00494635">
              <w:rPr>
                <w:b/>
                <w:szCs w:val="20"/>
                <w:lang w:val="ru-RU"/>
              </w:rPr>
              <w:t>80 (Пересм. ВКР-07)</w:t>
            </w:r>
            <w:bookmarkEnd w:id="8"/>
            <w:r w:rsidRPr="00494635">
              <w:rPr>
                <w:szCs w:val="20"/>
                <w:lang w:val="ru-RU"/>
              </w:rPr>
              <w:t xml:space="preserve"> для ВКР-23</w:t>
            </w:r>
          </w:p>
        </w:tc>
        <w:tc>
          <w:tcPr>
            <w:tcW w:w="2840" w:type="dxa"/>
          </w:tcPr>
          <w:p w14:paraId="7D3D8502"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2093BDA4" w14:textId="77777777" w:rsidTr="00A06CB6">
        <w:tblPrEx>
          <w:tblCellMar>
            <w:left w:w="108" w:type="dxa"/>
            <w:right w:w="108" w:type="dxa"/>
          </w:tblCellMar>
        </w:tblPrEx>
        <w:trPr>
          <w:trHeight w:val="952"/>
        </w:trPr>
        <w:tc>
          <w:tcPr>
            <w:cnfStyle w:val="001000000000" w:firstRow="0" w:lastRow="0" w:firstColumn="1" w:lastColumn="0" w:oddVBand="0" w:evenVBand="0" w:oddHBand="0" w:evenHBand="0" w:firstRowFirstColumn="0" w:firstRowLastColumn="0" w:lastRowFirstColumn="0" w:lastRowLastColumn="0"/>
            <w:tcW w:w="723" w:type="dxa"/>
          </w:tcPr>
          <w:p w14:paraId="62FC8E84" w14:textId="77777777" w:rsidR="00A06CB6" w:rsidRPr="00494635" w:rsidRDefault="00A06CB6" w:rsidP="00A06CB6">
            <w:pPr>
              <w:pStyle w:val="Tabletext"/>
              <w:jc w:val="center"/>
              <w:rPr>
                <w:lang w:val="ru-RU"/>
              </w:rPr>
            </w:pPr>
            <w:r w:rsidRPr="00494635">
              <w:rPr>
                <w:szCs w:val="20"/>
                <w:lang w:val="ru-RU"/>
              </w:rPr>
              <w:t>8.1</w:t>
            </w:r>
          </w:p>
        </w:tc>
        <w:tc>
          <w:tcPr>
            <w:tcW w:w="6218" w:type="dxa"/>
          </w:tcPr>
          <w:p w14:paraId="0DF45A7D"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Представление администраций Франции, Германии (Федеративной Республики), Люксембурга, Норвегии, Испании, Швеции, Турции и Соединенного Королевства Великобритании и Северной Ирландии, касающееся положения 4.1.24 Приложений </w:t>
            </w:r>
            <w:r w:rsidRPr="00494635">
              <w:rPr>
                <w:b/>
                <w:szCs w:val="20"/>
                <w:lang w:val="ru-RU"/>
              </w:rPr>
              <w:t>30</w:t>
            </w:r>
            <w:r w:rsidRPr="00494635">
              <w:rPr>
                <w:szCs w:val="20"/>
                <w:lang w:val="ru-RU"/>
              </w:rPr>
              <w:t xml:space="preserve"> и </w:t>
            </w:r>
            <w:r w:rsidRPr="00494635">
              <w:rPr>
                <w:b/>
                <w:szCs w:val="20"/>
                <w:lang w:val="ru-RU"/>
              </w:rPr>
              <w:t>30A</w:t>
            </w:r>
            <w:r w:rsidRPr="00494635">
              <w:rPr>
                <w:szCs w:val="20"/>
                <w:lang w:val="ru-RU"/>
              </w:rPr>
              <w:t xml:space="preserve"> к РР</w:t>
            </w:r>
          </w:p>
        </w:tc>
        <w:tc>
          <w:tcPr>
            <w:tcW w:w="2840" w:type="dxa"/>
          </w:tcPr>
          <w:p w14:paraId="72401C8A"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49" w:history="1">
              <w:r w:rsidR="00A06CB6" w:rsidRPr="00494635">
                <w:rPr>
                  <w:rStyle w:val="Hyperlink"/>
                  <w:lang w:val="ru-RU"/>
                </w:rPr>
                <w:t>RRB22-3/11</w:t>
              </w:r>
            </w:hyperlink>
          </w:p>
        </w:tc>
      </w:tr>
      <w:tr w:rsidR="00A06CB6" w:rsidRPr="00494635" w14:paraId="50FFF295" w14:textId="77777777" w:rsidTr="00A06CB6">
        <w:tblPrEx>
          <w:tblCellMar>
            <w:left w:w="108" w:type="dxa"/>
            <w:right w:w="108" w:type="dxa"/>
          </w:tblCellMar>
        </w:tblPrEx>
        <w:trPr>
          <w:trHeight w:val="385"/>
        </w:trPr>
        <w:tc>
          <w:tcPr>
            <w:cnfStyle w:val="001000000000" w:firstRow="0" w:lastRow="0" w:firstColumn="1" w:lastColumn="0" w:oddVBand="0" w:evenVBand="0" w:oddHBand="0" w:evenHBand="0" w:firstRowFirstColumn="0" w:firstRowLastColumn="0" w:lastRowFirstColumn="0" w:lastRowLastColumn="0"/>
            <w:tcW w:w="723" w:type="dxa"/>
          </w:tcPr>
          <w:p w14:paraId="5EDEF872" w14:textId="77777777" w:rsidR="00A06CB6" w:rsidRPr="00494635" w:rsidRDefault="00A06CB6" w:rsidP="00A06CB6">
            <w:pPr>
              <w:pStyle w:val="Tabletext"/>
              <w:jc w:val="center"/>
              <w:rPr>
                <w:lang w:val="ru-RU"/>
              </w:rPr>
            </w:pPr>
            <w:r w:rsidRPr="00494635">
              <w:rPr>
                <w:lang w:val="ru-RU"/>
              </w:rPr>
              <w:t>8.2</w:t>
            </w:r>
          </w:p>
        </w:tc>
        <w:tc>
          <w:tcPr>
            <w:tcW w:w="6218" w:type="dxa"/>
          </w:tcPr>
          <w:p w14:paraId="2AEE0C46"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 xml:space="preserve">Рассмотрение вопросов, относящихся к Резолюции </w:t>
            </w:r>
            <w:r w:rsidRPr="00494635">
              <w:rPr>
                <w:b/>
                <w:szCs w:val="20"/>
                <w:lang w:val="ru-RU"/>
              </w:rPr>
              <w:t>80 (Пересм. ВКР</w:t>
            </w:r>
            <w:r w:rsidRPr="00494635">
              <w:rPr>
                <w:b/>
                <w:szCs w:val="20"/>
                <w:lang w:val="ru-RU"/>
              </w:rPr>
              <w:noBreakHyphen/>
              <w:t>07)</w:t>
            </w:r>
          </w:p>
        </w:tc>
        <w:tc>
          <w:tcPr>
            <w:tcW w:w="2840" w:type="dxa"/>
          </w:tcPr>
          <w:p w14:paraId="0959B1A0"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0A29D7F2" w14:textId="77777777" w:rsidTr="00A06CB6">
        <w:tblPrEx>
          <w:tblCellMar>
            <w:left w:w="108" w:type="dxa"/>
            <w:right w:w="108" w:type="dxa"/>
          </w:tblCellMar>
        </w:tblPrEx>
        <w:trPr>
          <w:trHeight w:val="563"/>
        </w:trPr>
        <w:tc>
          <w:tcPr>
            <w:cnfStyle w:val="001000000000" w:firstRow="0" w:lastRow="0" w:firstColumn="1" w:lastColumn="0" w:oddVBand="0" w:evenVBand="0" w:oddHBand="0" w:evenHBand="0" w:firstRowFirstColumn="0" w:firstRowLastColumn="0" w:lastRowFirstColumn="0" w:lastRowLastColumn="0"/>
            <w:tcW w:w="723" w:type="dxa"/>
          </w:tcPr>
          <w:p w14:paraId="060A2575" w14:textId="77777777" w:rsidR="00A06CB6" w:rsidRPr="00494635" w:rsidRDefault="00A06CB6" w:rsidP="00A06CB6">
            <w:pPr>
              <w:pStyle w:val="Tabletext"/>
              <w:jc w:val="center"/>
              <w:rPr>
                <w:lang w:val="ru-RU"/>
              </w:rPr>
            </w:pPr>
            <w:r w:rsidRPr="00494635">
              <w:rPr>
                <w:szCs w:val="20"/>
                <w:lang w:val="ru-RU"/>
              </w:rPr>
              <w:t>9</w:t>
            </w:r>
          </w:p>
        </w:tc>
        <w:tc>
          <w:tcPr>
            <w:tcW w:w="6218" w:type="dxa"/>
          </w:tcPr>
          <w:p w14:paraId="4E4BBF7D"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 xml:space="preserve">Обсуждение относительно Председателя и заместителя Председателя на 2023 год </w:t>
            </w:r>
          </w:p>
        </w:tc>
        <w:tc>
          <w:tcPr>
            <w:tcW w:w="2840" w:type="dxa"/>
          </w:tcPr>
          <w:p w14:paraId="4AFDEAE9"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712F59E6" w14:textId="77777777" w:rsidTr="00A06CB6">
        <w:tblPrEx>
          <w:tblCellMar>
            <w:left w:w="108" w:type="dxa"/>
            <w:right w:w="108" w:type="dxa"/>
          </w:tblCellMar>
        </w:tblPrEx>
        <w:trPr>
          <w:trHeight w:val="429"/>
        </w:trPr>
        <w:tc>
          <w:tcPr>
            <w:cnfStyle w:val="001000000000" w:firstRow="0" w:lastRow="0" w:firstColumn="1" w:lastColumn="0" w:oddVBand="0" w:evenVBand="0" w:oddHBand="0" w:evenHBand="0" w:firstRowFirstColumn="0" w:firstRowLastColumn="0" w:lastRowFirstColumn="0" w:lastRowLastColumn="0"/>
            <w:tcW w:w="723" w:type="dxa"/>
          </w:tcPr>
          <w:p w14:paraId="024E1697" w14:textId="77777777" w:rsidR="00A06CB6" w:rsidRPr="00494635" w:rsidRDefault="00A06CB6" w:rsidP="00A06CB6">
            <w:pPr>
              <w:pStyle w:val="Tabletext"/>
              <w:jc w:val="center"/>
              <w:rPr>
                <w:lang w:val="ru-RU"/>
              </w:rPr>
            </w:pPr>
            <w:r w:rsidRPr="00494635">
              <w:rPr>
                <w:lang w:val="ru-RU"/>
              </w:rPr>
              <w:t>10</w:t>
            </w:r>
          </w:p>
        </w:tc>
        <w:tc>
          <w:tcPr>
            <w:tcW w:w="6218" w:type="dxa"/>
          </w:tcPr>
          <w:p w14:paraId="08C550C3"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Подтверждение следующего собрания и ориентировочных дат будущих собраний</w:t>
            </w:r>
          </w:p>
        </w:tc>
        <w:tc>
          <w:tcPr>
            <w:tcW w:w="2840" w:type="dxa"/>
          </w:tcPr>
          <w:p w14:paraId="14B7FB46"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4B53B386" w14:textId="77777777" w:rsidTr="00A06CB6">
        <w:tblPrEx>
          <w:tblCellMar>
            <w:left w:w="108" w:type="dxa"/>
            <w:right w:w="108" w:type="dxa"/>
          </w:tblCellMar>
        </w:tblPrEx>
        <w:trPr>
          <w:trHeight w:val="341"/>
        </w:trPr>
        <w:tc>
          <w:tcPr>
            <w:cnfStyle w:val="001000000000" w:firstRow="0" w:lastRow="0" w:firstColumn="1" w:lastColumn="0" w:oddVBand="0" w:evenVBand="0" w:oddHBand="0" w:evenHBand="0" w:firstRowFirstColumn="0" w:firstRowLastColumn="0" w:lastRowFirstColumn="0" w:lastRowLastColumn="0"/>
            <w:tcW w:w="723" w:type="dxa"/>
          </w:tcPr>
          <w:p w14:paraId="4098C753" w14:textId="77777777" w:rsidR="00A06CB6" w:rsidRPr="00494635" w:rsidRDefault="00A06CB6" w:rsidP="00A06CB6">
            <w:pPr>
              <w:pStyle w:val="Tabletext"/>
              <w:jc w:val="center"/>
              <w:rPr>
                <w:lang w:val="ru-RU"/>
              </w:rPr>
            </w:pPr>
            <w:r w:rsidRPr="00494635">
              <w:rPr>
                <w:lang w:val="ru-RU"/>
              </w:rPr>
              <w:t>11</w:t>
            </w:r>
          </w:p>
        </w:tc>
        <w:tc>
          <w:tcPr>
            <w:tcW w:w="6218" w:type="dxa"/>
          </w:tcPr>
          <w:p w14:paraId="402399A3"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Вопросы, связанные с ПК-22</w:t>
            </w:r>
          </w:p>
        </w:tc>
        <w:tc>
          <w:tcPr>
            <w:tcW w:w="2840" w:type="dxa"/>
          </w:tcPr>
          <w:p w14:paraId="30C9DDEE"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p>
        </w:tc>
      </w:tr>
      <w:tr w:rsidR="00A06CB6" w:rsidRPr="00494635" w14:paraId="77577EA0" w14:textId="77777777" w:rsidTr="00A06CB6">
        <w:tblPrEx>
          <w:tblCellMar>
            <w:left w:w="108" w:type="dxa"/>
            <w:right w:w="108" w:type="dxa"/>
          </w:tblCellMar>
        </w:tblPrEx>
        <w:trPr>
          <w:trHeight w:val="468"/>
        </w:trPr>
        <w:tc>
          <w:tcPr>
            <w:cnfStyle w:val="001000000000" w:firstRow="0" w:lastRow="0" w:firstColumn="1" w:lastColumn="0" w:oddVBand="0" w:evenVBand="0" w:oddHBand="0" w:evenHBand="0" w:firstRowFirstColumn="0" w:firstRowLastColumn="0" w:lastRowFirstColumn="0" w:lastRowLastColumn="0"/>
            <w:tcW w:w="723" w:type="dxa"/>
          </w:tcPr>
          <w:p w14:paraId="651B0121" w14:textId="77777777" w:rsidR="00A06CB6" w:rsidRPr="00494635" w:rsidRDefault="00A06CB6" w:rsidP="00A06CB6">
            <w:pPr>
              <w:pStyle w:val="Tabletext"/>
              <w:jc w:val="center"/>
              <w:rPr>
                <w:lang w:val="ru-RU"/>
              </w:rPr>
            </w:pPr>
            <w:r w:rsidRPr="00494635">
              <w:rPr>
                <w:szCs w:val="20"/>
                <w:lang w:val="ru-RU"/>
              </w:rPr>
              <w:t>11.1</w:t>
            </w:r>
          </w:p>
        </w:tc>
        <w:tc>
          <w:tcPr>
            <w:tcW w:w="6218" w:type="dxa"/>
          </w:tcPr>
          <w:p w14:paraId="58074CF1"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Устный отчет представителей РРК о ПК-22</w:t>
            </w:r>
          </w:p>
        </w:tc>
        <w:tc>
          <w:tcPr>
            <w:tcW w:w="2840" w:type="dxa"/>
          </w:tcPr>
          <w:p w14:paraId="2B1FA05B"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5577C30C" w14:textId="77777777" w:rsidTr="00A06CB6">
        <w:tblPrEx>
          <w:tblCellMar>
            <w:left w:w="108" w:type="dxa"/>
            <w:right w:w="108" w:type="dxa"/>
          </w:tblCellMar>
        </w:tblPrEx>
        <w:trPr>
          <w:trHeight w:val="359"/>
        </w:trPr>
        <w:tc>
          <w:tcPr>
            <w:cnfStyle w:val="001000000000" w:firstRow="0" w:lastRow="0" w:firstColumn="1" w:lastColumn="0" w:oddVBand="0" w:evenVBand="0" w:oddHBand="0" w:evenHBand="0" w:firstRowFirstColumn="0" w:firstRowLastColumn="0" w:lastRowFirstColumn="0" w:lastRowLastColumn="0"/>
            <w:tcW w:w="723" w:type="dxa"/>
          </w:tcPr>
          <w:p w14:paraId="72A1A979" w14:textId="77777777" w:rsidR="00A06CB6" w:rsidRPr="00494635" w:rsidRDefault="00A06CB6" w:rsidP="00A06CB6">
            <w:pPr>
              <w:pStyle w:val="Tabletext"/>
              <w:jc w:val="center"/>
              <w:rPr>
                <w:lang w:val="ru-RU"/>
              </w:rPr>
            </w:pPr>
            <w:r w:rsidRPr="00494635">
              <w:rPr>
                <w:lang w:val="ru-RU"/>
              </w:rPr>
              <w:t>11.2</w:t>
            </w:r>
          </w:p>
        </w:tc>
        <w:tc>
          <w:tcPr>
            <w:tcW w:w="6218" w:type="dxa"/>
          </w:tcPr>
          <w:p w14:paraId="3EEF6FC8"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Вручение почетных грамот</w:t>
            </w:r>
          </w:p>
        </w:tc>
        <w:tc>
          <w:tcPr>
            <w:tcW w:w="2840" w:type="dxa"/>
          </w:tcPr>
          <w:p w14:paraId="02A029FF"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r w:rsidR="00A06CB6" w:rsidRPr="00494635" w14:paraId="58E57A45" w14:textId="77777777" w:rsidTr="00A06CB6">
        <w:tblPrEx>
          <w:tblCellMar>
            <w:left w:w="108" w:type="dxa"/>
            <w:right w:w="108" w:type="dxa"/>
          </w:tblCellMar>
        </w:tblPrEx>
        <w:trPr>
          <w:trHeight w:val="251"/>
        </w:trPr>
        <w:tc>
          <w:tcPr>
            <w:cnfStyle w:val="001000000000" w:firstRow="0" w:lastRow="0" w:firstColumn="1" w:lastColumn="0" w:oddVBand="0" w:evenVBand="0" w:oddHBand="0" w:evenHBand="0" w:firstRowFirstColumn="0" w:firstRowLastColumn="0" w:lastRowFirstColumn="0" w:lastRowLastColumn="0"/>
            <w:tcW w:w="723" w:type="dxa"/>
          </w:tcPr>
          <w:p w14:paraId="6E829207" w14:textId="77777777" w:rsidR="00A06CB6" w:rsidRPr="00494635" w:rsidRDefault="00A06CB6" w:rsidP="00A06CB6">
            <w:pPr>
              <w:pStyle w:val="Tabletext"/>
              <w:jc w:val="center"/>
              <w:rPr>
                <w:lang w:val="ru-RU"/>
              </w:rPr>
            </w:pPr>
            <w:r w:rsidRPr="00494635">
              <w:rPr>
                <w:szCs w:val="20"/>
                <w:lang w:val="ru-RU"/>
              </w:rPr>
              <w:t>12</w:t>
            </w:r>
          </w:p>
        </w:tc>
        <w:tc>
          <w:tcPr>
            <w:tcW w:w="6218" w:type="dxa"/>
          </w:tcPr>
          <w:p w14:paraId="22291240"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Утверждение краткого обзора решений</w:t>
            </w:r>
          </w:p>
        </w:tc>
        <w:tc>
          <w:tcPr>
            <w:tcW w:w="2840" w:type="dxa"/>
          </w:tcPr>
          <w:p w14:paraId="1CADF6E5" w14:textId="77777777" w:rsidR="00A06CB6" w:rsidRPr="00494635" w:rsidRDefault="002C00DA"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hyperlink r:id="rId50" w:history="1">
              <w:r w:rsidR="00A06CB6" w:rsidRPr="00494635">
                <w:rPr>
                  <w:rStyle w:val="Hyperlink"/>
                  <w:lang w:val="ru-RU"/>
                </w:rPr>
                <w:t>RRB22-3/17</w:t>
              </w:r>
            </w:hyperlink>
          </w:p>
        </w:tc>
      </w:tr>
      <w:tr w:rsidR="00A06CB6" w:rsidRPr="00494635" w14:paraId="5915AA89" w14:textId="77777777" w:rsidTr="00A06CB6">
        <w:tblPrEx>
          <w:tblCellMar>
            <w:left w:w="108" w:type="dxa"/>
            <w:right w:w="108" w:type="dxa"/>
          </w:tblCellMar>
        </w:tblPrEx>
        <w:trPr>
          <w:trHeight w:val="285"/>
        </w:trPr>
        <w:tc>
          <w:tcPr>
            <w:cnfStyle w:val="001000000000" w:firstRow="0" w:lastRow="0" w:firstColumn="1" w:lastColumn="0" w:oddVBand="0" w:evenVBand="0" w:oddHBand="0" w:evenHBand="0" w:firstRowFirstColumn="0" w:firstRowLastColumn="0" w:lastRowFirstColumn="0" w:lastRowLastColumn="0"/>
            <w:tcW w:w="723" w:type="dxa"/>
          </w:tcPr>
          <w:p w14:paraId="7690830D" w14:textId="77777777" w:rsidR="00A06CB6" w:rsidRPr="00494635" w:rsidRDefault="00A06CB6" w:rsidP="00A06CB6">
            <w:pPr>
              <w:pStyle w:val="Tabletext"/>
              <w:jc w:val="center"/>
              <w:rPr>
                <w:lang w:val="ru-RU"/>
              </w:rPr>
            </w:pPr>
            <w:r w:rsidRPr="00494635">
              <w:rPr>
                <w:szCs w:val="20"/>
                <w:lang w:val="ru-RU"/>
              </w:rPr>
              <w:t>13</w:t>
            </w:r>
          </w:p>
        </w:tc>
        <w:tc>
          <w:tcPr>
            <w:tcW w:w="6218" w:type="dxa"/>
          </w:tcPr>
          <w:p w14:paraId="21008FB2" w14:textId="77777777" w:rsidR="00A06CB6" w:rsidRPr="00494635" w:rsidRDefault="00A06CB6" w:rsidP="000E7671">
            <w:pPr>
              <w:pStyle w:val="Tabletext"/>
              <w:jc w:val="both"/>
              <w:cnfStyle w:val="000000000000" w:firstRow="0" w:lastRow="0" w:firstColumn="0" w:lastColumn="0" w:oddVBand="0" w:evenVBand="0" w:oddHBand="0" w:evenHBand="0" w:firstRowFirstColumn="0" w:firstRowLastColumn="0" w:lastRowFirstColumn="0" w:lastRowLastColumn="0"/>
              <w:rPr>
                <w:szCs w:val="20"/>
                <w:lang w:val="ru-RU"/>
              </w:rPr>
            </w:pPr>
            <w:r w:rsidRPr="00494635">
              <w:rPr>
                <w:szCs w:val="20"/>
                <w:lang w:val="ru-RU"/>
              </w:rPr>
              <w:t>Закрытие собрания</w:t>
            </w:r>
          </w:p>
        </w:tc>
        <w:tc>
          <w:tcPr>
            <w:tcW w:w="2840" w:type="dxa"/>
          </w:tcPr>
          <w:p w14:paraId="2D9570D0" w14:textId="77777777" w:rsidR="00A06CB6" w:rsidRPr="00494635" w:rsidRDefault="00A06CB6" w:rsidP="00A06CB6">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494635">
              <w:rPr>
                <w:lang w:val="ru-RU"/>
              </w:rPr>
              <w:t>−</w:t>
            </w:r>
          </w:p>
        </w:tc>
      </w:tr>
    </w:tbl>
    <w:p w14:paraId="2F3C34D8" w14:textId="77777777" w:rsidR="00A06CB6" w:rsidRPr="00494635" w:rsidRDefault="00A06CB6" w:rsidP="00A06CB6">
      <w:pPr>
        <w:rPr>
          <w:lang w:val="ru-RU"/>
        </w:rPr>
      </w:pPr>
      <w:r w:rsidRPr="00494635">
        <w:rPr>
          <w:lang w:val="ru-RU"/>
        </w:rPr>
        <w:br w:type="page"/>
      </w:r>
    </w:p>
    <w:p w14:paraId="33C40B9A" w14:textId="77777777" w:rsidR="00A06CB6" w:rsidRPr="00494635" w:rsidRDefault="00A06CB6" w:rsidP="00A06CB6">
      <w:pPr>
        <w:pStyle w:val="Heading1"/>
        <w:rPr>
          <w:lang w:val="ru-RU"/>
        </w:rPr>
      </w:pPr>
      <w:r w:rsidRPr="00494635">
        <w:rPr>
          <w:lang w:val="ru-RU"/>
        </w:rPr>
        <w:lastRenderedPageBreak/>
        <w:t>1</w:t>
      </w:r>
      <w:r w:rsidRPr="00494635">
        <w:rPr>
          <w:lang w:val="ru-RU"/>
        </w:rPr>
        <w:tab/>
        <w:t>Открытие собрания</w:t>
      </w:r>
    </w:p>
    <w:p w14:paraId="02FDD137" w14:textId="77777777" w:rsidR="00A06CB6" w:rsidRPr="00494635" w:rsidRDefault="00A06CB6" w:rsidP="00A06CB6">
      <w:pPr>
        <w:jc w:val="both"/>
        <w:rPr>
          <w:lang w:val="ru-RU"/>
        </w:rPr>
      </w:pPr>
      <w:r w:rsidRPr="00494635">
        <w:rPr>
          <w:lang w:val="ru-RU"/>
        </w:rPr>
        <w:t>1.1</w:t>
      </w:r>
      <w:r w:rsidRPr="00494635">
        <w:rPr>
          <w:lang w:val="ru-RU"/>
        </w:rPr>
        <w:tab/>
      </w:r>
      <w:r w:rsidRPr="00494635">
        <w:rPr>
          <w:b/>
          <w:bCs/>
          <w:lang w:val="ru-RU"/>
        </w:rPr>
        <w:t>Председатель</w:t>
      </w:r>
      <w:r w:rsidRPr="00494635">
        <w:rPr>
          <w:lang w:val="ru-RU"/>
        </w:rPr>
        <w:t xml:space="preserve"> открывает 91-е собрание Радиорегламентарного комитета в 09 час. 05 мин. в понедельник, 24 октября 2022 года, и приветствует членов Комитета. Он поздравляет Директора и членов Комитета, которые будут трудиться в течение следующего цикла, с переизбранием и выражает признательность уходящим членам Комитета за их вклад в работу Комитета в течение срока их полномочий. </w:t>
      </w:r>
    </w:p>
    <w:p w14:paraId="5E4FDC48" w14:textId="77777777" w:rsidR="00A06CB6" w:rsidRPr="00494635" w:rsidRDefault="00A06CB6" w:rsidP="00A06CB6">
      <w:pPr>
        <w:jc w:val="both"/>
        <w:rPr>
          <w:lang w:val="ru-RU"/>
        </w:rPr>
      </w:pPr>
      <w:r w:rsidRPr="00494635">
        <w:rPr>
          <w:lang w:val="ru-RU"/>
        </w:rPr>
        <w:t>1.2</w:t>
      </w:r>
      <w:r w:rsidRPr="00494635">
        <w:rPr>
          <w:lang w:val="ru-RU"/>
        </w:rPr>
        <w:tab/>
      </w:r>
      <w:r w:rsidRPr="00494635">
        <w:rPr>
          <w:b/>
          <w:bCs/>
          <w:lang w:val="ru-RU"/>
        </w:rPr>
        <w:t>Директор Бюро радиосвязи</w:t>
      </w:r>
      <w:r w:rsidRPr="00494635">
        <w:rPr>
          <w:lang w:val="ru-RU"/>
        </w:rPr>
        <w:t>, выступая также от имени Генерального секретаря, говорит, что считает свое переизбрание коллективным достижением, отражающим удовлетворение Государств-Членов работой Бюро в целом, включая Комитет. Он поздравляет переизбранных членов и благодарит тех, кто уходит, за их преданность делу и усердную работу.</w:t>
      </w:r>
    </w:p>
    <w:p w14:paraId="38C2A3EE" w14:textId="77777777" w:rsidR="00A06CB6" w:rsidRPr="00494635" w:rsidRDefault="00A06CB6" w:rsidP="00A06CB6">
      <w:pPr>
        <w:jc w:val="both"/>
        <w:rPr>
          <w:lang w:val="ru-RU"/>
        </w:rPr>
      </w:pPr>
      <w:r w:rsidRPr="00494635">
        <w:rPr>
          <w:lang w:val="ru-RU"/>
        </w:rPr>
        <w:t>1.3</w:t>
      </w:r>
      <w:r w:rsidRPr="00494635">
        <w:rPr>
          <w:lang w:val="ru-RU"/>
        </w:rPr>
        <w:tab/>
      </w:r>
      <w:r w:rsidRPr="00494635">
        <w:rPr>
          <w:b/>
          <w:bCs/>
          <w:lang w:val="ru-RU"/>
        </w:rPr>
        <w:t>Члены Комитета</w:t>
      </w:r>
      <w:r w:rsidRPr="00494635">
        <w:rPr>
          <w:lang w:val="ru-RU"/>
        </w:rPr>
        <w:t xml:space="preserve"> в свою очередь поздравляют Директора и членов Комитета, которые после переизбрания остаются на второй срок, и желают уходящим членам Комитета всего наилучшего в их будущих начинаниях.</w:t>
      </w:r>
    </w:p>
    <w:p w14:paraId="1E17AFEA" w14:textId="77777777" w:rsidR="00A06CB6" w:rsidRPr="00494635" w:rsidRDefault="00A06CB6" w:rsidP="00A06CB6">
      <w:pPr>
        <w:pStyle w:val="Heading1"/>
        <w:jc w:val="both"/>
        <w:rPr>
          <w:lang w:val="ru-RU"/>
        </w:rPr>
      </w:pPr>
      <w:r w:rsidRPr="00494635">
        <w:rPr>
          <w:lang w:val="ru-RU"/>
        </w:rPr>
        <w:t>2</w:t>
      </w:r>
      <w:r w:rsidRPr="00494635">
        <w:rPr>
          <w:lang w:val="ru-RU"/>
        </w:rPr>
        <w:tab/>
        <w:t>Принятие повестки дня (Документ RRB22-3/OJ/1(Rev.1))</w:t>
      </w:r>
    </w:p>
    <w:p w14:paraId="0DC45E4E" w14:textId="77777777" w:rsidR="00A06CB6" w:rsidRPr="00494635" w:rsidRDefault="00A06CB6" w:rsidP="00A06CB6">
      <w:pPr>
        <w:jc w:val="both"/>
        <w:rPr>
          <w:lang w:val="ru-RU"/>
        </w:rPr>
      </w:pPr>
      <w:r w:rsidRPr="00494635">
        <w:rPr>
          <w:lang w:val="ru-RU"/>
        </w:rPr>
        <w:t>2.1</w:t>
      </w:r>
      <w:r w:rsidRPr="00494635">
        <w:rPr>
          <w:lang w:val="ru-RU"/>
        </w:rPr>
        <w:tab/>
        <w:t xml:space="preserve">По просьбе </w:t>
      </w:r>
      <w:r w:rsidRPr="00494635">
        <w:rPr>
          <w:b/>
          <w:bCs/>
          <w:lang w:val="ru-RU"/>
        </w:rPr>
        <w:t xml:space="preserve">Председателя </w:t>
      </w:r>
      <w:r w:rsidRPr="00494635">
        <w:rPr>
          <w:lang w:val="ru-RU"/>
        </w:rPr>
        <w:t>и в соответствии с методами работы Комитета обсуждение всех пунктов повестки дня, относящихся к администрации Саудовской Аравии, в том числе рассмотрение вкладов, поступивших с опозданием, будет проходить под председательством заместителя Председателя.</w:t>
      </w:r>
    </w:p>
    <w:p w14:paraId="416295F3" w14:textId="77777777" w:rsidR="00A06CB6" w:rsidRPr="00494635" w:rsidRDefault="00A06CB6" w:rsidP="00A06CB6">
      <w:pPr>
        <w:jc w:val="both"/>
        <w:rPr>
          <w:lang w:val="ru-RU"/>
        </w:rPr>
      </w:pPr>
      <w:r w:rsidRPr="00494635">
        <w:rPr>
          <w:lang w:val="ru-RU"/>
        </w:rPr>
        <w:t>2.2</w:t>
      </w:r>
      <w:r w:rsidRPr="00494635">
        <w:rPr>
          <w:lang w:val="ru-RU"/>
        </w:rPr>
        <w:tab/>
      </w:r>
      <w:r w:rsidRPr="00494635">
        <w:rPr>
          <w:b/>
          <w:bCs/>
          <w:lang w:val="ru-RU"/>
        </w:rPr>
        <w:t>Г-н Бота (SGD)</w:t>
      </w:r>
      <w:r w:rsidRPr="00494635">
        <w:rPr>
          <w:lang w:val="ru-RU"/>
        </w:rPr>
        <w:t xml:space="preserve"> обращает внимание на исправление к Отчету Директора (RRB22-3/5(Corr.1)), пересмотренную версию Дополнительного документа 1 к нему (RRB22-3/5(Add.1)(Rev.1)) и Дополнительные документы 7–10, все из которых были выпущены после публикации проекта повестки дня. В Дополнительном документе 10 содержится Отчет Бюро о деятельности по координации между администрациями Саудовской Аравии и Турции, и поэтому Комитет, возможно, пожелает рассмотреть его в рамках п. 7 повестки дня. Он также обращает внимание на два представления, поступивших с опозданием (Документы RRB22-3/DELAYED/1 и RRB22</w:t>
      </w:r>
      <w:r w:rsidRPr="00494635">
        <w:rPr>
          <w:lang w:val="ru-RU"/>
        </w:rPr>
        <w:noBreakHyphen/>
        <w:t>3/DELAYED/2). Представление администрации Соединенного Королевства для обсуждения в рамках п. 6.1 повестки дня (Документ RRB22-3/DELAYED/1) первоначально поступило до истечения предельного срока. Позднее администрация обнаружила, что в нем есть ошибки, и попросила дать ей возможность представить исправленную версию, которая поступила после истечения предельного срока. В Документе RRB22</w:t>
      </w:r>
      <w:r w:rsidRPr="00494635">
        <w:rPr>
          <w:lang w:val="ru-RU"/>
        </w:rPr>
        <w:noBreakHyphen/>
        <w:t>3/DELAYED/2 содержится ответ администрации Китая на представление администрации Соединенного Королевства в Документе RRB22</w:t>
      </w:r>
      <w:r w:rsidRPr="00494635">
        <w:rPr>
          <w:lang w:val="ru-RU"/>
        </w:rPr>
        <w:noBreakHyphen/>
        <w:t>3/DELAYED/1. Он был представлен на китайском и английском языках до начала собрания и, следовательно, может быть принят согласно Правилам процедуры, действующим в отношении поступивших с опозданием представлений.</w:t>
      </w:r>
    </w:p>
    <w:p w14:paraId="7E1F6D48" w14:textId="77777777" w:rsidR="00A06CB6" w:rsidRPr="00494635" w:rsidRDefault="00A06CB6" w:rsidP="00A06CB6">
      <w:pPr>
        <w:jc w:val="both"/>
        <w:rPr>
          <w:highlight w:val="lightGray"/>
          <w:lang w:val="ru-RU"/>
        </w:rPr>
      </w:pPr>
      <w:r w:rsidRPr="00494635">
        <w:rPr>
          <w:lang w:val="ru-RU"/>
        </w:rPr>
        <w:t>2.3</w:t>
      </w:r>
      <w:r w:rsidRPr="00494635">
        <w:rPr>
          <w:lang w:val="ru-RU"/>
        </w:rPr>
        <w:tab/>
        <w:t xml:space="preserve">Отвечая на вопрос </w:t>
      </w:r>
      <w:r w:rsidRPr="00494635">
        <w:rPr>
          <w:b/>
          <w:bCs/>
          <w:lang w:val="ru-RU"/>
        </w:rPr>
        <w:t>г-на Аззуза</w:t>
      </w:r>
      <w:r w:rsidRPr="00494635">
        <w:rPr>
          <w:lang w:val="ru-RU"/>
        </w:rPr>
        <w:t xml:space="preserve">, </w:t>
      </w:r>
      <w:r w:rsidRPr="00494635">
        <w:rPr>
          <w:b/>
          <w:bCs/>
          <w:lang w:val="ru-RU"/>
        </w:rPr>
        <w:t>г-н Валле (руководитель SSD)</w:t>
      </w:r>
      <w:r w:rsidRPr="00494635">
        <w:rPr>
          <w:lang w:val="ru-RU"/>
        </w:rPr>
        <w:t xml:space="preserve"> говорит, что к Отчету Директора нет дополнительного документа по вопросам координации между администрациями Франции и Саудовской Аравии, поскольку не было никаких изменений и эти две администрации после предыдущего собрания Комитета занимаются другой координационной деятельностью.</w:t>
      </w:r>
    </w:p>
    <w:p w14:paraId="16B0537A" w14:textId="77777777" w:rsidR="00A06CB6" w:rsidRPr="00494635" w:rsidRDefault="00A06CB6" w:rsidP="00A06CB6">
      <w:pPr>
        <w:jc w:val="both"/>
        <w:rPr>
          <w:highlight w:val="lightGray"/>
          <w:lang w:val="ru-RU"/>
        </w:rPr>
      </w:pPr>
      <w:r w:rsidRPr="00494635">
        <w:rPr>
          <w:lang w:val="ru-RU"/>
        </w:rPr>
        <w:t>2.4</w:t>
      </w:r>
      <w:r w:rsidRPr="00494635">
        <w:rPr>
          <w:lang w:val="ru-RU"/>
        </w:rPr>
        <w:tab/>
      </w:r>
      <w:r w:rsidRPr="00494635">
        <w:rPr>
          <w:b/>
          <w:bCs/>
          <w:lang w:val="ru-RU"/>
        </w:rPr>
        <w:t>Г-н Талиб</w:t>
      </w:r>
      <w:r w:rsidRPr="00494635">
        <w:rPr>
          <w:lang w:val="ru-RU"/>
        </w:rPr>
        <w:t xml:space="preserve"> говорит, что согласен с </w:t>
      </w:r>
      <w:r w:rsidRPr="00494635">
        <w:rPr>
          <w:b/>
          <w:bCs/>
          <w:lang w:val="ru-RU"/>
        </w:rPr>
        <w:t>Председателем</w:t>
      </w:r>
      <w:r w:rsidRPr="00494635">
        <w:rPr>
          <w:lang w:val="ru-RU"/>
        </w:rPr>
        <w:t xml:space="preserve"> в том, что поступившие с опозданием представления администраций Соединенного Королевства и Китая могут быть приняты согласно п. 1.6 Части C Правил процедуры по Резолюции </w:t>
      </w:r>
      <w:r w:rsidRPr="00494635">
        <w:rPr>
          <w:b/>
          <w:bCs/>
          <w:lang w:val="ru-RU"/>
        </w:rPr>
        <w:t>1 (Пересм. ВКР-97)</w:t>
      </w:r>
      <w:r w:rsidRPr="00494635">
        <w:rPr>
          <w:lang w:val="ru-RU"/>
        </w:rPr>
        <w:t xml:space="preserve"> и это соответствует прецедентам.</w:t>
      </w:r>
    </w:p>
    <w:p w14:paraId="057F2D97" w14:textId="77777777" w:rsidR="00A06CB6" w:rsidRPr="00494635" w:rsidRDefault="00A06CB6" w:rsidP="00A06CB6">
      <w:pPr>
        <w:jc w:val="both"/>
        <w:rPr>
          <w:lang w:val="ru-RU"/>
        </w:rPr>
      </w:pPr>
      <w:r w:rsidRPr="00494635">
        <w:rPr>
          <w:lang w:val="ru-RU"/>
        </w:rPr>
        <w:t>2.5</w:t>
      </w:r>
      <w:r w:rsidRPr="00494635">
        <w:rPr>
          <w:lang w:val="ru-RU"/>
        </w:rPr>
        <w:tab/>
      </w:r>
      <w:r w:rsidRPr="00494635">
        <w:rPr>
          <w:b/>
          <w:bCs/>
          <w:lang w:val="ru-RU"/>
        </w:rPr>
        <w:t xml:space="preserve">Г-жа Жеанти, г-н Хоан </w:t>
      </w:r>
      <w:r w:rsidRPr="00494635">
        <w:rPr>
          <w:lang w:val="ru-RU"/>
        </w:rPr>
        <w:t>и</w:t>
      </w:r>
      <w:r w:rsidRPr="00494635">
        <w:rPr>
          <w:b/>
          <w:bCs/>
          <w:lang w:val="ru-RU"/>
        </w:rPr>
        <w:t xml:space="preserve"> г-жа Гасанова</w:t>
      </w:r>
      <w:r w:rsidRPr="00494635">
        <w:rPr>
          <w:lang w:val="ru-RU"/>
        </w:rPr>
        <w:t xml:space="preserve"> считают, что оба поступивших с опозданием представления могут быть приняты в соответствии с Правилами процедуры, поскольку были получены до начала собрания.</w:t>
      </w:r>
    </w:p>
    <w:p w14:paraId="7B04AB28" w14:textId="77777777" w:rsidR="00A06CB6" w:rsidRPr="00494635" w:rsidRDefault="00A06CB6" w:rsidP="00A06CB6">
      <w:pPr>
        <w:jc w:val="both"/>
        <w:rPr>
          <w:lang w:val="ru-RU"/>
        </w:rPr>
      </w:pPr>
      <w:r w:rsidRPr="00494635">
        <w:rPr>
          <w:lang w:val="ru-RU"/>
        </w:rPr>
        <w:t>2.6</w:t>
      </w:r>
      <w:r w:rsidRPr="00494635">
        <w:rPr>
          <w:lang w:val="ru-RU"/>
        </w:rPr>
        <w:tab/>
        <w:t xml:space="preserve">Ссылаясь на пп. 6.1 и 7.1 повестки дня, </w:t>
      </w:r>
      <w:r w:rsidRPr="00494635">
        <w:rPr>
          <w:b/>
          <w:bCs/>
          <w:lang w:val="ru-RU"/>
        </w:rPr>
        <w:t>г-н Аззуз</w:t>
      </w:r>
      <w:r w:rsidRPr="00494635">
        <w:rPr>
          <w:lang w:val="ru-RU"/>
        </w:rPr>
        <w:t xml:space="preserve"> предлагает, чтобы Документы RRB22-3/3 и RRB22-3/2, в которых содержатся представления, рассмотрение которых было отложено на предыдущем собрании, также были указаны в повестке дня с прежними номерами документов (RRB22</w:t>
      </w:r>
      <w:r w:rsidRPr="00494635">
        <w:rPr>
          <w:lang w:val="ru-RU"/>
        </w:rPr>
        <w:noBreakHyphen/>
        <w:t>2/DELAYED/2 и RRB22-2/DELAYED/1 соответственно).</w:t>
      </w:r>
    </w:p>
    <w:p w14:paraId="7D270B4C" w14:textId="77777777" w:rsidR="00A06CB6" w:rsidRPr="00494635" w:rsidRDefault="00A06CB6" w:rsidP="00A06CB6">
      <w:pPr>
        <w:jc w:val="both"/>
        <w:rPr>
          <w:highlight w:val="lightGray"/>
          <w:lang w:val="ru-RU"/>
        </w:rPr>
      </w:pPr>
      <w:r w:rsidRPr="00494635">
        <w:rPr>
          <w:lang w:val="ru-RU"/>
        </w:rPr>
        <w:lastRenderedPageBreak/>
        <w:t>2.7</w:t>
      </w:r>
      <w:r w:rsidRPr="00494635">
        <w:rPr>
          <w:lang w:val="ru-RU"/>
        </w:rPr>
        <w:tab/>
        <w:t xml:space="preserve">Предложение </w:t>
      </w:r>
      <w:r w:rsidRPr="00494635">
        <w:rPr>
          <w:b/>
          <w:bCs/>
          <w:lang w:val="ru-RU"/>
        </w:rPr>
        <w:t>принимается</w:t>
      </w:r>
      <w:r w:rsidRPr="00494635">
        <w:rPr>
          <w:lang w:val="ru-RU"/>
        </w:rPr>
        <w:t>.</w:t>
      </w:r>
    </w:p>
    <w:p w14:paraId="5DE966DB" w14:textId="77777777" w:rsidR="00A06CB6" w:rsidRPr="00494635" w:rsidRDefault="00A06CB6" w:rsidP="00A06CB6">
      <w:pPr>
        <w:jc w:val="both"/>
        <w:rPr>
          <w:lang w:val="ru-RU"/>
        </w:rPr>
      </w:pPr>
      <w:r w:rsidRPr="00494635">
        <w:rPr>
          <w:lang w:val="ru-RU"/>
        </w:rPr>
        <w:t>2.8</w:t>
      </w:r>
      <w:r w:rsidRPr="00494635">
        <w:rPr>
          <w:lang w:val="ru-RU"/>
        </w:rPr>
        <w:tab/>
        <w:t>Комитет принимает проект повестки дня с внесенными в него поправками, который содержится в Документе RRB22</w:t>
      </w:r>
      <w:r w:rsidRPr="00494635">
        <w:rPr>
          <w:lang w:val="ru-RU"/>
        </w:rPr>
        <w:noBreakHyphen/>
        <w:t xml:space="preserve">3/OJ/1(Rev.1). Он </w:t>
      </w:r>
      <w:r w:rsidRPr="00494635">
        <w:rPr>
          <w:b/>
          <w:bCs/>
          <w:lang w:val="ru-RU"/>
        </w:rPr>
        <w:t>принимает решение</w:t>
      </w:r>
      <w:r w:rsidRPr="00494635">
        <w:rPr>
          <w:lang w:val="ru-RU"/>
        </w:rPr>
        <w:t xml:space="preserve"> включить Документы RRB22</w:t>
      </w:r>
      <w:r w:rsidRPr="00494635">
        <w:rPr>
          <w:lang w:val="ru-RU"/>
        </w:rPr>
        <w:noBreakHyphen/>
        <w:t>3/DELAYED/1 и RRB22-3/DELAYED/2 в п. 6.1 повестки дня для информации.</w:t>
      </w:r>
    </w:p>
    <w:p w14:paraId="5E1BD053" w14:textId="77777777" w:rsidR="00A06CB6" w:rsidRPr="00494635" w:rsidRDefault="00A06CB6" w:rsidP="00A06CB6">
      <w:pPr>
        <w:pStyle w:val="Heading1"/>
        <w:jc w:val="both"/>
        <w:rPr>
          <w:rFonts w:eastAsia="Calibri"/>
          <w:lang w:val="ru-RU"/>
        </w:rPr>
      </w:pPr>
      <w:r w:rsidRPr="00494635">
        <w:rPr>
          <w:lang w:val="ru-RU"/>
        </w:rPr>
        <w:t>3</w:t>
      </w:r>
      <w:r w:rsidRPr="00494635">
        <w:rPr>
          <w:lang w:val="ru-RU"/>
        </w:rPr>
        <w:tab/>
      </w:r>
      <w:r w:rsidRPr="00494635">
        <w:rPr>
          <w:szCs w:val="22"/>
          <w:lang w:val="ru-RU"/>
        </w:rPr>
        <w:t>Отчет Директора БР</w:t>
      </w:r>
      <w:r w:rsidRPr="00494635">
        <w:rPr>
          <w:sz w:val="24"/>
          <w:szCs w:val="22"/>
          <w:lang w:val="ru-RU"/>
        </w:rPr>
        <w:t xml:space="preserve"> </w:t>
      </w:r>
      <w:r w:rsidRPr="00494635">
        <w:rPr>
          <w:lang w:val="ru-RU"/>
        </w:rPr>
        <w:t xml:space="preserve">(Документы RRB22-3/5, RRB22-3/5(Corr.1) </w:t>
      </w:r>
      <w:r w:rsidRPr="00494635">
        <w:rPr>
          <w:rFonts w:eastAsia="Calibri"/>
          <w:lang w:val="ru-RU"/>
        </w:rPr>
        <w:t>и Дополнительные документы 1(Rev.1) – 9)</w:t>
      </w:r>
    </w:p>
    <w:p w14:paraId="6C13E827" w14:textId="77777777" w:rsidR="00A06CB6" w:rsidRPr="00494635" w:rsidRDefault="00A06CB6" w:rsidP="00A06CB6">
      <w:pPr>
        <w:jc w:val="both"/>
        <w:rPr>
          <w:lang w:val="ru-RU"/>
        </w:rPr>
      </w:pPr>
      <w:r w:rsidRPr="00494635">
        <w:rPr>
          <w:lang w:val="ru-RU"/>
        </w:rPr>
        <w:t>3.1</w:t>
      </w:r>
      <w:r w:rsidRPr="00494635">
        <w:rPr>
          <w:lang w:val="ru-RU"/>
        </w:rPr>
        <w:tab/>
      </w:r>
      <w:r w:rsidRPr="00494635">
        <w:rPr>
          <w:b/>
          <w:bCs/>
          <w:lang w:val="ru-RU"/>
        </w:rPr>
        <w:t xml:space="preserve">Директор </w:t>
      </w:r>
      <w:r w:rsidRPr="00494635">
        <w:rPr>
          <w:lang w:val="ru-RU"/>
        </w:rPr>
        <w:t>представляет свой традиционный отчет, содержащийся в Документе RRB22-3/5. Ссылаясь на п. 1 о мерах, принятых по итогам последнего собрания РРК, он обращает внимание на п. 7.1 Приложения 1. По указанию Комитета Бюро созвало собрание администраций Японии и Российской Федерации (Дополнительный документ 8), которое проходило в конструктивной атмосфере и дало хорошие результаты, при этом помехи прекратилось незадолго до этого.</w:t>
      </w:r>
    </w:p>
    <w:p w14:paraId="52BDFE80" w14:textId="77777777" w:rsidR="00A06CB6" w:rsidRPr="00494635" w:rsidRDefault="00A06CB6" w:rsidP="00A06CB6">
      <w:pPr>
        <w:jc w:val="both"/>
        <w:rPr>
          <w:highlight w:val="lightGray"/>
          <w:lang w:val="ru-RU"/>
        </w:rPr>
      </w:pPr>
      <w:r w:rsidRPr="00494635">
        <w:rPr>
          <w:lang w:val="ru-RU"/>
        </w:rPr>
        <w:t>3.2</w:t>
      </w:r>
      <w:r w:rsidRPr="00494635">
        <w:rPr>
          <w:lang w:val="ru-RU"/>
        </w:rPr>
        <w:tab/>
        <w:t>Ссылаясь на п. 3.2 о деятельности Совета, он говорит, что из-за спада в отрасли в результате COVID-19 прогнозируемые доходы по линии возмещения затрат на обработку заявок на регистрацию спутниковых сетей за 2022 год снизилась по сравнению с заложенным в бюджет прогнозом в размере в 15 млн. швейцарских франков до 10 млн. швейцарских франков. Этот дефицит повлияет на бюджет и следующий цикл финансового планирования и вызывает обеспокоенность. Заявки на регистрацию теперь часто имеют более низкое качество, чем раньше, а анализ Бюро занимает больше времени, что, возможно, следует отразить в размере платы за обработку. На своей внеочередной сессии в Бухаресте Совет рассмотрел возможность повторного созыва группы экспертов или создания новой группы экспертов для пересмотра каталога цен на обработку, но счел это преждевременным. Этот вопрос, вероятно, будет рассматриваться Советом на его собрании в 2023 году.</w:t>
      </w:r>
    </w:p>
    <w:p w14:paraId="5DD968B6" w14:textId="77777777" w:rsidR="00A06CB6" w:rsidRPr="00494635" w:rsidRDefault="00A06CB6" w:rsidP="00A06CB6">
      <w:pPr>
        <w:jc w:val="both"/>
        <w:rPr>
          <w:lang w:val="ru-RU"/>
        </w:rPr>
      </w:pPr>
      <w:r w:rsidRPr="00494635">
        <w:rPr>
          <w:lang w:val="ru-RU"/>
        </w:rPr>
        <w:t>3.3</w:t>
      </w:r>
      <w:r w:rsidRPr="00494635">
        <w:rPr>
          <w:lang w:val="ru-RU"/>
        </w:rPr>
        <w:tab/>
        <w:t>Чтобы предоставить Комитету статистические данные на конец сентября 2022 года, информация, которая обычно включается в основную часть отчета, была изложена в ряде дополнительных документов. В Дополнительном документе 2, содержащем Отчет о выполнении</w:t>
      </w:r>
      <w:r w:rsidRPr="00494635">
        <w:rPr>
          <w:u w:val="single"/>
          <w:lang w:val="ru-RU"/>
        </w:rPr>
        <w:t xml:space="preserve"> </w:t>
      </w:r>
      <w:r w:rsidRPr="00494635">
        <w:rPr>
          <w:lang w:val="ru-RU"/>
        </w:rPr>
        <w:t xml:space="preserve">Резолюции </w:t>
      </w:r>
      <w:r w:rsidRPr="00494635">
        <w:rPr>
          <w:b/>
          <w:bCs/>
          <w:lang w:val="ru-RU"/>
        </w:rPr>
        <w:t>35 (ВКР-19)</w:t>
      </w:r>
      <w:r w:rsidRPr="00494635">
        <w:rPr>
          <w:lang w:val="ru-RU"/>
        </w:rPr>
        <w:t xml:space="preserve">, в Таблице 2 в соответствии с просьбой Комитета представлена дополнительная информация о полосах частот и количестве развернутых спутников. В Дополнительном документе 4 сообщается о ходе выполнения Резолюции </w:t>
      </w:r>
      <w:r w:rsidRPr="00494635">
        <w:rPr>
          <w:b/>
          <w:bCs/>
          <w:lang w:val="ru-RU"/>
        </w:rPr>
        <w:t>559 (ВКР-19)</w:t>
      </w:r>
      <w:r w:rsidRPr="00494635">
        <w:rPr>
          <w:lang w:val="ru-RU"/>
        </w:rPr>
        <w:t>; в таблицу в режиме правки внесены изменения, чтобы продемонстрировать достигнутые значительные улучшения. В Дополнительном документе 9 сообщается о деятельности по координации между администрациями Франции и Греции; Бюро выражает надежду, что стороны близки к тому, чтобы прийти к согласию. В Дополнительном документе 10 сообщается об обсуждениях, проходящих между администрациями Саудовской Аравии и Турции. Выступающий отмечает, что этот вопрос больше не входит в компетенцию технического персонала и передан на уровень генеральных директоров.</w:t>
      </w:r>
    </w:p>
    <w:p w14:paraId="789303C0" w14:textId="77777777" w:rsidR="00A06CB6" w:rsidRPr="00494635" w:rsidRDefault="00A06CB6" w:rsidP="00A06CB6">
      <w:pPr>
        <w:pStyle w:val="Headingb"/>
        <w:jc w:val="both"/>
        <w:rPr>
          <w:lang w:val="ru-RU"/>
        </w:rPr>
      </w:pPr>
      <w:r w:rsidRPr="00494635">
        <w:rPr>
          <w:lang w:val="ru-RU"/>
        </w:rPr>
        <w:t xml:space="preserve">Меры, принятые по итогам последнего собрания РРК (п. 1 </w:t>
      </w:r>
      <w:r w:rsidRPr="00494635">
        <w:rPr>
          <w:lang w:val="ru-RU" w:eastAsia="zh-CN"/>
        </w:rPr>
        <w:t>Документа</w:t>
      </w:r>
      <w:r w:rsidRPr="00494635">
        <w:rPr>
          <w:lang w:val="ru-RU"/>
        </w:rPr>
        <w:t xml:space="preserve"> RRB22-3/5 и Приложение 1</w:t>
      </w:r>
      <w:r w:rsidRPr="00494635">
        <w:rPr>
          <w:lang w:val="ru-RU" w:eastAsia="zh-CN"/>
        </w:rPr>
        <w:t xml:space="preserve"> к нему</w:t>
      </w:r>
      <w:r w:rsidRPr="00494635">
        <w:rPr>
          <w:lang w:val="ru-RU"/>
        </w:rPr>
        <w:t>)</w:t>
      </w:r>
    </w:p>
    <w:p w14:paraId="3B03E3B2" w14:textId="77777777" w:rsidR="00A06CB6" w:rsidRPr="00494635" w:rsidRDefault="00A06CB6" w:rsidP="00A06CB6">
      <w:pPr>
        <w:jc w:val="both"/>
        <w:rPr>
          <w:lang w:val="ru-RU"/>
        </w:rPr>
      </w:pPr>
      <w:r w:rsidRPr="00494635">
        <w:rPr>
          <w:lang w:val="ru-RU"/>
        </w:rPr>
        <w:t>3.4</w:t>
      </w:r>
      <w:r w:rsidRPr="00494635">
        <w:rPr>
          <w:lang w:val="ru-RU"/>
        </w:rPr>
        <w:tab/>
      </w:r>
      <w:r w:rsidRPr="00494635">
        <w:rPr>
          <w:b/>
          <w:bCs/>
          <w:lang w:val="ru-RU"/>
        </w:rPr>
        <w:t>Г-н Валле (руководитель SSD)</w:t>
      </w:r>
      <w:r w:rsidRPr="00494635">
        <w:rPr>
          <w:lang w:val="ru-RU"/>
        </w:rPr>
        <w:t>, переходя к п. 2 p) Приложения 1, говорит, что после прошедшего собрания Комитета дальнейших координационных собраний между администрациями Саудовской Аравии и Франции не проводилось. Хотя эта ситуация требует разрешения, она не вызывает каких-либо проблем с помехами и считается двумя администрациями менее приоритетной, чем другие вопросы координации, которыми они занимаются.</w:t>
      </w:r>
    </w:p>
    <w:p w14:paraId="1F4302C0" w14:textId="77777777" w:rsidR="00A06CB6" w:rsidRPr="00494635" w:rsidRDefault="00A06CB6" w:rsidP="00A06CB6">
      <w:pPr>
        <w:jc w:val="both"/>
        <w:rPr>
          <w:highlight w:val="lightGray"/>
          <w:lang w:val="ru-RU"/>
        </w:rPr>
      </w:pPr>
      <w:bookmarkStart w:id="9" w:name="_Hlk119998242"/>
      <w:r w:rsidRPr="00494635">
        <w:rPr>
          <w:lang w:val="ru-RU"/>
        </w:rPr>
        <w:t>3.5</w:t>
      </w:r>
      <w:r w:rsidRPr="00494635">
        <w:rPr>
          <w:lang w:val="ru-RU"/>
        </w:rPr>
        <w:tab/>
      </w:r>
      <w:r w:rsidRPr="00494635">
        <w:rPr>
          <w:b/>
          <w:bCs/>
          <w:lang w:val="ru-RU"/>
        </w:rPr>
        <w:t>Г-н Васильев (руководитель TSD)</w:t>
      </w:r>
      <w:r w:rsidRPr="00494635">
        <w:rPr>
          <w:lang w:val="ru-RU"/>
        </w:rPr>
        <w:t>, ссылаясь на п. 9 Приложения 1, говорит, что во исполнение решения Комитета, принятого на его 90-м собрании, было сделано примечание к 1458 частотным присвоениям станциям IMT, у которых могут быть активные антенные решетки. После того как соответствующая исследовательская комиссия МСЭ-R разработает методику уведомления о мощности антенны, присвоения будут пересмотрены.</w:t>
      </w:r>
    </w:p>
    <w:bookmarkEnd w:id="9"/>
    <w:p w14:paraId="68CD467B" w14:textId="77777777" w:rsidR="00A06CB6" w:rsidRPr="00494635" w:rsidRDefault="00A06CB6" w:rsidP="00A06CB6">
      <w:pPr>
        <w:jc w:val="both"/>
        <w:rPr>
          <w:lang w:val="ru-RU"/>
        </w:rPr>
      </w:pPr>
      <w:r w:rsidRPr="00494635">
        <w:rPr>
          <w:lang w:val="ru-RU"/>
        </w:rPr>
        <w:t>3.6</w:t>
      </w:r>
      <w:r w:rsidRPr="00494635">
        <w:rPr>
          <w:lang w:val="ru-RU"/>
        </w:rPr>
        <w:tab/>
        <w:t xml:space="preserve">Комитет </w:t>
      </w:r>
      <w:r w:rsidRPr="00494635">
        <w:rPr>
          <w:b/>
          <w:bCs/>
          <w:lang w:val="ru-RU"/>
        </w:rPr>
        <w:t>принимает к сведению</w:t>
      </w:r>
      <w:r w:rsidRPr="00494635">
        <w:rPr>
          <w:lang w:val="ru-RU"/>
        </w:rPr>
        <w:t xml:space="preserve"> п. 1 Документа RRB22</w:t>
      </w:r>
      <w:r w:rsidRPr="00494635">
        <w:rPr>
          <w:lang w:val="ru-RU"/>
        </w:rPr>
        <w:noBreakHyphen/>
        <w:t>3/5 и Приложение 1 к нему о мерах, принятых во исполнение решений 90</w:t>
      </w:r>
      <w:r w:rsidRPr="00494635">
        <w:rPr>
          <w:lang w:val="ru-RU"/>
        </w:rPr>
        <w:noBreakHyphen/>
        <w:t>го собрания РРК.</w:t>
      </w:r>
    </w:p>
    <w:p w14:paraId="2615C882" w14:textId="77777777" w:rsidR="00A06CB6" w:rsidRPr="00494635" w:rsidRDefault="00A06CB6" w:rsidP="00A06CB6">
      <w:pPr>
        <w:pStyle w:val="Headingb"/>
        <w:jc w:val="both"/>
        <w:rPr>
          <w:lang w:val="ru-RU"/>
        </w:rPr>
      </w:pPr>
      <w:r w:rsidRPr="00494635">
        <w:rPr>
          <w:lang w:val="ru-RU"/>
        </w:rPr>
        <w:lastRenderedPageBreak/>
        <w:t xml:space="preserve">Обработка заявок на регистрацию наземных и космических систем (п. 2 </w:t>
      </w:r>
      <w:r w:rsidRPr="00494635">
        <w:rPr>
          <w:lang w:val="ru-RU" w:eastAsia="zh-CN"/>
        </w:rPr>
        <w:t>Документа</w:t>
      </w:r>
      <w:r w:rsidRPr="00494635">
        <w:rPr>
          <w:lang w:val="ru-RU"/>
        </w:rPr>
        <w:t xml:space="preserve"> RRB22-3/5 и </w:t>
      </w:r>
      <w:r w:rsidRPr="00494635">
        <w:rPr>
          <w:lang w:val="ru-RU" w:eastAsia="zh-CN"/>
        </w:rPr>
        <w:t xml:space="preserve">Приложения </w:t>
      </w:r>
      <w:r w:rsidRPr="00494635">
        <w:rPr>
          <w:lang w:val="ru-RU"/>
        </w:rPr>
        <w:t>2 и 3</w:t>
      </w:r>
      <w:r w:rsidRPr="00494635">
        <w:rPr>
          <w:lang w:val="ru-RU" w:eastAsia="zh-CN"/>
        </w:rPr>
        <w:t xml:space="preserve"> к нему</w:t>
      </w:r>
      <w:r w:rsidRPr="00494635">
        <w:rPr>
          <w:lang w:val="ru-RU"/>
        </w:rPr>
        <w:t>)</w:t>
      </w:r>
    </w:p>
    <w:p w14:paraId="2CB9E551" w14:textId="77777777" w:rsidR="00A06CB6" w:rsidRPr="00494635" w:rsidRDefault="00A06CB6" w:rsidP="00A06CB6">
      <w:pPr>
        <w:jc w:val="both"/>
        <w:rPr>
          <w:lang w:val="ru-RU"/>
        </w:rPr>
      </w:pPr>
      <w:r w:rsidRPr="00494635">
        <w:rPr>
          <w:lang w:val="ru-RU"/>
        </w:rPr>
        <w:t>3.7</w:t>
      </w:r>
      <w:r w:rsidRPr="00494635">
        <w:rPr>
          <w:lang w:val="ru-RU"/>
        </w:rPr>
        <w:tab/>
      </w:r>
      <w:r w:rsidRPr="00494635">
        <w:rPr>
          <w:b/>
          <w:bCs/>
          <w:lang w:val="ru-RU"/>
        </w:rPr>
        <w:t>Г-н Васильев (руководитель TSD)</w:t>
      </w:r>
      <w:r w:rsidRPr="00494635">
        <w:rPr>
          <w:bCs/>
          <w:lang w:val="ru-RU"/>
        </w:rPr>
        <w:t>, ссылаясь на Приложение 2 к Документу RRB22-3/5 об обработке заявок на наземные службы, представляет вниманию содержащиеся в нем таблицы</w:t>
      </w:r>
      <w:r w:rsidRPr="00494635">
        <w:rPr>
          <w:lang w:val="ru-RU"/>
        </w:rPr>
        <w:t xml:space="preserve">. В ответ на замечание </w:t>
      </w:r>
      <w:r w:rsidRPr="00494635">
        <w:rPr>
          <w:b/>
          <w:bCs/>
          <w:lang w:val="ru-RU"/>
        </w:rPr>
        <w:t>г-на Аззуза</w:t>
      </w:r>
      <w:r w:rsidRPr="00494635">
        <w:rPr>
          <w:lang w:val="ru-RU"/>
        </w:rPr>
        <w:t xml:space="preserve"> он подтверждает, что дата 02.11.2021 г. в последней строке Таблицы A2-4 должна быть удалена. </w:t>
      </w:r>
    </w:p>
    <w:p w14:paraId="729F0FD7" w14:textId="77777777" w:rsidR="00A06CB6" w:rsidRPr="00494635" w:rsidRDefault="00A06CB6" w:rsidP="00A06CB6">
      <w:pPr>
        <w:jc w:val="both"/>
        <w:rPr>
          <w:lang w:val="ru-RU"/>
        </w:rPr>
      </w:pPr>
      <w:bookmarkStart w:id="10" w:name="_Hlk119998394"/>
      <w:r w:rsidRPr="00494635">
        <w:rPr>
          <w:lang w:val="ru-RU"/>
        </w:rPr>
        <w:t>3.8</w:t>
      </w:r>
      <w:r w:rsidRPr="00494635">
        <w:rPr>
          <w:lang w:val="ru-RU"/>
        </w:rPr>
        <w:tab/>
      </w:r>
      <w:r w:rsidRPr="00494635">
        <w:rPr>
          <w:b/>
          <w:bCs/>
          <w:lang w:val="ru-RU"/>
        </w:rPr>
        <w:t>Г-н Валле (руководитель SSD)</w:t>
      </w:r>
      <w:r w:rsidRPr="00494635">
        <w:rPr>
          <w:bCs/>
          <w:lang w:val="ru-RU"/>
        </w:rPr>
        <w:t xml:space="preserve"> представляет вниманию таблицы, которые содержатся в Приложении 3 к Документу RRB22-3/5 и относятся к обработке </w:t>
      </w:r>
      <w:r w:rsidRPr="00494635">
        <w:rPr>
          <w:lang w:val="ru-RU"/>
        </w:rPr>
        <w:t>заявок</w:t>
      </w:r>
      <w:r w:rsidRPr="00494635">
        <w:rPr>
          <w:bCs/>
          <w:lang w:val="ru-RU"/>
        </w:rPr>
        <w:t xml:space="preserve"> на спутниковые сети</w:t>
      </w:r>
      <w:r w:rsidRPr="00494635">
        <w:rPr>
          <w:lang w:val="ru-RU"/>
        </w:rPr>
        <w:t xml:space="preserve">. Отвечая на вопрос </w:t>
      </w:r>
      <w:r w:rsidRPr="00494635">
        <w:rPr>
          <w:b/>
          <w:bCs/>
          <w:lang w:val="ru-RU"/>
        </w:rPr>
        <w:t>г-на Аззуза</w:t>
      </w:r>
      <w:r w:rsidRPr="00494635">
        <w:rPr>
          <w:lang w:val="ru-RU"/>
        </w:rPr>
        <w:t xml:space="preserve">, он подтверждает, что в некоторых таблицах не указаны регламентарные предельные сроки, поскольку они не указаны в Регламенте радиосвязи для Планов и заявления, по крайней мере для рассмотрения в рамках Части II-S/Части III-S. </w:t>
      </w:r>
    </w:p>
    <w:bookmarkEnd w:id="10"/>
    <w:p w14:paraId="5B2FACE1" w14:textId="77777777" w:rsidR="00A06CB6" w:rsidRPr="00494635" w:rsidRDefault="00A06CB6" w:rsidP="00A06CB6">
      <w:pPr>
        <w:jc w:val="both"/>
        <w:rPr>
          <w:lang w:val="ru-RU"/>
        </w:rPr>
      </w:pPr>
      <w:r w:rsidRPr="00494635">
        <w:rPr>
          <w:lang w:val="ru-RU"/>
        </w:rPr>
        <w:t>3.9</w:t>
      </w:r>
      <w:r w:rsidRPr="00494635">
        <w:rPr>
          <w:lang w:val="ru-RU"/>
        </w:rPr>
        <w:tab/>
      </w:r>
      <w:r w:rsidRPr="00494635">
        <w:rPr>
          <w:lang w:val="ru-RU" w:eastAsia="zh-CN"/>
        </w:rPr>
        <w:t xml:space="preserve">Комитет </w:t>
      </w:r>
      <w:r w:rsidRPr="00494635">
        <w:rPr>
          <w:b/>
          <w:bCs/>
          <w:lang w:val="ru-RU" w:eastAsia="zh-CN"/>
        </w:rPr>
        <w:t>принимает</w:t>
      </w:r>
      <w:r w:rsidRPr="00494635">
        <w:rPr>
          <w:lang w:val="ru-RU" w:eastAsia="zh-CN"/>
        </w:rPr>
        <w:t xml:space="preserve"> </w:t>
      </w:r>
      <w:r w:rsidRPr="00494635">
        <w:rPr>
          <w:b/>
          <w:bCs/>
          <w:lang w:val="ru-RU" w:eastAsia="zh-CN"/>
        </w:rPr>
        <w:t>к сведению</w:t>
      </w:r>
      <w:r w:rsidRPr="00494635">
        <w:rPr>
          <w:lang w:val="ru-RU" w:eastAsia="zh-CN"/>
        </w:rPr>
        <w:t xml:space="preserve"> п. 2 Документа RRB22-3/5, касающийся обработки заявок на регистрацию наземных и космических систем</w:t>
      </w:r>
      <w:r w:rsidRPr="00494635">
        <w:rPr>
          <w:lang w:val="ru-RU"/>
        </w:rPr>
        <w:t xml:space="preserve">. </w:t>
      </w:r>
    </w:p>
    <w:p w14:paraId="4F0824A8" w14:textId="77777777" w:rsidR="00A06CB6" w:rsidRPr="00494635" w:rsidRDefault="00A06CB6" w:rsidP="00A06CB6">
      <w:pPr>
        <w:pStyle w:val="Headingb"/>
        <w:jc w:val="both"/>
        <w:rPr>
          <w:lang w:val="ru-RU"/>
        </w:rPr>
      </w:pPr>
      <w:r w:rsidRPr="00494635">
        <w:rPr>
          <w:lang w:val="ru-RU"/>
        </w:rPr>
        <w:t>Осуществление возмещения затрат на обработку заявок на регистрацию спутниковых сетей (</w:t>
      </w:r>
      <w:r w:rsidRPr="00494635">
        <w:rPr>
          <w:lang w:val="ru-RU" w:eastAsia="zh-CN"/>
        </w:rPr>
        <w:t>п. 3 Документа RRB22-3/5 и Приложение 4 к нему</w:t>
      </w:r>
      <w:r w:rsidRPr="00494635">
        <w:rPr>
          <w:lang w:val="ru-RU"/>
        </w:rPr>
        <w:t>)</w:t>
      </w:r>
    </w:p>
    <w:p w14:paraId="0673109C" w14:textId="77777777" w:rsidR="00A06CB6" w:rsidRPr="00494635" w:rsidRDefault="00A06CB6" w:rsidP="00A06CB6">
      <w:pPr>
        <w:jc w:val="both"/>
        <w:rPr>
          <w:lang w:val="ru-RU"/>
        </w:rPr>
      </w:pPr>
      <w:r w:rsidRPr="00494635">
        <w:rPr>
          <w:lang w:val="ru-RU"/>
        </w:rPr>
        <w:t>3.10</w:t>
      </w:r>
      <w:r w:rsidRPr="00494635">
        <w:rPr>
          <w:lang w:val="ru-RU"/>
        </w:rPr>
        <w:tab/>
      </w:r>
      <w:r w:rsidRPr="00494635">
        <w:rPr>
          <w:b/>
          <w:bCs/>
          <w:lang w:val="ru-RU"/>
        </w:rPr>
        <w:t>Г-н Валле (руководитель SSD)</w:t>
      </w:r>
      <w:r w:rsidRPr="00494635">
        <w:rPr>
          <w:lang w:val="ru-RU"/>
        </w:rPr>
        <w:t>, ссылаясь на п. 3.1 Документа RRB22-3/5 и Приложение 4 к нему, говорит, что ни одна спутниковая сеть не будет аннулирована в связи с неоплатой или несвоевременной оплатой счетов.</w:t>
      </w:r>
    </w:p>
    <w:p w14:paraId="0750E068" w14:textId="77777777" w:rsidR="00A06CB6" w:rsidRPr="00494635" w:rsidRDefault="00A06CB6" w:rsidP="00A06CB6">
      <w:pPr>
        <w:jc w:val="both"/>
        <w:rPr>
          <w:lang w:val="ru-RU"/>
        </w:rPr>
      </w:pPr>
      <w:r w:rsidRPr="00494635">
        <w:rPr>
          <w:lang w:val="ru-RU"/>
        </w:rPr>
        <w:t>3.11</w:t>
      </w:r>
      <w:r w:rsidRPr="00494635">
        <w:rPr>
          <w:lang w:val="ru-RU"/>
        </w:rPr>
        <w:tab/>
      </w:r>
      <w:r w:rsidRPr="00494635">
        <w:rPr>
          <w:b/>
          <w:bCs/>
          <w:lang w:val="ru-RU"/>
        </w:rPr>
        <w:t>Г-н Аззуз</w:t>
      </w:r>
      <w:r w:rsidRPr="00494635">
        <w:rPr>
          <w:lang w:val="ru-RU"/>
        </w:rPr>
        <w:t xml:space="preserve"> благодарит Государства-Члены за их готовность своевременно уплачивать сборы на возмещение затрат. Отмечая ожидаемое сокращение объема доходов по линии возмещения затрат с 15 млн. швейцарских франков до 10 млн. швейцарских франков, он говорит, что Бюро следует внести предложение по преодолению сокращения доходов по линии возмещения затрат для обсуждения Советом.</w:t>
      </w:r>
    </w:p>
    <w:p w14:paraId="44BD9DF1" w14:textId="77777777" w:rsidR="00A06CB6" w:rsidRPr="00494635" w:rsidRDefault="00A06CB6" w:rsidP="00A06CB6">
      <w:pPr>
        <w:jc w:val="both"/>
        <w:rPr>
          <w:lang w:val="ru-RU"/>
        </w:rPr>
      </w:pPr>
      <w:r w:rsidRPr="00494635">
        <w:rPr>
          <w:lang w:val="ru-RU"/>
        </w:rPr>
        <w:t>3.12</w:t>
      </w:r>
      <w:r w:rsidRPr="00494635">
        <w:rPr>
          <w:lang w:val="ru-RU"/>
        </w:rPr>
        <w:tab/>
      </w:r>
      <w:r w:rsidRPr="00494635">
        <w:rPr>
          <w:lang w:val="ru-RU" w:eastAsia="zh-CN"/>
        </w:rPr>
        <w:t xml:space="preserve">Комитет </w:t>
      </w:r>
      <w:r w:rsidRPr="00494635">
        <w:rPr>
          <w:b/>
          <w:bCs/>
          <w:lang w:val="ru-RU" w:eastAsia="zh-CN"/>
        </w:rPr>
        <w:t>принимает к сведению</w:t>
      </w:r>
      <w:r w:rsidRPr="00494635">
        <w:rPr>
          <w:lang w:val="ru-RU" w:eastAsia="zh-CN"/>
        </w:rPr>
        <w:t xml:space="preserve"> пп. 3.1 и 3.2 </w:t>
      </w:r>
      <w:r w:rsidRPr="00494635">
        <w:rPr>
          <w:lang w:val="ru-RU"/>
        </w:rPr>
        <w:t>Документа RRB22-3/5</w:t>
      </w:r>
      <w:r w:rsidRPr="00494635">
        <w:rPr>
          <w:lang w:val="ru-RU" w:eastAsia="zh-CN"/>
        </w:rPr>
        <w:t>, касающиеся соответственно просроченных платежей и деятельности Совета, связанной с осуществлением возмещения затрат на обработку заявок на регистрацию спутниковых сетей</w:t>
      </w:r>
      <w:r w:rsidRPr="00494635">
        <w:rPr>
          <w:lang w:val="ru-RU"/>
        </w:rPr>
        <w:t xml:space="preserve">. </w:t>
      </w:r>
    </w:p>
    <w:p w14:paraId="39610E2D" w14:textId="77777777" w:rsidR="00A06CB6" w:rsidRPr="00494635" w:rsidRDefault="00A06CB6" w:rsidP="00A06CB6">
      <w:pPr>
        <w:pStyle w:val="Headingb"/>
        <w:jc w:val="both"/>
        <w:rPr>
          <w:lang w:val="ru-RU"/>
        </w:rPr>
      </w:pPr>
      <w:r w:rsidRPr="00494635">
        <w:rPr>
          <w:lang w:val="ru-RU"/>
        </w:rPr>
        <w:t>Донесения о вредных помехах и/или нарушениях РР (Статья 15 Регламента радиосвязи) (</w:t>
      </w:r>
      <w:r w:rsidRPr="00494635">
        <w:rPr>
          <w:lang w:val="ru-RU" w:eastAsia="zh-CN"/>
        </w:rPr>
        <w:t>п.</w:t>
      </w:r>
      <w:r w:rsidRPr="00494635">
        <w:rPr>
          <w:lang w:val="ru-RU"/>
        </w:rPr>
        <w:t> 4 </w:t>
      </w:r>
      <w:r w:rsidRPr="00494635">
        <w:rPr>
          <w:lang w:val="ru-RU" w:eastAsia="zh-CN"/>
        </w:rPr>
        <w:t xml:space="preserve">Документа </w:t>
      </w:r>
      <w:r w:rsidRPr="00494635">
        <w:rPr>
          <w:lang w:val="ru-RU"/>
        </w:rPr>
        <w:t>RRB22-3/5)</w:t>
      </w:r>
    </w:p>
    <w:p w14:paraId="5B69B634" w14:textId="77777777" w:rsidR="00A06CB6" w:rsidRPr="00494635" w:rsidRDefault="00A06CB6" w:rsidP="00A06CB6">
      <w:pPr>
        <w:jc w:val="both"/>
        <w:rPr>
          <w:lang w:val="ru-RU"/>
        </w:rPr>
      </w:pPr>
      <w:r w:rsidRPr="00494635">
        <w:rPr>
          <w:lang w:val="ru-RU"/>
        </w:rPr>
        <w:t>3.13</w:t>
      </w:r>
      <w:r w:rsidRPr="00494635">
        <w:rPr>
          <w:lang w:val="ru-RU"/>
        </w:rPr>
        <w:tab/>
      </w:r>
      <w:r w:rsidRPr="00494635">
        <w:rPr>
          <w:b/>
          <w:bCs/>
          <w:lang w:val="ru-RU" w:eastAsia="zh-CN"/>
        </w:rPr>
        <w:t>Г-н Васильев (руководитель TSD)</w:t>
      </w:r>
      <w:r w:rsidRPr="00494635">
        <w:rPr>
          <w:lang w:val="ru-RU" w:eastAsia="zh-CN"/>
        </w:rPr>
        <w:t xml:space="preserve">, </w:t>
      </w:r>
      <w:r w:rsidRPr="00494635">
        <w:rPr>
          <w:lang w:val="ru-RU"/>
        </w:rPr>
        <w:t>представляя вниманию Таблицы</w:t>
      </w:r>
      <w:r w:rsidRPr="00494635">
        <w:rPr>
          <w:lang w:val="ru-RU" w:eastAsia="zh-CN"/>
        </w:rPr>
        <w:t xml:space="preserve"> 1–4 в Отчете Директора, отмечает, что за период с 1 сентября 2021 года по 31 августа </w:t>
      </w:r>
      <w:r w:rsidRPr="00494635">
        <w:rPr>
          <w:lang w:val="ru-RU"/>
        </w:rPr>
        <w:t>2022</w:t>
      </w:r>
      <w:r w:rsidRPr="00494635">
        <w:rPr>
          <w:lang w:val="ru-RU" w:eastAsia="zh-CN"/>
        </w:rPr>
        <w:t xml:space="preserve"> года </w:t>
      </w:r>
      <w:r w:rsidRPr="00494635">
        <w:rPr>
          <w:lang w:val="ru-RU"/>
        </w:rPr>
        <w:t>Бюро получило 251 сообщение, связанное с донесениями о вредных помехах и/или нарушениями Регламента радиосвязи.</w:t>
      </w:r>
    </w:p>
    <w:p w14:paraId="017FCB47" w14:textId="77777777" w:rsidR="00A06CB6" w:rsidRPr="00494635" w:rsidRDefault="00A06CB6" w:rsidP="00A06CB6">
      <w:pPr>
        <w:jc w:val="both"/>
        <w:rPr>
          <w:lang w:val="ru-RU"/>
        </w:rPr>
      </w:pPr>
      <w:r w:rsidRPr="00494635">
        <w:rPr>
          <w:lang w:val="ru-RU"/>
        </w:rPr>
        <w:t>3.14</w:t>
      </w:r>
      <w:r w:rsidRPr="00494635">
        <w:rPr>
          <w:lang w:val="ru-RU"/>
        </w:rPr>
        <w:tab/>
      </w:r>
      <w:r w:rsidRPr="00494635">
        <w:rPr>
          <w:lang w:val="ru-RU" w:eastAsia="zh-CN"/>
        </w:rPr>
        <w:t xml:space="preserve">Комитет </w:t>
      </w:r>
      <w:r w:rsidRPr="00494635">
        <w:rPr>
          <w:b/>
          <w:bCs/>
          <w:lang w:val="ru-RU" w:eastAsia="zh-CN"/>
        </w:rPr>
        <w:t>принимает к сведению</w:t>
      </w:r>
      <w:r w:rsidRPr="00494635">
        <w:rPr>
          <w:lang w:val="ru-RU" w:eastAsia="zh-CN"/>
        </w:rPr>
        <w:t xml:space="preserve"> п. 4.1 Документа </w:t>
      </w:r>
      <w:r w:rsidRPr="00494635">
        <w:rPr>
          <w:lang w:val="ru-RU"/>
        </w:rPr>
        <w:t>RRB22</w:t>
      </w:r>
      <w:r w:rsidRPr="00494635">
        <w:rPr>
          <w:lang w:val="ru-RU" w:eastAsia="zh-CN"/>
        </w:rPr>
        <w:t>-3/5, посвященный статистическим данным о вредных помехах и нарушениях Регламента радиосвязи</w:t>
      </w:r>
      <w:r w:rsidRPr="00494635">
        <w:rPr>
          <w:lang w:val="ru-RU"/>
        </w:rPr>
        <w:t xml:space="preserve">. </w:t>
      </w:r>
    </w:p>
    <w:p w14:paraId="1EA602DD" w14:textId="77777777" w:rsidR="00A06CB6" w:rsidRPr="00494635" w:rsidRDefault="00A06CB6" w:rsidP="00A06CB6">
      <w:pPr>
        <w:pStyle w:val="Headingb"/>
        <w:jc w:val="both"/>
        <w:rPr>
          <w:lang w:val="ru-RU"/>
        </w:rPr>
      </w:pPr>
      <w:r w:rsidRPr="00494635">
        <w:rPr>
          <w:lang w:val="ru-RU"/>
        </w:rPr>
        <w:t>Вредные помехи радиовещательным станциям в диапазонах ОВЧ/УВЧ между Италией и соседними с ней странами</w:t>
      </w:r>
      <w:r w:rsidRPr="00494635">
        <w:rPr>
          <w:lang w:val="ru-RU" w:eastAsia="zh-CN"/>
        </w:rPr>
        <w:t xml:space="preserve"> </w:t>
      </w:r>
      <w:r w:rsidRPr="00494635">
        <w:rPr>
          <w:lang w:val="ru-RU"/>
        </w:rPr>
        <w:t>(</w:t>
      </w:r>
      <w:r w:rsidRPr="00494635">
        <w:rPr>
          <w:lang w:val="ru-RU" w:eastAsia="zh-CN"/>
        </w:rPr>
        <w:t>п.</w:t>
      </w:r>
      <w:r w:rsidRPr="00494635">
        <w:rPr>
          <w:lang w:val="ru-RU"/>
        </w:rPr>
        <w:t> 4.2 Документа RRB22-3/5 и Дополнительные документы 5, 6 и 7 к нему, а также Документ RRB22-3/5(Corr.1))</w:t>
      </w:r>
    </w:p>
    <w:p w14:paraId="61C8A83C" w14:textId="77777777" w:rsidR="00A06CB6" w:rsidRPr="00494635" w:rsidRDefault="00A06CB6" w:rsidP="00A06CB6">
      <w:pPr>
        <w:jc w:val="both"/>
        <w:rPr>
          <w:lang w:val="ru-RU" w:eastAsia="zh-CN"/>
        </w:rPr>
      </w:pPr>
      <w:r w:rsidRPr="00494635">
        <w:rPr>
          <w:lang w:val="ru-RU" w:eastAsia="zh-CN"/>
        </w:rPr>
        <w:t>3.15</w:t>
      </w:r>
      <w:r w:rsidRPr="00494635">
        <w:rPr>
          <w:lang w:val="ru-RU"/>
        </w:rPr>
        <w:tab/>
      </w:r>
      <w:r w:rsidRPr="00494635">
        <w:rPr>
          <w:b/>
          <w:bCs/>
          <w:lang w:val="ru-RU"/>
        </w:rPr>
        <w:t>Г-н Васильев (руководитель TSD)</w:t>
      </w:r>
      <w:r w:rsidRPr="00494635">
        <w:rPr>
          <w:lang w:val="ru-RU"/>
        </w:rPr>
        <w:t xml:space="preserve"> говорит, что с момента подготовки Отчета Директора Бюро получило сообщения от администраций Словении, Италии и Хорватии, представленные в Дополнительных документах 5, 6 и 7 соответственно. По утверждению администрации Словении </w:t>
      </w:r>
      <w:r w:rsidRPr="00494635">
        <w:rPr>
          <w:lang w:val="ru-RU" w:eastAsia="zh-CN"/>
        </w:rPr>
        <w:t>(Дополнительный документ 5)</w:t>
      </w:r>
      <w:r w:rsidRPr="00494635">
        <w:rPr>
          <w:lang w:val="ru-RU"/>
        </w:rPr>
        <w:t>, ситуация с помехами в диапазоне ЧМ не улучшилась</w:t>
      </w:r>
      <w:r w:rsidRPr="00494635">
        <w:rPr>
          <w:lang w:val="ru-RU" w:eastAsia="zh-CN"/>
        </w:rPr>
        <w:t xml:space="preserve">. </w:t>
      </w:r>
    </w:p>
    <w:p w14:paraId="69EAE3DE" w14:textId="77777777" w:rsidR="00A06CB6" w:rsidRPr="00494635" w:rsidRDefault="00A06CB6" w:rsidP="00A06CB6">
      <w:pPr>
        <w:jc w:val="both"/>
        <w:rPr>
          <w:lang w:val="ru-RU"/>
        </w:rPr>
      </w:pPr>
      <w:r w:rsidRPr="00494635">
        <w:rPr>
          <w:lang w:val="ru-RU" w:eastAsia="zh-CN"/>
        </w:rPr>
        <w:t>3.16</w:t>
      </w:r>
      <w:r w:rsidRPr="00494635">
        <w:rPr>
          <w:lang w:val="ru-RU"/>
        </w:rPr>
        <w:tab/>
        <w:t xml:space="preserve">В Дополнительном документе 6 содержится обновленная дорожная карта, представленная администрацией Италии. Что касается телевизионного радиовещания в диапазоне УВЧ, действия включали реализацию нового национального плана с высвобождением диапазона 700 МГц; заключение соглашения с Сан-Марино о финансировании удаления некоторых станций Сан-Марино, что решит проблему возможных помех словенским и хорватским станциям; и регистрацию всех станций в Плане GE06. Что касается DAB-радиовещания в диапазоне III ОВЧ, итальянский орган регулирования использования частот опубликовал предварительный национальный план </w:t>
      </w:r>
      <w:r w:rsidRPr="00494635">
        <w:rPr>
          <w:lang w:val="ru-RU"/>
        </w:rPr>
        <w:lastRenderedPageBreak/>
        <w:t>распределения частот в этом диапазоне, который ожидает согласования Адриатико-Ионической группы. Словения выставила в качестве условия подписания этого соглашения подписание Италией общего обязательства соблюдать международные соглашения о радиочастотах (включая Регламент радиосвязи и региональные планы). Администрация Италии сочла подписание такого обязательства неуместным, поскольку предметом переговоров должен оставаться диапазон III ОВЧ и условия, касающиеся диапазона II ОВЧ, навязываться не должны. Что касается ЧМ-радиовещания, для изучения ситуации была создана национальная рабочая группа, но ей требуется четкое политическое руководство, и национальные выборы задержали ее работу. Для решения проблем в диапазоне частот ЧМ в целом необходимо принятие законодательных мер, что потребует времени, и радиовещательные организации должны быть убеждены в преимуществах перехода с ЧМ на DAB, поскольку юридические обязательства для этого отсутствуют. В завершающей части дорожной карты приводится краткое изложение администрацией случаев трансграничных помех между Италией и Францией, Швейцарией, Словенией, Хорватией и Мальтой.</w:t>
      </w:r>
    </w:p>
    <w:p w14:paraId="7334AA8A" w14:textId="77777777" w:rsidR="00A06CB6" w:rsidRPr="00494635" w:rsidRDefault="00A06CB6" w:rsidP="00A06CB6">
      <w:pPr>
        <w:jc w:val="both"/>
        <w:rPr>
          <w:lang w:val="ru-RU"/>
        </w:rPr>
      </w:pPr>
      <w:r w:rsidRPr="00494635">
        <w:rPr>
          <w:lang w:val="ru-RU" w:eastAsia="zh-CN"/>
        </w:rPr>
        <w:t>3.17</w:t>
      </w:r>
      <w:r w:rsidRPr="00494635">
        <w:rPr>
          <w:lang w:val="ru-RU"/>
        </w:rPr>
        <w:tab/>
        <w:t>В Дополнительном документе 7 содержится обновленная информация от администрации Хорватии, согласно которой ситуация с помехами телевизионным станциям улучшилась. Вместе с тем ситуация с вредными помехами хорватским звуковым радиовещательным станциям не улучшилась, и по-прежнему имеет место нескоординированная работа итальянских станций T-DAB.</w:t>
      </w:r>
    </w:p>
    <w:p w14:paraId="467F69BE" w14:textId="77777777" w:rsidR="00A06CB6" w:rsidRPr="00494635" w:rsidRDefault="00A06CB6" w:rsidP="00A06CB6">
      <w:pPr>
        <w:jc w:val="both"/>
        <w:rPr>
          <w:lang w:val="ru-RU"/>
        </w:rPr>
      </w:pPr>
      <w:r w:rsidRPr="00494635">
        <w:rPr>
          <w:lang w:val="ru-RU" w:eastAsia="zh-CN"/>
        </w:rPr>
        <w:t>3.18</w:t>
      </w:r>
      <w:r w:rsidRPr="00494635">
        <w:rPr>
          <w:lang w:val="ru-RU"/>
        </w:rPr>
        <w:tab/>
      </w:r>
      <w:r w:rsidRPr="00494635">
        <w:rPr>
          <w:b/>
          <w:bCs/>
          <w:lang w:val="ru-RU"/>
        </w:rPr>
        <w:t>Г-жа Жеанти</w:t>
      </w:r>
      <w:r w:rsidRPr="00494635">
        <w:rPr>
          <w:lang w:val="ru-RU"/>
        </w:rPr>
        <w:t xml:space="preserve"> отмечает, что из сообщений Словении и Хорватии ясно, что ситуация не улучшилась, и вызывает беспокойство нескоординированная работа итальянских станций T-DAB. Перейдя к Дополнительному документу 6, она говорит, что в отношении телевизионного радиовещания высвобождение диапазона 700 МГц и закрытие всех итальянских станций, не работающих на частотах, присвоенных Италии, являются положительными изменениями. Однако, что касается DAB</w:t>
      </w:r>
      <w:r w:rsidRPr="00494635">
        <w:rPr>
          <w:lang w:val="ru-RU"/>
        </w:rPr>
        <w:noBreakHyphen/>
        <w:t>радиовещания, национальный план распределения частот еще не принят, и она спрашивает, получало ли Бюро какую-либо информацию о собрании Адриатико-Ионической многосторонней группы, состоявшемся 10 октября 2022 года. Ситуация с ЧМ вызывает беспокойство, поскольку начало деятельности рабочей группы было отложено и, по-видимому, пройдет несколько лет, прежде чем будут приняты необходимые законодательные меры. Кроме того, не был разрешен ни один из трансграничных случаев. Хотя медленные темпы прогресса вызывают разочарование, все, что может сделать Комитет, – это поручить Бюро продолжать оказывать помощь заинтересованным администрациям.</w:t>
      </w:r>
    </w:p>
    <w:p w14:paraId="2108705F" w14:textId="77777777" w:rsidR="00A06CB6" w:rsidRPr="00494635" w:rsidRDefault="00A06CB6" w:rsidP="00A06CB6">
      <w:pPr>
        <w:jc w:val="both"/>
        <w:rPr>
          <w:highlight w:val="lightGray"/>
          <w:lang w:val="ru-RU"/>
        </w:rPr>
      </w:pPr>
      <w:r w:rsidRPr="00494635">
        <w:rPr>
          <w:lang w:val="ru-RU" w:eastAsia="zh-CN"/>
        </w:rPr>
        <w:t>3.19</w:t>
      </w:r>
      <w:r w:rsidRPr="00494635">
        <w:rPr>
          <w:lang w:val="ru-RU"/>
        </w:rPr>
        <w:tab/>
      </w:r>
      <w:r w:rsidRPr="00494635">
        <w:rPr>
          <w:b/>
          <w:bCs/>
          <w:lang w:val="ru-RU"/>
        </w:rPr>
        <w:t>Г-н Аззуз</w:t>
      </w:r>
      <w:r w:rsidRPr="00494635">
        <w:rPr>
          <w:lang w:val="ru-RU"/>
        </w:rPr>
        <w:t xml:space="preserve"> благодарит Бюро за помощь соответствующим администрациям и приветствует успехи в разрешении случаев вредных помех, связанных со станциями телевизионного радиовещания. Администрации Италии следует продолжать проводить встречи с соседними странами и обмениваться информацией, необходимой для скорейшего решения остающихся проблем с помехами. Бюро следует продолжать оказывать помощь администрациям и отчитаться о ходе работы на следующем собрании Комитета.</w:t>
      </w:r>
    </w:p>
    <w:p w14:paraId="5BCBB7E3" w14:textId="77777777" w:rsidR="00A06CB6" w:rsidRPr="00494635" w:rsidRDefault="00A06CB6" w:rsidP="00A06CB6">
      <w:pPr>
        <w:jc w:val="both"/>
        <w:rPr>
          <w:highlight w:val="lightGray"/>
          <w:lang w:val="ru-RU"/>
        </w:rPr>
      </w:pPr>
      <w:r w:rsidRPr="00494635">
        <w:rPr>
          <w:lang w:val="ru-RU" w:eastAsia="zh-CN"/>
        </w:rPr>
        <w:t>3.20</w:t>
      </w:r>
      <w:r w:rsidRPr="00494635">
        <w:rPr>
          <w:lang w:val="ru-RU"/>
        </w:rPr>
        <w:tab/>
      </w:r>
      <w:r w:rsidRPr="00494635">
        <w:rPr>
          <w:b/>
          <w:bCs/>
          <w:lang w:val="ru-RU"/>
        </w:rPr>
        <w:t>Г-жа Гасанова</w:t>
      </w:r>
      <w:r w:rsidRPr="00494635">
        <w:rPr>
          <w:lang w:val="ru-RU"/>
        </w:rPr>
        <w:t xml:space="preserve"> благодарит Бюро за оказываемую помощь, а также спрашивает, есть ли у него какая-либо дополнительная информация о собрании Адриатико-Ионической многосторонней группы. Она с удовлетворением отмечает, что Италия взяла на себя решение проблемы, связанной с каналом 51, которая затронула бы Хорватию и Словению. В то же время вызывает сожаление отсутствие улучшения многих давних нерешенных проблем с помехами, которые обсуждаются на каждом собрании Комитета. Комитету следует настоятельно призвать администрацию Италии принять все необходимые меры для устранения вредных помех всем соседним странам и поручить Бюро продолжать помогать администрациям и отчитаться о ходе работы на следующем собрании Комитета.</w:t>
      </w:r>
    </w:p>
    <w:p w14:paraId="315A7554" w14:textId="77777777" w:rsidR="00A06CB6" w:rsidRPr="00494635" w:rsidRDefault="00A06CB6" w:rsidP="00A06CB6">
      <w:pPr>
        <w:jc w:val="both"/>
        <w:rPr>
          <w:highlight w:val="lightGray"/>
          <w:lang w:val="ru-RU"/>
        </w:rPr>
      </w:pPr>
      <w:r w:rsidRPr="00494635">
        <w:rPr>
          <w:lang w:val="ru-RU" w:eastAsia="zh-CN"/>
        </w:rPr>
        <w:t>3.21</w:t>
      </w:r>
      <w:r w:rsidRPr="00494635">
        <w:rPr>
          <w:lang w:val="ru-RU"/>
        </w:rPr>
        <w:tab/>
      </w:r>
      <w:r w:rsidRPr="00494635">
        <w:rPr>
          <w:b/>
          <w:bCs/>
          <w:lang w:val="ru-RU"/>
        </w:rPr>
        <w:t>Председатель</w:t>
      </w:r>
      <w:r w:rsidRPr="00494635">
        <w:rPr>
          <w:lang w:val="ru-RU"/>
        </w:rPr>
        <w:t xml:space="preserve"> соглашается с тем, что долгосрочные проблемы с помехами обсуждаются на каждом собрании Комитета в течение многих лет и что, согласно обновленной информации от соседних с Италией стран, никаких улучшений, особенно в области звукового ЧМ-радиовещания, не произошло.</w:t>
      </w:r>
    </w:p>
    <w:p w14:paraId="7653E6A3" w14:textId="77777777" w:rsidR="00A06CB6" w:rsidRPr="00494635" w:rsidRDefault="00A06CB6" w:rsidP="00A06CB6">
      <w:pPr>
        <w:jc w:val="both"/>
        <w:rPr>
          <w:highlight w:val="lightGray"/>
          <w:lang w:val="ru-RU"/>
        </w:rPr>
      </w:pPr>
      <w:r w:rsidRPr="00494635">
        <w:rPr>
          <w:lang w:val="ru-RU" w:eastAsia="zh-CN"/>
        </w:rPr>
        <w:t>3.22</w:t>
      </w:r>
      <w:r w:rsidRPr="00494635">
        <w:rPr>
          <w:lang w:val="ru-RU"/>
        </w:rPr>
        <w:tab/>
      </w:r>
      <w:r w:rsidRPr="00494635">
        <w:rPr>
          <w:b/>
          <w:bCs/>
          <w:lang w:val="ru-RU"/>
        </w:rPr>
        <w:t>Г-жа Бомье</w:t>
      </w:r>
      <w:r w:rsidRPr="00494635">
        <w:rPr>
          <w:lang w:val="ru-RU"/>
        </w:rPr>
        <w:t xml:space="preserve"> приветствует улучшения в отношении телевизионных станций, включая решение проблемы с Албанией. Тем не менее она сочувствует администрациям Хорватии и Словении, а отсутствие прогресса в устранении вредных помех станциям звукового ЧМ-радиовещания, речь о </w:t>
      </w:r>
      <w:r w:rsidRPr="00494635">
        <w:rPr>
          <w:lang w:val="ru-RU"/>
        </w:rPr>
        <w:lastRenderedPageBreak/>
        <w:t>которых идет на протяжении нескольких десятилетий, крайне разочаровывает. К сожалению, рабочая группа, созданная для подготовки оперативных мер на основании указа 2021 года, по-прежнему нуждается в политическом управлении и не смогла продвинуться вперед из-за недавних событий. Возможная финансовая компенсация и другие стимулы являются деликатными вопросами и потребуют некоторого времени для реализации, однако, по-видимому, было предпринято мало усилий для принятия всех мер для обеспечения своевременного решения проблем. В течение многих лет Комитет неоднократно призывал администрацию Италии принять все необходимые меры для устранения вредных помех передачам звукового радиовещания в диапазоне ЧM соседних стран, ориентируясь на список приоритетных станций звукового ЧМ-радиовещания, но ситуация не изменилась. Хотя администрация, как представляется, движется в верном направлении, неясно, почему еще не были истребованы полномочия, необходимые для принятия соответствующих мер. Поэтому Комитету следует самым решительным образом осудить отсутствие прогресса и просить администрацию Италии представить подробный план действий, сроки и основные этапы деятельности рабочей группы.</w:t>
      </w:r>
    </w:p>
    <w:p w14:paraId="0BC3F43A" w14:textId="77777777" w:rsidR="00A06CB6" w:rsidRPr="00494635" w:rsidRDefault="00A06CB6" w:rsidP="00A06CB6">
      <w:pPr>
        <w:jc w:val="both"/>
        <w:rPr>
          <w:highlight w:val="lightGray"/>
          <w:lang w:val="ru-RU"/>
        </w:rPr>
      </w:pPr>
      <w:r w:rsidRPr="00494635">
        <w:rPr>
          <w:lang w:val="ru-RU" w:eastAsia="zh-CN"/>
        </w:rPr>
        <w:t>3.23</w:t>
      </w:r>
      <w:r w:rsidRPr="00494635">
        <w:rPr>
          <w:lang w:val="ru-RU"/>
        </w:rPr>
        <w:tab/>
      </w:r>
      <w:r w:rsidRPr="00494635">
        <w:rPr>
          <w:b/>
          <w:bCs/>
          <w:lang w:val="ru-RU"/>
        </w:rPr>
        <w:t>Г-н Варламов</w:t>
      </w:r>
      <w:r w:rsidRPr="00494635">
        <w:rPr>
          <w:lang w:val="ru-RU"/>
        </w:rPr>
        <w:t xml:space="preserve"> выражает разочарование по поводу отсутствия прогресса и считает, что затянувшийся характер ситуации может свидетельствовать об отсутствии политической воли со стороны Италии. Комитету следует просить администрацию Италии предоставить подробный план действий рабочей группы по диапазону частот ЧМ с четко определенными сроками и основными этапами.</w:t>
      </w:r>
    </w:p>
    <w:p w14:paraId="777D1608" w14:textId="77777777" w:rsidR="00A06CB6" w:rsidRPr="00494635" w:rsidRDefault="00A06CB6" w:rsidP="00A06CB6">
      <w:pPr>
        <w:jc w:val="both"/>
        <w:rPr>
          <w:highlight w:val="lightGray"/>
          <w:lang w:val="ru-RU"/>
        </w:rPr>
      </w:pPr>
      <w:r w:rsidRPr="00494635">
        <w:rPr>
          <w:lang w:val="ru-RU" w:eastAsia="zh-CN"/>
        </w:rPr>
        <w:t>3.24</w:t>
      </w:r>
      <w:r w:rsidRPr="00494635">
        <w:rPr>
          <w:lang w:val="ru-RU"/>
        </w:rPr>
        <w:tab/>
      </w:r>
      <w:r w:rsidRPr="00494635">
        <w:rPr>
          <w:b/>
          <w:bCs/>
          <w:lang w:val="ru-RU"/>
        </w:rPr>
        <w:t>Г-н Хоан</w:t>
      </w:r>
      <w:r w:rsidRPr="00494635">
        <w:rPr>
          <w:lang w:val="ru-RU"/>
        </w:rPr>
        <w:t xml:space="preserve"> соглашается с предыдущими ораторами. Как указано во вкладах администраций Хорватии и Словении, не произошло никаких улучшений в давней ситуации с вредными помехами станциям звукового ЧМ-радиовещания. Отмечая, что предварительный национальный план распределения частот в диапазоне III ОВЧ для DAB+ включает соглашения, заключенные со всеми соседними странами, кроме стран Восточной Адриатики, он говорит, что Бюро следует продолжать поддерживать усилия стран региона, чтобы как можно скорее провести переговоры и подписать соглашение.</w:t>
      </w:r>
    </w:p>
    <w:p w14:paraId="14C31D41" w14:textId="77777777" w:rsidR="00A06CB6" w:rsidRPr="00494635" w:rsidRDefault="00A06CB6" w:rsidP="00A06CB6">
      <w:pPr>
        <w:jc w:val="both"/>
        <w:rPr>
          <w:lang w:val="ru-RU"/>
        </w:rPr>
      </w:pPr>
      <w:r w:rsidRPr="00494635">
        <w:rPr>
          <w:lang w:val="ru-RU" w:eastAsia="zh-CN"/>
        </w:rPr>
        <w:t>3.25</w:t>
      </w:r>
      <w:r w:rsidRPr="00494635">
        <w:rPr>
          <w:lang w:val="ru-RU"/>
        </w:rPr>
        <w:tab/>
      </w:r>
      <w:r w:rsidRPr="00494635">
        <w:rPr>
          <w:b/>
          <w:bCs/>
          <w:lang w:val="ru-RU"/>
        </w:rPr>
        <w:t>Г-н Борхон</w:t>
      </w:r>
      <w:r w:rsidRPr="00494635">
        <w:rPr>
          <w:lang w:val="ru-RU"/>
        </w:rPr>
        <w:t xml:space="preserve"> выражает разочарование в связи с отсутствием прогресса в урегулировании случаев вредных помех, отмечая, что за время его работы в Комитете число затронутых стран увеличилось. Текущие политические проблемы, связанные с выборами, не играли роли в прошлом, и неспособность урегулировать эти случаи свидетельствует об отсутствии заинтересованности со стороны Италии. Он соглашается с тем, что Комитету следует призвать администрацию Италии принять все меры для того, чтобы устранить вредные помехи, представить план действий и взять на себя обязательства по его выполнению.</w:t>
      </w:r>
    </w:p>
    <w:p w14:paraId="1C461344" w14:textId="77777777" w:rsidR="00A06CB6" w:rsidRPr="00494635" w:rsidRDefault="00A06CB6" w:rsidP="00A06CB6">
      <w:pPr>
        <w:jc w:val="both"/>
        <w:rPr>
          <w:lang w:val="ru-RU" w:eastAsia="zh-CN"/>
        </w:rPr>
      </w:pPr>
      <w:r w:rsidRPr="00494635">
        <w:rPr>
          <w:lang w:val="ru-RU" w:eastAsia="zh-CN"/>
        </w:rPr>
        <w:t>3.26</w:t>
      </w:r>
      <w:r w:rsidRPr="00494635">
        <w:rPr>
          <w:lang w:val="ru-RU"/>
        </w:rPr>
        <w:tab/>
      </w:r>
      <w:r w:rsidRPr="00494635">
        <w:rPr>
          <w:b/>
          <w:bCs/>
          <w:lang w:val="ru-RU"/>
        </w:rPr>
        <w:t>Председатель</w:t>
      </w:r>
      <w:r w:rsidRPr="00494635">
        <w:rPr>
          <w:lang w:val="ru-RU"/>
        </w:rPr>
        <w:t xml:space="preserve"> предлагает Комитету сделать следующее заключение</w:t>
      </w:r>
      <w:r w:rsidRPr="00494635">
        <w:rPr>
          <w:lang w:val="ru-RU" w:eastAsia="zh-CN"/>
        </w:rPr>
        <w:t>:</w:t>
      </w:r>
    </w:p>
    <w:p w14:paraId="475DEA93" w14:textId="77777777" w:rsidR="00A06CB6" w:rsidRPr="00494635" w:rsidRDefault="00A06CB6" w:rsidP="00A06CB6">
      <w:pPr>
        <w:jc w:val="both"/>
        <w:rPr>
          <w:lang w:val="ru-RU"/>
        </w:rPr>
      </w:pPr>
      <w:r w:rsidRPr="00494635">
        <w:rPr>
          <w:lang w:val="ru-RU"/>
        </w:rPr>
        <w:t>"Комитет подробно рассмотрел п. 4.2 Документа RRB22-3/5 и Дополнительные документы 5, 6 и 7 к нему о вредных помехах радиовещательным станциям в диапазонах ОВЧ/УВЧ между Италией и соседними с ней странами. Комитет с удовлетворением отметил наблюдающийся прогресс в разрешении случаев вредных помех, связанных с телевизионными радиовещательными станциями.</w:t>
      </w:r>
    </w:p>
    <w:p w14:paraId="78FCDF31" w14:textId="77777777" w:rsidR="00A06CB6" w:rsidRPr="00494635" w:rsidRDefault="00A06CB6" w:rsidP="00A06CB6">
      <w:pPr>
        <w:jc w:val="both"/>
        <w:rPr>
          <w:lang w:val="ru-RU"/>
        </w:rPr>
      </w:pPr>
      <w:r w:rsidRPr="00494635">
        <w:rPr>
          <w:lang w:val="ru-RU"/>
        </w:rPr>
        <w:t>Вместе с тем на основании сообщений от соседних с Италией стран Комитет выразил сожаление по поводу полного отсутствия прогресса в отношении урегулирования чрезвычайно давних случаев вредных помех, связанных со станциями звукового ЧМ-радиовещания. Комитет настоятельно рекомендовал администрации Италии принять все необходимые меры для устранения вредных помех станциями звукового ЧM</w:t>
      </w:r>
      <w:r w:rsidRPr="00494635">
        <w:rPr>
          <w:lang w:val="ru-RU"/>
        </w:rPr>
        <w:noBreakHyphen/>
        <w:t>радиовещания соседних с ней стран, уделяя основное внимание перечню приоритетных станций звукового ЧM</w:t>
      </w:r>
      <w:r w:rsidRPr="00494635">
        <w:rPr>
          <w:lang w:val="ru-RU"/>
        </w:rPr>
        <w:noBreakHyphen/>
        <w:t>радиовещания. Комитет также предложил администрации Италии представить подробный план действий по осуществлению мероприятий недавно созданной рабочей группы по диапазону частот ЧМ, с четко определенными этапами, взять на себя твердое обязательство по выполнению этого плана и представлять Комитету отчеты о ходе его выполнения.</w:t>
      </w:r>
    </w:p>
    <w:p w14:paraId="180B5A2E" w14:textId="77777777" w:rsidR="00A06CB6" w:rsidRPr="00494635" w:rsidRDefault="00A06CB6" w:rsidP="00A06CB6">
      <w:pPr>
        <w:jc w:val="both"/>
        <w:rPr>
          <w:lang w:val="ru-RU"/>
        </w:rPr>
      </w:pPr>
      <w:r w:rsidRPr="00494635">
        <w:rPr>
          <w:lang w:val="ru-RU"/>
        </w:rPr>
        <w:t>Комитет выразил признательность Бюро за поддержку, оказанную заинтересованным администрациям, и поручил Бюро:</w:t>
      </w:r>
    </w:p>
    <w:p w14:paraId="068F6876" w14:textId="77777777" w:rsidR="00A06CB6" w:rsidRPr="00494635" w:rsidRDefault="00A06CB6" w:rsidP="00A06CB6">
      <w:pPr>
        <w:pStyle w:val="enumlev1"/>
        <w:jc w:val="both"/>
        <w:rPr>
          <w:szCs w:val="22"/>
          <w:lang w:val="ru-RU"/>
        </w:rPr>
      </w:pPr>
      <w:r w:rsidRPr="00494635">
        <w:rPr>
          <w:szCs w:val="22"/>
          <w:lang w:val="ru-RU"/>
        </w:rPr>
        <w:t>•</w:t>
      </w:r>
      <w:r w:rsidRPr="00494635">
        <w:rPr>
          <w:szCs w:val="22"/>
          <w:lang w:val="ru-RU"/>
        </w:rPr>
        <w:tab/>
        <w:t>продолжать оказывать помощь этим администрациям;</w:t>
      </w:r>
    </w:p>
    <w:p w14:paraId="46A730DD" w14:textId="77777777" w:rsidR="00A06CB6" w:rsidRPr="00494635" w:rsidRDefault="00A06CB6" w:rsidP="00A06CB6">
      <w:pPr>
        <w:pStyle w:val="enumlev1"/>
        <w:jc w:val="both"/>
        <w:rPr>
          <w:szCs w:val="22"/>
          <w:lang w:val="ru-RU"/>
        </w:rPr>
      </w:pPr>
      <w:r w:rsidRPr="00494635">
        <w:rPr>
          <w:szCs w:val="22"/>
          <w:lang w:val="ru-RU"/>
        </w:rPr>
        <w:lastRenderedPageBreak/>
        <w:t>•</w:t>
      </w:r>
      <w:r w:rsidRPr="00494635">
        <w:rPr>
          <w:szCs w:val="22"/>
          <w:lang w:val="ru-RU"/>
        </w:rPr>
        <w:tab/>
        <w:t>представить отчет о достигнутых результатах следующему собранию Комитета".</w:t>
      </w:r>
    </w:p>
    <w:p w14:paraId="170A5864" w14:textId="77777777" w:rsidR="00A06CB6" w:rsidRPr="00494635" w:rsidRDefault="00A06CB6" w:rsidP="00A06CB6">
      <w:pPr>
        <w:jc w:val="both"/>
        <w:rPr>
          <w:lang w:val="ru-RU" w:eastAsia="zh-CN"/>
        </w:rPr>
      </w:pPr>
      <w:r w:rsidRPr="00494635">
        <w:rPr>
          <w:szCs w:val="24"/>
          <w:lang w:val="ru-RU" w:eastAsia="zh-CN"/>
        </w:rPr>
        <w:t>3.27</w:t>
      </w:r>
      <w:r w:rsidRPr="00494635">
        <w:rPr>
          <w:szCs w:val="24"/>
          <w:lang w:val="ru-RU"/>
        </w:rPr>
        <w:tab/>
      </w:r>
      <w:r w:rsidRPr="00494635">
        <w:rPr>
          <w:lang w:val="ru-RU"/>
        </w:rPr>
        <w:t xml:space="preserve">Предложение </w:t>
      </w:r>
      <w:r w:rsidRPr="00494635">
        <w:rPr>
          <w:b/>
          <w:bCs/>
          <w:lang w:val="ru-RU"/>
        </w:rPr>
        <w:t>принимается</w:t>
      </w:r>
      <w:r w:rsidRPr="00494635">
        <w:rPr>
          <w:lang w:val="ru-RU" w:eastAsia="zh-CN"/>
        </w:rPr>
        <w:t>.</w:t>
      </w:r>
    </w:p>
    <w:p w14:paraId="02EDC076" w14:textId="77777777" w:rsidR="00A06CB6" w:rsidRPr="00494635" w:rsidRDefault="00A06CB6" w:rsidP="00A06CB6">
      <w:pPr>
        <w:pStyle w:val="Headingb"/>
        <w:jc w:val="both"/>
        <w:rPr>
          <w:lang w:val="ru-RU"/>
        </w:rPr>
      </w:pPr>
      <w:r w:rsidRPr="00494635">
        <w:rPr>
          <w:lang w:val="ru-RU"/>
        </w:rPr>
        <w:t>Выполнение пп. 9.38.1, 11.44.1, 11.47, 11.48, 11.49, 13.6 и Резолюции 49 (Пересм. ВКР-19) Регламента радиосвязи (п. 5 Документа RRB22-3/5)</w:t>
      </w:r>
    </w:p>
    <w:p w14:paraId="75FD10F5" w14:textId="77777777" w:rsidR="00A06CB6" w:rsidRPr="00494635" w:rsidRDefault="00A06CB6" w:rsidP="00A06CB6">
      <w:pPr>
        <w:jc w:val="both"/>
        <w:rPr>
          <w:b/>
          <w:lang w:val="ru-RU"/>
        </w:rPr>
      </w:pPr>
      <w:r w:rsidRPr="00494635">
        <w:rPr>
          <w:lang w:val="ru-RU"/>
        </w:rPr>
        <w:t>3.28</w:t>
      </w:r>
      <w:r w:rsidRPr="00494635">
        <w:rPr>
          <w:lang w:val="ru-RU"/>
        </w:rPr>
        <w:tab/>
        <w:t xml:space="preserve">Комитет </w:t>
      </w:r>
      <w:r w:rsidRPr="00494635">
        <w:rPr>
          <w:b/>
          <w:bCs/>
          <w:lang w:val="ru-RU"/>
        </w:rPr>
        <w:t>принимает к сведению</w:t>
      </w:r>
      <w:r w:rsidRPr="00494635">
        <w:rPr>
          <w:lang w:val="ru-RU"/>
        </w:rPr>
        <w:t xml:space="preserve"> п. 5 Документа RRB22-3/5 о выполнении пп. </w:t>
      </w:r>
      <w:r w:rsidRPr="00494635">
        <w:rPr>
          <w:b/>
          <w:bCs/>
          <w:lang w:val="ru-RU"/>
        </w:rPr>
        <w:t>9.38.1, 11.44.1, 11.47, 11.48, 11.49, 13.6</w:t>
      </w:r>
      <w:r w:rsidRPr="00494635">
        <w:rPr>
          <w:lang w:val="ru-RU"/>
        </w:rPr>
        <w:t xml:space="preserve"> и Резолюции </w:t>
      </w:r>
      <w:r w:rsidRPr="00494635">
        <w:rPr>
          <w:b/>
          <w:bCs/>
          <w:lang w:val="ru-RU"/>
        </w:rPr>
        <w:t>49 (Пересм. ВКР-19)</w:t>
      </w:r>
      <w:r w:rsidRPr="00494635">
        <w:rPr>
          <w:lang w:val="ru-RU"/>
        </w:rPr>
        <w:t xml:space="preserve"> Регламента радиосвязи.</w:t>
      </w:r>
    </w:p>
    <w:p w14:paraId="088079A6" w14:textId="77777777" w:rsidR="00A06CB6" w:rsidRPr="00494635" w:rsidRDefault="00A06CB6" w:rsidP="00A06CB6">
      <w:pPr>
        <w:pStyle w:val="Headingb"/>
        <w:jc w:val="both"/>
        <w:rPr>
          <w:lang w:val="ru-RU"/>
        </w:rPr>
      </w:pPr>
      <w:r w:rsidRPr="00494635">
        <w:rPr>
          <w:lang w:val="ru-RU"/>
        </w:rPr>
        <w:t xml:space="preserve">Пересмотр заключений по частотным присвоениям спутниковым системам НГСО ФСС в соответствии с Резолюцией 85 </w:t>
      </w:r>
      <w:r w:rsidRPr="00494635">
        <w:rPr>
          <w:lang w:val="ru-RU" w:eastAsia="zh-CN"/>
        </w:rPr>
        <w:t>(ВКР-03)</w:t>
      </w:r>
      <w:r w:rsidRPr="00494635">
        <w:rPr>
          <w:lang w:val="ru-RU"/>
        </w:rPr>
        <w:t xml:space="preserve"> (п. 6 Документа RRB22-3/5)</w:t>
      </w:r>
    </w:p>
    <w:p w14:paraId="43C79C69" w14:textId="77777777" w:rsidR="00A06CB6" w:rsidRPr="00494635" w:rsidRDefault="00A06CB6" w:rsidP="00A06CB6">
      <w:pPr>
        <w:jc w:val="both"/>
        <w:rPr>
          <w:b/>
          <w:lang w:val="ru-RU"/>
        </w:rPr>
      </w:pPr>
      <w:r w:rsidRPr="00494635">
        <w:rPr>
          <w:lang w:val="ru-RU"/>
        </w:rPr>
        <w:t>3.29</w:t>
      </w:r>
      <w:r w:rsidRPr="00494635">
        <w:rPr>
          <w:lang w:val="ru-RU"/>
        </w:rPr>
        <w:tab/>
      </w:r>
      <w:r w:rsidRPr="00494635">
        <w:rPr>
          <w:b/>
          <w:bCs/>
          <w:lang w:val="ru-RU" w:eastAsia="zh-CN"/>
        </w:rPr>
        <w:t>Г-н Валле (руководитель SSD)</w:t>
      </w:r>
      <w:r w:rsidRPr="00494635">
        <w:rPr>
          <w:lang w:val="ru-RU" w:eastAsia="zh-CN"/>
        </w:rPr>
        <w:t xml:space="preserve"> кратко излагает п. 6 Документа RRB22-3/5, отмечая, что Бюро опубликовало семь </w:t>
      </w:r>
      <w:r w:rsidRPr="00494635">
        <w:rPr>
          <w:lang w:val="ru-RU"/>
        </w:rPr>
        <w:t>спутниковых систем НГСО ФСС, представленных</w:t>
      </w:r>
      <w:r w:rsidRPr="00494635">
        <w:rPr>
          <w:lang w:val="ru-RU" w:eastAsia="zh-CN"/>
        </w:rPr>
        <w:t xml:space="preserve"> </w:t>
      </w:r>
      <w:r w:rsidRPr="00494635">
        <w:rPr>
          <w:lang w:val="ru-RU"/>
        </w:rPr>
        <w:t>после</w:t>
      </w:r>
      <w:r w:rsidRPr="00494635">
        <w:rPr>
          <w:lang w:val="ru-RU" w:eastAsia="zh-CN"/>
        </w:rPr>
        <w:t xml:space="preserve"> 90-го собрания Комитета. В общей сложности к настоящему времени Бюро </w:t>
      </w:r>
      <w:r w:rsidRPr="00494635">
        <w:rPr>
          <w:lang w:val="ru-RU"/>
        </w:rPr>
        <w:t>осуществило пересмотр заключений по 88 системам НГСО ФСС</w:t>
      </w:r>
      <w:r w:rsidRPr="00494635">
        <w:rPr>
          <w:lang w:val="ru-RU" w:eastAsia="zh-CN"/>
        </w:rPr>
        <w:t>.</w:t>
      </w:r>
    </w:p>
    <w:p w14:paraId="5BC85071" w14:textId="77777777" w:rsidR="00A06CB6" w:rsidRPr="00494635" w:rsidRDefault="00A06CB6" w:rsidP="00A06CB6">
      <w:pPr>
        <w:jc w:val="both"/>
        <w:rPr>
          <w:b/>
          <w:lang w:val="ru-RU"/>
        </w:rPr>
      </w:pPr>
      <w:r w:rsidRPr="00494635">
        <w:rPr>
          <w:lang w:val="ru-RU"/>
        </w:rPr>
        <w:t>3.30</w:t>
      </w:r>
      <w:r w:rsidRPr="00494635">
        <w:rPr>
          <w:lang w:val="ru-RU"/>
        </w:rPr>
        <w:tab/>
        <w:t xml:space="preserve">В ответ на вопрос </w:t>
      </w:r>
      <w:r w:rsidRPr="00494635">
        <w:rPr>
          <w:b/>
          <w:bCs/>
          <w:lang w:val="ru-RU"/>
        </w:rPr>
        <w:t>г-на Аззуза</w:t>
      </w:r>
      <w:r w:rsidRPr="00494635">
        <w:rPr>
          <w:lang w:val="ru-RU"/>
        </w:rPr>
        <w:t xml:space="preserve"> о том, почему с июля 2022 года были пересмотрены заключения только по одной системе НГСО ФСС, </w:t>
      </w:r>
      <w:r w:rsidRPr="00494635">
        <w:rPr>
          <w:b/>
          <w:bCs/>
          <w:lang w:val="ru-RU"/>
        </w:rPr>
        <w:t>г-н Валле</w:t>
      </w:r>
      <w:r w:rsidRPr="00494635">
        <w:rPr>
          <w:lang w:val="ru-RU"/>
        </w:rPr>
        <w:t xml:space="preserve"> говорит, что обработка рассматриваемой заявки заняла значительное время. Это была большая заявка, потому что она касалась внесения изменений. </w:t>
      </w:r>
    </w:p>
    <w:p w14:paraId="2EC2F943" w14:textId="77777777" w:rsidR="00A06CB6" w:rsidRPr="00494635" w:rsidRDefault="00A06CB6" w:rsidP="00A06CB6">
      <w:pPr>
        <w:jc w:val="both"/>
        <w:rPr>
          <w:b/>
          <w:lang w:val="ru-RU"/>
        </w:rPr>
      </w:pPr>
      <w:r w:rsidRPr="00494635">
        <w:rPr>
          <w:lang w:val="ru-RU"/>
        </w:rPr>
        <w:t>3.31</w:t>
      </w:r>
      <w:r w:rsidRPr="00494635">
        <w:rPr>
          <w:lang w:val="ru-RU"/>
        </w:rPr>
        <w:tab/>
      </w:r>
      <w:r w:rsidRPr="00494635">
        <w:rPr>
          <w:lang w:val="ru-RU" w:eastAsia="zh-CN"/>
        </w:rPr>
        <w:t xml:space="preserve">Комитет </w:t>
      </w:r>
      <w:r w:rsidRPr="00494635">
        <w:rPr>
          <w:b/>
          <w:bCs/>
          <w:lang w:val="ru-RU" w:eastAsia="zh-CN"/>
        </w:rPr>
        <w:t>принимает к сведению</w:t>
      </w:r>
      <w:r w:rsidRPr="00494635">
        <w:rPr>
          <w:lang w:val="ru-RU" w:eastAsia="zh-CN"/>
        </w:rPr>
        <w:t xml:space="preserve"> п. 6 </w:t>
      </w:r>
      <w:r w:rsidRPr="00494635">
        <w:rPr>
          <w:lang w:val="ru-RU"/>
        </w:rPr>
        <w:t>Документа</w:t>
      </w:r>
      <w:r w:rsidRPr="00494635">
        <w:rPr>
          <w:lang w:val="ru-RU" w:eastAsia="zh-CN"/>
        </w:rPr>
        <w:t xml:space="preserve"> RRB22-3/5, касающийся пересмотра заключений по частотным присвоениям спутниковым системам НГСО ФСС в соответствии с Резолюцией </w:t>
      </w:r>
      <w:r w:rsidRPr="00494635">
        <w:rPr>
          <w:b/>
          <w:bCs/>
          <w:lang w:val="ru-RU" w:eastAsia="zh-CN"/>
        </w:rPr>
        <w:t>85 (ВКР-03)</w:t>
      </w:r>
      <w:r w:rsidRPr="00494635">
        <w:rPr>
          <w:lang w:val="ru-RU"/>
        </w:rPr>
        <w:t>.</w:t>
      </w:r>
    </w:p>
    <w:p w14:paraId="08E13CA3" w14:textId="77777777" w:rsidR="00A06CB6" w:rsidRPr="00494635" w:rsidRDefault="00A06CB6" w:rsidP="00A06CB6">
      <w:pPr>
        <w:pStyle w:val="Headingb"/>
        <w:jc w:val="both"/>
        <w:rPr>
          <w:lang w:val="ru-RU" w:eastAsia="zh-CN"/>
        </w:rPr>
      </w:pPr>
      <w:r w:rsidRPr="00494635">
        <w:rPr>
          <w:szCs w:val="24"/>
          <w:lang w:val="ru-RU"/>
        </w:rPr>
        <w:t>Статус запросов на новые выделения в соответствии с Приложением </w:t>
      </w:r>
      <w:r w:rsidRPr="00494635">
        <w:rPr>
          <w:rFonts w:asciiTheme="majorBidi" w:hAnsiTheme="majorBidi"/>
          <w:bCs/>
          <w:szCs w:val="24"/>
          <w:lang w:val="ru-RU" w:eastAsia="it-IT"/>
        </w:rPr>
        <w:t>30B</w:t>
      </w:r>
      <w:r w:rsidRPr="00494635">
        <w:rPr>
          <w:lang w:val="ru-RU" w:eastAsia="zh-CN"/>
        </w:rPr>
        <w:t xml:space="preserve"> к РР (Дополнительный документ 1(Rev.1) к Документу RRB22-3/5)</w:t>
      </w:r>
    </w:p>
    <w:p w14:paraId="43DFDCA8" w14:textId="77777777" w:rsidR="00A06CB6" w:rsidRPr="00494635" w:rsidRDefault="00A06CB6" w:rsidP="00A06CB6">
      <w:pPr>
        <w:jc w:val="both"/>
        <w:rPr>
          <w:lang w:val="ru-RU"/>
        </w:rPr>
      </w:pPr>
      <w:r w:rsidRPr="00494635">
        <w:rPr>
          <w:lang w:val="ru-RU"/>
        </w:rPr>
        <w:t>3.32</w:t>
      </w:r>
      <w:r w:rsidRPr="00494635">
        <w:rPr>
          <w:lang w:val="ru-RU"/>
        </w:rPr>
        <w:tab/>
      </w:r>
      <w:r w:rsidRPr="00494635">
        <w:rPr>
          <w:b/>
          <w:bCs/>
          <w:lang w:val="ru-RU" w:eastAsia="zh-CN"/>
        </w:rPr>
        <w:t>Г-н Ван (руководитель SSD/SNP)</w:t>
      </w:r>
      <w:r w:rsidRPr="00494635">
        <w:rPr>
          <w:lang w:val="ru-RU"/>
        </w:rPr>
        <w:t xml:space="preserve"> представляет</w:t>
      </w:r>
      <w:r w:rsidRPr="00494635">
        <w:rPr>
          <w:lang w:val="ru-RU" w:eastAsia="zh-CN"/>
        </w:rPr>
        <w:t xml:space="preserve"> Дополнительный документ 1(Rev.1) к Документу RRB22-3/5, в котором </w:t>
      </w:r>
      <w:r w:rsidRPr="00494635">
        <w:rPr>
          <w:szCs w:val="24"/>
          <w:lang w:val="ru-RU"/>
        </w:rPr>
        <w:t>содержится информация о статусе запросов на новые выделения, полученные после ВКР-19 в соответствии со Статьей 7 Приложения </w:t>
      </w:r>
      <w:r w:rsidRPr="00494635">
        <w:rPr>
          <w:rFonts w:asciiTheme="majorBidi" w:hAnsiTheme="majorBidi"/>
          <w:b/>
          <w:bCs/>
          <w:szCs w:val="24"/>
          <w:lang w:val="ru-RU" w:eastAsia="it-IT"/>
        </w:rPr>
        <w:t>30B</w:t>
      </w:r>
      <w:r w:rsidRPr="00494635">
        <w:rPr>
          <w:rFonts w:asciiTheme="majorBidi" w:hAnsiTheme="majorBidi"/>
          <w:szCs w:val="24"/>
          <w:lang w:val="ru-RU" w:eastAsia="it-IT"/>
        </w:rPr>
        <w:t xml:space="preserve"> к РР.</w:t>
      </w:r>
      <w:r w:rsidRPr="00494635">
        <w:rPr>
          <w:lang w:val="ru-RU"/>
        </w:rPr>
        <w:t xml:space="preserve"> После 90-го собрания Комитета достигнут относительно небольшой прогресс по координации между администрациями, подающими такие запросы, и затронутыми администрациями, что затрудняет поиск решений по сравнению с ситуацией при выполнении Резолюции </w:t>
      </w:r>
      <w:r w:rsidRPr="00494635">
        <w:rPr>
          <w:b/>
          <w:bCs/>
          <w:lang w:val="ru-RU"/>
        </w:rPr>
        <w:t>559 (ВКР-19)</w:t>
      </w:r>
      <w:r w:rsidRPr="00494635">
        <w:rPr>
          <w:lang w:val="ru-RU"/>
        </w:rPr>
        <w:t xml:space="preserve">. </w:t>
      </w:r>
    </w:p>
    <w:p w14:paraId="7E20EFA5" w14:textId="77777777" w:rsidR="00A06CB6" w:rsidRPr="00494635" w:rsidRDefault="00A06CB6" w:rsidP="00A06CB6">
      <w:pPr>
        <w:jc w:val="both"/>
        <w:rPr>
          <w:lang w:val="ru-RU"/>
        </w:rPr>
      </w:pPr>
      <w:r w:rsidRPr="00494635">
        <w:rPr>
          <w:lang w:val="ru-RU"/>
        </w:rPr>
        <w:t xml:space="preserve">Бюро недавно обработало представление по Части B от администрации Папуа-Новой Гвинеи, которое повлияло бы на представление по Статье 7 от администрации Хорватии. Администрация Папуа-Новой Гвинеи согласилась изменить свое представление в соответствии с предложением Бюро. Последующая проверка Бюро показала, что максимальное ухудшение в сети, заявленной по Статье 7, уменьшилось до уровня ниже 0,25 дБ. </w:t>
      </w:r>
    </w:p>
    <w:p w14:paraId="50968C3E" w14:textId="77777777" w:rsidR="00A06CB6" w:rsidRPr="00494635" w:rsidRDefault="00A06CB6" w:rsidP="00A06CB6">
      <w:pPr>
        <w:jc w:val="both"/>
        <w:rPr>
          <w:lang w:val="ru-RU"/>
        </w:rPr>
      </w:pPr>
      <w:r w:rsidRPr="00494635">
        <w:rPr>
          <w:lang w:val="ru-RU"/>
        </w:rPr>
        <w:t>3.33</w:t>
      </w:r>
      <w:r w:rsidRPr="00494635">
        <w:rPr>
          <w:lang w:val="ru-RU"/>
        </w:rPr>
        <w:tab/>
      </w:r>
      <w:r w:rsidRPr="00494635">
        <w:rPr>
          <w:b/>
          <w:bCs/>
          <w:lang w:val="ru-RU"/>
        </w:rPr>
        <w:t>Г-н Хоан</w:t>
      </w:r>
      <w:r w:rsidRPr="00494635">
        <w:rPr>
          <w:lang w:val="ru-RU"/>
        </w:rPr>
        <w:t xml:space="preserve"> считает, что Комитету следует выразить признательность администрации Папуа-Новой Гвинеи за согласие с предложением Бюро и изменение представления по Части В.</w:t>
      </w:r>
    </w:p>
    <w:p w14:paraId="3A8F17BE" w14:textId="77777777" w:rsidR="00A06CB6" w:rsidRPr="00494635" w:rsidRDefault="00A06CB6" w:rsidP="00A06CB6">
      <w:pPr>
        <w:jc w:val="both"/>
        <w:rPr>
          <w:lang w:val="ru-RU"/>
        </w:rPr>
      </w:pPr>
      <w:r w:rsidRPr="00494635">
        <w:rPr>
          <w:lang w:val="ru-RU"/>
        </w:rPr>
        <w:t>3.34</w:t>
      </w:r>
      <w:r w:rsidRPr="00494635">
        <w:rPr>
          <w:lang w:val="ru-RU"/>
        </w:rPr>
        <w:tab/>
      </w:r>
      <w:r w:rsidRPr="00494635">
        <w:rPr>
          <w:b/>
          <w:bCs/>
          <w:lang w:val="ru-RU"/>
        </w:rPr>
        <w:t>Г-жа Бомье</w:t>
      </w:r>
      <w:r w:rsidRPr="00494635">
        <w:rPr>
          <w:lang w:val="ru-RU"/>
        </w:rPr>
        <w:t xml:space="preserve"> предлагает, чтобы решение Комитета, как и его решение, касающееся Резолюции </w:t>
      </w:r>
      <w:r w:rsidRPr="00494635">
        <w:rPr>
          <w:b/>
          <w:bCs/>
          <w:lang w:val="ru-RU"/>
        </w:rPr>
        <w:t>559 (ВКР-19)</w:t>
      </w:r>
      <w:r w:rsidRPr="00494635">
        <w:rPr>
          <w:lang w:val="ru-RU"/>
        </w:rPr>
        <w:t>, побуждало администрации, подавшие представления по Части А, продолжать сотрудничество по вопросам координации с другими администрациями.</w:t>
      </w:r>
    </w:p>
    <w:p w14:paraId="1E8E991C" w14:textId="77777777" w:rsidR="00A06CB6" w:rsidRPr="00494635" w:rsidRDefault="00A06CB6" w:rsidP="00A06CB6">
      <w:pPr>
        <w:jc w:val="both"/>
        <w:rPr>
          <w:lang w:val="ru-RU"/>
        </w:rPr>
      </w:pPr>
      <w:r w:rsidRPr="00494635">
        <w:rPr>
          <w:lang w:val="ru-RU"/>
        </w:rPr>
        <w:t>3.35</w:t>
      </w:r>
      <w:r w:rsidRPr="00494635">
        <w:rPr>
          <w:lang w:val="ru-RU"/>
        </w:rPr>
        <w:tab/>
      </w:r>
      <w:r w:rsidRPr="00494635">
        <w:rPr>
          <w:b/>
          <w:bCs/>
          <w:lang w:val="ru-RU"/>
        </w:rPr>
        <w:t>Г-н Ван (руководитель SSD/SNP)</w:t>
      </w:r>
      <w:r w:rsidRPr="00494635">
        <w:rPr>
          <w:lang w:val="ru-RU"/>
        </w:rPr>
        <w:t xml:space="preserve"> соглашается с этим предложением. Он отмечает, что было несколько сложных случаев координации, включая координацию с представлениями по Части А и с выделениями в Плане, по которым у Бюро в настоящее время нет простого решения и по которым оно не вносило конкретных предложений.</w:t>
      </w:r>
    </w:p>
    <w:p w14:paraId="5F948CC7" w14:textId="77777777" w:rsidR="00A06CB6" w:rsidRPr="00494635" w:rsidRDefault="00A06CB6" w:rsidP="00A06CB6">
      <w:pPr>
        <w:jc w:val="both"/>
        <w:rPr>
          <w:szCs w:val="22"/>
          <w:lang w:val="ru-RU"/>
        </w:rPr>
      </w:pPr>
      <w:r w:rsidRPr="00494635">
        <w:rPr>
          <w:szCs w:val="22"/>
          <w:lang w:val="ru-RU"/>
        </w:rPr>
        <w:t>3.36</w:t>
      </w:r>
      <w:r w:rsidRPr="00494635">
        <w:rPr>
          <w:szCs w:val="22"/>
          <w:lang w:val="ru-RU"/>
        </w:rPr>
        <w:tab/>
      </w:r>
      <w:r w:rsidRPr="00494635">
        <w:rPr>
          <w:b/>
          <w:bCs/>
          <w:szCs w:val="22"/>
          <w:lang w:val="ru-RU" w:eastAsia="zh-CN"/>
        </w:rPr>
        <w:t>Председатель</w:t>
      </w:r>
      <w:r w:rsidRPr="00494635">
        <w:rPr>
          <w:szCs w:val="22"/>
          <w:lang w:val="ru-RU" w:eastAsia="zh-CN"/>
        </w:rPr>
        <w:t xml:space="preserve"> предлагает Комитету сделать по </w:t>
      </w:r>
      <w:r w:rsidRPr="00494635">
        <w:rPr>
          <w:lang w:val="ru-RU"/>
        </w:rPr>
        <w:t>данному</w:t>
      </w:r>
      <w:r w:rsidRPr="00494635">
        <w:rPr>
          <w:szCs w:val="22"/>
          <w:lang w:val="ru-RU" w:eastAsia="zh-CN"/>
        </w:rPr>
        <w:t xml:space="preserve"> вопросу следующее заключение</w:t>
      </w:r>
      <w:r w:rsidRPr="00494635">
        <w:rPr>
          <w:szCs w:val="22"/>
          <w:lang w:val="ru-RU"/>
        </w:rPr>
        <w:t>:</w:t>
      </w:r>
    </w:p>
    <w:p w14:paraId="60E9A4AE" w14:textId="77777777" w:rsidR="00A06CB6" w:rsidRPr="00494635" w:rsidRDefault="00A06CB6" w:rsidP="00A06CB6">
      <w:pPr>
        <w:jc w:val="both"/>
        <w:rPr>
          <w:szCs w:val="22"/>
          <w:lang w:val="ru-RU"/>
        </w:rPr>
      </w:pPr>
      <w:r w:rsidRPr="00494635">
        <w:rPr>
          <w:szCs w:val="22"/>
          <w:lang w:val="ru-RU"/>
        </w:rPr>
        <w:t>"Рассмотрев Дополнительный документ 1 (Rev.1) к Документу RRB22-3/5 о статусе запросов на новые выделения в соответствии с Приложением </w:t>
      </w:r>
      <w:r w:rsidRPr="00494635">
        <w:rPr>
          <w:b/>
          <w:bCs/>
          <w:szCs w:val="22"/>
          <w:lang w:val="ru-RU" w:eastAsia="it-IT"/>
        </w:rPr>
        <w:t>30B</w:t>
      </w:r>
      <w:r w:rsidRPr="00494635">
        <w:rPr>
          <w:szCs w:val="22"/>
          <w:lang w:val="ru-RU" w:eastAsia="it-IT"/>
        </w:rPr>
        <w:t xml:space="preserve"> к РР</w:t>
      </w:r>
      <w:r w:rsidRPr="00494635">
        <w:rPr>
          <w:szCs w:val="22"/>
          <w:lang w:val="ru-RU"/>
        </w:rPr>
        <w:t>, Комитет выразил признательность Бюро за предоставление отчета и за его усилия по помощи администрациям в выполнении решений, принятых Комитетом на его 89</w:t>
      </w:r>
      <w:r w:rsidRPr="00494635">
        <w:rPr>
          <w:szCs w:val="22"/>
          <w:lang w:val="ru-RU"/>
        </w:rPr>
        <w:noBreakHyphen/>
        <w:t>м собрании. Комитет напомнил, что эти решения являются временными регламентарными мерами до ВКР-23, в соответствии с просьбами семи администраций о национальном выделении согласно Статье 7 Приложения </w:t>
      </w:r>
      <w:r w:rsidRPr="00494635">
        <w:rPr>
          <w:b/>
          <w:bCs/>
          <w:szCs w:val="22"/>
          <w:lang w:val="ru-RU"/>
        </w:rPr>
        <w:t>30B</w:t>
      </w:r>
      <w:r w:rsidRPr="00494635">
        <w:rPr>
          <w:szCs w:val="22"/>
          <w:lang w:val="ru-RU"/>
        </w:rPr>
        <w:t xml:space="preserve"> к РР. Комитет с удовлетворением </w:t>
      </w:r>
      <w:r w:rsidRPr="00494635">
        <w:rPr>
          <w:szCs w:val="22"/>
          <w:lang w:val="ru-RU"/>
        </w:rPr>
        <w:lastRenderedPageBreak/>
        <w:t xml:space="preserve">отметил, что администрация Папуа-Новой Гвинеи проявила добрую волю при защите представления согласно Статье 7 предлагаемого выделения администрации Хорватии, согласившись с предложениями Бюро. Комитет далее отметил, что дополнительные регламентарные меры помогут избежать дальнейшего ухудшения уровней </w:t>
      </w:r>
      <w:r w:rsidRPr="00494635">
        <w:rPr>
          <w:i/>
          <w:iCs/>
          <w:szCs w:val="22"/>
          <w:lang w:val="ru-RU"/>
        </w:rPr>
        <w:t>C</w:t>
      </w:r>
      <w:r w:rsidRPr="00494635">
        <w:rPr>
          <w:szCs w:val="22"/>
          <w:lang w:val="ru-RU"/>
        </w:rPr>
        <w:t>/</w:t>
      </w:r>
      <w:r w:rsidRPr="00494635">
        <w:rPr>
          <w:i/>
          <w:iCs/>
          <w:szCs w:val="22"/>
          <w:lang w:val="ru-RU"/>
        </w:rPr>
        <w:t>I</w:t>
      </w:r>
      <w:r w:rsidRPr="00494635">
        <w:rPr>
          <w:szCs w:val="22"/>
          <w:lang w:val="ru-RU"/>
        </w:rPr>
        <w:t xml:space="preserve"> для суммарных помех новых запросов по Статье 7. Комитет еще раз настоятельно призвал администрации, представления по Части А которых были получены до 12 марта 2020 года, приложить все усилия, для </w:t>
      </w:r>
      <w:r w:rsidRPr="00494635">
        <w:rPr>
          <w:lang w:val="ru-RU"/>
        </w:rPr>
        <w:t>того</w:t>
      </w:r>
      <w:r w:rsidRPr="00494635">
        <w:rPr>
          <w:szCs w:val="22"/>
          <w:lang w:val="ru-RU"/>
        </w:rPr>
        <w:t xml:space="preserve"> чтобы при </w:t>
      </w:r>
      <w:r w:rsidRPr="00494635">
        <w:rPr>
          <w:szCs w:val="22"/>
          <w:lang w:val="ru-RU" w:eastAsia="zh-CN"/>
        </w:rPr>
        <w:t>подготовке</w:t>
      </w:r>
      <w:r w:rsidRPr="00494635">
        <w:rPr>
          <w:szCs w:val="22"/>
          <w:lang w:val="ru-RU"/>
        </w:rPr>
        <w:t xml:space="preserve"> своих представлений по Части В учитывать представления других администраций, сделанные в соответствии со Статьей 7, и принять во внимание результаты анализа Бюро и меры, направленные на предотвращение дальнейшего ухудшения уровней </w:t>
      </w:r>
      <w:r w:rsidRPr="00494635">
        <w:rPr>
          <w:i/>
          <w:iCs/>
          <w:szCs w:val="22"/>
          <w:lang w:val="ru-RU"/>
        </w:rPr>
        <w:t>С</w:t>
      </w:r>
      <w:r w:rsidRPr="00494635">
        <w:rPr>
          <w:szCs w:val="22"/>
          <w:lang w:val="ru-RU"/>
        </w:rPr>
        <w:t>/</w:t>
      </w:r>
      <w:r w:rsidRPr="00494635">
        <w:rPr>
          <w:i/>
          <w:iCs/>
          <w:szCs w:val="22"/>
          <w:lang w:val="ru-RU"/>
        </w:rPr>
        <w:t>I</w:t>
      </w:r>
      <w:r w:rsidRPr="00494635">
        <w:rPr>
          <w:szCs w:val="22"/>
          <w:lang w:val="ru-RU"/>
        </w:rPr>
        <w:t>.</w:t>
      </w:r>
    </w:p>
    <w:p w14:paraId="7E5F80BF" w14:textId="77777777" w:rsidR="00A06CB6" w:rsidRPr="00494635" w:rsidRDefault="00A06CB6" w:rsidP="00A06CB6">
      <w:pPr>
        <w:jc w:val="both"/>
        <w:rPr>
          <w:szCs w:val="22"/>
          <w:lang w:val="ru-RU"/>
        </w:rPr>
      </w:pPr>
      <w:r w:rsidRPr="00494635">
        <w:rPr>
          <w:szCs w:val="22"/>
          <w:lang w:val="ru-RU"/>
        </w:rPr>
        <w:t xml:space="preserve">Комитет поручил Бюро продолжать оказывать поддержку администрациям в их усилиях по координации, связанных с </w:t>
      </w:r>
      <w:r w:rsidRPr="00494635">
        <w:rPr>
          <w:szCs w:val="22"/>
          <w:lang w:val="ru-RU" w:eastAsia="zh-CN"/>
        </w:rPr>
        <w:t>реализацией</w:t>
      </w:r>
      <w:r w:rsidRPr="00494635">
        <w:rPr>
          <w:szCs w:val="22"/>
          <w:lang w:val="ru-RU"/>
        </w:rPr>
        <w:t xml:space="preserve"> решений, принятых Комитетом на его 89-м собрании, и представить отчет о достигнутых результатах 92-му </w:t>
      </w:r>
      <w:r w:rsidRPr="00494635">
        <w:rPr>
          <w:lang w:val="ru-RU"/>
        </w:rPr>
        <w:t>собранию</w:t>
      </w:r>
      <w:r w:rsidRPr="00494635">
        <w:rPr>
          <w:szCs w:val="22"/>
          <w:lang w:val="ru-RU"/>
        </w:rPr>
        <w:t xml:space="preserve"> Комитета".</w:t>
      </w:r>
    </w:p>
    <w:p w14:paraId="30DB21EA" w14:textId="77777777" w:rsidR="00A06CB6" w:rsidRPr="00494635" w:rsidRDefault="00A06CB6" w:rsidP="00A06CB6">
      <w:pPr>
        <w:jc w:val="both"/>
        <w:rPr>
          <w:lang w:val="ru-RU"/>
        </w:rPr>
      </w:pPr>
      <w:r w:rsidRPr="00494635">
        <w:rPr>
          <w:lang w:val="ru-RU"/>
        </w:rPr>
        <w:t>3.37</w:t>
      </w:r>
      <w:r w:rsidRPr="00494635">
        <w:rPr>
          <w:lang w:val="ru-RU"/>
        </w:rPr>
        <w:tab/>
        <w:t xml:space="preserve">Предложение </w:t>
      </w:r>
      <w:r w:rsidRPr="00494635">
        <w:rPr>
          <w:b/>
          <w:bCs/>
          <w:lang w:val="ru-RU"/>
        </w:rPr>
        <w:t>принимается</w:t>
      </w:r>
      <w:r w:rsidRPr="00494635">
        <w:rPr>
          <w:lang w:val="ru-RU" w:eastAsia="zh-CN"/>
        </w:rPr>
        <w:t>.</w:t>
      </w:r>
    </w:p>
    <w:p w14:paraId="61B0D1AB" w14:textId="77777777" w:rsidR="00A06CB6" w:rsidRPr="00494635" w:rsidRDefault="00A06CB6" w:rsidP="00A06CB6">
      <w:pPr>
        <w:pStyle w:val="Headingb"/>
        <w:jc w:val="both"/>
        <w:rPr>
          <w:lang w:val="ru-RU"/>
        </w:rPr>
      </w:pPr>
      <w:r w:rsidRPr="00494635">
        <w:rPr>
          <w:lang w:val="ru-RU"/>
        </w:rPr>
        <w:t>Выполнение Резолюции 35 (ВКР-19) (Дополнительный документ 2 к Документу RRB22-3/5)</w:t>
      </w:r>
    </w:p>
    <w:p w14:paraId="576867C9" w14:textId="77777777" w:rsidR="00A06CB6" w:rsidRPr="00494635" w:rsidRDefault="00A06CB6" w:rsidP="00A06CB6">
      <w:pPr>
        <w:jc w:val="both"/>
        <w:rPr>
          <w:lang w:val="ru-RU"/>
        </w:rPr>
      </w:pPr>
      <w:r w:rsidRPr="00494635">
        <w:rPr>
          <w:lang w:val="ru-RU"/>
        </w:rPr>
        <w:t>3.38</w:t>
      </w:r>
      <w:r w:rsidRPr="00494635">
        <w:rPr>
          <w:lang w:val="ru-RU"/>
        </w:rPr>
        <w:tab/>
      </w:r>
      <w:r w:rsidRPr="00494635">
        <w:rPr>
          <w:b/>
          <w:bCs/>
          <w:lang w:val="ru-RU"/>
        </w:rPr>
        <w:t>Г-н Валле (руководитель SSD)</w:t>
      </w:r>
      <w:r w:rsidRPr="00494635">
        <w:rPr>
          <w:lang w:val="ru-RU"/>
        </w:rPr>
        <w:t xml:space="preserve"> представляет Дополнительный документ 2 к Документу RRB22-3/5, в котором содержится отчет о выполнении Резолюции </w:t>
      </w:r>
      <w:r w:rsidRPr="00494635">
        <w:rPr>
          <w:b/>
          <w:bCs/>
          <w:lang w:val="ru-RU"/>
        </w:rPr>
        <w:t>35 (ВКР-19)</w:t>
      </w:r>
      <w:r w:rsidRPr="00494635">
        <w:rPr>
          <w:lang w:val="ru-RU"/>
        </w:rPr>
        <w:t xml:space="preserve">. В Таблице 1 "Статус представлений в соответствии с Резолюцией </w:t>
      </w:r>
      <w:r w:rsidRPr="00494635">
        <w:rPr>
          <w:b/>
          <w:bCs/>
          <w:lang w:val="ru-RU"/>
        </w:rPr>
        <w:t>35</w:t>
      </w:r>
      <w:r w:rsidRPr="00494635">
        <w:rPr>
          <w:lang w:val="ru-RU"/>
        </w:rPr>
        <w:t>", в столбце "Текущий этап" в строке для системы HIBLEO-2FL2 должно быть написано "M3", а не "M0". К настоящему времени опубликовано 11 представлений; по четырем заявкам (две системы) завершен третий этап. В Таблице 2 содержится информация, запрошенная Комитетом на его предыдущем собрании, включая количество развернутых спутников и используемые полосы частот. Для спутниковых систем HIBLEO-2FL и HIBLEO-2FL2 развернуто больше космических станций, чем заявлено; максимальное количество спутников, которые могут работать одновременно, – 66, остальные девять составляют орбитальный резерв.</w:t>
      </w:r>
    </w:p>
    <w:p w14:paraId="5B625B9D" w14:textId="77777777" w:rsidR="00A06CB6" w:rsidRPr="00494635" w:rsidRDefault="00A06CB6" w:rsidP="00A06CB6">
      <w:pPr>
        <w:jc w:val="both"/>
        <w:rPr>
          <w:lang w:val="ru-RU"/>
        </w:rPr>
      </w:pPr>
      <w:r w:rsidRPr="00494635">
        <w:rPr>
          <w:lang w:val="ru-RU"/>
        </w:rPr>
        <w:t>3.39</w:t>
      </w:r>
      <w:r w:rsidRPr="00494635">
        <w:rPr>
          <w:lang w:val="ru-RU"/>
        </w:rPr>
        <w:tab/>
        <w:t xml:space="preserve">Комитет </w:t>
      </w:r>
      <w:r w:rsidRPr="00494635">
        <w:rPr>
          <w:b/>
          <w:bCs/>
          <w:lang w:val="ru-RU"/>
        </w:rPr>
        <w:t>благодарит</w:t>
      </w:r>
      <w:r w:rsidRPr="00494635">
        <w:rPr>
          <w:lang w:val="ru-RU"/>
        </w:rPr>
        <w:t xml:space="preserve"> Бюро за подробную информацию, представленную в Дополнительном документе 2 к Документу RRB22-3/5, содержащем отчет о выполнении Резолюции </w:t>
      </w:r>
      <w:r w:rsidRPr="00494635">
        <w:rPr>
          <w:b/>
          <w:bCs/>
          <w:lang w:val="ru-RU"/>
        </w:rPr>
        <w:t>35 (ВКР-19)</w:t>
      </w:r>
      <w:r w:rsidRPr="00494635">
        <w:rPr>
          <w:lang w:val="ru-RU"/>
        </w:rPr>
        <w:t xml:space="preserve">, который включает количество развернутых спутников и полосы частот, используемые ими. Комитет </w:t>
      </w:r>
      <w:r w:rsidRPr="00494635">
        <w:rPr>
          <w:b/>
          <w:bCs/>
          <w:lang w:val="ru-RU"/>
        </w:rPr>
        <w:t>поручает</w:t>
      </w:r>
      <w:r w:rsidRPr="00494635">
        <w:rPr>
          <w:lang w:val="ru-RU"/>
        </w:rPr>
        <w:t xml:space="preserve"> Бюро продолжать представлять отчеты по этому вопросу будущим собраниям Комитета.</w:t>
      </w:r>
    </w:p>
    <w:p w14:paraId="67618ED1" w14:textId="77777777" w:rsidR="00A06CB6" w:rsidRPr="00494635" w:rsidRDefault="00A06CB6" w:rsidP="00A06CB6">
      <w:pPr>
        <w:pStyle w:val="Headingb"/>
        <w:jc w:val="both"/>
        <w:rPr>
          <w:lang w:val="ru-RU"/>
        </w:rPr>
      </w:pPr>
      <w:r w:rsidRPr="00494635">
        <w:rPr>
          <w:lang w:val="ru-RU"/>
        </w:rPr>
        <w:t>Статистические данные по Резолюции 40 (Пересм. ВКР-19) (Дополнительный документ 3 к Документу RRB22-3/5)</w:t>
      </w:r>
    </w:p>
    <w:p w14:paraId="24B0E0A3" w14:textId="77777777" w:rsidR="00A06CB6" w:rsidRPr="00494635" w:rsidRDefault="00A06CB6" w:rsidP="00A06CB6">
      <w:pPr>
        <w:jc w:val="both"/>
        <w:rPr>
          <w:lang w:val="ru-RU"/>
        </w:rPr>
      </w:pPr>
      <w:r w:rsidRPr="00494635">
        <w:rPr>
          <w:lang w:val="ru-RU"/>
        </w:rPr>
        <w:t>3.40</w:t>
      </w:r>
      <w:r w:rsidRPr="00494635">
        <w:rPr>
          <w:lang w:val="ru-RU"/>
        </w:rPr>
        <w:tab/>
      </w:r>
      <w:r w:rsidRPr="00494635">
        <w:rPr>
          <w:b/>
          <w:bCs/>
          <w:lang w:val="ru-RU"/>
        </w:rPr>
        <w:t>Г-н Валле (руководитель SSD)</w:t>
      </w:r>
      <w:r w:rsidRPr="00494635">
        <w:rPr>
          <w:lang w:val="ru-RU"/>
        </w:rPr>
        <w:t xml:space="preserve"> представляет Дополнительный документ 3 к Документу RRB22-3/5, в котором обобщаются данные, представленные в соответствии с Резолюцией </w:t>
      </w:r>
      <w:r w:rsidRPr="00494635">
        <w:rPr>
          <w:b/>
          <w:bCs/>
          <w:lang w:val="ru-RU"/>
        </w:rPr>
        <w:t>40 (Пересм. ВКР-19)</w:t>
      </w:r>
      <w:r w:rsidRPr="00494635">
        <w:rPr>
          <w:lang w:val="ru-RU"/>
        </w:rPr>
        <w:t>. Обновленная информация, запрошенная Комитетом для его отчета по Резолюции </w:t>
      </w:r>
      <w:r w:rsidRPr="00494635">
        <w:rPr>
          <w:b/>
          <w:bCs/>
          <w:lang w:val="ru-RU"/>
        </w:rPr>
        <w:t xml:space="preserve">80 (Пересм. ВКР-07) </w:t>
      </w:r>
      <w:r w:rsidRPr="00494635">
        <w:rPr>
          <w:lang w:val="ru-RU"/>
        </w:rPr>
        <w:t xml:space="preserve">для ВКР-23, содержится на указанной в документе веб-странице и в файле Excel. В сводной таблице показано, что для 557 из 778 представлений, полученных согласно Резолюции </w:t>
      </w:r>
      <w:r w:rsidRPr="00494635">
        <w:rPr>
          <w:b/>
          <w:bCs/>
          <w:lang w:val="ru-RU"/>
        </w:rPr>
        <w:t>40</w:t>
      </w:r>
      <w:r w:rsidRPr="00494635">
        <w:rPr>
          <w:lang w:val="ru-RU"/>
        </w:rPr>
        <w:t xml:space="preserve"> до 30 сентября 2022 года, частотные присвоения были введены в действие или повторно введены в действие без изменения местоположения какого-либо спутника, который использовался бы для тех же целей в течение предыдущих трех лет. Бюро продолжит обновлять статистические данные, чтобы обеспечить наличие новейшей информации.</w:t>
      </w:r>
    </w:p>
    <w:p w14:paraId="30A69898" w14:textId="77777777" w:rsidR="00A06CB6" w:rsidRPr="00494635" w:rsidRDefault="00A06CB6" w:rsidP="00A06CB6">
      <w:pPr>
        <w:jc w:val="both"/>
        <w:rPr>
          <w:lang w:val="ru-RU"/>
        </w:rPr>
      </w:pPr>
      <w:r w:rsidRPr="00494635">
        <w:rPr>
          <w:lang w:val="ru-RU"/>
        </w:rPr>
        <w:t>3.41</w:t>
      </w:r>
      <w:r w:rsidRPr="00494635">
        <w:rPr>
          <w:lang w:val="ru-RU"/>
        </w:rPr>
        <w:tab/>
      </w:r>
      <w:r w:rsidRPr="00494635">
        <w:rPr>
          <w:b/>
          <w:bCs/>
          <w:lang w:val="ru-RU"/>
        </w:rPr>
        <w:t>Г-н Аззуз</w:t>
      </w:r>
      <w:r w:rsidRPr="00494635">
        <w:rPr>
          <w:lang w:val="ru-RU"/>
        </w:rPr>
        <w:t xml:space="preserve">, замечает, что количество представлений согласно Резолюции </w:t>
      </w:r>
      <w:r w:rsidRPr="00494635">
        <w:rPr>
          <w:b/>
          <w:bCs/>
          <w:lang w:val="ru-RU"/>
        </w:rPr>
        <w:t>40</w:t>
      </w:r>
      <w:r w:rsidRPr="00494635">
        <w:rPr>
          <w:lang w:val="ru-RU"/>
        </w:rPr>
        <w:t>, в рамках которых произошло перемещение спутника, довольно велико (221) и что использование временно заменяющих спутников влияет на доступ других администраций к орбитальным позициям. Он спрашивает, следует ли провести исследование с целью определения путей сокращения использования временно заменяющих спутников. Он просит БР провести исследование, с тем чтобы найти наилучшее решение проблемы временно заменяющих спутников, которая является важной для всех.</w:t>
      </w:r>
    </w:p>
    <w:p w14:paraId="0238CEB9" w14:textId="77777777" w:rsidR="00A06CB6" w:rsidRPr="00494635" w:rsidRDefault="00A06CB6" w:rsidP="00A06CB6">
      <w:pPr>
        <w:jc w:val="both"/>
        <w:rPr>
          <w:lang w:val="ru-RU"/>
        </w:rPr>
      </w:pPr>
      <w:r w:rsidRPr="00494635">
        <w:rPr>
          <w:lang w:val="ru-RU"/>
        </w:rPr>
        <w:t>3.41</w:t>
      </w:r>
      <w:r w:rsidRPr="00494635">
        <w:rPr>
          <w:i/>
          <w:iCs/>
          <w:lang w:val="ru-RU"/>
        </w:rPr>
        <w:t>bis</w:t>
      </w:r>
      <w:r w:rsidRPr="00494635">
        <w:rPr>
          <w:lang w:val="ru-RU"/>
        </w:rPr>
        <w:tab/>
      </w:r>
      <w:r w:rsidRPr="00494635">
        <w:rPr>
          <w:b/>
          <w:bCs/>
          <w:lang w:val="ru-RU"/>
        </w:rPr>
        <w:t>Г-н Валле (руководитель SSD)</w:t>
      </w:r>
      <w:r w:rsidRPr="00494635">
        <w:rPr>
          <w:lang w:val="ru-RU"/>
        </w:rPr>
        <w:t xml:space="preserve"> говорит, что все администрации должны предоставлять информацию в соответствии с Резолюцией </w:t>
      </w:r>
      <w:r w:rsidRPr="00494635">
        <w:rPr>
          <w:b/>
          <w:bCs/>
          <w:lang w:val="ru-RU"/>
        </w:rPr>
        <w:t>40</w:t>
      </w:r>
      <w:r w:rsidRPr="00494635">
        <w:rPr>
          <w:lang w:val="ru-RU"/>
        </w:rPr>
        <w:t xml:space="preserve"> при вводе в действие или повторном вводе в действие частотного присвоения космической станции в сети ГСО. Бюро готово включать названия заявляющих администраций в отчеты Комитету в будущем. Время нахождения в орбитальной позиции, указанное </w:t>
      </w:r>
      <w:r w:rsidRPr="00494635">
        <w:rPr>
          <w:lang w:val="ru-RU"/>
        </w:rPr>
        <w:lastRenderedPageBreak/>
        <w:t xml:space="preserve">Бюро, отражено в столбцах, озаглавленных "date IN" и "date OUT" в файле Excel. В отношении проблемы временно заменяющих спутников он говорит, что цель Резолюции </w:t>
      </w:r>
      <w:r w:rsidRPr="00494635">
        <w:rPr>
          <w:b/>
          <w:bCs/>
          <w:lang w:val="ru-RU"/>
        </w:rPr>
        <w:t>40</w:t>
      </w:r>
      <w:r w:rsidRPr="00494635">
        <w:rPr>
          <w:lang w:val="ru-RU"/>
        </w:rPr>
        <w:t xml:space="preserve"> состоит в том, чтобы администрации лучше понимали практику и сложившуюся ситуацию, и решение о необходимости мер защиты или изменении правил должны приниматься будущими конференциями. Бюро просто выполняет решения конференций, и он подтверждает, что все случаи заявлений соответствуют Регламенту радиосвязи. Комитет, возможно, пожелает поднять этот вопрос в своем отчете по Резолюции </w:t>
      </w:r>
      <w:r w:rsidRPr="00494635">
        <w:rPr>
          <w:b/>
          <w:bCs/>
          <w:lang w:val="ru-RU"/>
        </w:rPr>
        <w:t>80 (Пересм. ВКР-07)</w:t>
      </w:r>
      <w:r w:rsidRPr="00494635">
        <w:rPr>
          <w:lang w:val="ru-RU"/>
        </w:rPr>
        <w:t xml:space="preserve"> для ВКР-23.</w:t>
      </w:r>
    </w:p>
    <w:p w14:paraId="585F37F8" w14:textId="77777777" w:rsidR="00A06CB6" w:rsidRPr="00494635" w:rsidRDefault="00A06CB6" w:rsidP="00A06CB6">
      <w:pPr>
        <w:jc w:val="both"/>
        <w:rPr>
          <w:lang w:val="ru-RU"/>
        </w:rPr>
      </w:pPr>
      <w:r w:rsidRPr="00494635">
        <w:rPr>
          <w:lang w:val="ru-RU"/>
        </w:rPr>
        <w:t>3.42</w:t>
      </w:r>
      <w:r w:rsidRPr="00494635">
        <w:rPr>
          <w:lang w:val="ru-RU"/>
        </w:rPr>
        <w:tab/>
      </w:r>
      <w:r w:rsidRPr="00494635">
        <w:rPr>
          <w:b/>
          <w:bCs/>
          <w:lang w:val="ru-RU"/>
        </w:rPr>
        <w:t>Г-жа Бомье</w:t>
      </w:r>
      <w:r w:rsidRPr="00494635">
        <w:rPr>
          <w:lang w:val="ru-RU"/>
        </w:rPr>
        <w:t xml:space="preserve"> благодарит Бюро за предоставление обновленных статистических данных и более подробной информации, которые помогут обсуждению этой темы Комитетом в контексте отчета для ВКР-23 по </w:t>
      </w:r>
      <w:r w:rsidRPr="00494635">
        <w:rPr>
          <w:b/>
          <w:bCs/>
          <w:lang w:val="ru-RU"/>
        </w:rPr>
        <w:t>Резолюции 80 (Пересм. ВКР-07)</w:t>
      </w:r>
      <w:r w:rsidRPr="00494635">
        <w:rPr>
          <w:lang w:val="ru-RU"/>
        </w:rPr>
        <w:t xml:space="preserve">. На основе информации и выраженных опасений Комитет может принять решение о представлении рекомендаций конференции. Проблема, однако, не всегда в том, сколько раз один спутник используется для ввода или повторного ввода в действие, а в практике многократного ввода или повторного ввода в действие заявки на минимальный срок, приостановки использования, а затем ее повторный ввод в действие на еще один минимальный срок. После замечаний </w:t>
      </w:r>
      <w:r w:rsidRPr="00494635">
        <w:rPr>
          <w:b/>
          <w:bCs/>
          <w:lang w:val="ru-RU"/>
        </w:rPr>
        <w:t>г-на Аззуза</w:t>
      </w:r>
      <w:r w:rsidRPr="00494635">
        <w:rPr>
          <w:lang w:val="ru-RU"/>
        </w:rPr>
        <w:t xml:space="preserve"> она говорит, что Рабочей группе по Резолюции </w:t>
      </w:r>
      <w:r w:rsidRPr="00494635">
        <w:rPr>
          <w:b/>
          <w:bCs/>
          <w:lang w:val="ru-RU"/>
        </w:rPr>
        <w:t>80 (Пересм. ВКР-07)</w:t>
      </w:r>
      <w:r w:rsidRPr="00494635">
        <w:rPr>
          <w:lang w:val="ru-RU"/>
        </w:rPr>
        <w:t xml:space="preserve"> следует обсудить этот вопрос, чтобы определить дополнительную информацию, которую Бюро должно представить следующему собранию Комитета.</w:t>
      </w:r>
    </w:p>
    <w:p w14:paraId="57F2F7BE" w14:textId="77777777" w:rsidR="00A06CB6" w:rsidRPr="00494635" w:rsidRDefault="00A06CB6" w:rsidP="00A06CB6">
      <w:pPr>
        <w:jc w:val="both"/>
        <w:rPr>
          <w:szCs w:val="22"/>
          <w:lang w:val="ru-RU"/>
        </w:rPr>
      </w:pPr>
      <w:r w:rsidRPr="00494635">
        <w:rPr>
          <w:szCs w:val="22"/>
          <w:lang w:val="ru-RU"/>
        </w:rPr>
        <w:t>3.43</w:t>
      </w:r>
      <w:r w:rsidRPr="00494635">
        <w:rPr>
          <w:szCs w:val="22"/>
          <w:lang w:val="ru-RU"/>
        </w:rPr>
        <w:tab/>
      </w:r>
      <w:r w:rsidRPr="00494635">
        <w:rPr>
          <w:b/>
          <w:bCs/>
          <w:szCs w:val="22"/>
          <w:lang w:val="ru-RU" w:eastAsia="zh-CN"/>
        </w:rPr>
        <w:t>Председатель</w:t>
      </w:r>
      <w:r w:rsidRPr="00494635">
        <w:rPr>
          <w:szCs w:val="22"/>
          <w:lang w:val="ru-RU" w:eastAsia="zh-CN"/>
        </w:rPr>
        <w:t xml:space="preserve"> предлагает Комитету сделать по </w:t>
      </w:r>
      <w:r w:rsidRPr="00494635">
        <w:rPr>
          <w:lang w:val="ru-RU"/>
        </w:rPr>
        <w:t>данному</w:t>
      </w:r>
      <w:r w:rsidRPr="00494635">
        <w:rPr>
          <w:szCs w:val="22"/>
          <w:lang w:val="ru-RU" w:eastAsia="zh-CN"/>
        </w:rPr>
        <w:t xml:space="preserve"> вопросу следующее заключение</w:t>
      </w:r>
      <w:r w:rsidRPr="00494635">
        <w:rPr>
          <w:szCs w:val="22"/>
          <w:lang w:val="ru-RU"/>
        </w:rPr>
        <w:t>:</w:t>
      </w:r>
    </w:p>
    <w:p w14:paraId="1F170BEB" w14:textId="77777777" w:rsidR="00A06CB6" w:rsidRPr="00494635" w:rsidRDefault="00A06CB6" w:rsidP="00A06CB6">
      <w:pPr>
        <w:jc w:val="both"/>
        <w:rPr>
          <w:color w:val="000000"/>
          <w:szCs w:val="22"/>
          <w:lang w:val="ru-RU"/>
        </w:rPr>
      </w:pPr>
      <w:r w:rsidRPr="00494635">
        <w:rPr>
          <w:szCs w:val="22"/>
          <w:lang w:val="ru-RU"/>
        </w:rPr>
        <w:t>"Комитет рассмотрел Дополнительный документ 3 к Документу RRB22-3/5 относительно статистических данных по Резолюции </w:t>
      </w:r>
      <w:r w:rsidRPr="00494635">
        <w:rPr>
          <w:b/>
          <w:bCs/>
          <w:szCs w:val="22"/>
          <w:lang w:val="ru-RU"/>
        </w:rPr>
        <w:t>40 (Пересм. ВКР-19)</w:t>
      </w:r>
      <w:r w:rsidRPr="00494635">
        <w:rPr>
          <w:szCs w:val="22"/>
          <w:lang w:val="ru-RU"/>
        </w:rPr>
        <w:t xml:space="preserve"> и поблагодарил Бюро за предоставленную информацию и статистические данные.</w:t>
      </w:r>
      <w:r w:rsidRPr="00494635">
        <w:rPr>
          <w:color w:val="000000"/>
          <w:szCs w:val="22"/>
          <w:bdr w:val="none" w:sz="0" w:space="0" w:color="auto" w:frame="1"/>
          <w:lang w:val="ru-RU"/>
        </w:rPr>
        <w:t xml:space="preserve"> Комитет поручил </w:t>
      </w:r>
      <w:r w:rsidRPr="00494635">
        <w:rPr>
          <w:lang w:val="ru-RU"/>
        </w:rPr>
        <w:t>Бюро</w:t>
      </w:r>
      <w:r w:rsidRPr="00494635">
        <w:rPr>
          <w:color w:val="000000"/>
          <w:szCs w:val="22"/>
          <w:bdr w:val="none" w:sz="0" w:space="0" w:color="auto" w:frame="1"/>
          <w:lang w:val="ru-RU"/>
        </w:rPr>
        <w:t xml:space="preserve"> включить следующие пункты в относящуюся к Резолюции </w:t>
      </w:r>
      <w:r w:rsidRPr="00494635">
        <w:rPr>
          <w:b/>
          <w:bCs/>
          <w:color w:val="000000"/>
          <w:szCs w:val="22"/>
          <w:bdr w:val="none" w:sz="0" w:space="0" w:color="auto" w:frame="1"/>
          <w:lang w:val="ru-RU"/>
        </w:rPr>
        <w:t>40</w:t>
      </w:r>
      <w:r w:rsidRPr="00494635">
        <w:rPr>
          <w:color w:val="000000"/>
          <w:szCs w:val="22"/>
          <w:bdr w:val="none" w:sz="0" w:space="0" w:color="auto" w:frame="1"/>
          <w:lang w:val="ru-RU"/>
        </w:rPr>
        <w:t xml:space="preserve"> </w:t>
      </w:r>
      <w:r w:rsidRPr="00494635">
        <w:rPr>
          <w:b/>
          <w:bCs/>
          <w:szCs w:val="22"/>
          <w:lang w:val="ru-RU"/>
        </w:rPr>
        <w:t xml:space="preserve">(Пересм. ВКР-19) </w:t>
      </w:r>
      <w:r w:rsidRPr="00494635">
        <w:rPr>
          <w:szCs w:val="22"/>
          <w:lang w:val="ru-RU"/>
        </w:rPr>
        <w:t>информацию, которая будет представлена 92</w:t>
      </w:r>
      <w:r w:rsidRPr="00494635">
        <w:rPr>
          <w:szCs w:val="22"/>
          <w:lang w:val="ru-RU"/>
        </w:rPr>
        <w:noBreakHyphen/>
        <w:t>му собранию Комитета</w:t>
      </w:r>
      <w:r w:rsidRPr="00494635">
        <w:rPr>
          <w:color w:val="000000"/>
          <w:szCs w:val="22"/>
          <w:bdr w:val="none" w:sz="0" w:space="0" w:color="auto" w:frame="1"/>
          <w:lang w:val="ru-RU"/>
        </w:rPr>
        <w:t>:</w:t>
      </w:r>
    </w:p>
    <w:p w14:paraId="5230EC52" w14:textId="77777777" w:rsidR="00A06CB6" w:rsidRPr="00494635" w:rsidRDefault="00A06CB6" w:rsidP="00A06CB6">
      <w:pPr>
        <w:pStyle w:val="enumlev1"/>
        <w:jc w:val="both"/>
        <w:rPr>
          <w:lang w:val="ru-RU"/>
        </w:rPr>
      </w:pPr>
      <w:r w:rsidRPr="00494635">
        <w:rPr>
          <w:lang w:val="ru-RU"/>
        </w:rPr>
        <w:t>•</w:t>
      </w:r>
      <w:r w:rsidRPr="00494635">
        <w:rPr>
          <w:lang w:val="ru-RU"/>
        </w:rPr>
        <w:tab/>
        <w:t>название</w:t>
      </w:r>
      <w:r w:rsidRPr="00494635">
        <w:rPr>
          <w:bdr w:val="none" w:sz="0" w:space="0" w:color="auto" w:frame="1"/>
          <w:lang w:val="ru-RU"/>
        </w:rPr>
        <w:t xml:space="preserve"> заявляющей администрации соответствующих спутниковых сетей и количество случаев по Резолюции </w:t>
      </w:r>
      <w:r w:rsidRPr="00494635">
        <w:rPr>
          <w:b/>
          <w:bCs/>
          <w:bdr w:val="none" w:sz="0" w:space="0" w:color="auto" w:frame="1"/>
          <w:lang w:val="ru-RU"/>
        </w:rPr>
        <w:t>40</w:t>
      </w:r>
      <w:r w:rsidRPr="00494635">
        <w:rPr>
          <w:bdr w:val="none" w:sz="0" w:space="0" w:color="auto" w:frame="1"/>
          <w:lang w:val="ru-RU"/>
        </w:rPr>
        <w:t xml:space="preserve"> </w:t>
      </w:r>
      <w:r w:rsidRPr="00494635">
        <w:rPr>
          <w:b/>
          <w:bCs/>
          <w:lang w:val="ru-RU"/>
        </w:rPr>
        <w:t>(Пересм. ВКР-19)</w:t>
      </w:r>
      <w:r w:rsidRPr="00494635">
        <w:rPr>
          <w:lang w:val="ru-RU"/>
        </w:rPr>
        <w:t>, представленных каждой администрацией</w:t>
      </w:r>
      <w:r w:rsidRPr="00494635">
        <w:rPr>
          <w:bdr w:val="none" w:sz="0" w:space="0" w:color="auto" w:frame="1"/>
          <w:lang w:val="ru-RU"/>
        </w:rPr>
        <w:t>;</w:t>
      </w:r>
    </w:p>
    <w:p w14:paraId="39E6D73D"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информацию</w:t>
      </w:r>
      <w:r w:rsidRPr="00494635">
        <w:rPr>
          <w:bdr w:val="none" w:sz="0" w:space="0" w:color="auto" w:frame="1"/>
          <w:lang w:val="ru-RU"/>
        </w:rPr>
        <w:t xml:space="preserve"> по случаям, в которых одна администрация последовательно использовала один спутник для ввода в действие (или повторного ввода в действие) нескольких своих спутниковых сетей;</w:t>
      </w:r>
    </w:p>
    <w:p w14:paraId="67DC03A4"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информацию</w:t>
      </w:r>
      <w:r w:rsidRPr="00494635">
        <w:rPr>
          <w:bdr w:val="none" w:sz="0" w:space="0" w:color="auto" w:frame="1"/>
          <w:lang w:val="ru-RU"/>
        </w:rPr>
        <w:t xml:space="preserve"> по спутниковым сетям, которые неоднократно вводились в действие и повторно вводились в действие спутником, который оставался в орбитальной позиции минимальный период времени".</w:t>
      </w:r>
    </w:p>
    <w:p w14:paraId="7E84AB87" w14:textId="77777777" w:rsidR="00A06CB6" w:rsidRPr="00494635" w:rsidRDefault="00A06CB6" w:rsidP="00A06CB6">
      <w:pPr>
        <w:jc w:val="both"/>
        <w:rPr>
          <w:color w:val="000000" w:themeColor="text1"/>
          <w:szCs w:val="24"/>
          <w:lang w:val="ru-RU"/>
        </w:rPr>
      </w:pPr>
      <w:r w:rsidRPr="00494635">
        <w:rPr>
          <w:color w:val="000000"/>
          <w:szCs w:val="24"/>
          <w:bdr w:val="none" w:sz="0" w:space="0" w:color="auto" w:frame="1"/>
          <w:lang w:val="ru-RU"/>
        </w:rPr>
        <w:t>3.44</w:t>
      </w:r>
      <w:r w:rsidRPr="00494635">
        <w:rPr>
          <w:szCs w:val="24"/>
          <w:lang w:val="ru-RU"/>
        </w:rPr>
        <w:tab/>
      </w:r>
      <w:r w:rsidRPr="00494635">
        <w:rPr>
          <w:lang w:val="ru-RU"/>
        </w:rPr>
        <w:t xml:space="preserve">Предложение </w:t>
      </w:r>
      <w:r w:rsidRPr="00494635">
        <w:rPr>
          <w:b/>
          <w:bCs/>
          <w:lang w:val="ru-RU"/>
        </w:rPr>
        <w:t>принимается</w:t>
      </w:r>
      <w:r w:rsidRPr="00494635">
        <w:rPr>
          <w:lang w:val="ru-RU" w:eastAsia="zh-CN"/>
        </w:rPr>
        <w:t>.</w:t>
      </w:r>
    </w:p>
    <w:p w14:paraId="42B54B09" w14:textId="77777777" w:rsidR="00A06CB6" w:rsidRPr="00494635" w:rsidRDefault="00A06CB6" w:rsidP="00A06CB6">
      <w:pPr>
        <w:pStyle w:val="Headingb"/>
        <w:jc w:val="both"/>
        <w:rPr>
          <w:lang w:val="ru-RU" w:eastAsia="zh-CN"/>
        </w:rPr>
      </w:pPr>
      <w:r w:rsidRPr="00494635">
        <w:rPr>
          <w:lang w:val="ru-RU" w:eastAsia="zh-CN"/>
        </w:rPr>
        <w:t>Отчет о ходе работы по выполнению Резолюции 559 (ВКР-19) (Дополнительный документ 4 к Документу RRB22-3/5)</w:t>
      </w:r>
    </w:p>
    <w:p w14:paraId="400C6ED0" w14:textId="77777777" w:rsidR="00A06CB6" w:rsidRPr="00494635" w:rsidRDefault="00A06CB6" w:rsidP="00A06CB6">
      <w:pPr>
        <w:jc w:val="both"/>
        <w:rPr>
          <w:lang w:val="ru-RU"/>
        </w:rPr>
      </w:pPr>
      <w:r w:rsidRPr="00494635">
        <w:rPr>
          <w:lang w:val="ru-RU"/>
        </w:rPr>
        <w:t>3.45</w:t>
      </w:r>
      <w:r w:rsidRPr="00494635">
        <w:rPr>
          <w:lang w:val="ru-RU"/>
        </w:rPr>
        <w:tab/>
      </w:r>
      <w:r w:rsidRPr="00494635">
        <w:rPr>
          <w:b/>
          <w:bCs/>
          <w:lang w:val="ru-RU" w:eastAsia="zh-CN"/>
        </w:rPr>
        <w:t>Г-н Ван (руководитель SSD/SNP)</w:t>
      </w:r>
      <w:r w:rsidRPr="00494635">
        <w:rPr>
          <w:lang w:val="ru-RU" w:eastAsia="zh-CN"/>
        </w:rPr>
        <w:t xml:space="preserve"> представляет </w:t>
      </w:r>
      <w:r w:rsidRPr="00494635">
        <w:rPr>
          <w:bCs/>
          <w:lang w:val="ru-RU" w:eastAsia="zh-CN"/>
        </w:rPr>
        <w:t>Дополнительный документ</w:t>
      </w:r>
      <w:r w:rsidRPr="00494635">
        <w:rPr>
          <w:b/>
          <w:lang w:val="ru-RU" w:eastAsia="zh-CN"/>
        </w:rPr>
        <w:t> </w:t>
      </w:r>
      <w:r w:rsidRPr="00494635">
        <w:rPr>
          <w:lang w:val="ru-RU" w:eastAsia="zh-CN"/>
        </w:rPr>
        <w:t>4 к Документу RRB22</w:t>
      </w:r>
      <w:r w:rsidRPr="00494635">
        <w:rPr>
          <w:lang w:val="ru-RU" w:eastAsia="zh-CN"/>
        </w:rPr>
        <w:noBreakHyphen/>
        <w:t>3/5, в котором содержится отчет о ходе обработки представлений согласно Резолюции </w:t>
      </w:r>
      <w:r w:rsidRPr="00494635">
        <w:rPr>
          <w:b/>
          <w:bCs/>
          <w:lang w:val="ru-RU" w:eastAsia="zh-CN"/>
        </w:rPr>
        <w:t>559 (ВКР-19)</w:t>
      </w:r>
      <w:r w:rsidRPr="00494635">
        <w:rPr>
          <w:lang w:val="ru-RU" w:eastAsia="zh-CN"/>
        </w:rPr>
        <w:t xml:space="preserve"> и в </w:t>
      </w:r>
      <w:r w:rsidRPr="00494635">
        <w:rPr>
          <w:lang w:val="ru-RU"/>
        </w:rPr>
        <w:t>который</w:t>
      </w:r>
      <w:r w:rsidRPr="00494635">
        <w:rPr>
          <w:lang w:val="ru-RU" w:eastAsia="zh-CN"/>
        </w:rPr>
        <w:t xml:space="preserve"> вошли обобщенные статистические данные по основным мерам координации относительно различных положений</w:t>
      </w:r>
      <w:r w:rsidRPr="00494635">
        <w:rPr>
          <w:lang w:val="ru-RU"/>
        </w:rPr>
        <w:t xml:space="preserve">. Несмотря на имеющиеся успехи в отношении всех типов координации между администрациями, Бюро отметило, что ответов, касающихся Планов для Районов 1 и 3, было меньше, чем ответов, касающихся дополнительных видов использования. Поэтому в своих обновленных статистических данных для Рабочей группы 4A МСЭ-R оно также представило подробную информацию о совместимости представлений согласно Резолюции </w:t>
      </w:r>
      <w:r w:rsidRPr="00494635">
        <w:rPr>
          <w:b/>
          <w:bCs/>
          <w:lang w:val="ru-RU"/>
        </w:rPr>
        <w:t>559</w:t>
      </w:r>
      <w:r w:rsidRPr="00494635">
        <w:rPr>
          <w:lang w:val="ru-RU"/>
        </w:rPr>
        <w:t xml:space="preserve"> и Планов для Районов 1 и 3 и просило Рабочую группу дать технические рекомендации по оценке того, в каких случаях включение этих частотных присвоений согласно Резолюции </w:t>
      </w:r>
      <w:r w:rsidRPr="00494635">
        <w:rPr>
          <w:b/>
          <w:bCs/>
          <w:lang w:val="ru-RU"/>
        </w:rPr>
        <w:t>559</w:t>
      </w:r>
      <w:r w:rsidRPr="00494635">
        <w:rPr>
          <w:lang w:val="ru-RU"/>
        </w:rPr>
        <w:t xml:space="preserve"> в эти Планы может быть принято без необходимости изменения технических параметров частотных присвоений. Основываясь на ответе Рабочей группы, Бюро предлагает, чтобы Комитет рассмотрел возможность включения в свой отчет по Резолюции </w:t>
      </w:r>
      <w:r w:rsidRPr="00494635">
        <w:rPr>
          <w:b/>
          <w:bCs/>
          <w:lang w:val="ru-RU"/>
        </w:rPr>
        <w:t>80 (Пересм. ВКР-07)</w:t>
      </w:r>
      <w:r w:rsidRPr="00494635">
        <w:rPr>
          <w:lang w:val="ru-RU"/>
        </w:rPr>
        <w:t xml:space="preserve"> для ВКР-23 вопроса о том, чтобы в случаях, когда отношение несущей к помехе (</w:t>
      </w:r>
      <w:r w:rsidRPr="00494635">
        <w:rPr>
          <w:i/>
          <w:iCs/>
          <w:lang w:val="ru-RU"/>
        </w:rPr>
        <w:t>C</w:t>
      </w:r>
      <w:r w:rsidRPr="00494635">
        <w:rPr>
          <w:lang w:val="ru-RU"/>
        </w:rPr>
        <w:t>/</w:t>
      </w:r>
      <w:r w:rsidRPr="00494635">
        <w:rPr>
          <w:i/>
          <w:iCs/>
          <w:lang w:val="ru-RU"/>
        </w:rPr>
        <w:t>I</w:t>
      </w:r>
      <w:r w:rsidRPr="00494635">
        <w:rPr>
          <w:lang w:val="ru-RU"/>
        </w:rPr>
        <w:t xml:space="preserve">) для единичной помехи в направлении космос-Земля превышает 21 дБ, а отношение </w:t>
      </w:r>
      <w:r w:rsidRPr="00494635">
        <w:rPr>
          <w:i/>
          <w:iCs/>
          <w:lang w:val="ru-RU"/>
        </w:rPr>
        <w:t>C</w:t>
      </w:r>
      <w:r w:rsidRPr="00494635">
        <w:rPr>
          <w:lang w:val="ru-RU"/>
        </w:rPr>
        <w:t>/</w:t>
      </w:r>
      <w:r w:rsidRPr="00494635">
        <w:rPr>
          <w:i/>
          <w:iCs/>
          <w:lang w:val="ru-RU"/>
        </w:rPr>
        <w:t xml:space="preserve">I </w:t>
      </w:r>
      <w:r w:rsidRPr="00494635">
        <w:rPr>
          <w:lang w:val="ru-RU"/>
        </w:rPr>
        <w:t xml:space="preserve">для единичной помехи в направлении Земля-космос превышает 30 дБ, считать представления по Резолюции </w:t>
      </w:r>
      <w:r w:rsidRPr="00494635">
        <w:rPr>
          <w:b/>
          <w:bCs/>
          <w:lang w:val="ru-RU"/>
        </w:rPr>
        <w:t>559</w:t>
      </w:r>
      <w:r w:rsidRPr="00494635">
        <w:rPr>
          <w:lang w:val="ru-RU"/>
        </w:rPr>
        <w:t xml:space="preserve"> и соответствующие частотные присвоения в Планах для </w:t>
      </w:r>
      <w:r w:rsidRPr="00494635">
        <w:rPr>
          <w:lang w:val="ru-RU"/>
        </w:rPr>
        <w:lastRenderedPageBreak/>
        <w:t xml:space="preserve">Районов 1 и 3 совместимыми. В таких случаях и для того, чтобы сохранить тот же уровень защиты этих частотных присвоений в Плане для Районов 1 и 3 от поступающих представлений </w:t>
      </w:r>
      <w:r w:rsidRPr="00494635">
        <w:rPr>
          <w:iCs/>
          <w:lang w:val="ru-RU"/>
        </w:rPr>
        <w:t>по</w:t>
      </w:r>
      <w:r w:rsidRPr="00494635">
        <w:rPr>
          <w:i/>
          <w:lang w:val="ru-RU"/>
        </w:rPr>
        <w:t xml:space="preserve"> </w:t>
      </w:r>
      <w:r w:rsidRPr="00494635">
        <w:rPr>
          <w:lang w:val="ru-RU"/>
        </w:rPr>
        <w:t xml:space="preserve">Статье 4, Бюро далее предлагает, чтобы эталонная ситуация для этих частотных присвоений не обновлялась, когда частотные присвоения по Резолюции </w:t>
      </w:r>
      <w:r w:rsidRPr="00494635">
        <w:rPr>
          <w:b/>
          <w:bCs/>
          <w:lang w:val="ru-RU"/>
        </w:rPr>
        <w:t>559</w:t>
      </w:r>
      <w:r w:rsidRPr="00494635">
        <w:rPr>
          <w:lang w:val="ru-RU"/>
        </w:rPr>
        <w:t xml:space="preserve"> включаются в Список.</w:t>
      </w:r>
    </w:p>
    <w:p w14:paraId="3803F389" w14:textId="77777777" w:rsidR="00A06CB6" w:rsidRPr="00494635" w:rsidRDefault="00A06CB6" w:rsidP="00A06CB6">
      <w:pPr>
        <w:jc w:val="both"/>
        <w:rPr>
          <w:lang w:val="ru-RU"/>
        </w:rPr>
      </w:pPr>
      <w:r w:rsidRPr="00494635">
        <w:rPr>
          <w:lang w:val="ru-RU"/>
        </w:rPr>
        <w:t>3.46</w:t>
      </w:r>
      <w:r w:rsidRPr="00494635">
        <w:rPr>
          <w:lang w:val="ru-RU"/>
        </w:rPr>
        <w:tab/>
        <w:t xml:space="preserve">После 90-го собрания Комитета Бюро не получило ни одного представления по Части B, которое приводило бы к ухудшению эквивалентного запаса по защите (EPM) представления согласно Резолюции </w:t>
      </w:r>
      <w:r w:rsidRPr="00494635">
        <w:rPr>
          <w:b/>
          <w:bCs/>
          <w:lang w:val="ru-RU"/>
        </w:rPr>
        <w:t>559</w:t>
      </w:r>
      <w:r w:rsidRPr="00494635">
        <w:rPr>
          <w:lang w:val="ru-RU"/>
        </w:rPr>
        <w:t>.</w:t>
      </w:r>
    </w:p>
    <w:p w14:paraId="0AA29DAC" w14:textId="77777777" w:rsidR="00A06CB6" w:rsidRPr="00494635" w:rsidRDefault="00A06CB6" w:rsidP="00A06CB6">
      <w:pPr>
        <w:jc w:val="both"/>
        <w:rPr>
          <w:lang w:val="ru-RU"/>
        </w:rPr>
      </w:pPr>
      <w:r w:rsidRPr="00494635">
        <w:rPr>
          <w:lang w:val="ru-RU"/>
        </w:rPr>
        <w:t>3.47</w:t>
      </w:r>
      <w:r w:rsidRPr="00494635">
        <w:rPr>
          <w:lang w:val="ru-RU"/>
        </w:rPr>
        <w:tab/>
      </w:r>
      <w:r w:rsidRPr="00494635">
        <w:rPr>
          <w:b/>
          <w:bCs/>
          <w:lang w:val="ru-RU"/>
        </w:rPr>
        <w:t>Г-н Хоан</w:t>
      </w:r>
      <w:r w:rsidRPr="00494635">
        <w:rPr>
          <w:lang w:val="ru-RU"/>
        </w:rPr>
        <w:t xml:space="preserve"> говорит, что, учитывая опыт Комитета в области спутниковой координации, он согласен с технической рекомендацией Рабочей группы 4А. Он высказывается за включение этого вопроса в отчет Комитета по Резолюции </w:t>
      </w:r>
      <w:r w:rsidRPr="00494635">
        <w:rPr>
          <w:b/>
          <w:bCs/>
          <w:lang w:val="ru-RU"/>
        </w:rPr>
        <w:t>80 (Пересм. ВКР-07)</w:t>
      </w:r>
      <w:r w:rsidRPr="00494635">
        <w:rPr>
          <w:lang w:val="ru-RU"/>
        </w:rPr>
        <w:t>.</w:t>
      </w:r>
    </w:p>
    <w:p w14:paraId="1B878D3A" w14:textId="77777777" w:rsidR="00A06CB6" w:rsidRPr="00494635" w:rsidRDefault="00A06CB6" w:rsidP="00A06CB6">
      <w:pPr>
        <w:jc w:val="both"/>
        <w:rPr>
          <w:lang w:val="ru-RU"/>
        </w:rPr>
      </w:pPr>
      <w:r w:rsidRPr="00494635">
        <w:rPr>
          <w:lang w:val="ru-RU"/>
        </w:rPr>
        <w:t>3.48</w:t>
      </w:r>
      <w:r w:rsidRPr="00494635">
        <w:rPr>
          <w:lang w:val="ru-RU"/>
        </w:rPr>
        <w:tab/>
      </w:r>
      <w:r w:rsidRPr="00494635">
        <w:rPr>
          <w:b/>
          <w:bCs/>
          <w:lang w:val="ru-RU"/>
        </w:rPr>
        <w:t>Г-н Анри</w:t>
      </w:r>
      <w:r w:rsidRPr="00494635">
        <w:rPr>
          <w:lang w:val="ru-RU"/>
        </w:rPr>
        <w:t xml:space="preserve"> поддерживает подход, предложенный Бюро. Он также в принципе согласен с тем, что эталонную ситуацию с соответствующими частотными присвоениями не следует обновлять, как и предлагает Бюро, и что этот вопрос следует включить в отчет Комитета по Резолюции </w:t>
      </w:r>
      <w:r w:rsidRPr="00494635">
        <w:rPr>
          <w:b/>
          <w:bCs/>
          <w:lang w:val="ru-RU"/>
        </w:rPr>
        <w:t>80 (Пересм. ВКР-07)</w:t>
      </w:r>
      <w:r w:rsidRPr="00494635">
        <w:rPr>
          <w:lang w:val="ru-RU"/>
        </w:rPr>
        <w:t>. Он спрашивает, существует ли какой-либо риск помех, если частотные присвоения по Резолюции </w:t>
      </w:r>
      <w:r w:rsidRPr="00494635">
        <w:rPr>
          <w:b/>
          <w:bCs/>
          <w:lang w:val="ru-RU"/>
        </w:rPr>
        <w:t>559</w:t>
      </w:r>
      <w:r w:rsidRPr="00494635">
        <w:rPr>
          <w:lang w:val="ru-RU"/>
        </w:rPr>
        <w:t xml:space="preserve"> и присвоения в Плане будут работать одновременно в будущем.</w:t>
      </w:r>
    </w:p>
    <w:p w14:paraId="3A41B752" w14:textId="77777777" w:rsidR="00A06CB6" w:rsidRPr="00494635" w:rsidRDefault="00A06CB6" w:rsidP="00A06CB6">
      <w:pPr>
        <w:jc w:val="both"/>
        <w:rPr>
          <w:lang w:val="ru-RU"/>
        </w:rPr>
      </w:pPr>
      <w:r w:rsidRPr="00494635">
        <w:rPr>
          <w:lang w:val="ru-RU"/>
        </w:rPr>
        <w:t>3.49</w:t>
      </w:r>
      <w:r w:rsidRPr="00494635">
        <w:rPr>
          <w:lang w:val="ru-RU"/>
        </w:rPr>
        <w:tab/>
      </w:r>
      <w:r w:rsidRPr="00494635">
        <w:rPr>
          <w:b/>
          <w:bCs/>
          <w:lang w:val="ru-RU"/>
        </w:rPr>
        <w:t>Г-н Ван (руководитель SSD/SNP)</w:t>
      </w:r>
      <w:r w:rsidRPr="00494635">
        <w:rPr>
          <w:lang w:val="ru-RU"/>
        </w:rPr>
        <w:t xml:space="preserve"> отвечает, что в соответствии с предложением Рабочей группы 4A критерий </w:t>
      </w:r>
      <w:r w:rsidRPr="00494635">
        <w:rPr>
          <w:i/>
          <w:iCs/>
          <w:lang w:val="ru-RU"/>
        </w:rPr>
        <w:t>C</w:t>
      </w:r>
      <w:r w:rsidRPr="00494635">
        <w:rPr>
          <w:lang w:val="ru-RU"/>
        </w:rPr>
        <w:t>/</w:t>
      </w:r>
      <w:r w:rsidRPr="00494635">
        <w:rPr>
          <w:i/>
          <w:iCs/>
          <w:lang w:val="ru-RU"/>
        </w:rPr>
        <w:t>I</w:t>
      </w:r>
      <w:r w:rsidRPr="00494635">
        <w:rPr>
          <w:lang w:val="ru-RU"/>
        </w:rPr>
        <w:t xml:space="preserve"> используется для оценки того, может ли представление согласно Резолюции </w:t>
      </w:r>
      <w:r w:rsidRPr="00494635">
        <w:rPr>
          <w:b/>
          <w:bCs/>
          <w:lang w:val="ru-RU"/>
        </w:rPr>
        <w:t>559</w:t>
      </w:r>
      <w:r w:rsidRPr="00494635">
        <w:rPr>
          <w:lang w:val="ru-RU"/>
        </w:rPr>
        <w:t xml:space="preserve"> вызвать помехи для частотного присвоения в Плане. Вопрос г-на Анри касается фактической эксплуатации, когда представление согласно Резолюции </w:t>
      </w:r>
      <w:r w:rsidRPr="00494635">
        <w:rPr>
          <w:b/>
          <w:bCs/>
          <w:lang w:val="ru-RU"/>
        </w:rPr>
        <w:t>559</w:t>
      </w:r>
      <w:r w:rsidRPr="00494635">
        <w:rPr>
          <w:lang w:val="ru-RU"/>
        </w:rPr>
        <w:t xml:space="preserve"> и частотное присвоение в Плане вводятся в действие одновременно. При расчете </w:t>
      </w:r>
      <w:r w:rsidRPr="00494635">
        <w:rPr>
          <w:i/>
          <w:iCs/>
          <w:lang w:val="ru-RU"/>
        </w:rPr>
        <w:t>C</w:t>
      </w:r>
      <w:r w:rsidRPr="00494635">
        <w:rPr>
          <w:lang w:val="ru-RU"/>
        </w:rPr>
        <w:t>/</w:t>
      </w:r>
      <w:r w:rsidRPr="00494635">
        <w:rPr>
          <w:i/>
          <w:iCs/>
          <w:lang w:val="ru-RU"/>
        </w:rPr>
        <w:t>I</w:t>
      </w:r>
      <w:r w:rsidRPr="00494635">
        <w:rPr>
          <w:lang w:val="ru-RU"/>
        </w:rPr>
        <w:t xml:space="preserve"> Бюро использует сценарий помех для наихудшего случая и учитывает точность поворота и ошибку наведения эллиптических лучей; поэтому рассчитанное значение </w:t>
      </w:r>
      <w:r w:rsidRPr="00494635">
        <w:rPr>
          <w:i/>
          <w:iCs/>
          <w:lang w:val="ru-RU"/>
        </w:rPr>
        <w:t>C</w:t>
      </w:r>
      <w:r w:rsidRPr="00494635">
        <w:rPr>
          <w:lang w:val="ru-RU"/>
        </w:rPr>
        <w:t>/</w:t>
      </w:r>
      <w:r w:rsidRPr="00494635">
        <w:rPr>
          <w:i/>
          <w:iCs/>
          <w:lang w:val="ru-RU"/>
        </w:rPr>
        <w:t>I</w:t>
      </w:r>
      <w:r w:rsidRPr="00494635">
        <w:rPr>
          <w:lang w:val="ru-RU"/>
        </w:rPr>
        <w:t xml:space="preserve"> ниже, чем на самом деле. Таким образом, если по результатам расчетов </w:t>
      </w:r>
      <w:r w:rsidRPr="00494635">
        <w:rPr>
          <w:i/>
          <w:iCs/>
          <w:lang w:val="ru-RU"/>
        </w:rPr>
        <w:t>C</w:t>
      </w:r>
      <w:r w:rsidRPr="00494635">
        <w:rPr>
          <w:lang w:val="ru-RU"/>
        </w:rPr>
        <w:t>/</w:t>
      </w:r>
      <w:r w:rsidRPr="00494635">
        <w:rPr>
          <w:i/>
          <w:iCs/>
          <w:lang w:val="ru-RU"/>
        </w:rPr>
        <w:t>I</w:t>
      </w:r>
      <w:r w:rsidRPr="00494635">
        <w:rPr>
          <w:lang w:val="ru-RU"/>
        </w:rPr>
        <w:t xml:space="preserve"> имеет место совместимость, то в условиях фактической эксплуатации никаких трудностей возникнуть не должно. То же самое верно и в отношении суммарного отношения </w:t>
      </w:r>
      <w:r w:rsidRPr="00494635">
        <w:rPr>
          <w:i/>
          <w:iCs/>
          <w:lang w:val="ru-RU"/>
        </w:rPr>
        <w:t>C</w:t>
      </w:r>
      <w:r w:rsidRPr="00494635">
        <w:rPr>
          <w:lang w:val="ru-RU"/>
        </w:rPr>
        <w:t>/</w:t>
      </w:r>
      <w:r w:rsidRPr="00494635">
        <w:rPr>
          <w:i/>
          <w:iCs/>
          <w:lang w:val="ru-RU"/>
        </w:rPr>
        <w:t>I</w:t>
      </w:r>
      <w:r w:rsidRPr="00494635">
        <w:rPr>
          <w:lang w:val="ru-RU"/>
        </w:rPr>
        <w:t xml:space="preserve">. По мнению экспертов Рабочей группы 4A, для уменьшения помех частотным присвоениям в близлежащих орбитальных позициях можно было бы использовать более крупную антенну фидерной линии. Для улучшения совместимости также можно использовать диаграмму направленности антенны с быстрым спадом. </w:t>
      </w:r>
    </w:p>
    <w:p w14:paraId="0622A90C" w14:textId="77777777" w:rsidR="00A06CB6" w:rsidRPr="00494635" w:rsidRDefault="00A06CB6" w:rsidP="00A06CB6">
      <w:pPr>
        <w:jc w:val="both"/>
        <w:rPr>
          <w:lang w:val="ru-RU"/>
        </w:rPr>
      </w:pPr>
      <w:r w:rsidRPr="00494635">
        <w:rPr>
          <w:lang w:val="ru-RU"/>
        </w:rPr>
        <w:t>3.50</w:t>
      </w:r>
      <w:r w:rsidRPr="00494635">
        <w:rPr>
          <w:lang w:val="ru-RU"/>
        </w:rPr>
        <w:tab/>
      </w:r>
      <w:r w:rsidRPr="00494635">
        <w:rPr>
          <w:b/>
          <w:bCs/>
          <w:lang w:val="ru-RU"/>
        </w:rPr>
        <w:t>Г-н Аззуз</w:t>
      </w:r>
      <w:r w:rsidRPr="00494635">
        <w:rPr>
          <w:lang w:val="ru-RU"/>
        </w:rPr>
        <w:t xml:space="preserve"> заявляет, что Комитету следует поощрять администрации продолжать сотрудничество по координации с заявляющими администрациями, подпадающими под действие Резолюции </w:t>
      </w:r>
      <w:r w:rsidRPr="00494635">
        <w:rPr>
          <w:b/>
          <w:bCs/>
          <w:lang w:val="ru-RU"/>
        </w:rPr>
        <w:t>559</w:t>
      </w:r>
      <w:r w:rsidRPr="00494635">
        <w:rPr>
          <w:lang w:val="ru-RU"/>
        </w:rPr>
        <w:t>, и просить Бюро продолжать оказывать поддержку соответствующим администрациям. Он спрашивает, есть ли какой-нибудь способ упростить подачу представлений по Части B администрациям, которые еще этого не сделали.</w:t>
      </w:r>
    </w:p>
    <w:p w14:paraId="7ABBE62E" w14:textId="77777777" w:rsidR="00A06CB6" w:rsidRPr="00494635" w:rsidRDefault="00A06CB6" w:rsidP="00A06CB6">
      <w:pPr>
        <w:jc w:val="both"/>
        <w:rPr>
          <w:lang w:val="ru-RU"/>
        </w:rPr>
      </w:pPr>
      <w:r w:rsidRPr="00494635">
        <w:rPr>
          <w:lang w:val="ru-RU"/>
        </w:rPr>
        <w:t>3.51</w:t>
      </w:r>
      <w:r w:rsidRPr="00494635">
        <w:rPr>
          <w:lang w:val="ru-RU"/>
        </w:rPr>
        <w:tab/>
      </w:r>
      <w:r w:rsidRPr="00494635">
        <w:rPr>
          <w:b/>
          <w:bCs/>
          <w:lang w:val="ru-RU"/>
        </w:rPr>
        <w:t>Г-н Талиб</w:t>
      </w:r>
      <w:r w:rsidRPr="00494635">
        <w:rPr>
          <w:lang w:val="ru-RU"/>
        </w:rPr>
        <w:t xml:space="preserve"> одобряет предложения Бюро и соглашается с тем, что они должны быть переданы ВКР-23 в отчете Комитета по Резолюции </w:t>
      </w:r>
      <w:r w:rsidRPr="00494635">
        <w:rPr>
          <w:b/>
          <w:bCs/>
          <w:lang w:val="ru-RU"/>
        </w:rPr>
        <w:t>80 (Пересм. ВКР-07)</w:t>
      </w:r>
      <w:r w:rsidRPr="00494635">
        <w:rPr>
          <w:lang w:val="ru-RU"/>
        </w:rPr>
        <w:t>.</w:t>
      </w:r>
    </w:p>
    <w:p w14:paraId="157A7517" w14:textId="77777777" w:rsidR="00A06CB6" w:rsidRPr="00494635" w:rsidRDefault="00A06CB6" w:rsidP="00A06CB6">
      <w:pPr>
        <w:jc w:val="both"/>
        <w:rPr>
          <w:lang w:val="ru-RU"/>
        </w:rPr>
      </w:pPr>
      <w:r w:rsidRPr="00494635">
        <w:rPr>
          <w:lang w:val="ru-RU"/>
        </w:rPr>
        <w:t>3.52</w:t>
      </w:r>
      <w:r w:rsidRPr="00494635">
        <w:rPr>
          <w:lang w:val="ru-RU"/>
        </w:rPr>
        <w:tab/>
      </w:r>
      <w:r w:rsidRPr="00494635">
        <w:rPr>
          <w:b/>
          <w:bCs/>
          <w:lang w:val="ru-RU"/>
        </w:rPr>
        <w:t>Г-н Мчуну</w:t>
      </w:r>
      <w:r w:rsidRPr="00494635">
        <w:rPr>
          <w:lang w:val="ru-RU"/>
        </w:rPr>
        <w:t xml:space="preserve"> благодарит Бюро за предложения и поддерживает их включение в отчет Комитета по Резолюции </w:t>
      </w:r>
      <w:r w:rsidRPr="00494635">
        <w:rPr>
          <w:b/>
          <w:bCs/>
          <w:lang w:val="ru-RU"/>
        </w:rPr>
        <w:t>80 (Пересм. ВКР-07)</w:t>
      </w:r>
      <w:r w:rsidRPr="00494635">
        <w:rPr>
          <w:lang w:val="ru-RU"/>
        </w:rPr>
        <w:t>.</w:t>
      </w:r>
    </w:p>
    <w:p w14:paraId="15EAA8EF" w14:textId="77777777" w:rsidR="00A06CB6" w:rsidRPr="00494635" w:rsidRDefault="00A06CB6" w:rsidP="00A06CB6">
      <w:pPr>
        <w:jc w:val="both"/>
        <w:rPr>
          <w:szCs w:val="22"/>
          <w:lang w:val="ru-RU"/>
        </w:rPr>
      </w:pPr>
      <w:r w:rsidRPr="00494635">
        <w:rPr>
          <w:szCs w:val="22"/>
          <w:lang w:val="ru-RU"/>
        </w:rPr>
        <w:t>3.53</w:t>
      </w:r>
      <w:r w:rsidRPr="00494635">
        <w:rPr>
          <w:szCs w:val="22"/>
          <w:lang w:val="ru-RU"/>
        </w:rPr>
        <w:tab/>
      </w:r>
      <w:r w:rsidRPr="00494635">
        <w:rPr>
          <w:b/>
          <w:bCs/>
          <w:szCs w:val="22"/>
          <w:lang w:val="ru-RU"/>
        </w:rPr>
        <w:t>Председатель</w:t>
      </w:r>
      <w:r w:rsidRPr="00494635">
        <w:rPr>
          <w:szCs w:val="22"/>
          <w:lang w:val="ru-RU"/>
        </w:rPr>
        <w:t xml:space="preserve"> предлагает Комитету сделать по данному вопросу следующее заключение:</w:t>
      </w:r>
    </w:p>
    <w:p w14:paraId="665F876D" w14:textId="77777777" w:rsidR="00A06CB6" w:rsidRPr="00494635" w:rsidRDefault="00A06CB6" w:rsidP="00A06CB6">
      <w:pPr>
        <w:jc w:val="both"/>
        <w:rPr>
          <w:szCs w:val="22"/>
          <w:lang w:val="ru-RU"/>
        </w:rPr>
      </w:pPr>
      <w:r w:rsidRPr="00494635">
        <w:rPr>
          <w:szCs w:val="22"/>
          <w:lang w:val="ru-RU"/>
        </w:rPr>
        <w:t>"Рассмотрев Дополнительный документ 4 к Документу RRB22-3/5, в котором содержится отчет о ходе работы по выполнению Резолюции </w:t>
      </w:r>
      <w:r w:rsidRPr="00494635">
        <w:rPr>
          <w:b/>
          <w:bCs/>
          <w:szCs w:val="22"/>
          <w:lang w:val="ru-RU"/>
        </w:rPr>
        <w:t>559 (ВКР-19)</w:t>
      </w:r>
      <w:r w:rsidRPr="00494635">
        <w:rPr>
          <w:szCs w:val="22"/>
          <w:lang w:val="ru-RU"/>
        </w:rPr>
        <w:t>, Комитет выразил Бюро признательность за продолжение поддержки заявляющих администраций согласно Резолюции </w:t>
      </w:r>
      <w:r w:rsidRPr="00494635">
        <w:rPr>
          <w:b/>
          <w:bCs/>
          <w:szCs w:val="22"/>
          <w:lang w:val="ru-RU"/>
        </w:rPr>
        <w:t xml:space="preserve">559 (ВКР-19) </w:t>
      </w:r>
      <w:r w:rsidRPr="00494635">
        <w:rPr>
          <w:szCs w:val="22"/>
          <w:lang w:val="ru-RU"/>
        </w:rPr>
        <w:t>и выполнение этой Резолюции. Комитет отметил, что Рабочая группа 4A МСЭ-R согласилась на своем собрании в сентябре 2022 года с предложением Бюро. Комитет решил добиваться одобрения этих мер от ВКР-23 путем включения следующего пункта в отчет по Резолюции </w:t>
      </w:r>
      <w:r w:rsidRPr="00494635">
        <w:rPr>
          <w:b/>
          <w:bCs/>
          <w:szCs w:val="22"/>
          <w:lang w:val="ru-RU"/>
        </w:rPr>
        <w:t>80</w:t>
      </w:r>
      <w:r w:rsidRPr="00494635">
        <w:rPr>
          <w:szCs w:val="22"/>
          <w:lang w:val="ru-RU"/>
        </w:rPr>
        <w:t xml:space="preserve"> </w:t>
      </w:r>
      <w:r w:rsidRPr="00494635">
        <w:rPr>
          <w:b/>
          <w:bCs/>
          <w:szCs w:val="22"/>
          <w:lang w:val="ru-RU"/>
        </w:rPr>
        <w:t>(Пересм. ВКР-07)</w:t>
      </w:r>
      <w:r w:rsidRPr="00494635">
        <w:rPr>
          <w:szCs w:val="22"/>
          <w:lang w:val="ru-RU"/>
        </w:rPr>
        <w:t xml:space="preserve"> для ВКР-23: "</w:t>
      </w:r>
      <w:r w:rsidRPr="00494635">
        <w:rPr>
          <w:i/>
          <w:szCs w:val="22"/>
          <w:lang w:val="ru-RU" w:eastAsia="it-IT"/>
        </w:rPr>
        <w:t xml:space="preserve">что для случаев, когда отношение несущей к единичной помехе в направлении космос-Земля превышает значение 21 дБ и отношение несущей к единичной помехе в направлении Земля-космос превышает значение 30 дБ, представления согласно Рез. 559 и соответствующие частотные присвоения Плана для Районов 1 и 3 рассматривались бы как совместимые. Для того чтобы сохранить для таких совместимых случаев тот же уровень защиты частотных присвоений Плана для Районов 1 и 3 от поступающих представлений в соответствии со Статьей 4, следует не </w:t>
      </w:r>
      <w:r w:rsidRPr="00494635">
        <w:rPr>
          <w:i/>
          <w:szCs w:val="22"/>
          <w:lang w:val="ru-RU" w:eastAsia="it-IT"/>
        </w:rPr>
        <w:lastRenderedPageBreak/>
        <w:t>обновлять эталонную ситуацию для этих частотных присвоений Плана для Районов 1 и 3, когда частотные присвоения согласно Рез.</w:t>
      </w:r>
      <w:r w:rsidRPr="00494635">
        <w:rPr>
          <w:i/>
          <w:szCs w:val="22"/>
          <w:lang w:val="ru-RU"/>
        </w:rPr>
        <w:t> </w:t>
      </w:r>
      <w:r w:rsidRPr="00494635">
        <w:rPr>
          <w:i/>
          <w:szCs w:val="22"/>
          <w:lang w:val="ru-RU" w:eastAsia="it-IT"/>
        </w:rPr>
        <w:t>559 в Списке будут включены в Планы</w:t>
      </w:r>
      <w:r w:rsidRPr="00494635">
        <w:rPr>
          <w:szCs w:val="22"/>
          <w:lang w:val="ru-RU"/>
        </w:rPr>
        <w:t>".</w:t>
      </w:r>
    </w:p>
    <w:p w14:paraId="79DB600C" w14:textId="77777777" w:rsidR="00A06CB6" w:rsidRPr="00494635" w:rsidRDefault="00A06CB6" w:rsidP="00A06CB6">
      <w:pPr>
        <w:jc w:val="both"/>
        <w:rPr>
          <w:szCs w:val="22"/>
          <w:lang w:val="ru-RU"/>
        </w:rPr>
      </w:pPr>
      <w:r w:rsidRPr="00494635">
        <w:rPr>
          <w:szCs w:val="22"/>
          <w:lang w:val="ru-RU"/>
        </w:rPr>
        <w:t>Комитет настоятельно рекомендовал администрациям продолжать сотрудничать в рамках деятельности по координации, с тем чтобы заявляющие администрации представлений согласно Резолюции </w:t>
      </w:r>
      <w:r w:rsidRPr="00494635">
        <w:rPr>
          <w:b/>
          <w:szCs w:val="22"/>
          <w:lang w:val="ru-RU"/>
        </w:rPr>
        <w:t>559 (Пересм. ВКР</w:t>
      </w:r>
      <w:r w:rsidRPr="00494635">
        <w:rPr>
          <w:b/>
          <w:szCs w:val="22"/>
          <w:lang w:val="ru-RU"/>
        </w:rPr>
        <w:noBreakHyphen/>
        <w:t>19)</w:t>
      </w:r>
      <w:r w:rsidRPr="00494635">
        <w:rPr>
          <w:szCs w:val="22"/>
          <w:lang w:val="ru-RU"/>
        </w:rPr>
        <w:t xml:space="preserve"> могли </w:t>
      </w:r>
      <w:r w:rsidRPr="00494635">
        <w:rPr>
          <w:lang w:val="ru-RU"/>
        </w:rPr>
        <w:t>представить</w:t>
      </w:r>
      <w:r w:rsidRPr="00494635">
        <w:rPr>
          <w:szCs w:val="22"/>
          <w:lang w:val="ru-RU"/>
        </w:rPr>
        <w:t xml:space="preserve"> свои заявки на включение в Планы радиовещательной спутниковой службы (РСС) ко времени проведения ВКР-23. Кроме того, Комитет поручил Бюро продолжать оказывать поддержку усилиям администраций и представить отчет о достигнутых результатах следующему собранию Комитета".</w:t>
      </w:r>
    </w:p>
    <w:p w14:paraId="7000AB6F" w14:textId="77777777" w:rsidR="00A06CB6" w:rsidRPr="00494635" w:rsidRDefault="00A06CB6" w:rsidP="00A06CB6">
      <w:pPr>
        <w:jc w:val="both"/>
        <w:rPr>
          <w:lang w:val="ru-RU"/>
        </w:rPr>
      </w:pPr>
      <w:r w:rsidRPr="00494635">
        <w:rPr>
          <w:lang w:val="ru-RU"/>
        </w:rPr>
        <w:t>3.54</w:t>
      </w:r>
      <w:r w:rsidRPr="00494635">
        <w:rPr>
          <w:lang w:val="ru-RU"/>
        </w:rPr>
        <w:tab/>
        <w:t xml:space="preserve">Предложение </w:t>
      </w:r>
      <w:r w:rsidRPr="00494635">
        <w:rPr>
          <w:b/>
          <w:bCs/>
          <w:lang w:val="ru-RU"/>
        </w:rPr>
        <w:t>принимается</w:t>
      </w:r>
      <w:r w:rsidRPr="00494635">
        <w:rPr>
          <w:lang w:val="ru-RU" w:eastAsia="zh-CN"/>
        </w:rPr>
        <w:t>.</w:t>
      </w:r>
    </w:p>
    <w:p w14:paraId="64BDC3EC" w14:textId="77777777" w:rsidR="00A06CB6" w:rsidRPr="00494635" w:rsidRDefault="00A06CB6" w:rsidP="00A06CB6">
      <w:pPr>
        <w:pStyle w:val="Headingb"/>
        <w:jc w:val="both"/>
        <w:rPr>
          <w:lang w:val="ru-RU" w:eastAsia="zh-CN"/>
        </w:rPr>
      </w:pPr>
      <w:r w:rsidRPr="00494635">
        <w:rPr>
          <w:lang w:val="ru-RU" w:eastAsia="zh-CN"/>
        </w:rPr>
        <w:t xml:space="preserve">Вредные помехи спутникам в позиции 128° в. д. (Дополнительный документ 8 к Документу RRB22-3/5) </w:t>
      </w:r>
    </w:p>
    <w:p w14:paraId="5F1225A6" w14:textId="77777777" w:rsidR="00A06CB6" w:rsidRPr="00494635" w:rsidRDefault="00A06CB6" w:rsidP="00A06CB6">
      <w:pPr>
        <w:jc w:val="both"/>
        <w:rPr>
          <w:lang w:val="ru-RU"/>
        </w:rPr>
      </w:pPr>
      <w:r w:rsidRPr="00494635">
        <w:rPr>
          <w:lang w:val="ru-RU"/>
        </w:rPr>
        <w:t>3.55</w:t>
      </w:r>
      <w:r w:rsidRPr="00494635">
        <w:rPr>
          <w:lang w:val="ru-RU"/>
        </w:rPr>
        <w:tab/>
      </w:r>
      <w:r w:rsidRPr="00494635">
        <w:rPr>
          <w:b/>
          <w:bCs/>
          <w:lang w:val="ru-RU"/>
        </w:rPr>
        <w:t>Г-н Валле (руководитель SSD)</w:t>
      </w:r>
      <w:r w:rsidRPr="00494635">
        <w:rPr>
          <w:lang w:val="ru-RU"/>
        </w:rPr>
        <w:t>, представляя Дополнительный документ 8 к Документу RRB22-3/5, сообщает, что вредные помехи, создаваемые японским спутниковым сетям в позиции 128° в. д., прекратились. На состоявшемся в октябре 2022 года онлайновом собрании, которое проводилось во исполнение решения Комитета, принятого на его 90-м собрании, и при участии Бюро, администрации Российской Федерации и Японии создали механизм, обеспечивающий оперативную связь между ними на случай, если такие помехи возникнут вновь. Этот механизм был задействован на прошлой неделе, когда помехи повторилось. Даже при том, что помехи исчезли через 20 минут, две администрации немедленно вступили в связь, используя вышеупомянутый механизм. С тех пор помехи больше не возникали; однако, поскольку источник помех не был идентифицирован, нет гарантии, что они не повторятся. Вместе с тем на данном этапе Комитет может считать это дело закрытым.</w:t>
      </w:r>
    </w:p>
    <w:p w14:paraId="563B473E" w14:textId="77777777" w:rsidR="00A06CB6" w:rsidRPr="00494635" w:rsidRDefault="00A06CB6" w:rsidP="00A06CB6">
      <w:pPr>
        <w:jc w:val="both"/>
        <w:rPr>
          <w:lang w:val="ru-RU"/>
        </w:rPr>
      </w:pPr>
      <w:r w:rsidRPr="00494635">
        <w:rPr>
          <w:lang w:val="ru-RU"/>
        </w:rPr>
        <w:t>3.56</w:t>
      </w:r>
      <w:r w:rsidRPr="00494635">
        <w:rPr>
          <w:lang w:val="ru-RU"/>
        </w:rPr>
        <w:tab/>
      </w:r>
      <w:r w:rsidRPr="00494635">
        <w:rPr>
          <w:b/>
          <w:bCs/>
          <w:lang w:val="ru-RU"/>
        </w:rPr>
        <w:t>Г-н Борхон</w:t>
      </w:r>
      <w:r w:rsidRPr="00494635">
        <w:rPr>
          <w:lang w:val="ru-RU"/>
        </w:rPr>
        <w:t xml:space="preserve"> заявляет, что он благодарен двум заинтересованным администрациям за позитивный дух сотрудничества, который они проявили при устранении вредных помех. Тот факт, что они нашли быстрый способ связываться друг с другом, показывает, что проблемы могут решаться быстро и что присутствие Бюро полезно.</w:t>
      </w:r>
    </w:p>
    <w:p w14:paraId="3B28EB9E" w14:textId="77777777" w:rsidR="00A06CB6" w:rsidRPr="00494635" w:rsidRDefault="00A06CB6" w:rsidP="00A06CB6">
      <w:pPr>
        <w:jc w:val="both"/>
        <w:rPr>
          <w:lang w:val="ru-RU"/>
        </w:rPr>
      </w:pPr>
      <w:r w:rsidRPr="00494635">
        <w:rPr>
          <w:lang w:val="ru-RU"/>
        </w:rPr>
        <w:t>3.57</w:t>
      </w:r>
      <w:r w:rsidRPr="00494635">
        <w:rPr>
          <w:lang w:val="ru-RU"/>
        </w:rPr>
        <w:tab/>
      </w:r>
      <w:r w:rsidRPr="00494635">
        <w:rPr>
          <w:b/>
          <w:bCs/>
          <w:lang w:val="ru-RU"/>
        </w:rPr>
        <w:t>Г-жа Гасанова</w:t>
      </w:r>
      <w:r w:rsidRPr="00494635">
        <w:rPr>
          <w:lang w:val="ru-RU"/>
        </w:rPr>
        <w:t xml:space="preserve"> также благодарит обе администрации за позитивный дух сотрудничества и просит Бюро представить обновленную информацию о ситуации 92-му собранию Комитета.</w:t>
      </w:r>
    </w:p>
    <w:p w14:paraId="2BE3DAED" w14:textId="77777777" w:rsidR="00A06CB6" w:rsidRPr="00494635" w:rsidRDefault="00A06CB6" w:rsidP="00A06CB6">
      <w:pPr>
        <w:jc w:val="both"/>
        <w:rPr>
          <w:lang w:val="ru-RU"/>
        </w:rPr>
      </w:pPr>
      <w:r w:rsidRPr="00494635">
        <w:rPr>
          <w:lang w:val="ru-RU"/>
        </w:rPr>
        <w:t>3.58</w:t>
      </w:r>
      <w:r w:rsidRPr="00494635">
        <w:rPr>
          <w:lang w:val="ru-RU"/>
        </w:rPr>
        <w:tab/>
      </w:r>
      <w:r w:rsidRPr="00494635">
        <w:rPr>
          <w:b/>
          <w:bCs/>
          <w:lang w:val="ru-RU"/>
        </w:rPr>
        <w:t>Г-н Хоан</w:t>
      </w:r>
      <w:r w:rsidRPr="00494635">
        <w:rPr>
          <w:lang w:val="ru-RU"/>
        </w:rPr>
        <w:t xml:space="preserve"> также дает высокую оценку обеим администрациям за проявленное сотрудничество и добрую волю, но по-прежнему обеспокоен тем, что источник помех не был идентифицирован.</w:t>
      </w:r>
    </w:p>
    <w:p w14:paraId="5F52775C" w14:textId="77777777" w:rsidR="00A06CB6" w:rsidRPr="00494635" w:rsidRDefault="00A06CB6" w:rsidP="00A06CB6">
      <w:pPr>
        <w:jc w:val="both"/>
        <w:rPr>
          <w:lang w:val="ru-RU"/>
        </w:rPr>
      </w:pPr>
      <w:r w:rsidRPr="00494635">
        <w:rPr>
          <w:lang w:val="ru-RU"/>
        </w:rPr>
        <w:t>3.59</w:t>
      </w:r>
      <w:r w:rsidRPr="00494635">
        <w:rPr>
          <w:lang w:val="ru-RU"/>
        </w:rPr>
        <w:tab/>
      </w:r>
      <w:r w:rsidRPr="00494635">
        <w:rPr>
          <w:b/>
          <w:bCs/>
          <w:lang w:val="ru-RU"/>
        </w:rPr>
        <w:t>Г-н Талиб</w:t>
      </w:r>
      <w:r w:rsidRPr="00494635">
        <w:rPr>
          <w:lang w:val="ru-RU"/>
        </w:rPr>
        <w:t xml:space="preserve"> также благодарит обе администрации за дух сотрудничества, который они продемонстрировали, создав канал связи. Что касается вероятности дальнейших случаев помех, он уверен, что благодаря хорошей координации и техническим инструментам Бюро и ряда администраций, которые оказывают помощь, источник будет идентифицирован и отключен. Он выражает поддержку дальнейшей координации между двумя администрациями.</w:t>
      </w:r>
    </w:p>
    <w:p w14:paraId="79B9E646" w14:textId="77777777" w:rsidR="00A06CB6" w:rsidRPr="00494635" w:rsidRDefault="00A06CB6" w:rsidP="00A06CB6">
      <w:pPr>
        <w:jc w:val="both"/>
        <w:rPr>
          <w:lang w:val="ru-RU"/>
        </w:rPr>
      </w:pPr>
      <w:r w:rsidRPr="00494635">
        <w:rPr>
          <w:lang w:val="ru-RU"/>
        </w:rPr>
        <w:t>3.60</w:t>
      </w:r>
      <w:r w:rsidRPr="00494635">
        <w:rPr>
          <w:lang w:val="ru-RU"/>
        </w:rPr>
        <w:tab/>
      </w:r>
      <w:r w:rsidRPr="00494635">
        <w:rPr>
          <w:b/>
          <w:bCs/>
          <w:lang w:val="ru-RU"/>
        </w:rPr>
        <w:t>Г-н Аззуз</w:t>
      </w:r>
      <w:r w:rsidRPr="00494635">
        <w:rPr>
          <w:lang w:val="ru-RU"/>
        </w:rPr>
        <w:t xml:space="preserve"> также благодарит обе администрации за сотрудничество по вопросу точной геолокации. Следует настоятельно рекомендовать администрациям продолжать координацию, а Бюро – продолжать оказывать помощь в разрешении будущих случаев помех.</w:t>
      </w:r>
    </w:p>
    <w:p w14:paraId="6BC4142C" w14:textId="77777777" w:rsidR="00A06CB6" w:rsidRPr="00494635" w:rsidRDefault="00A06CB6" w:rsidP="00A06CB6">
      <w:pPr>
        <w:jc w:val="both"/>
        <w:rPr>
          <w:szCs w:val="22"/>
          <w:lang w:val="ru-RU"/>
        </w:rPr>
      </w:pPr>
      <w:r w:rsidRPr="00494635">
        <w:rPr>
          <w:szCs w:val="22"/>
          <w:lang w:val="ru-RU"/>
        </w:rPr>
        <w:t>3.61</w:t>
      </w:r>
      <w:r w:rsidRPr="00494635">
        <w:rPr>
          <w:szCs w:val="22"/>
          <w:lang w:val="ru-RU"/>
        </w:rPr>
        <w:tab/>
      </w:r>
      <w:r w:rsidRPr="00494635">
        <w:rPr>
          <w:b/>
          <w:bCs/>
          <w:szCs w:val="22"/>
          <w:lang w:val="ru-RU"/>
        </w:rPr>
        <w:t>Председатель</w:t>
      </w:r>
      <w:r w:rsidRPr="00494635">
        <w:rPr>
          <w:szCs w:val="22"/>
          <w:lang w:val="ru-RU"/>
        </w:rPr>
        <w:t xml:space="preserve"> предлагает Комитету сделать по данному вопросу следующее заключение:</w:t>
      </w:r>
    </w:p>
    <w:p w14:paraId="5C46C8DB" w14:textId="77777777" w:rsidR="00A06CB6" w:rsidRPr="00494635" w:rsidRDefault="00A06CB6" w:rsidP="00A06CB6">
      <w:pPr>
        <w:jc w:val="both"/>
        <w:rPr>
          <w:szCs w:val="22"/>
          <w:lang w:val="ru-RU"/>
        </w:rPr>
      </w:pPr>
      <w:r w:rsidRPr="00494635">
        <w:rPr>
          <w:szCs w:val="22"/>
          <w:lang w:val="ru-RU"/>
        </w:rPr>
        <w:t xml:space="preserve">"Рассмотрев Дополнительный документ 8 к Документу RRB22-3/5, в котором сообщается о прогрессе, достигнутом в отношении </w:t>
      </w:r>
      <w:r w:rsidRPr="00494635">
        <w:rPr>
          <w:lang w:val="ru-RU"/>
        </w:rPr>
        <w:t>вредных</w:t>
      </w:r>
      <w:r w:rsidRPr="00494635">
        <w:rPr>
          <w:szCs w:val="22"/>
          <w:lang w:val="ru-RU"/>
        </w:rPr>
        <w:t xml:space="preserve"> помех, которые испытывают спутниковые сети Японии, расположенные в позиции 128° в. д., Комитет с удовлетворением отметил, что вредные помехи прекратились и что администрации Японии и Российской Федерации согласовали механизм оперативной связи в случае повторного появления вредных помех, с тем чтобы можно было оперативно решить этот вопрос. Комитет выразил признательность обеим администрациям за дух сотрудничества и доброй воли, проявленный в ходе разрешения случая вредных помех, а также Бюро за его усилия по оказанию помощи двум администрациям и созыву их онлайнового собрания".</w:t>
      </w:r>
    </w:p>
    <w:p w14:paraId="2294508D" w14:textId="77777777" w:rsidR="00A06CB6" w:rsidRPr="00494635" w:rsidRDefault="00A06CB6" w:rsidP="00A06CB6">
      <w:pPr>
        <w:jc w:val="both"/>
        <w:rPr>
          <w:lang w:val="ru-RU"/>
        </w:rPr>
      </w:pPr>
      <w:r w:rsidRPr="00494635">
        <w:rPr>
          <w:lang w:val="ru-RU"/>
        </w:rPr>
        <w:t>3.62</w:t>
      </w:r>
      <w:r w:rsidRPr="00494635">
        <w:rPr>
          <w:lang w:val="ru-RU"/>
        </w:rPr>
        <w:tab/>
        <w:t xml:space="preserve">Предложение </w:t>
      </w:r>
      <w:r w:rsidRPr="00494635">
        <w:rPr>
          <w:b/>
          <w:bCs/>
          <w:lang w:val="ru-RU"/>
        </w:rPr>
        <w:t>принимается</w:t>
      </w:r>
      <w:r w:rsidRPr="00494635">
        <w:rPr>
          <w:lang w:val="ru-RU" w:eastAsia="zh-CN"/>
        </w:rPr>
        <w:t>.</w:t>
      </w:r>
    </w:p>
    <w:p w14:paraId="2EE306A4" w14:textId="77777777" w:rsidR="00A06CB6" w:rsidRPr="00494635" w:rsidRDefault="00A06CB6" w:rsidP="00A06CB6">
      <w:pPr>
        <w:pStyle w:val="Headingb"/>
        <w:jc w:val="both"/>
        <w:rPr>
          <w:lang w:val="ru-RU"/>
        </w:rPr>
      </w:pPr>
      <w:r w:rsidRPr="00494635">
        <w:rPr>
          <w:lang w:val="ru-RU"/>
        </w:rPr>
        <w:lastRenderedPageBreak/>
        <w:t>Деятельность по координации между администрациями Франции и Греции в отношении спутниковых сетей ATHENA-FIDUS-38E в позиции 38° в. д. и HELLAS-SAT-2G в позиции 39° в. д. (Дополнительный документ 9 к Документу RRB22-3/5)</w:t>
      </w:r>
    </w:p>
    <w:p w14:paraId="56829E1D" w14:textId="77777777" w:rsidR="00A06CB6" w:rsidRPr="00494635" w:rsidRDefault="00A06CB6" w:rsidP="00A06CB6">
      <w:pPr>
        <w:jc w:val="both"/>
        <w:rPr>
          <w:lang w:val="ru-RU"/>
        </w:rPr>
      </w:pPr>
      <w:r w:rsidRPr="00494635">
        <w:rPr>
          <w:lang w:val="ru-RU"/>
        </w:rPr>
        <w:t>3.63</w:t>
      </w:r>
      <w:r w:rsidRPr="00494635">
        <w:rPr>
          <w:lang w:val="ru-RU"/>
        </w:rPr>
        <w:tab/>
      </w:r>
      <w:r w:rsidRPr="00494635">
        <w:rPr>
          <w:b/>
          <w:bCs/>
          <w:lang w:val="ru-RU"/>
        </w:rPr>
        <w:t>Г-н Валле (руководитель SSD)</w:t>
      </w:r>
      <w:r w:rsidRPr="00494635">
        <w:rPr>
          <w:lang w:val="ru-RU"/>
        </w:rPr>
        <w:t>, представляя Дополнительный документ 9 к Документу RRB22-3/5, говорит, что после предыдущего собрания Комитета администрации Франции и Греции встречались дважды; Бюро участвовало в обоих собраниях. Был согласован проект соглашения о частичной координации, официально оформляющего условия координации, связанные со случаями, по которым обсуждения были завершены; еще предстоит принять решение о том, какие случаи включать. По крайней мере один случай будет сложно решить, поскольку в обеих позициях используются малые антенны, и он может потребовать обратной связи по эксплуатационным вопросам.</w:t>
      </w:r>
    </w:p>
    <w:p w14:paraId="6BF8A4E3" w14:textId="77777777" w:rsidR="00A06CB6" w:rsidRPr="00494635" w:rsidRDefault="00A06CB6" w:rsidP="00A06CB6">
      <w:pPr>
        <w:jc w:val="both"/>
        <w:rPr>
          <w:lang w:val="ru-RU"/>
        </w:rPr>
      </w:pPr>
      <w:r w:rsidRPr="00494635">
        <w:rPr>
          <w:lang w:val="ru-RU"/>
        </w:rPr>
        <w:t>3.64</w:t>
      </w:r>
      <w:r w:rsidRPr="00494635">
        <w:rPr>
          <w:lang w:val="ru-RU"/>
        </w:rPr>
        <w:tab/>
      </w:r>
      <w:r w:rsidRPr="00494635">
        <w:rPr>
          <w:b/>
          <w:bCs/>
          <w:lang w:val="ru-RU"/>
        </w:rPr>
        <w:t>Г-н Талиб</w:t>
      </w:r>
      <w:r w:rsidRPr="00494635">
        <w:rPr>
          <w:lang w:val="ru-RU"/>
        </w:rPr>
        <w:t xml:space="preserve"> дает высокую оценку результатам проведенных собраний администраций и призывает заключить соглашение о полной координации.</w:t>
      </w:r>
    </w:p>
    <w:p w14:paraId="3CDA76F3" w14:textId="77777777" w:rsidR="00A06CB6" w:rsidRPr="00494635" w:rsidRDefault="00A06CB6" w:rsidP="00A06CB6">
      <w:pPr>
        <w:jc w:val="both"/>
        <w:rPr>
          <w:lang w:val="ru-RU"/>
        </w:rPr>
      </w:pPr>
      <w:r w:rsidRPr="00494635">
        <w:rPr>
          <w:lang w:val="ru-RU"/>
        </w:rPr>
        <w:t>3.65</w:t>
      </w:r>
      <w:r w:rsidRPr="00494635">
        <w:rPr>
          <w:lang w:val="ru-RU"/>
        </w:rPr>
        <w:tab/>
      </w:r>
      <w:r w:rsidRPr="00494635">
        <w:rPr>
          <w:b/>
          <w:bCs/>
          <w:lang w:val="ru-RU"/>
        </w:rPr>
        <w:t>Г-н Хасимото</w:t>
      </w:r>
      <w:r w:rsidRPr="00494635">
        <w:rPr>
          <w:lang w:val="ru-RU"/>
        </w:rPr>
        <w:t xml:space="preserve"> считает, что ситуация постепенно идет в верном направлении, и выражает надежду, что администрации выработают окончательное соглашение в ближайшее время.</w:t>
      </w:r>
    </w:p>
    <w:p w14:paraId="24122411" w14:textId="77777777" w:rsidR="00A06CB6" w:rsidRPr="00494635" w:rsidRDefault="00A06CB6" w:rsidP="00A06CB6">
      <w:pPr>
        <w:jc w:val="both"/>
        <w:rPr>
          <w:lang w:val="ru-RU"/>
        </w:rPr>
      </w:pPr>
      <w:r w:rsidRPr="00494635">
        <w:rPr>
          <w:szCs w:val="24"/>
          <w:lang w:val="ru-RU"/>
        </w:rPr>
        <w:t>3.66</w:t>
      </w:r>
      <w:r w:rsidRPr="00494635">
        <w:rPr>
          <w:lang w:val="ru-RU"/>
        </w:rPr>
        <w:tab/>
        <w:t xml:space="preserve">Рассмотрев Дополнительный документ 9 к Документу RRB22-3/5, в котором сообщается о </w:t>
      </w:r>
      <w:r w:rsidRPr="00494635">
        <w:rPr>
          <w:lang w:val="ru-RU" w:eastAsia="zh-CN"/>
        </w:rPr>
        <w:t>деятельности по координации между администрациями Франции и Греции в отношении спутниковых сетей ATHENA-FIDUS-38E в позиции 38° в. д. и HELLAS-SAT-2G в позиции 39° в. д.,</w:t>
      </w:r>
      <w:r w:rsidRPr="00494635">
        <w:rPr>
          <w:lang w:val="ru-RU"/>
        </w:rPr>
        <w:t xml:space="preserve"> Комитет с удовлетворением </w:t>
      </w:r>
      <w:r w:rsidRPr="00494635">
        <w:rPr>
          <w:b/>
          <w:bCs/>
          <w:lang w:val="ru-RU"/>
        </w:rPr>
        <w:t>отмечает</w:t>
      </w:r>
      <w:r w:rsidRPr="00494635">
        <w:rPr>
          <w:lang w:val="ru-RU"/>
        </w:rPr>
        <w:t xml:space="preserve"> прогресс, достигнутый двумя администрациями в их деятельности по координации; проведение двух собраний по координации, в июле и сентябре 2022 года, при поддержке Бюро; и завершение подготовки проекта соглашения о частичной координации, официально оформляющего условия координации, связанные со случаями, по которым обсуждения были завершены. Комитет </w:t>
      </w:r>
      <w:r w:rsidRPr="00494635">
        <w:rPr>
          <w:b/>
          <w:bCs/>
          <w:lang w:val="ru-RU"/>
        </w:rPr>
        <w:t>выражает признательность</w:t>
      </w:r>
      <w:r w:rsidRPr="00494635">
        <w:rPr>
          <w:lang w:val="ru-RU"/>
        </w:rPr>
        <w:t xml:space="preserve"> Бюро за его усилия по обеспечению поддержки двум администрациям в их деятельности по координации и настоятельно рекомендует обеим администрациям продолжать эту деятельность в духе доброй воли. </w:t>
      </w:r>
      <w:r w:rsidRPr="00494635">
        <w:rPr>
          <w:lang w:val="ru-RU" w:eastAsia="zh-CN"/>
        </w:rPr>
        <w:t xml:space="preserve">Комитет </w:t>
      </w:r>
      <w:r w:rsidRPr="00494635">
        <w:rPr>
          <w:b/>
          <w:lang w:val="ru-RU" w:eastAsia="zh-CN"/>
        </w:rPr>
        <w:t>поручает</w:t>
      </w:r>
      <w:r w:rsidRPr="00494635">
        <w:rPr>
          <w:lang w:val="ru-RU" w:eastAsia="zh-CN"/>
        </w:rPr>
        <w:t xml:space="preserve"> Бюро продолжать оказывать двум </w:t>
      </w:r>
      <w:r w:rsidRPr="00494635">
        <w:rPr>
          <w:lang w:val="ru-RU"/>
        </w:rPr>
        <w:t>администрациям</w:t>
      </w:r>
      <w:r w:rsidRPr="00494635">
        <w:rPr>
          <w:lang w:val="ru-RU" w:eastAsia="zh-CN"/>
        </w:rPr>
        <w:t xml:space="preserve"> поддержку в их деятельности по координации и представить отчет о достигнутых результатах следующему собранию Комитета</w:t>
      </w:r>
      <w:r w:rsidRPr="00494635">
        <w:rPr>
          <w:lang w:val="ru-RU"/>
        </w:rPr>
        <w:t>.</w:t>
      </w:r>
    </w:p>
    <w:p w14:paraId="66FE6735" w14:textId="77777777" w:rsidR="00A06CB6" w:rsidRPr="00494635" w:rsidRDefault="00A06CB6" w:rsidP="00A06CB6">
      <w:pPr>
        <w:jc w:val="both"/>
        <w:rPr>
          <w:lang w:val="ru-RU" w:eastAsia="zh-CN"/>
        </w:rPr>
      </w:pPr>
      <w:r w:rsidRPr="00494635">
        <w:rPr>
          <w:szCs w:val="24"/>
          <w:lang w:val="ru-RU"/>
        </w:rPr>
        <w:t>3.67</w:t>
      </w:r>
      <w:r w:rsidRPr="00494635">
        <w:rPr>
          <w:szCs w:val="24"/>
          <w:lang w:val="ru-RU"/>
        </w:rPr>
        <w:tab/>
      </w:r>
      <w:r w:rsidRPr="00494635">
        <w:rPr>
          <w:lang w:val="ru-RU" w:eastAsia="zh-CN"/>
        </w:rPr>
        <w:t xml:space="preserve">Подробно рассмотрев </w:t>
      </w:r>
      <w:r w:rsidRPr="00494635">
        <w:rPr>
          <w:lang w:val="ru-RU"/>
        </w:rPr>
        <w:t>отчет Директора, содержащийся в Документах RRB22-3/5 и RRB22</w:t>
      </w:r>
      <w:r w:rsidRPr="00494635">
        <w:rPr>
          <w:lang w:val="ru-RU"/>
        </w:rPr>
        <w:noBreakHyphen/>
        <w:t xml:space="preserve">3/5(Corr.1) и Дополнительных документах к нему начиная с 1(Rev.1) по 9, Комитет </w:t>
      </w:r>
      <w:r w:rsidRPr="00494635">
        <w:rPr>
          <w:b/>
          <w:bCs/>
          <w:lang w:val="ru-RU"/>
        </w:rPr>
        <w:t>выражает благодарность</w:t>
      </w:r>
      <w:r w:rsidRPr="00494635">
        <w:rPr>
          <w:lang w:val="ru-RU"/>
        </w:rPr>
        <w:t xml:space="preserve"> Бюро за предоставленную информацию</w:t>
      </w:r>
      <w:r w:rsidRPr="00494635">
        <w:rPr>
          <w:lang w:val="ru-RU" w:eastAsia="zh-CN"/>
        </w:rPr>
        <w:t>.</w:t>
      </w:r>
    </w:p>
    <w:p w14:paraId="48CA3D96" w14:textId="77777777" w:rsidR="00A06CB6" w:rsidRPr="00494635" w:rsidRDefault="00A06CB6" w:rsidP="00A06CB6">
      <w:pPr>
        <w:pStyle w:val="Heading1"/>
        <w:jc w:val="both"/>
        <w:rPr>
          <w:lang w:val="ru-RU"/>
        </w:rPr>
      </w:pPr>
      <w:r w:rsidRPr="00494635">
        <w:rPr>
          <w:lang w:val="ru-RU"/>
        </w:rPr>
        <w:t>4</w:t>
      </w:r>
      <w:r w:rsidRPr="00494635">
        <w:rPr>
          <w:lang w:val="ru-RU"/>
        </w:rPr>
        <w:tab/>
        <w:t>Правила процедуры</w:t>
      </w:r>
    </w:p>
    <w:p w14:paraId="11A97B76" w14:textId="77777777" w:rsidR="00A06CB6" w:rsidRPr="00494635" w:rsidRDefault="00A06CB6" w:rsidP="00A06CB6">
      <w:pPr>
        <w:pStyle w:val="Heading2"/>
        <w:jc w:val="both"/>
        <w:rPr>
          <w:lang w:val="ru-RU"/>
        </w:rPr>
      </w:pPr>
      <w:r w:rsidRPr="00494635">
        <w:rPr>
          <w:lang w:val="ru-RU"/>
        </w:rPr>
        <w:t>4.1</w:t>
      </w:r>
      <w:r w:rsidRPr="00494635">
        <w:rPr>
          <w:lang w:val="ru-RU"/>
        </w:rPr>
        <w:tab/>
        <w:t>Перечень Правил процедуры (Документы RRB22-3/1 и RRB20-2/1(Rev.7))</w:t>
      </w:r>
    </w:p>
    <w:p w14:paraId="2DF21AC9" w14:textId="77777777" w:rsidR="00A06CB6" w:rsidRPr="00494635" w:rsidRDefault="00A06CB6" w:rsidP="00A06CB6">
      <w:pPr>
        <w:jc w:val="both"/>
        <w:rPr>
          <w:lang w:val="ru-RU"/>
        </w:rPr>
      </w:pPr>
      <w:r w:rsidRPr="00494635">
        <w:rPr>
          <w:lang w:val="ru-RU"/>
        </w:rPr>
        <w:t>4.1.1</w:t>
      </w:r>
      <w:r w:rsidRPr="00494635">
        <w:rPr>
          <w:lang w:val="ru-RU"/>
        </w:rPr>
        <w:tab/>
      </w:r>
      <w:r w:rsidRPr="00494635">
        <w:rPr>
          <w:b/>
          <w:bCs/>
          <w:lang w:val="ru-RU"/>
        </w:rPr>
        <w:t>Г-н Валле (руководитель SSD)</w:t>
      </w:r>
      <w:r w:rsidRPr="00494635">
        <w:rPr>
          <w:lang w:val="ru-RU"/>
        </w:rPr>
        <w:t xml:space="preserve"> говорит, что со времени предыдущего собрания Комитета в Правила процедуры не было внесено никаких обновлений.</w:t>
      </w:r>
    </w:p>
    <w:p w14:paraId="3BFA5E59" w14:textId="77777777" w:rsidR="00A06CB6" w:rsidRPr="00494635" w:rsidRDefault="00A06CB6" w:rsidP="00A06CB6">
      <w:pPr>
        <w:jc w:val="both"/>
        <w:rPr>
          <w:lang w:val="ru-RU"/>
        </w:rPr>
      </w:pPr>
      <w:r w:rsidRPr="00494635">
        <w:rPr>
          <w:lang w:val="ru-RU"/>
        </w:rPr>
        <w:t>4.1.2</w:t>
      </w:r>
      <w:r w:rsidRPr="00494635">
        <w:rPr>
          <w:lang w:val="ru-RU"/>
        </w:rPr>
        <w:tab/>
        <w:t xml:space="preserve">Председатель Рабочей группы по Правилам процедуры </w:t>
      </w:r>
      <w:r w:rsidRPr="00494635">
        <w:rPr>
          <w:b/>
          <w:bCs/>
          <w:lang w:val="ru-RU"/>
        </w:rPr>
        <w:t>г-н Анри</w:t>
      </w:r>
      <w:r w:rsidRPr="00494635">
        <w:rPr>
          <w:lang w:val="ru-RU"/>
        </w:rPr>
        <w:t xml:space="preserve"> сообщает об итогах собрания группы. В отношении предварительного проекта пересмотра Правила процедуры по Резолюции </w:t>
      </w:r>
      <w:r w:rsidRPr="00494635">
        <w:rPr>
          <w:b/>
          <w:bCs/>
          <w:lang w:val="ru-RU"/>
        </w:rPr>
        <w:t>1 (Пересм. ВКР-97)</w:t>
      </w:r>
      <w:r w:rsidRPr="00494635">
        <w:rPr>
          <w:lang w:val="ru-RU"/>
        </w:rPr>
        <w:t xml:space="preserve"> он говорит, что Бюро и Подразделение по правовым вопросам МСЭ по просьбе группы участвуют в дальнейших обсуждениях с Секцией геопространственной информации Организации Объединенных Наций вопроса том, как преодолеть сложности, связанные с определением спорных территорий, и собрание с участием обеих сторон должно состояться в ближайшие недели. Бюро от себя предоставило группе подробную информацию о частотных присвоениях, рассмотрение которых приостановлено из-за этих сложностей, а также предложения о возможных подходах к этим давним случаям. В связи с этим группа приняла решение отложить принятие каких-либо дальнейших мер по проекту Правила процедуры по Резолюции </w:t>
      </w:r>
      <w:r w:rsidRPr="00494635">
        <w:rPr>
          <w:b/>
          <w:bCs/>
          <w:lang w:val="ru-RU"/>
        </w:rPr>
        <w:t>1</w:t>
      </w:r>
      <w:r w:rsidRPr="00494635">
        <w:rPr>
          <w:lang w:val="ru-RU"/>
        </w:rPr>
        <w:t xml:space="preserve"> и по частотным присвоениям, рассмотрение которых приостановлено, до собрания Комитета в марте 2023 года в ожидании результатов собрания с участием МСЭ и Секции геопространственной информации Организации Объединенных Наций.</w:t>
      </w:r>
    </w:p>
    <w:p w14:paraId="0F024132" w14:textId="77777777" w:rsidR="00A06CB6" w:rsidRPr="00494635" w:rsidRDefault="00A06CB6" w:rsidP="00A06CB6">
      <w:pPr>
        <w:jc w:val="both"/>
        <w:rPr>
          <w:lang w:val="ru-RU"/>
        </w:rPr>
      </w:pPr>
      <w:r w:rsidRPr="00494635">
        <w:rPr>
          <w:lang w:val="ru-RU"/>
        </w:rPr>
        <w:lastRenderedPageBreak/>
        <w:t>4.1.3</w:t>
      </w:r>
      <w:r w:rsidRPr="00494635">
        <w:rPr>
          <w:lang w:val="ru-RU"/>
        </w:rPr>
        <w:tab/>
        <w:t xml:space="preserve">Группа также изучила подготовленный Бюро рабочий документ по вариантам Правила процедуры, касающегося одновременного ввода в действие нескольких негеостационарных (НГСО) спутниковых систем с помощью одного спутника. По аналогии с принципами, применяемыми к системам ГСО, группа приняла решение, что перекрывающиеся частотные присвоения нескольким системам НГСО могут вводиться в действие с помощью одного спутника, если у этих систем по крайней мере одни и те же идентичные орбитальные плоскости. В случаях, когда полосы частот частотных присвоений не перекрываются, ввод в действие частотных присвоений нескольким системам НГСО с помощью одного спутника потребует, чтобы спутник, используемый для объявления ввода в действие, был развернут на идентичной орбитальной плоскости для каждой системы, независимо от других заявленных орбитальных плоскостей. Группа подробно обсудила оценку элементов данных, касающихся орбиты, которые позволили бы квалифицировать две или более заявки на систему НГСО как идентичные, но пока не выработала определенного ответа в отношении набора параметров, которые следует учитывать в соответствии с разделом A.4 Дополнения 2 к Приложению </w:t>
      </w:r>
      <w:r w:rsidRPr="00494635">
        <w:rPr>
          <w:b/>
          <w:bCs/>
          <w:lang w:val="ru-RU"/>
        </w:rPr>
        <w:t>4</w:t>
      </w:r>
      <w:r w:rsidRPr="00494635">
        <w:rPr>
          <w:lang w:val="ru-RU"/>
        </w:rPr>
        <w:t xml:space="preserve">. Она вернется к этому вопросу на следующем собрании Комитета, на котором также рассмотрит влияние проекта Правила на выполнение Резолюции </w:t>
      </w:r>
      <w:r w:rsidRPr="00494635">
        <w:rPr>
          <w:b/>
          <w:bCs/>
          <w:lang w:val="ru-RU"/>
        </w:rPr>
        <w:t>35 (ВКР-19)</w:t>
      </w:r>
      <w:r w:rsidRPr="00494635">
        <w:rPr>
          <w:lang w:val="ru-RU"/>
        </w:rPr>
        <w:t xml:space="preserve">, Резолюции </w:t>
      </w:r>
      <w:r w:rsidRPr="00494635">
        <w:rPr>
          <w:b/>
          <w:bCs/>
          <w:lang w:val="ru-RU"/>
        </w:rPr>
        <w:t>76 (Пересм. ВКР-15)</w:t>
      </w:r>
      <w:r w:rsidRPr="00494635">
        <w:rPr>
          <w:lang w:val="ru-RU"/>
        </w:rPr>
        <w:t xml:space="preserve">, Статьей </w:t>
      </w:r>
      <w:r w:rsidRPr="00494635">
        <w:rPr>
          <w:b/>
          <w:bCs/>
          <w:lang w:val="ru-RU"/>
        </w:rPr>
        <w:t xml:space="preserve">21 </w:t>
      </w:r>
      <w:r w:rsidRPr="00494635">
        <w:rPr>
          <w:lang w:val="ru-RU"/>
        </w:rPr>
        <w:t>и</w:t>
      </w:r>
      <w:r w:rsidRPr="00494635">
        <w:rPr>
          <w:b/>
          <w:bCs/>
          <w:lang w:val="ru-RU"/>
        </w:rPr>
        <w:t xml:space="preserve"> 22</w:t>
      </w:r>
      <w:r w:rsidRPr="00494635">
        <w:rPr>
          <w:lang w:val="ru-RU"/>
        </w:rPr>
        <w:t xml:space="preserve"> РР и других положений Регламента радиосвязи.</w:t>
      </w:r>
    </w:p>
    <w:p w14:paraId="648BCBDE" w14:textId="77777777" w:rsidR="00A06CB6" w:rsidRPr="00494635" w:rsidRDefault="00A06CB6" w:rsidP="00A06CB6">
      <w:pPr>
        <w:jc w:val="both"/>
        <w:rPr>
          <w:lang w:val="ru-RU"/>
        </w:rPr>
      </w:pPr>
      <w:r w:rsidRPr="00494635">
        <w:rPr>
          <w:lang w:val="ru-RU"/>
        </w:rPr>
        <w:t>4.1.4</w:t>
      </w:r>
      <w:r w:rsidRPr="00494635">
        <w:rPr>
          <w:lang w:val="ru-RU"/>
        </w:rPr>
        <w:tab/>
        <w:t>Группа приняла решение, что на своем следующем собрании она рассмотрит список Правил процедуры, которые могут быть рассмотрены для включения в Регламент радиосвязи в соответствии с пп. </w:t>
      </w:r>
      <w:r w:rsidRPr="00494635">
        <w:rPr>
          <w:b/>
          <w:bCs/>
          <w:lang w:val="ru-RU"/>
        </w:rPr>
        <w:t xml:space="preserve">13.0.1 </w:t>
      </w:r>
      <w:r w:rsidRPr="00494635">
        <w:rPr>
          <w:lang w:val="ru-RU"/>
        </w:rPr>
        <w:t>и</w:t>
      </w:r>
      <w:r w:rsidRPr="00494635">
        <w:rPr>
          <w:b/>
          <w:bCs/>
          <w:lang w:val="ru-RU"/>
        </w:rPr>
        <w:t xml:space="preserve"> 13.0.2</w:t>
      </w:r>
      <w:r w:rsidRPr="00494635">
        <w:rPr>
          <w:lang w:val="ru-RU"/>
        </w:rPr>
        <w:t xml:space="preserve"> РР.</w:t>
      </w:r>
    </w:p>
    <w:p w14:paraId="6218E009" w14:textId="77777777" w:rsidR="00A06CB6" w:rsidRPr="00494635" w:rsidRDefault="00A06CB6" w:rsidP="00A06CB6">
      <w:pPr>
        <w:jc w:val="both"/>
        <w:rPr>
          <w:lang w:val="ru-RU"/>
        </w:rPr>
      </w:pPr>
      <w:r w:rsidRPr="00494635">
        <w:rPr>
          <w:lang w:val="ru-RU"/>
        </w:rPr>
        <w:t>4.1.5</w:t>
      </w:r>
      <w:r w:rsidRPr="00494635">
        <w:rPr>
          <w:lang w:val="ru-RU"/>
        </w:rPr>
        <w:tab/>
        <w:t xml:space="preserve">Группа предлагает, чтобы Комитет обновил перечень предлагаемых Правил процедуры (Документы RRB22-3/1 и RRB20-2/1(Rev.7)) для отображения хода работы над проектом Правила процедуры по Резолюции </w:t>
      </w:r>
      <w:r w:rsidRPr="00494635">
        <w:rPr>
          <w:b/>
          <w:bCs/>
          <w:lang w:val="ru-RU"/>
        </w:rPr>
        <w:t>1 (Пересм. ВКР-97)</w:t>
      </w:r>
      <w:r w:rsidRPr="00494635">
        <w:rPr>
          <w:lang w:val="ru-RU"/>
        </w:rPr>
        <w:t xml:space="preserve">, изменением Правила процедуры по п. </w:t>
      </w:r>
      <w:r w:rsidRPr="00494635">
        <w:rPr>
          <w:b/>
          <w:bCs/>
          <w:lang w:val="ru-RU"/>
        </w:rPr>
        <w:t>11.48</w:t>
      </w:r>
      <w:r w:rsidRPr="00494635">
        <w:rPr>
          <w:lang w:val="ru-RU"/>
        </w:rPr>
        <w:t xml:space="preserve"> РР и добавлением Правила процедуры по одновременному вводу в действие нескольких спутниковых систем НГСО с помощью одного спутника.</w:t>
      </w:r>
    </w:p>
    <w:p w14:paraId="6F5791AF" w14:textId="77777777" w:rsidR="00A06CB6" w:rsidRPr="00494635" w:rsidRDefault="00A06CB6" w:rsidP="00A06CB6">
      <w:pPr>
        <w:jc w:val="both"/>
        <w:rPr>
          <w:lang w:val="ru-RU"/>
        </w:rPr>
      </w:pPr>
      <w:r w:rsidRPr="00494635">
        <w:rPr>
          <w:lang w:val="ru-RU"/>
        </w:rPr>
        <w:t>4.1.6</w:t>
      </w:r>
      <w:r w:rsidRPr="00494635">
        <w:rPr>
          <w:lang w:val="ru-RU"/>
        </w:rPr>
        <w:tab/>
        <w:t xml:space="preserve">Предложение </w:t>
      </w:r>
      <w:r w:rsidRPr="00494635">
        <w:rPr>
          <w:b/>
          <w:bCs/>
          <w:lang w:val="ru-RU"/>
        </w:rPr>
        <w:t>принимается</w:t>
      </w:r>
      <w:r w:rsidRPr="00494635">
        <w:rPr>
          <w:lang w:val="ru-RU" w:eastAsia="zh-CN"/>
        </w:rPr>
        <w:t>.</w:t>
      </w:r>
    </w:p>
    <w:p w14:paraId="0D7CCD4E" w14:textId="77777777" w:rsidR="00A06CB6" w:rsidRPr="00494635" w:rsidRDefault="00A06CB6" w:rsidP="00A06CB6">
      <w:pPr>
        <w:pStyle w:val="Heading1"/>
        <w:jc w:val="both"/>
        <w:rPr>
          <w:lang w:val="ru-RU"/>
        </w:rPr>
      </w:pPr>
      <w:r w:rsidRPr="00494635">
        <w:rPr>
          <w:lang w:val="ru-RU"/>
        </w:rPr>
        <w:t>5</w:t>
      </w:r>
      <w:r w:rsidRPr="00494635">
        <w:rPr>
          <w:lang w:val="ru-RU"/>
        </w:rPr>
        <w:tab/>
        <w:t>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сетям/системам</w:t>
      </w:r>
    </w:p>
    <w:p w14:paraId="07DCDE04" w14:textId="77777777" w:rsidR="00A06CB6" w:rsidRPr="00494635" w:rsidRDefault="00A06CB6" w:rsidP="00A06CB6">
      <w:pPr>
        <w:pStyle w:val="Heading2"/>
        <w:jc w:val="both"/>
        <w:rPr>
          <w:lang w:val="ru-RU"/>
        </w:rPr>
      </w:pPr>
      <w:r w:rsidRPr="00494635">
        <w:rPr>
          <w:lang w:val="ru-RU"/>
        </w:rPr>
        <w:t>5.1</w:t>
      </w:r>
      <w:r w:rsidRPr="00494635">
        <w:rPr>
          <w:lang w:val="ru-RU"/>
        </w:rPr>
        <w:tab/>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DUB DUB-5-18W (Документ RRB22-3/4)</w:t>
      </w:r>
    </w:p>
    <w:p w14:paraId="3F3DE72A" w14:textId="77777777" w:rsidR="00A06CB6" w:rsidRPr="00494635" w:rsidRDefault="00A06CB6" w:rsidP="00A06CB6">
      <w:pPr>
        <w:jc w:val="both"/>
        <w:rPr>
          <w:lang w:val="ru-RU"/>
        </w:rPr>
      </w:pPr>
      <w:r w:rsidRPr="00494635">
        <w:rPr>
          <w:lang w:val="ru-RU"/>
        </w:rPr>
        <w:t>5.1.1</w:t>
      </w:r>
      <w:r w:rsidRPr="00494635">
        <w:rPr>
          <w:lang w:val="ru-RU"/>
        </w:rPr>
        <w:tab/>
      </w:r>
      <w:r w:rsidRPr="00494635">
        <w:rPr>
          <w:b/>
          <w:bCs/>
          <w:lang w:val="ru-RU"/>
        </w:rPr>
        <w:t>Г-н Лоо (руководитель SSD/SPR)</w:t>
      </w:r>
      <w:r w:rsidRPr="00494635">
        <w:rPr>
          <w:lang w:val="ru-RU"/>
        </w:rPr>
        <w:t xml:space="preserve">, резюмируя Документ RRB22-3/4, говорит, что администрация Норвегии направила просьбу о продлении регламентарного предельного срока повторного ввода в действие частотных присвоений спутниковой сети DUB DUB-5-18W как минимум на один год, с 23 сентября 2022 года, </w:t>
      </w:r>
      <w:r w:rsidRPr="00494635">
        <w:rPr>
          <w:lang w:val="ru-RU" w:bidi="ru-RU"/>
        </w:rPr>
        <w:t>в связи с форс-мажорными обстоятельствами</w:t>
      </w:r>
      <w:r w:rsidRPr="00494635">
        <w:rPr>
          <w:lang w:val="ru-RU"/>
        </w:rPr>
        <w:t xml:space="preserve">. Форс-мажорные обстоятельства включают: непредвиденное расторжение контрактов между изготовителем (Boeing) и поставщиком услуг запуска (SpaceX), с одной стороны, и спутниковым оператором (Global IP), с другой, после публикации в 2018 году статьи в газете Wall Street Journal, где утверждалось, что </w:t>
      </w:r>
      <w:r w:rsidRPr="00494635">
        <w:rPr>
          <w:lang w:val="ru-RU" w:bidi="ru-RU"/>
        </w:rPr>
        <w:t>Global IP якобы контролируется Китаем</w:t>
      </w:r>
      <w:r w:rsidRPr="00494635">
        <w:rPr>
          <w:lang w:val="ru-RU"/>
        </w:rPr>
        <w:t>; пандемию COVID-19 и связанное с ней замедление многих процессов, что сделало невозможным для Global IP добиться правовой защиты, а арбитражное слушание, которое должно состояться в Соединенных Штатах Америки и в настоящее время назначено на период с 16 января по 21 февраля 2023 года, уже переносилось несколько раз. Спутниковый оператор ввел в действие частотные присвоения 13 июня 2019 года, несмотря на первое событие; использование этих частотных присвоений было приостановлено по просьбе администрации Норвегии 23 сентября 2019 года.</w:t>
      </w:r>
    </w:p>
    <w:p w14:paraId="44DA1A70" w14:textId="77777777" w:rsidR="00A06CB6" w:rsidRPr="00494635" w:rsidRDefault="00A06CB6" w:rsidP="00A06CB6">
      <w:pPr>
        <w:jc w:val="both"/>
        <w:rPr>
          <w:lang w:val="ru-RU"/>
        </w:rPr>
      </w:pPr>
      <w:r w:rsidRPr="00494635">
        <w:rPr>
          <w:lang w:val="ru-RU"/>
        </w:rPr>
        <w:t>5.1.2</w:t>
      </w:r>
      <w:r w:rsidRPr="00494635">
        <w:rPr>
          <w:lang w:val="ru-RU"/>
        </w:rPr>
        <w:tab/>
      </w:r>
      <w:r w:rsidRPr="00494635">
        <w:rPr>
          <w:b/>
          <w:bCs/>
          <w:lang w:val="ru-RU"/>
        </w:rPr>
        <w:t>Г-н Талиб</w:t>
      </w:r>
      <w:r w:rsidRPr="00494635">
        <w:rPr>
          <w:lang w:val="ru-RU"/>
        </w:rPr>
        <w:t xml:space="preserve"> говорит, что, по его мнению, некоторые элементы этого случая могут считаться форс-мажорными обстоятельствами, в частности первоначальное расторжение контрактов в 2018 году. Тем не менее, принимая во внимание возможные финансовые и связанные с этим проблемы, он интересуется, будет ли соблюден срок повторного ввода в действие частотных присвоений, если продление будет предоставлено.</w:t>
      </w:r>
    </w:p>
    <w:p w14:paraId="7E350EE7" w14:textId="77777777" w:rsidR="00A06CB6" w:rsidRPr="00494635" w:rsidRDefault="00A06CB6" w:rsidP="00A06CB6">
      <w:pPr>
        <w:jc w:val="both"/>
        <w:rPr>
          <w:lang w:val="ru-RU"/>
        </w:rPr>
      </w:pPr>
      <w:r w:rsidRPr="00494635">
        <w:rPr>
          <w:lang w:val="ru-RU"/>
        </w:rPr>
        <w:lastRenderedPageBreak/>
        <w:t>5.1.3</w:t>
      </w:r>
      <w:r w:rsidRPr="00494635">
        <w:rPr>
          <w:lang w:val="ru-RU"/>
        </w:rPr>
        <w:tab/>
      </w:r>
      <w:r w:rsidRPr="00494635">
        <w:rPr>
          <w:b/>
          <w:bCs/>
          <w:lang w:val="ru-RU"/>
        </w:rPr>
        <w:t>Г-н Лоо (руководитель SSD/SPR)</w:t>
      </w:r>
      <w:r w:rsidRPr="00494635">
        <w:rPr>
          <w:lang w:val="ru-RU"/>
        </w:rPr>
        <w:t xml:space="preserve"> заявляет, что администрация Норвегии предполагает, что для урегулирования финансовой ситуации потребуется не менее одного года, поскольку это зависит от исхода арбитражного слушания, назначенного на начало 2023 года. Администрация также заявила, что ей потребуется время, чтобы заключить контракт с оператором, который сможет повторно ввести в действие частотные присвоения с помощью спутника, уже находящегося на орбите; одного года может быть недостаточно. Администрация запросила минимально возможное продление.</w:t>
      </w:r>
    </w:p>
    <w:p w14:paraId="5489BA6A" w14:textId="77777777" w:rsidR="00A06CB6" w:rsidRPr="00494635" w:rsidRDefault="00A06CB6" w:rsidP="00A06CB6">
      <w:pPr>
        <w:jc w:val="both"/>
        <w:rPr>
          <w:lang w:val="ru-RU"/>
        </w:rPr>
      </w:pPr>
      <w:r w:rsidRPr="00494635">
        <w:rPr>
          <w:lang w:val="ru-RU"/>
        </w:rPr>
        <w:t>5.1.4</w:t>
      </w:r>
      <w:r w:rsidRPr="00494635">
        <w:rPr>
          <w:lang w:val="ru-RU"/>
        </w:rPr>
        <w:tab/>
      </w:r>
      <w:r w:rsidRPr="00494635">
        <w:rPr>
          <w:b/>
          <w:bCs/>
          <w:lang w:val="ru-RU"/>
        </w:rPr>
        <w:t>Г-н Анри</w:t>
      </w:r>
      <w:r w:rsidRPr="00494635">
        <w:rPr>
          <w:lang w:val="ru-RU"/>
        </w:rPr>
        <w:t xml:space="preserve"> говорит, что в документе мало информации, имеющей прямое отношение к статусу проекта до публикации статьи в Wall Street Journal, которая привела к расторжению контрактов с производителем (Boeing) и поставщиком услуг запуска (SpaceX), и о связи между статьей и расторжением контрактов, которое, по</w:t>
      </w:r>
      <w:r w:rsidRPr="00494635">
        <w:rPr>
          <w:lang w:val="ru-RU"/>
        </w:rPr>
        <w:noBreakHyphen/>
        <w:t>видимому, не подпадает под действие Регламента радиосвязи и, следовательно, не имеет отношения к Комитету. Кроме того, хотя многочисленные задержки в процессе арбитража из-за COVID-19 понятны, он не видит прямой связи между этими задержками и задержкой повторного ввода в действие соответствующих частотных присвоений спутниковой сети DUB DUB-5-18W. Наконец, отсутствуют также доказательства того, что частотные присвоения спутниковой сети DUB DUB-5-18W были бы повторно введены в действие в рамках исходного регламентарного предельного срока или что оператор Global IP нашел бы подходящий спутник на орбите, чтобы повторно ввести их в действие до истечения предложенного срока продления. Ввиду отсутствия этой информации и подтверждающих документов, которые позволили бы квалифицировать это дело как форс-мажорную ситуацию, он не поддержит удовлетворение Комитетом этой просьбы, и вместо этого предлагает администрации Норвегии представить новую заявку на регистрацию спутниковой сети.</w:t>
      </w:r>
    </w:p>
    <w:p w14:paraId="42C15025" w14:textId="77777777" w:rsidR="00A06CB6" w:rsidRPr="00494635" w:rsidRDefault="00A06CB6" w:rsidP="00A06CB6">
      <w:pPr>
        <w:jc w:val="both"/>
        <w:rPr>
          <w:lang w:val="ru-RU"/>
        </w:rPr>
      </w:pPr>
      <w:r w:rsidRPr="00494635">
        <w:rPr>
          <w:lang w:val="ru-RU"/>
        </w:rPr>
        <w:t>5.1.5</w:t>
      </w:r>
      <w:r w:rsidRPr="00494635">
        <w:rPr>
          <w:lang w:val="ru-RU"/>
        </w:rPr>
        <w:tab/>
      </w:r>
      <w:r w:rsidRPr="00494635">
        <w:rPr>
          <w:b/>
          <w:bCs/>
          <w:lang w:val="ru-RU"/>
        </w:rPr>
        <w:t>Г-жа Бомье</w:t>
      </w:r>
      <w:r w:rsidRPr="00494635">
        <w:rPr>
          <w:lang w:val="ru-RU"/>
        </w:rPr>
        <w:t xml:space="preserve"> отмечает, что, несмотря на трудности, имевшие место в 2018 году, были приняты альтернативные меры, включающие использование находящегося на орбите спутника HYLAS-1 для первоначального ввода в действие заявки на регистрацию спутниковой сети в 2019 году, и она спрашивает, почему аналогичной меры не было принято для повторного ввода в действие. Успешный ввод в действие подтверждает способность администрации Норвегии устранять такие проблемы, и поэтому ситуация не удовлетворяет второму условию, которое позволило бы квалифицировать ее как случай форс-мажорных обстоятельств. Далее, нет гарантий, что арбитражное слушание, назначенное на март 2023 года, будет иметь благоприятный исход. Не было предоставлено информации ни о том, как оператор планировал осуществить повторный ввод частотных присвоений в действие, ни о состоянии спутникового проекта до предполагаемых форс-мажорных обстоятельств, и не было представлено дополнительных документов, которые подтверждали бы, что первоначальный регламентарный предельный срок был бы соблюден. Помимо этого, представляется, что текущая ситуация стала результатом определенных бизнес-решений, что указывает на то, что она не была полностью неподконтрольна оператору. С учетом этих факторов она считает, что условия случая форс-мажорных обстоятельств не были соблюдены и что продление не следует предоставлять.</w:t>
      </w:r>
    </w:p>
    <w:p w14:paraId="0D2C7AE7" w14:textId="77777777" w:rsidR="00A06CB6" w:rsidRPr="00494635" w:rsidRDefault="00A06CB6" w:rsidP="00A06CB6">
      <w:pPr>
        <w:jc w:val="both"/>
        <w:rPr>
          <w:lang w:val="ru-RU"/>
        </w:rPr>
      </w:pPr>
      <w:r w:rsidRPr="00494635">
        <w:rPr>
          <w:lang w:val="ru-RU"/>
        </w:rPr>
        <w:t>5.1.6</w:t>
      </w:r>
      <w:r w:rsidRPr="00494635">
        <w:rPr>
          <w:lang w:val="ru-RU"/>
        </w:rPr>
        <w:tab/>
      </w:r>
      <w:r w:rsidRPr="00494635">
        <w:rPr>
          <w:b/>
          <w:bCs/>
          <w:lang w:val="ru-RU"/>
        </w:rPr>
        <w:t>Г-н Аззуз</w:t>
      </w:r>
      <w:r w:rsidRPr="00494635">
        <w:rPr>
          <w:lang w:val="ru-RU"/>
        </w:rPr>
        <w:t xml:space="preserve"> говорит, что он высоко оценивает попытки администрации Норвегии сохранить заявку на регистрацию спутниковой сети в силе и что Комитету следует просить Бюро сохранить заявку на регистрацию до окончания следующего собрания Комитета, когда должно завершиться арбитражное слушание. Пока же администрация должна предоставить полную информацию о первоначальных планах запуска, о расторжении контрактов и о текущем статусе координации и производства. После этого Комитет сможет рассмотреть эту просьбу.</w:t>
      </w:r>
    </w:p>
    <w:p w14:paraId="7E73B320" w14:textId="77777777" w:rsidR="00A06CB6" w:rsidRPr="00494635" w:rsidRDefault="00A06CB6" w:rsidP="00A06CB6">
      <w:pPr>
        <w:jc w:val="both"/>
        <w:rPr>
          <w:lang w:val="ru-RU"/>
        </w:rPr>
      </w:pPr>
      <w:r w:rsidRPr="00494635">
        <w:rPr>
          <w:lang w:val="ru-RU"/>
        </w:rPr>
        <w:t>5.1.7</w:t>
      </w:r>
      <w:r w:rsidRPr="00494635">
        <w:rPr>
          <w:lang w:val="ru-RU"/>
        </w:rPr>
        <w:tab/>
      </w:r>
      <w:r w:rsidRPr="00494635">
        <w:rPr>
          <w:b/>
          <w:bCs/>
          <w:lang w:val="ru-RU"/>
        </w:rPr>
        <w:t>Г-жа Жеанти</w:t>
      </w:r>
      <w:r w:rsidRPr="00494635">
        <w:rPr>
          <w:lang w:val="ru-RU"/>
        </w:rPr>
        <w:t xml:space="preserve"> выражает согласие с предыдущими ораторами в том, что предоставленная информация недостаточно подробна и что ситуация неясна. Ссылок на статью в прессе недостаточно для признания случая отвечающим условиям форс-мажорных обстоятельств, и Комитет ранее считал, что финансовые трудности также не являются достаточной причиной. Информация об арбитражном слушании расплывчатая и неконкретная, и неясно, что покрывали большие суммы денег, выплаченные Boeing и SpaceX. Хотя было запрошено продление на один год, информации о том, как это время будет использовано, нет, и ей кажется, что одного года будет недостаточно для нормализации ситуации. Таким образом, по ее мнению, случай не соответствует условиям форс-мажорных обстоятельств.</w:t>
      </w:r>
    </w:p>
    <w:p w14:paraId="37ABD035" w14:textId="77777777" w:rsidR="00A06CB6" w:rsidRPr="00494635" w:rsidRDefault="00A06CB6" w:rsidP="00A06CB6">
      <w:pPr>
        <w:jc w:val="both"/>
        <w:rPr>
          <w:lang w:val="ru-RU"/>
        </w:rPr>
      </w:pPr>
      <w:r w:rsidRPr="00494635">
        <w:rPr>
          <w:lang w:val="ru-RU"/>
        </w:rPr>
        <w:t>5.1.8</w:t>
      </w:r>
      <w:r w:rsidRPr="00494635">
        <w:rPr>
          <w:lang w:val="ru-RU"/>
        </w:rPr>
        <w:tab/>
      </w:r>
      <w:r w:rsidRPr="00494635">
        <w:rPr>
          <w:b/>
          <w:bCs/>
          <w:lang w:val="ru-RU"/>
        </w:rPr>
        <w:t>Г-н Хоан</w:t>
      </w:r>
      <w:r w:rsidRPr="00494635">
        <w:rPr>
          <w:lang w:val="ru-RU"/>
        </w:rPr>
        <w:t xml:space="preserve"> говорит, что, хотя он высоко оценивает усилия, предпринятые администрацией Норвегии для ввода в действие соответствующих частотных присвоений вопреки упомянутым </w:t>
      </w:r>
      <w:r w:rsidRPr="00494635">
        <w:rPr>
          <w:lang w:val="ru-RU"/>
        </w:rPr>
        <w:lastRenderedPageBreak/>
        <w:t>проблемам, у Комитета недостаточно информации для рассмотрения случая их повторного ввода в действие как случая форс-мажорных обстоятельств. Расторжение контрактов могло бы квалифицироваться как форс-мажорное обстоятельство для первоначального ввода в действие заявки на регистрацию спутниковой сети, но он не уверен, что это квалифицируется как форс-мажорные обстоятельства для повторного ввода в действие, и поэтому он не может удовлетворить просьбу.</w:t>
      </w:r>
    </w:p>
    <w:p w14:paraId="555F4537" w14:textId="77777777" w:rsidR="00A06CB6" w:rsidRPr="00494635" w:rsidRDefault="00A06CB6" w:rsidP="00A06CB6">
      <w:pPr>
        <w:jc w:val="both"/>
        <w:rPr>
          <w:lang w:val="ru-RU"/>
        </w:rPr>
      </w:pPr>
      <w:r w:rsidRPr="00494635">
        <w:rPr>
          <w:lang w:val="ru-RU"/>
        </w:rPr>
        <w:t>5.1.9</w:t>
      </w:r>
      <w:r w:rsidRPr="00494635">
        <w:rPr>
          <w:lang w:val="ru-RU"/>
        </w:rPr>
        <w:tab/>
      </w:r>
      <w:r w:rsidRPr="00494635">
        <w:rPr>
          <w:b/>
          <w:bCs/>
          <w:lang w:val="ru-RU"/>
        </w:rPr>
        <w:t>Г-н Хасимото</w:t>
      </w:r>
      <w:r w:rsidRPr="00494635">
        <w:rPr>
          <w:lang w:val="ru-RU"/>
        </w:rPr>
        <w:t xml:space="preserve"> отмечает, что, хотя расторжение контрактов после публикации статьи в Wall Street Journal могло изначально квалифицироваться как форс-мажорные обстоятельства, неясно, как это влияло на спутниковый проект после 2019 года. Текущий статус проекта также неясен и подробная информация, необходимая в качестве обоснования просьбы администрации Норвегии, предоставлена не была. Таким образом, прежде чем Комитет сможет удовлетворить просьбу, требуется дополнительная информация и разъяснения.</w:t>
      </w:r>
    </w:p>
    <w:p w14:paraId="42EF1F27" w14:textId="77777777" w:rsidR="00A06CB6" w:rsidRPr="00494635" w:rsidRDefault="00A06CB6" w:rsidP="00A06CB6">
      <w:pPr>
        <w:jc w:val="both"/>
        <w:rPr>
          <w:lang w:val="ru-RU"/>
        </w:rPr>
      </w:pPr>
      <w:r w:rsidRPr="00494635">
        <w:rPr>
          <w:lang w:val="ru-RU"/>
        </w:rPr>
        <w:t>5.1.10</w:t>
      </w:r>
      <w:r w:rsidRPr="00494635">
        <w:rPr>
          <w:lang w:val="ru-RU"/>
        </w:rPr>
        <w:tab/>
      </w:r>
      <w:r w:rsidRPr="00494635">
        <w:rPr>
          <w:b/>
          <w:bCs/>
          <w:lang w:val="ru-RU"/>
        </w:rPr>
        <w:t>Г-жа Гасанова</w:t>
      </w:r>
      <w:r w:rsidRPr="00494635">
        <w:rPr>
          <w:lang w:val="ru-RU"/>
        </w:rPr>
        <w:t xml:space="preserve"> считает, что продления на один год недостаточно для повторного ввода в действие частотных присвоений, и указывает на то, что в представлении не содержится плана того, как это будет происходить. Помимо этого, нет свидетельств в пользу продления на основании форс-мажорных обстоятельств. Поэтому она не может поддержать предоставление продления.</w:t>
      </w:r>
    </w:p>
    <w:p w14:paraId="6A8B02A4" w14:textId="77777777" w:rsidR="00A06CB6" w:rsidRPr="00494635" w:rsidRDefault="00A06CB6" w:rsidP="00A06CB6">
      <w:pPr>
        <w:jc w:val="both"/>
        <w:rPr>
          <w:lang w:val="ru-RU"/>
        </w:rPr>
      </w:pPr>
      <w:r w:rsidRPr="00494635">
        <w:rPr>
          <w:lang w:val="ru-RU"/>
        </w:rPr>
        <w:t>5.1.11</w:t>
      </w:r>
      <w:r w:rsidRPr="00494635">
        <w:rPr>
          <w:lang w:val="ru-RU"/>
        </w:rPr>
        <w:tab/>
      </w:r>
      <w:r w:rsidRPr="00494635">
        <w:rPr>
          <w:b/>
          <w:bCs/>
          <w:lang w:val="ru-RU"/>
        </w:rPr>
        <w:t>Г-н Варламов</w:t>
      </w:r>
      <w:r w:rsidRPr="00494635">
        <w:rPr>
          <w:lang w:val="ru-RU"/>
        </w:rPr>
        <w:t xml:space="preserve"> соглашается с тем, что недостаточно свидетельств для рассмотрения случая как случая форс-мажорных обстоятельств и что отсутствует план выполнения. Хотя администрация Норвегии запросила продление на один год, этого периода времени может быть явно недостаточно. Также кажется, что это время будет использовано только для решения финансовых вопросов и проведения арбитражного слушания. Поэтому Комитету следует запросить дополнительную информацию для повторного рассмотрения случая на своем следующем собрании.</w:t>
      </w:r>
    </w:p>
    <w:p w14:paraId="71F147DC" w14:textId="77777777" w:rsidR="00A06CB6" w:rsidRPr="00494635" w:rsidRDefault="00A06CB6" w:rsidP="00A06CB6">
      <w:pPr>
        <w:jc w:val="both"/>
        <w:rPr>
          <w:lang w:val="ru-RU"/>
        </w:rPr>
      </w:pPr>
      <w:r w:rsidRPr="00494635">
        <w:rPr>
          <w:lang w:val="ru-RU"/>
        </w:rPr>
        <w:t>5.1.12</w:t>
      </w:r>
      <w:r w:rsidRPr="00494635">
        <w:rPr>
          <w:lang w:val="ru-RU"/>
        </w:rPr>
        <w:tab/>
      </w:r>
      <w:r w:rsidRPr="00494635">
        <w:rPr>
          <w:b/>
          <w:bCs/>
          <w:lang w:val="ru-RU"/>
        </w:rPr>
        <w:t>Г-н Борхон</w:t>
      </w:r>
      <w:r w:rsidRPr="00494635">
        <w:rPr>
          <w:lang w:val="ru-RU"/>
        </w:rPr>
        <w:t xml:space="preserve"> говорит, что он не уверен в реальности финансовых последствий статьи в Wall Street Journal и причин, почему решение проблемы занимает так много времени. Кроме того, он не видит прямой связи между событиями 2018 и 2022 годов и не уверен, что продления на один год будет достаточно для решения указанных проблем. Учитывая отсутствие четкого анализа, доказательств или плана дальнейших действий, он не может поддержать предоставление продления на основании соблюдения условий форс-мажорных обстоятельств.</w:t>
      </w:r>
    </w:p>
    <w:p w14:paraId="505EAD8B" w14:textId="77777777" w:rsidR="00A06CB6" w:rsidRPr="00494635" w:rsidRDefault="00A06CB6" w:rsidP="00A06CB6">
      <w:pPr>
        <w:jc w:val="both"/>
        <w:rPr>
          <w:lang w:val="ru-RU"/>
        </w:rPr>
      </w:pPr>
      <w:r w:rsidRPr="00494635">
        <w:rPr>
          <w:lang w:val="ru-RU"/>
        </w:rPr>
        <w:t>5.1.13</w:t>
      </w:r>
      <w:r w:rsidRPr="00494635">
        <w:rPr>
          <w:lang w:val="ru-RU"/>
        </w:rPr>
        <w:tab/>
      </w:r>
      <w:r w:rsidRPr="00494635">
        <w:rPr>
          <w:b/>
          <w:bCs/>
          <w:lang w:val="ru-RU"/>
        </w:rPr>
        <w:t>Г-н Мчуну</w:t>
      </w:r>
      <w:r w:rsidRPr="00494635">
        <w:rPr>
          <w:lang w:val="ru-RU"/>
        </w:rPr>
        <w:t xml:space="preserve"> соглашается с предыдущими ораторами в том, что представленные материалы не доказывают соответствие случая четырем условиям форс-мажорных обстоятельств. Поэтому он не может предоставить продление, однако он соглашается с г-ном Аззузом в том, что заявка на регистрацию должна быть сохранена до окончания следующего собрания Комитета.</w:t>
      </w:r>
    </w:p>
    <w:p w14:paraId="5B34999E" w14:textId="77777777" w:rsidR="00A06CB6" w:rsidRPr="00494635" w:rsidRDefault="00A06CB6" w:rsidP="00A06CB6">
      <w:pPr>
        <w:jc w:val="both"/>
        <w:rPr>
          <w:lang w:val="ru-RU"/>
        </w:rPr>
      </w:pPr>
      <w:r w:rsidRPr="00494635">
        <w:rPr>
          <w:lang w:val="ru-RU"/>
        </w:rPr>
        <w:t>5.1.14</w:t>
      </w:r>
      <w:r w:rsidRPr="00494635">
        <w:rPr>
          <w:lang w:val="ru-RU"/>
        </w:rPr>
        <w:tab/>
      </w:r>
      <w:r w:rsidRPr="00494635">
        <w:rPr>
          <w:b/>
          <w:bCs/>
          <w:lang w:val="ru-RU"/>
        </w:rPr>
        <w:t>Г-жа Бомье</w:t>
      </w:r>
      <w:r w:rsidRPr="00494635">
        <w:rPr>
          <w:lang w:val="ru-RU"/>
        </w:rPr>
        <w:t xml:space="preserve"> повторяет, что, по ее мнению, поскольку Global IP удалось ввести в действие частотные присвоения с помощью спутника HYLAS-1 в 2019 году, публикация статьи, которая привела к расторжению контрактов Boeing и SpaceX и потребовала этого шага, не квалифицируется как форс-мажорные обстоятельства. Помимо этого, кажется, что цель отложенного арбитражного слушания – обеспечение финансирования для продолжения проекта. Однако задержки с обеспечением финансирования не считаются форс-мажорными обстоятельствами. Таким образом, нет свидетельств того, что случай повторного ввода в действие заявки на регистрацию спутниковой сети является случаем форс-мажорных обстоятельств. Поэтому Комитету не следует просить Бюро сохранять соответствующие частотные присвоения или запрашивать дополнительную информацию у администрации Норвегии.</w:t>
      </w:r>
    </w:p>
    <w:p w14:paraId="0BF6205D" w14:textId="77777777" w:rsidR="00A06CB6" w:rsidRPr="00494635" w:rsidRDefault="00A06CB6" w:rsidP="00A06CB6">
      <w:pPr>
        <w:jc w:val="both"/>
        <w:rPr>
          <w:lang w:val="ru-RU"/>
        </w:rPr>
      </w:pPr>
      <w:r w:rsidRPr="00494635">
        <w:rPr>
          <w:lang w:val="ru-RU"/>
        </w:rPr>
        <w:t>5.1.15</w:t>
      </w:r>
      <w:r w:rsidRPr="00494635">
        <w:rPr>
          <w:lang w:val="ru-RU"/>
        </w:rPr>
        <w:tab/>
        <w:t xml:space="preserve">После неофициального обсуждения </w:t>
      </w:r>
      <w:r w:rsidRPr="00494635">
        <w:rPr>
          <w:b/>
          <w:bCs/>
          <w:lang w:val="ru-RU"/>
        </w:rPr>
        <w:t>Председатель</w:t>
      </w:r>
      <w:r w:rsidRPr="00494635">
        <w:rPr>
          <w:lang w:val="ru-RU"/>
        </w:rPr>
        <w:t xml:space="preserve"> делает вывод, что Комитет не считает, что администрация Норвегии предоставила достаточно информации, чтобы доказать соблюдение условий форс-мажорных обстоятельств, и поэтому не может удовлетворить эту просьбу. Он предлагает Комитету сделать по данному вопросу следующее заключение:</w:t>
      </w:r>
    </w:p>
    <w:p w14:paraId="7C443AB7" w14:textId="77777777" w:rsidR="00A06CB6" w:rsidRPr="00494635" w:rsidRDefault="00A06CB6" w:rsidP="00A06CB6">
      <w:pPr>
        <w:jc w:val="both"/>
        <w:rPr>
          <w:lang w:val="ru-RU"/>
        </w:rPr>
      </w:pPr>
      <w:r w:rsidRPr="00494635">
        <w:rPr>
          <w:lang w:val="ru-RU"/>
        </w:rPr>
        <w:t>"Рассмотрев Документ RRB22-3/4, в котором содержится представление администрации Норвегии, Комитет отметил, что:</w:t>
      </w:r>
    </w:p>
    <w:p w14:paraId="608D81C1" w14:textId="77777777" w:rsidR="00A06CB6" w:rsidRPr="00494635" w:rsidRDefault="00A06CB6" w:rsidP="00A06CB6">
      <w:pPr>
        <w:pStyle w:val="enumlev1"/>
        <w:jc w:val="both"/>
        <w:rPr>
          <w:lang w:val="ru-RU"/>
        </w:rPr>
      </w:pPr>
      <w:r w:rsidRPr="00494635">
        <w:rPr>
          <w:lang w:val="ru-RU"/>
        </w:rPr>
        <w:t>•</w:t>
      </w:r>
      <w:r w:rsidRPr="00494635">
        <w:rPr>
          <w:lang w:val="ru-RU"/>
        </w:rPr>
        <w:tab/>
        <w:t>администрация ввела в действие частотные присвоения спутниковой сети DUB DUB-5-18W до истечения регламентарного предельного срока в 2019 году, используя находящийся на орбите спутник, и приостановила их действие 23 сентября 2019 года;</w:t>
      </w:r>
    </w:p>
    <w:p w14:paraId="2FB7ABF2" w14:textId="77777777" w:rsidR="00A06CB6" w:rsidRPr="00494635" w:rsidRDefault="00A06CB6" w:rsidP="00A06CB6">
      <w:pPr>
        <w:pStyle w:val="enumlev1"/>
        <w:jc w:val="both"/>
        <w:rPr>
          <w:lang w:val="ru-RU"/>
        </w:rPr>
      </w:pPr>
      <w:r w:rsidRPr="00494635">
        <w:rPr>
          <w:lang w:val="ru-RU"/>
        </w:rPr>
        <w:lastRenderedPageBreak/>
        <w:t>•</w:t>
      </w:r>
      <w:r w:rsidRPr="00494635">
        <w:rPr>
          <w:lang w:val="ru-RU"/>
        </w:rPr>
        <w:tab/>
        <w:t>финансовые трудности в результате арбитражного разбирательства или иных правовых действий не были сочтены достаточным основанием для отнесения какой-либо ситуации к случаю форс-мажорных обстоятельств;</w:t>
      </w:r>
    </w:p>
    <w:p w14:paraId="344C2CCB" w14:textId="77777777" w:rsidR="00A06CB6" w:rsidRPr="00494635" w:rsidRDefault="00A06CB6" w:rsidP="00A06CB6">
      <w:pPr>
        <w:pStyle w:val="enumlev1"/>
        <w:jc w:val="both"/>
        <w:rPr>
          <w:lang w:val="ru-RU"/>
        </w:rPr>
      </w:pPr>
      <w:r w:rsidRPr="00494635">
        <w:rPr>
          <w:lang w:val="ru-RU"/>
        </w:rPr>
        <w:t>•</w:t>
      </w:r>
      <w:r w:rsidRPr="00494635">
        <w:rPr>
          <w:lang w:val="ru-RU"/>
        </w:rPr>
        <w:tab/>
        <w:t>администрация не представила информации с подтверждающей документацией для доказательства того, что соблюдены все условия для отнесения ситуации к случаю форс-мажорных обстоятельств;</w:t>
      </w:r>
    </w:p>
    <w:p w14:paraId="695F4554" w14:textId="77777777" w:rsidR="00A06CB6" w:rsidRPr="00494635" w:rsidRDefault="00A06CB6" w:rsidP="00A06CB6">
      <w:pPr>
        <w:pStyle w:val="enumlev1"/>
        <w:jc w:val="both"/>
        <w:rPr>
          <w:lang w:val="ru-RU"/>
        </w:rPr>
      </w:pPr>
      <w:r w:rsidRPr="00494635">
        <w:rPr>
          <w:lang w:val="ru-RU"/>
        </w:rPr>
        <w:t>•</w:t>
      </w:r>
      <w:r w:rsidRPr="00494635">
        <w:rPr>
          <w:lang w:val="ru-RU"/>
        </w:rPr>
        <w:tab/>
        <w:t>не могли быть определены элементы, которые поддерживали бы просьбу о признании ситуации возможным случаем форс-мажорных обстоятельств.</w:t>
      </w:r>
    </w:p>
    <w:p w14:paraId="06F3A2B4" w14:textId="77777777" w:rsidR="00A06CB6" w:rsidRPr="00494635" w:rsidRDefault="00A06CB6" w:rsidP="00A06CB6">
      <w:pPr>
        <w:jc w:val="both"/>
        <w:rPr>
          <w:lang w:val="ru-RU"/>
        </w:rPr>
      </w:pPr>
      <w:r w:rsidRPr="00494635">
        <w:rPr>
          <w:lang w:val="ru-RU"/>
        </w:rPr>
        <w:t>В соответствии с этим Комитет решил, что он не может удовлетворить просьбу администрации Норвегии".</w:t>
      </w:r>
    </w:p>
    <w:p w14:paraId="4BB5782E" w14:textId="77777777" w:rsidR="00A06CB6" w:rsidRPr="00494635" w:rsidRDefault="00A06CB6" w:rsidP="00A06CB6">
      <w:pPr>
        <w:jc w:val="both"/>
        <w:rPr>
          <w:lang w:val="ru-RU"/>
        </w:rPr>
      </w:pPr>
      <w:r w:rsidRPr="00494635">
        <w:rPr>
          <w:lang w:val="ru-RU"/>
        </w:rPr>
        <w:t>5.1.16</w:t>
      </w:r>
      <w:r w:rsidRPr="00494635">
        <w:rPr>
          <w:lang w:val="ru-RU"/>
        </w:rPr>
        <w:tab/>
        <w:t xml:space="preserve">Предложение </w:t>
      </w:r>
      <w:r w:rsidRPr="00494635">
        <w:rPr>
          <w:b/>
          <w:bCs/>
          <w:lang w:val="ru-RU"/>
        </w:rPr>
        <w:t>принимается</w:t>
      </w:r>
      <w:r w:rsidRPr="00494635">
        <w:rPr>
          <w:lang w:val="ru-RU" w:eastAsia="zh-CN"/>
        </w:rPr>
        <w:t>.</w:t>
      </w:r>
    </w:p>
    <w:p w14:paraId="0BD05DAC" w14:textId="77777777" w:rsidR="00A06CB6" w:rsidRPr="00494635" w:rsidRDefault="00A06CB6" w:rsidP="00A06CB6">
      <w:pPr>
        <w:pStyle w:val="Heading2"/>
        <w:jc w:val="both"/>
        <w:rPr>
          <w:lang w:val="ru-RU"/>
        </w:rPr>
      </w:pPr>
      <w:r w:rsidRPr="00494635">
        <w:rPr>
          <w:lang w:val="ru-RU"/>
        </w:rPr>
        <w:t>5.2</w:t>
      </w:r>
      <w:r w:rsidRPr="00494635">
        <w:rPr>
          <w:lang w:val="ru-RU"/>
        </w:rPr>
        <w:tab/>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(Документ RRB22-3/6)</w:t>
      </w:r>
    </w:p>
    <w:p w14:paraId="53A6449C" w14:textId="77777777" w:rsidR="00A06CB6" w:rsidRPr="00494635" w:rsidRDefault="00A06CB6" w:rsidP="00A06CB6">
      <w:pPr>
        <w:jc w:val="both"/>
        <w:rPr>
          <w:lang w:val="ru-RU"/>
        </w:rPr>
      </w:pPr>
      <w:r w:rsidRPr="00494635">
        <w:rPr>
          <w:lang w:val="ru-RU"/>
        </w:rPr>
        <w:t>5.2.1</w:t>
      </w:r>
      <w:r w:rsidRPr="00494635">
        <w:rPr>
          <w:lang w:val="ru-RU"/>
        </w:rPr>
        <w:tab/>
      </w:r>
      <w:r w:rsidRPr="00494635">
        <w:rPr>
          <w:b/>
          <w:bCs/>
          <w:lang w:val="ru-RU"/>
        </w:rPr>
        <w:t xml:space="preserve">Г-н Лоо (руководитель SSD/SDR) </w:t>
      </w:r>
      <w:r w:rsidRPr="00494635">
        <w:rPr>
          <w:lang w:val="ru-RU"/>
        </w:rPr>
        <w:t>представляет Документ RRB22-3/6, в котором администрация Индонезии просит о дополнительном продлении регламентарного предельного срока ввода в действие частотных присвоений спутниковой сети NUSANTARA-H1-A. 1 сентября 2022 года компания SpaceX официально уведомила компанию Gravity Space о том, что запуск спутника GS-1 был далее отложен ввиду неготовности основного спутника, Viasat-3, и что ожидаемый запуск не состоится до 27 декабря 2022 года. Соответственно, администрация Индонезии просит о дополнительном продлении (продление предоставлено Комитетом на его 90-м собрании) с 31 декабря 2022 года до по меньшей мере 31 марта 2023 года в связи с неготовностью одного из спутников, размещаемых на той же ракете-носителе, как предусмотрено Частью A11 Правил процедуры. В Прилагаемом документе 1 содержится письмо от SpaceX, в котором подтверждается задержка запуска, а в Прилагаемом документе 2 – информация, представленная 90-му собранию Комитета.</w:t>
      </w:r>
    </w:p>
    <w:p w14:paraId="2CA2E632" w14:textId="77777777" w:rsidR="00A06CB6" w:rsidRPr="00494635" w:rsidRDefault="00A06CB6" w:rsidP="00A06CB6">
      <w:pPr>
        <w:jc w:val="both"/>
        <w:rPr>
          <w:lang w:val="ru-RU"/>
        </w:rPr>
      </w:pPr>
      <w:r w:rsidRPr="00494635">
        <w:rPr>
          <w:lang w:val="ru-RU"/>
        </w:rPr>
        <w:t>5.2.2</w:t>
      </w:r>
      <w:r w:rsidRPr="00494635">
        <w:rPr>
          <w:lang w:val="ru-RU"/>
        </w:rPr>
        <w:tab/>
        <w:t xml:space="preserve">Предельный срок представления информации по Резолюциям </w:t>
      </w:r>
      <w:r w:rsidRPr="00494635">
        <w:rPr>
          <w:b/>
          <w:bCs/>
          <w:lang w:val="ru-RU"/>
        </w:rPr>
        <w:t xml:space="preserve">49 (Пересм. ВКР-19) </w:t>
      </w:r>
      <w:r w:rsidRPr="00494635">
        <w:rPr>
          <w:lang w:val="ru-RU"/>
        </w:rPr>
        <w:t>и</w:t>
      </w:r>
      <w:r w:rsidRPr="00494635">
        <w:rPr>
          <w:b/>
          <w:bCs/>
          <w:lang w:val="ru-RU"/>
        </w:rPr>
        <w:t xml:space="preserve"> 552 (Пересм. ВКР-19)</w:t>
      </w:r>
      <w:r w:rsidRPr="00494635">
        <w:rPr>
          <w:lang w:val="ru-RU"/>
        </w:rPr>
        <w:t xml:space="preserve"> – 24 августа 2022 года, однако информация не была получена до 26 октября 2022 года после напоминания Бюро; поэтому Комитету предлагается принять решение о том, поручить ли Бюро принять поступившую с опозданием информацию. Отвечая на вопрос </w:t>
      </w:r>
      <w:r w:rsidRPr="00494635">
        <w:rPr>
          <w:b/>
          <w:bCs/>
          <w:lang w:val="ru-RU"/>
        </w:rPr>
        <w:t>г-на Анри</w:t>
      </w:r>
      <w:r w:rsidRPr="00494635">
        <w:rPr>
          <w:lang w:val="ru-RU"/>
        </w:rPr>
        <w:t>, выступающий подтверждает, что администрация Индонезии представила информацию для заявления.</w:t>
      </w:r>
    </w:p>
    <w:p w14:paraId="0065D79F" w14:textId="77777777" w:rsidR="00A06CB6" w:rsidRPr="00494635" w:rsidRDefault="00A06CB6" w:rsidP="00A06CB6">
      <w:pPr>
        <w:jc w:val="both"/>
        <w:rPr>
          <w:lang w:val="ru-RU"/>
        </w:rPr>
      </w:pPr>
      <w:r w:rsidRPr="00494635">
        <w:rPr>
          <w:lang w:val="ru-RU"/>
        </w:rPr>
        <w:t>5.2.3</w:t>
      </w:r>
      <w:r w:rsidRPr="00494635">
        <w:rPr>
          <w:lang w:val="ru-RU"/>
        </w:rPr>
        <w:tab/>
      </w:r>
      <w:r w:rsidRPr="00494635">
        <w:rPr>
          <w:b/>
          <w:bCs/>
          <w:lang w:val="ru-RU"/>
        </w:rPr>
        <w:t>Г-жа Бомье</w:t>
      </w:r>
      <w:r w:rsidRPr="00494635">
        <w:rPr>
          <w:lang w:val="ru-RU"/>
        </w:rPr>
        <w:t xml:space="preserve">, отмечая, что единственным элементом, который изменился, является окно для запуска, говорит, что ситуация продолжает соответствовать случаю </w:t>
      </w:r>
      <w:r w:rsidRPr="00494635">
        <w:rPr>
          <w:shd w:val="clear" w:color="auto" w:fill="FFFFFF"/>
          <w:lang w:val="ru-RU"/>
        </w:rPr>
        <w:t xml:space="preserve">задержки запуска, вызванной </w:t>
      </w:r>
      <w:r w:rsidRPr="00494635">
        <w:rPr>
          <w:lang w:val="ru-RU"/>
        </w:rPr>
        <w:t>неготовностью одного из спутников, размещаемых на той же ракете-носителе. Она может поддержать запрашиваемое продление, которое ограничено по времени и имеет обоснование.</w:t>
      </w:r>
    </w:p>
    <w:p w14:paraId="5E0D9EDD" w14:textId="77777777" w:rsidR="00A06CB6" w:rsidRPr="00494635" w:rsidRDefault="00A06CB6" w:rsidP="00A06CB6">
      <w:pPr>
        <w:jc w:val="both"/>
        <w:rPr>
          <w:lang w:val="ru-RU"/>
        </w:rPr>
      </w:pPr>
      <w:r w:rsidRPr="00494635">
        <w:rPr>
          <w:lang w:val="ru-RU"/>
        </w:rPr>
        <w:t>5.2.4</w:t>
      </w:r>
      <w:r w:rsidRPr="00494635">
        <w:rPr>
          <w:lang w:val="ru-RU"/>
        </w:rPr>
        <w:tab/>
      </w:r>
      <w:r w:rsidRPr="00494635">
        <w:rPr>
          <w:b/>
          <w:bCs/>
          <w:lang w:val="ru-RU"/>
        </w:rPr>
        <w:t>Г-н Анри</w:t>
      </w:r>
      <w:r w:rsidRPr="00494635">
        <w:rPr>
          <w:lang w:val="ru-RU"/>
        </w:rPr>
        <w:t xml:space="preserve">, напоминая о решении Комитета, принятом на его 90-м собрании, говорит, что от SpaceX поступили материалы, свидетельствующие о том, что запуск был отложен по крайней мере до 27 декабря 2022 года, а в других отчетах в качестве окна для запуска предлагается период с 4 по 11 января 2023 года. С учетом срока подъема орбиты, который составит от одного до двух месяцев и оценивается в первой просьбе, продление на три месяца должно быть достаточным для ввода в действие уже заявленных частотных присвоений спутниковой сети NUSANTARA-H1. Просьба соответствует случаю </w:t>
      </w:r>
      <w:r w:rsidRPr="00494635">
        <w:rPr>
          <w:shd w:val="clear" w:color="auto" w:fill="FFFFFF"/>
          <w:lang w:val="ru-RU"/>
        </w:rPr>
        <w:t xml:space="preserve">задержки запуска, вызванной </w:t>
      </w:r>
      <w:r w:rsidRPr="00494635">
        <w:rPr>
          <w:lang w:val="ru-RU"/>
        </w:rPr>
        <w:t xml:space="preserve">неготовностью одного из спутников, размещаемых на той же ракете-носителе, в соответствии с Частью A11 Правил процедуры, и он может поддержать продление до 31 марта 2023 года. Притом что администрация Индонезии вполне могла неправильно истолковать предельный срок представления информации, требующейся согласно Резолюции </w:t>
      </w:r>
      <w:r w:rsidRPr="00494635">
        <w:rPr>
          <w:b/>
          <w:bCs/>
          <w:lang w:val="ru-RU"/>
        </w:rPr>
        <w:t>49 (Пересм. ВКР-19)</w:t>
      </w:r>
      <w:r w:rsidRPr="00494635">
        <w:rPr>
          <w:lang w:val="ru-RU"/>
        </w:rPr>
        <w:t xml:space="preserve">, после предоставления продления на 90-м собрании Комитета, административная задержка представления требующейся информации не должна рассматриваться в положительном аспекте. В связи с этим Комитету следует напомнить администрациям, что продление регламентарного предельного срока ввода или повторного ввода в действие частотного присвоения </w:t>
      </w:r>
      <w:r w:rsidRPr="00494635">
        <w:rPr>
          <w:lang w:val="ru-RU"/>
        </w:rPr>
        <w:lastRenderedPageBreak/>
        <w:t>не влечет за собой автоматического продления предельных сроков, установленных в любых других применимых положениях Регламента радиосвязи, как указано в Правиле процедуры по п. </w:t>
      </w:r>
      <w:r w:rsidRPr="00494635">
        <w:rPr>
          <w:b/>
          <w:bCs/>
          <w:lang w:val="ru-RU"/>
        </w:rPr>
        <w:t>11.48</w:t>
      </w:r>
      <w:r w:rsidRPr="00494635">
        <w:rPr>
          <w:lang w:val="ru-RU"/>
        </w:rPr>
        <w:t xml:space="preserve"> (Действия Бюро после принятия Комитетом решения предоставить продление ввода в действие частотных присвоений спутниковой сети).</w:t>
      </w:r>
    </w:p>
    <w:p w14:paraId="4B9475A7" w14:textId="77777777" w:rsidR="00A06CB6" w:rsidRPr="00494635" w:rsidRDefault="00A06CB6" w:rsidP="00A06CB6">
      <w:pPr>
        <w:jc w:val="both"/>
        <w:rPr>
          <w:lang w:val="ru-RU"/>
        </w:rPr>
      </w:pPr>
      <w:r w:rsidRPr="00494635">
        <w:rPr>
          <w:lang w:val="ru-RU"/>
        </w:rPr>
        <w:t>5.2.5</w:t>
      </w:r>
      <w:r w:rsidRPr="00494635">
        <w:rPr>
          <w:lang w:val="ru-RU"/>
        </w:rPr>
        <w:tab/>
      </w:r>
      <w:r w:rsidRPr="00494635">
        <w:rPr>
          <w:b/>
          <w:bCs/>
          <w:lang w:val="ru-RU"/>
        </w:rPr>
        <w:t>Г-жа Жеанти</w:t>
      </w:r>
      <w:r w:rsidRPr="00494635">
        <w:rPr>
          <w:lang w:val="ru-RU"/>
        </w:rPr>
        <w:t xml:space="preserve"> говорит, что может поддержать продление до 31 марта 2023 года, и надеется, что окно для запуска больше не будет сдвигаться. Она соглашается с тем, что Комитету следует напомнить администрациям о том, что продление регламентарного предельного срока ввода или повторного ввода в действие частотного присвоения не влечет за собой автоматического продления предельных сроков, установленных в любых других положениях.</w:t>
      </w:r>
    </w:p>
    <w:p w14:paraId="19726914" w14:textId="77777777" w:rsidR="00A06CB6" w:rsidRPr="00494635" w:rsidRDefault="00A06CB6" w:rsidP="00A06CB6">
      <w:pPr>
        <w:jc w:val="both"/>
        <w:rPr>
          <w:lang w:val="ru-RU"/>
        </w:rPr>
      </w:pPr>
      <w:r w:rsidRPr="00494635">
        <w:rPr>
          <w:lang w:val="ru-RU"/>
        </w:rPr>
        <w:t>5.2.6</w:t>
      </w:r>
      <w:r w:rsidRPr="00494635">
        <w:rPr>
          <w:lang w:val="ru-RU"/>
        </w:rPr>
        <w:tab/>
      </w:r>
      <w:r w:rsidRPr="00494635">
        <w:rPr>
          <w:b/>
          <w:bCs/>
          <w:lang w:val="ru-RU"/>
        </w:rPr>
        <w:t>Г-н Хоан</w:t>
      </w:r>
      <w:r w:rsidRPr="00494635">
        <w:rPr>
          <w:lang w:val="ru-RU"/>
        </w:rPr>
        <w:t xml:space="preserve"> отмечает, что, учитывая новые сроки окна для запуска, просьба соответствует случаю </w:t>
      </w:r>
      <w:r w:rsidRPr="00494635">
        <w:rPr>
          <w:shd w:val="clear" w:color="auto" w:fill="FFFFFF"/>
          <w:lang w:val="ru-RU"/>
        </w:rPr>
        <w:t xml:space="preserve">задержки запуска, вызванной </w:t>
      </w:r>
      <w:r w:rsidRPr="00494635">
        <w:rPr>
          <w:lang w:val="ru-RU"/>
        </w:rPr>
        <w:t xml:space="preserve">неготовностью одного из спутников, размещаемых на той же ракете-носителе. Он выступает за предоставление запрашиваемого продления на три месяца и считает, что Бюро следует принять поступившую с задержкой информацию по Резолюции </w:t>
      </w:r>
      <w:r w:rsidRPr="00494635">
        <w:rPr>
          <w:b/>
          <w:bCs/>
          <w:lang w:val="ru-RU"/>
        </w:rPr>
        <w:t>49 (Пересм. ВКР</w:t>
      </w:r>
      <w:r w:rsidRPr="00494635">
        <w:rPr>
          <w:b/>
          <w:bCs/>
          <w:lang w:val="ru-RU"/>
        </w:rPr>
        <w:noBreakHyphen/>
        <w:t>19)</w:t>
      </w:r>
      <w:r w:rsidRPr="00494635">
        <w:rPr>
          <w:lang w:val="ru-RU"/>
        </w:rPr>
        <w:t>.</w:t>
      </w:r>
    </w:p>
    <w:p w14:paraId="5535DCD6" w14:textId="77777777" w:rsidR="00A06CB6" w:rsidRPr="00494635" w:rsidRDefault="00A06CB6" w:rsidP="00A06CB6">
      <w:pPr>
        <w:jc w:val="both"/>
        <w:rPr>
          <w:lang w:val="ru-RU"/>
        </w:rPr>
      </w:pPr>
      <w:r w:rsidRPr="00494635">
        <w:rPr>
          <w:lang w:val="ru-RU"/>
        </w:rPr>
        <w:t>5.2.7</w:t>
      </w:r>
      <w:r w:rsidRPr="00494635">
        <w:rPr>
          <w:lang w:val="ru-RU"/>
        </w:rPr>
        <w:tab/>
      </w:r>
      <w:r w:rsidRPr="00494635">
        <w:rPr>
          <w:b/>
          <w:bCs/>
          <w:lang w:val="ru-RU"/>
        </w:rPr>
        <w:t>Г-н Аззуз</w:t>
      </w:r>
      <w:r w:rsidRPr="00494635">
        <w:rPr>
          <w:lang w:val="ru-RU"/>
        </w:rPr>
        <w:t xml:space="preserve">, отмечая, что просьба соответствует случаю </w:t>
      </w:r>
      <w:r w:rsidRPr="00494635">
        <w:rPr>
          <w:shd w:val="clear" w:color="auto" w:fill="FFFFFF"/>
          <w:lang w:val="ru-RU"/>
        </w:rPr>
        <w:t xml:space="preserve">задержки запуска, вызванной </w:t>
      </w:r>
      <w:r w:rsidRPr="00494635">
        <w:rPr>
          <w:lang w:val="ru-RU"/>
        </w:rPr>
        <w:t>неготовностью одного из спутников, размещаемых на той же ракете-носителе, заявляет, что он может поддержать продление до 31 марта 2023 года.</w:t>
      </w:r>
    </w:p>
    <w:p w14:paraId="0E65DCE8" w14:textId="77777777" w:rsidR="00A06CB6" w:rsidRPr="00494635" w:rsidRDefault="00A06CB6" w:rsidP="00A06CB6">
      <w:pPr>
        <w:jc w:val="both"/>
        <w:rPr>
          <w:lang w:val="ru-RU"/>
        </w:rPr>
      </w:pPr>
      <w:r w:rsidRPr="00494635">
        <w:rPr>
          <w:lang w:val="ru-RU"/>
        </w:rPr>
        <w:t>5.2.8</w:t>
      </w:r>
      <w:r w:rsidRPr="00494635">
        <w:rPr>
          <w:lang w:val="ru-RU"/>
        </w:rPr>
        <w:tab/>
      </w:r>
      <w:r w:rsidRPr="00494635">
        <w:rPr>
          <w:b/>
          <w:bCs/>
          <w:lang w:val="ru-RU"/>
        </w:rPr>
        <w:t>Г-н Хасимото</w:t>
      </w:r>
      <w:r w:rsidRPr="00494635">
        <w:rPr>
          <w:lang w:val="ru-RU"/>
        </w:rPr>
        <w:t xml:space="preserve"> говорит, что он также может удовлетворить эту просьбу в свете проведенного ранее рассмотрения этого вопроса Комитетом.</w:t>
      </w:r>
    </w:p>
    <w:p w14:paraId="74D8579E" w14:textId="77777777" w:rsidR="00A06CB6" w:rsidRPr="00494635" w:rsidRDefault="00A06CB6" w:rsidP="00A06CB6">
      <w:pPr>
        <w:jc w:val="both"/>
        <w:rPr>
          <w:lang w:val="ru-RU"/>
        </w:rPr>
      </w:pPr>
      <w:r w:rsidRPr="00494635">
        <w:rPr>
          <w:lang w:val="ru-RU"/>
        </w:rPr>
        <w:t>5.2.9</w:t>
      </w:r>
      <w:r w:rsidRPr="00494635">
        <w:rPr>
          <w:lang w:val="ru-RU"/>
        </w:rPr>
        <w:tab/>
      </w:r>
      <w:r w:rsidRPr="00494635">
        <w:rPr>
          <w:b/>
          <w:bCs/>
          <w:lang w:val="ru-RU"/>
        </w:rPr>
        <w:t>Г-н Борхон</w:t>
      </w:r>
      <w:r w:rsidRPr="00494635">
        <w:rPr>
          <w:lang w:val="ru-RU"/>
        </w:rPr>
        <w:t xml:space="preserve"> отмечает, что практика непредоставления Комитетом запаса времени на случай непредвиденных обстоятельств позволяет внимательно следить за аналогичными случаями. Комитету было представлено достаточно доказательств, чтобы предоставить запрошенное продление на основании </w:t>
      </w:r>
      <w:r w:rsidRPr="00494635">
        <w:rPr>
          <w:shd w:val="clear" w:color="auto" w:fill="FFFFFF"/>
          <w:lang w:val="ru-RU"/>
        </w:rPr>
        <w:t xml:space="preserve">задержки запуска, вызванной </w:t>
      </w:r>
      <w:r w:rsidRPr="00494635">
        <w:rPr>
          <w:lang w:val="ru-RU"/>
        </w:rPr>
        <w:t>неготовностью одного из спутников, размещаемых на той же ракете-носителе. Комитету следует напомнить всем администрациям, что продление регламентарного предельного срока не создает новых предельных сроков предоставления информации.</w:t>
      </w:r>
    </w:p>
    <w:p w14:paraId="2AA6301A" w14:textId="77777777" w:rsidR="00A06CB6" w:rsidRPr="00494635" w:rsidRDefault="00A06CB6" w:rsidP="00A06CB6">
      <w:pPr>
        <w:jc w:val="both"/>
        <w:rPr>
          <w:lang w:val="ru-RU"/>
        </w:rPr>
      </w:pPr>
      <w:r w:rsidRPr="00494635">
        <w:rPr>
          <w:lang w:val="ru-RU" w:eastAsia="zh-CN"/>
        </w:rPr>
        <w:t>5.2.10</w:t>
      </w:r>
      <w:r w:rsidRPr="00494635">
        <w:rPr>
          <w:lang w:val="ru-RU"/>
        </w:rPr>
        <w:tab/>
      </w:r>
      <w:r w:rsidRPr="00494635">
        <w:rPr>
          <w:b/>
          <w:bCs/>
          <w:lang w:val="ru-RU"/>
        </w:rPr>
        <w:t>Г-жа Гасанова</w:t>
      </w:r>
      <w:r w:rsidRPr="00494635">
        <w:rPr>
          <w:lang w:val="ru-RU"/>
        </w:rPr>
        <w:t xml:space="preserve"> высказывается в поддержку того, чтобы предоставить продление на основании </w:t>
      </w:r>
      <w:r w:rsidRPr="00494635">
        <w:rPr>
          <w:shd w:val="clear" w:color="auto" w:fill="FFFFFF"/>
          <w:lang w:val="ru-RU"/>
        </w:rPr>
        <w:t xml:space="preserve">задержки запуска, вызванной </w:t>
      </w:r>
      <w:r w:rsidRPr="00494635">
        <w:rPr>
          <w:lang w:val="ru-RU"/>
        </w:rPr>
        <w:t>неготовностью одного из спутников, размещаемых на той же ракете-носителе, до 31 марта 2023 года, чего должно быть достаточно для ввода частотных присвоений в действие.</w:t>
      </w:r>
    </w:p>
    <w:p w14:paraId="449017E8" w14:textId="77777777" w:rsidR="00A06CB6" w:rsidRPr="00494635" w:rsidRDefault="00A06CB6" w:rsidP="00A06CB6">
      <w:pPr>
        <w:jc w:val="both"/>
        <w:rPr>
          <w:lang w:val="ru-RU"/>
        </w:rPr>
      </w:pPr>
      <w:r w:rsidRPr="00494635">
        <w:rPr>
          <w:lang w:val="ru-RU" w:eastAsia="zh-CN"/>
        </w:rPr>
        <w:t>5.2.11</w:t>
      </w:r>
      <w:r w:rsidRPr="00494635">
        <w:rPr>
          <w:lang w:val="ru-RU"/>
        </w:rPr>
        <w:tab/>
      </w:r>
      <w:r w:rsidRPr="00494635">
        <w:rPr>
          <w:b/>
          <w:bCs/>
          <w:lang w:val="ru-RU"/>
        </w:rPr>
        <w:t>Г-н Варламов</w:t>
      </w:r>
      <w:r w:rsidRPr="00494635">
        <w:rPr>
          <w:lang w:val="ru-RU"/>
        </w:rPr>
        <w:t xml:space="preserve"> соглашается с тем, что следует предоставить продление. В кратком описании полезной нагрузки (в Прилагаемом документе 2 к Документу RRB22-3/6) приводится широкий перечень полос частот, и он просит разъяснения в отношении полос частот, включенных в представленную информацию по Резолюции </w:t>
      </w:r>
      <w:r w:rsidRPr="00494635">
        <w:rPr>
          <w:b/>
          <w:bCs/>
          <w:lang w:val="ru-RU"/>
        </w:rPr>
        <w:t>49 (Пересм. ВКР-19)</w:t>
      </w:r>
      <w:r w:rsidRPr="00494635">
        <w:rPr>
          <w:lang w:val="ru-RU"/>
        </w:rPr>
        <w:t>, тем более что космический аппарат Gravity Space стандарта CubeSat относительно небольшой.</w:t>
      </w:r>
    </w:p>
    <w:p w14:paraId="66F1FD8A" w14:textId="77777777" w:rsidR="00A06CB6" w:rsidRPr="00494635" w:rsidRDefault="00A06CB6" w:rsidP="00A06CB6">
      <w:pPr>
        <w:jc w:val="both"/>
        <w:rPr>
          <w:lang w:val="ru-RU"/>
        </w:rPr>
      </w:pPr>
      <w:r w:rsidRPr="00494635">
        <w:rPr>
          <w:lang w:val="ru-RU"/>
        </w:rPr>
        <w:t>5.2.12</w:t>
      </w:r>
      <w:r w:rsidRPr="00494635">
        <w:rPr>
          <w:lang w:val="ru-RU"/>
        </w:rPr>
        <w:tab/>
      </w:r>
      <w:r w:rsidRPr="00494635">
        <w:rPr>
          <w:b/>
          <w:bCs/>
          <w:lang w:val="ru-RU"/>
        </w:rPr>
        <w:t>Г-н Талиб</w:t>
      </w:r>
      <w:r w:rsidRPr="00494635">
        <w:rPr>
          <w:lang w:val="ru-RU"/>
        </w:rPr>
        <w:t xml:space="preserve"> говорит, что, принимая во внимание предоставленную информацию и дополнительные материалы, он может согласиться с продлением до 31 марта 2023 года, чего, по его мнению, будет достаточно.</w:t>
      </w:r>
    </w:p>
    <w:p w14:paraId="6C98844D" w14:textId="77777777" w:rsidR="00A06CB6" w:rsidRPr="00494635" w:rsidRDefault="00A06CB6" w:rsidP="00A06CB6">
      <w:pPr>
        <w:jc w:val="both"/>
        <w:rPr>
          <w:lang w:val="ru-RU"/>
        </w:rPr>
      </w:pPr>
      <w:r w:rsidRPr="00494635">
        <w:rPr>
          <w:lang w:val="ru-RU"/>
        </w:rPr>
        <w:t>5.2.13</w:t>
      </w:r>
      <w:r w:rsidRPr="00494635">
        <w:rPr>
          <w:lang w:val="ru-RU"/>
        </w:rPr>
        <w:tab/>
      </w:r>
      <w:r w:rsidRPr="00494635">
        <w:rPr>
          <w:b/>
          <w:bCs/>
          <w:lang w:val="ru-RU"/>
        </w:rPr>
        <w:t>Г-н Мчуну</w:t>
      </w:r>
      <w:r w:rsidRPr="00494635">
        <w:rPr>
          <w:lang w:val="ru-RU"/>
        </w:rPr>
        <w:t xml:space="preserve"> говорит, что он также поддерживает запрашиваемое продление.</w:t>
      </w:r>
    </w:p>
    <w:p w14:paraId="321870C4" w14:textId="77777777" w:rsidR="00A06CB6" w:rsidRPr="00494635" w:rsidRDefault="00A06CB6" w:rsidP="00A06CB6">
      <w:pPr>
        <w:jc w:val="both"/>
        <w:rPr>
          <w:lang w:val="ru-RU"/>
        </w:rPr>
      </w:pPr>
      <w:r w:rsidRPr="00494635">
        <w:rPr>
          <w:lang w:val="ru-RU" w:eastAsia="zh-CN"/>
        </w:rPr>
        <w:t>5.2.14</w:t>
      </w:r>
      <w:r w:rsidRPr="00494635">
        <w:rPr>
          <w:lang w:val="ru-RU"/>
        </w:rPr>
        <w:tab/>
      </w:r>
      <w:r w:rsidRPr="00494635">
        <w:rPr>
          <w:b/>
          <w:bCs/>
          <w:lang w:val="ru-RU"/>
        </w:rPr>
        <w:t>Г-н Лоо (руководитель SSD/SDR)</w:t>
      </w:r>
      <w:r w:rsidRPr="00494635">
        <w:rPr>
          <w:lang w:val="ru-RU"/>
        </w:rPr>
        <w:t xml:space="preserve"> говорит, что информация, представленная согласно Резолюциям </w:t>
      </w:r>
      <w:r w:rsidRPr="00494635">
        <w:rPr>
          <w:b/>
          <w:bCs/>
          <w:lang w:val="ru-RU"/>
        </w:rPr>
        <w:t xml:space="preserve">49 (Пересм. ВКР-19) </w:t>
      </w:r>
      <w:r w:rsidRPr="00494635">
        <w:rPr>
          <w:lang w:val="ru-RU"/>
        </w:rPr>
        <w:t>и</w:t>
      </w:r>
      <w:r w:rsidRPr="00494635">
        <w:rPr>
          <w:b/>
          <w:bCs/>
          <w:lang w:val="ru-RU"/>
        </w:rPr>
        <w:t xml:space="preserve"> 552 (Пересм. ВКР-19)</w:t>
      </w:r>
      <w:r w:rsidRPr="00494635">
        <w:rPr>
          <w:lang w:val="ru-RU"/>
        </w:rPr>
        <w:t xml:space="preserve">, размещена в Sharepoint. Информация согласно Резолюции </w:t>
      </w:r>
      <w:r w:rsidRPr="00494635">
        <w:rPr>
          <w:b/>
          <w:bCs/>
          <w:lang w:val="ru-RU"/>
        </w:rPr>
        <w:t>49</w:t>
      </w:r>
      <w:r w:rsidRPr="00494635">
        <w:rPr>
          <w:lang w:val="ru-RU"/>
        </w:rPr>
        <w:t xml:space="preserve">, представленная администрацией Индонезии 26 октября 2022 года, не охватывает все полосы частот спутниковой сети NUSANTARA-H1-A, а только заявленные, используемые на борту спутника GS-1. Информация, представленная согласно Резолюции </w:t>
      </w:r>
      <w:r w:rsidRPr="00494635">
        <w:rPr>
          <w:b/>
          <w:bCs/>
          <w:lang w:val="ru-RU"/>
        </w:rPr>
        <w:t>552</w:t>
      </w:r>
      <w:r w:rsidRPr="00494635">
        <w:rPr>
          <w:lang w:val="ru-RU"/>
        </w:rPr>
        <w:t>, охватывает всю полосу частот 21,4–22 ГГц.</w:t>
      </w:r>
    </w:p>
    <w:p w14:paraId="6EAACD2B" w14:textId="77777777" w:rsidR="00A06CB6" w:rsidRPr="00494635" w:rsidRDefault="00A06CB6" w:rsidP="00A06CB6">
      <w:pPr>
        <w:jc w:val="both"/>
        <w:rPr>
          <w:lang w:val="ru-RU"/>
        </w:rPr>
      </w:pPr>
      <w:r w:rsidRPr="00494635">
        <w:rPr>
          <w:lang w:val="ru-RU"/>
        </w:rPr>
        <w:t>5.2.15</w:t>
      </w:r>
      <w:r w:rsidRPr="00494635">
        <w:rPr>
          <w:lang w:val="ru-RU"/>
        </w:rPr>
        <w:tab/>
      </w:r>
      <w:r w:rsidRPr="00494635">
        <w:rPr>
          <w:b/>
          <w:bCs/>
          <w:lang w:val="ru-RU"/>
        </w:rPr>
        <w:t>Г-н Варламов</w:t>
      </w:r>
      <w:r w:rsidRPr="00494635">
        <w:rPr>
          <w:lang w:val="ru-RU"/>
        </w:rPr>
        <w:t xml:space="preserve"> говорит, что решение Комитета должно применяться к полосам частот, указанным в информации, представленной согласно Резолюциям </w:t>
      </w:r>
      <w:r w:rsidRPr="00494635">
        <w:rPr>
          <w:b/>
          <w:bCs/>
          <w:lang w:val="ru-RU"/>
        </w:rPr>
        <w:t xml:space="preserve">49 (Пересм. ВКР-19) </w:t>
      </w:r>
      <w:r w:rsidRPr="00494635">
        <w:rPr>
          <w:lang w:val="ru-RU"/>
        </w:rPr>
        <w:t>и</w:t>
      </w:r>
      <w:r w:rsidRPr="00494635">
        <w:rPr>
          <w:b/>
          <w:bCs/>
          <w:lang w:val="ru-RU"/>
        </w:rPr>
        <w:t xml:space="preserve"> 552 (Пересм. ВКР-19)</w:t>
      </w:r>
      <w:r w:rsidRPr="00494635">
        <w:rPr>
          <w:lang w:val="ru-RU"/>
        </w:rPr>
        <w:t>. Комитету следует также просить администрацию Индонезии информировать Бюро о частотных присвоениях, которые будут использоваться для контроля спутника в отношении TT&amp;C во время ввода в действие.</w:t>
      </w:r>
    </w:p>
    <w:p w14:paraId="298DCCC7" w14:textId="77777777" w:rsidR="00A06CB6" w:rsidRPr="00494635" w:rsidRDefault="00A06CB6" w:rsidP="00A06CB6">
      <w:pPr>
        <w:jc w:val="both"/>
        <w:rPr>
          <w:lang w:val="ru-RU"/>
        </w:rPr>
      </w:pPr>
      <w:r w:rsidRPr="00494635">
        <w:rPr>
          <w:lang w:val="ru-RU"/>
        </w:rPr>
        <w:lastRenderedPageBreak/>
        <w:t>5.2.16</w:t>
      </w:r>
      <w:r w:rsidRPr="00494635">
        <w:rPr>
          <w:lang w:val="ru-RU"/>
        </w:rPr>
        <w:tab/>
      </w:r>
      <w:r w:rsidRPr="00494635">
        <w:rPr>
          <w:b/>
          <w:bCs/>
          <w:lang w:val="ru-RU"/>
        </w:rPr>
        <w:t xml:space="preserve">Г-н Лоо (руководитель SSD/SDR) </w:t>
      </w:r>
      <w:r w:rsidRPr="00494635">
        <w:rPr>
          <w:lang w:val="ru-RU"/>
        </w:rPr>
        <w:t xml:space="preserve">говорит, что заявление сети было представлено 8 мая 2020 года, но не включает все полосы на борту космического аппарата GS-1. Кроме того, поскольку администрация Индонезии не предоставила информацию согласно Резолюции </w:t>
      </w:r>
      <w:r w:rsidRPr="00494635">
        <w:rPr>
          <w:b/>
          <w:bCs/>
          <w:lang w:val="ru-RU"/>
        </w:rPr>
        <w:t>49 (Пересм. ВКР-19)</w:t>
      </w:r>
      <w:r w:rsidRPr="00494635">
        <w:rPr>
          <w:lang w:val="ru-RU"/>
        </w:rPr>
        <w:t xml:space="preserve"> об определенных полосах и проинформировала Бюро о том, что не намерена вводить их в действие, Бюро применит обычную регламентарную процедуру для их аннулирования. В отношении TT&amp;C он отмечает, что присвоения были представлены для диапазонов Ku и Ka, которые включают подвижную спутниковую службу, фиксированную спутниковую службу и службу космической эксплуатации.</w:t>
      </w:r>
    </w:p>
    <w:p w14:paraId="3FF5C656" w14:textId="77777777" w:rsidR="00A06CB6" w:rsidRPr="00494635" w:rsidRDefault="00A06CB6" w:rsidP="00A06CB6">
      <w:pPr>
        <w:jc w:val="both"/>
        <w:rPr>
          <w:lang w:val="ru-RU"/>
        </w:rPr>
      </w:pPr>
      <w:r w:rsidRPr="00494635">
        <w:rPr>
          <w:lang w:val="ru-RU"/>
        </w:rPr>
        <w:t>5.2.17</w:t>
      </w:r>
      <w:r w:rsidRPr="00494635">
        <w:rPr>
          <w:lang w:val="ru-RU"/>
        </w:rPr>
        <w:tab/>
      </w:r>
      <w:r w:rsidRPr="00494635">
        <w:rPr>
          <w:b/>
          <w:bCs/>
          <w:lang w:val="ru-RU"/>
        </w:rPr>
        <w:t>Г-н Анри</w:t>
      </w:r>
      <w:r w:rsidRPr="00494635">
        <w:rPr>
          <w:lang w:val="ru-RU"/>
        </w:rPr>
        <w:t xml:space="preserve"> говорит, что, хотя Комитет выступает за продление регламентарного предельного срока ввода в действие частотных присвоений спутниковой сети NUSANTARA-H1-A, в его понимании такое продление применяется к полосам частот, которые указаны в информации, представленной согласно Резолюции </w:t>
      </w:r>
      <w:r w:rsidRPr="00494635">
        <w:rPr>
          <w:b/>
          <w:bCs/>
          <w:lang w:val="ru-RU"/>
        </w:rPr>
        <w:t>49 (Пересм. ВКР-19)</w:t>
      </w:r>
      <w:r w:rsidRPr="00494635">
        <w:rPr>
          <w:lang w:val="ru-RU"/>
        </w:rPr>
        <w:t>.</w:t>
      </w:r>
    </w:p>
    <w:p w14:paraId="52C69520" w14:textId="77777777" w:rsidR="00A06CB6" w:rsidRPr="00494635" w:rsidRDefault="00A06CB6" w:rsidP="00A06CB6">
      <w:pPr>
        <w:jc w:val="both"/>
        <w:rPr>
          <w:lang w:val="ru-RU"/>
        </w:rPr>
      </w:pPr>
      <w:r w:rsidRPr="00494635">
        <w:rPr>
          <w:lang w:val="ru-RU"/>
        </w:rPr>
        <w:t>5.2.18</w:t>
      </w:r>
      <w:r w:rsidRPr="00494635">
        <w:rPr>
          <w:lang w:val="ru-RU"/>
        </w:rPr>
        <w:tab/>
      </w:r>
      <w:r w:rsidRPr="00494635">
        <w:rPr>
          <w:b/>
          <w:bCs/>
          <w:lang w:val="ru-RU" w:eastAsia="zh-CN"/>
        </w:rPr>
        <w:t>Председатель</w:t>
      </w:r>
      <w:r w:rsidRPr="00494635">
        <w:rPr>
          <w:lang w:val="ru-RU" w:eastAsia="zh-CN"/>
        </w:rPr>
        <w:t xml:space="preserve"> предлагает </w:t>
      </w:r>
      <w:r w:rsidRPr="00494635">
        <w:rPr>
          <w:lang w:val="ru-RU"/>
        </w:rPr>
        <w:t>Комитету</w:t>
      </w:r>
      <w:r w:rsidRPr="00494635">
        <w:rPr>
          <w:lang w:val="ru-RU" w:eastAsia="zh-CN"/>
        </w:rPr>
        <w:t xml:space="preserve"> сделать по данному вопросу следующее заключение</w:t>
      </w:r>
      <w:r w:rsidRPr="00494635">
        <w:rPr>
          <w:lang w:val="ru-RU"/>
        </w:rPr>
        <w:t>:</w:t>
      </w:r>
    </w:p>
    <w:p w14:paraId="2753DC32" w14:textId="77777777" w:rsidR="00A06CB6" w:rsidRPr="00494635" w:rsidRDefault="00A06CB6" w:rsidP="00A06CB6">
      <w:pPr>
        <w:jc w:val="both"/>
        <w:rPr>
          <w:lang w:val="ru-RU"/>
        </w:rPr>
      </w:pPr>
      <w:r w:rsidRPr="00494635">
        <w:rPr>
          <w:lang w:val="ru-RU"/>
        </w:rPr>
        <w:t>"Комитет подробно рассмотрел просьбу администрации Индонезии, содержащуюся в Документе RRB22-3/6, и отметил, что:</w:t>
      </w:r>
    </w:p>
    <w:p w14:paraId="57332F66" w14:textId="77777777" w:rsidR="00A06CB6" w:rsidRPr="00494635" w:rsidRDefault="00A06CB6" w:rsidP="00A06CB6">
      <w:pPr>
        <w:pStyle w:val="enumlev1"/>
        <w:jc w:val="both"/>
        <w:rPr>
          <w:lang w:val="ru-RU"/>
        </w:rPr>
      </w:pPr>
      <w:r w:rsidRPr="00494635">
        <w:rPr>
          <w:lang w:val="ru-RU"/>
        </w:rPr>
        <w:t>•</w:t>
      </w:r>
      <w:r w:rsidRPr="00494635">
        <w:rPr>
          <w:lang w:val="ru-RU"/>
        </w:rPr>
        <w:tab/>
        <w:t>на своем 90</w:t>
      </w:r>
      <w:r w:rsidRPr="00494635">
        <w:rPr>
          <w:lang w:val="ru-RU"/>
        </w:rPr>
        <w:noBreakHyphen/>
        <w:t>м собрании Комитет предоставил продление регламентарного предельного срока ввода в действие частотных присвоений спутниковой сети NUSANTARA-H1-A до 31 декабря 2022 года;</w:t>
      </w:r>
    </w:p>
    <w:p w14:paraId="61AE2F99" w14:textId="77777777" w:rsidR="00A06CB6" w:rsidRPr="00494635" w:rsidRDefault="00A06CB6" w:rsidP="00A06CB6">
      <w:pPr>
        <w:pStyle w:val="enumlev1"/>
        <w:jc w:val="both"/>
        <w:rPr>
          <w:lang w:val="ru-RU"/>
        </w:rPr>
      </w:pPr>
      <w:r w:rsidRPr="00494635">
        <w:rPr>
          <w:lang w:val="ru-RU"/>
        </w:rPr>
        <w:t>•</w:t>
      </w:r>
      <w:r w:rsidRPr="00494635">
        <w:rPr>
          <w:lang w:val="ru-RU"/>
        </w:rPr>
        <w:tab/>
        <w:t>просьба администрации, полученная на 90</w:t>
      </w:r>
      <w:r w:rsidRPr="00494635">
        <w:rPr>
          <w:lang w:val="ru-RU"/>
        </w:rPr>
        <w:noBreakHyphen/>
        <w:t>м собрании Комитета, соответствовала случаю форс-мажорных обстоятельств, так же как и на 91</w:t>
      </w:r>
      <w:r w:rsidRPr="00494635">
        <w:rPr>
          <w:lang w:val="ru-RU"/>
        </w:rPr>
        <w:noBreakHyphen/>
        <w:t>м собрании Комитета, и единственное изменение в просьбе заключалось в задержке окна запуска;</w:t>
      </w:r>
    </w:p>
    <w:p w14:paraId="7264EEB9" w14:textId="77777777" w:rsidR="00A06CB6" w:rsidRPr="00494635" w:rsidRDefault="00A06CB6" w:rsidP="00A06CB6">
      <w:pPr>
        <w:pStyle w:val="enumlev1"/>
        <w:jc w:val="both"/>
        <w:rPr>
          <w:lang w:val="ru-RU"/>
        </w:rPr>
      </w:pPr>
      <w:r w:rsidRPr="00494635">
        <w:rPr>
          <w:lang w:val="ru-RU"/>
        </w:rPr>
        <w:t>•</w:t>
      </w:r>
      <w:r w:rsidRPr="00494635">
        <w:rPr>
          <w:lang w:val="ru-RU"/>
        </w:rPr>
        <w:tab/>
        <w:t>запуск спутника GS-1 был далее задержан в связи с отсутствием готовности основной миссии, и новый запуск не ожидается до 27 декабря 2022 года;</w:t>
      </w:r>
    </w:p>
    <w:p w14:paraId="25272FDC" w14:textId="77777777" w:rsidR="00A06CB6" w:rsidRPr="00494635" w:rsidRDefault="00A06CB6" w:rsidP="00A06CB6">
      <w:pPr>
        <w:pStyle w:val="enumlev1"/>
        <w:jc w:val="both"/>
        <w:rPr>
          <w:lang w:val="ru-RU"/>
        </w:rPr>
      </w:pPr>
      <w:r w:rsidRPr="00494635">
        <w:rPr>
          <w:lang w:val="ru-RU"/>
        </w:rPr>
        <w:t>•</w:t>
      </w:r>
      <w:r w:rsidRPr="00494635">
        <w:rPr>
          <w:lang w:val="ru-RU"/>
        </w:rPr>
        <w:tab/>
        <w:t>просьба о продлении регламентарного предельного срока была ограниченной и определенной.</w:t>
      </w:r>
    </w:p>
    <w:p w14:paraId="6B63E01D" w14:textId="77777777" w:rsidR="00A06CB6" w:rsidRPr="00494635" w:rsidRDefault="00A06CB6" w:rsidP="00A06CB6">
      <w:pPr>
        <w:jc w:val="both"/>
        <w:rPr>
          <w:lang w:val="ru-RU"/>
        </w:rPr>
      </w:pPr>
      <w:r w:rsidRPr="00494635">
        <w:rPr>
          <w:lang w:val="ru-RU"/>
        </w:rPr>
        <w:t xml:space="preserve">На основании представленных данных Комитет пришел к выводу, что </w:t>
      </w:r>
      <w:r w:rsidRPr="00494635">
        <w:rPr>
          <w:shd w:val="clear" w:color="auto" w:fill="FFFFFF"/>
          <w:lang w:val="ru-RU"/>
        </w:rPr>
        <w:t>просьба соответствует случаю задержки запуска, вызванной неготовностью одного из спутников, размещаемых на той же ракете-носителе</w:t>
      </w:r>
      <w:r w:rsidRPr="00494635">
        <w:rPr>
          <w:lang w:val="ru-RU"/>
        </w:rPr>
        <w:t>. В соответствии с этим, согласно Правилам процедуры по продлению регламентарного предельного срока ввода в действие спутниковых частотных присвоений, Комитет решил удовлетворить просьбу администрации Индонезии о продлении регламентарного предельного срока ввода в действие частотных присвоений спутниковой сети NUSANTARA-H1-A, как указано в информации, представленной в соответствии с Резолюциями </w:t>
      </w:r>
      <w:r w:rsidRPr="00494635">
        <w:rPr>
          <w:b/>
          <w:bCs/>
          <w:lang w:val="ru-RU"/>
        </w:rPr>
        <w:t>49 (Пересм. ВКР-19)</w:t>
      </w:r>
      <w:r w:rsidRPr="00494635">
        <w:rPr>
          <w:lang w:val="ru-RU"/>
        </w:rPr>
        <w:t xml:space="preserve"> и </w:t>
      </w:r>
      <w:r w:rsidRPr="00494635">
        <w:rPr>
          <w:b/>
          <w:bCs/>
          <w:lang w:val="ru-RU"/>
        </w:rPr>
        <w:t>552 (Пересм. ВКР-19)</w:t>
      </w:r>
      <w:r w:rsidRPr="00494635">
        <w:rPr>
          <w:lang w:val="ru-RU"/>
        </w:rPr>
        <w:t>, до 31 марта 2023 года.</w:t>
      </w:r>
    </w:p>
    <w:p w14:paraId="7199A687" w14:textId="77777777" w:rsidR="00A06CB6" w:rsidRPr="00494635" w:rsidRDefault="00A06CB6" w:rsidP="00A06CB6">
      <w:pPr>
        <w:jc w:val="both"/>
        <w:rPr>
          <w:lang w:val="ru-RU"/>
        </w:rPr>
      </w:pPr>
      <w:r w:rsidRPr="00494635">
        <w:rPr>
          <w:lang w:val="ru-RU"/>
        </w:rPr>
        <w:t>Комитет напомнил администрации Индонезии, что предельным сроком представления информации, требующейся в соответствии со Статьей </w:t>
      </w:r>
      <w:r w:rsidRPr="00494635">
        <w:rPr>
          <w:b/>
          <w:bCs/>
          <w:lang w:val="ru-RU"/>
        </w:rPr>
        <w:t>11</w:t>
      </w:r>
      <w:r w:rsidRPr="00494635">
        <w:rPr>
          <w:lang w:val="ru-RU"/>
        </w:rPr>
        <w:t xml:space="preserve"> РР и Резолюциями </w:t>
      </w:r>
      <w:r w:rsidRPr="00494635">
        <w:rPr>
          <w:b/>
          <w:bCs/>
          <w:lang w:val="ru-RU"/>
        </w:rPr>
        <w:t>49 (Пересм. ВКР-19)</w:t>
      </w:r>
      <w:r w:rsidRPr="00494635">
        <w:rPr>
          <w:lang w:val="ru-RU"/>
        </w:rPr>
        <w:t xml:space="preserve"> и </w:t>
      </w:r>
      <w:r w:rsidRPr="00494635">
        <w:rPr>
          <w:b/>
          <w:bCs/>
          <w:lang w:val="ru-RU"/>
        </w:rPr>
        <w:t>552 (Пересм. ВКР-19)</w:t>
      </w:r>
      <w:r w:rsidRPr="00494635">
        <w:rPr>
          <w:lang w:val="ru-RU"/>
        </w:rPr>
        <w:t xml:space="preserve">, является 24 августа 2022 года. Учитывая, что Бюро получило требуемую информацию 26 октября 2022 года, </w:t>
      </w:r>
      <w:r w:rsidRPr="00494635">
        <w:rPr>
          <w:shd w:val="clear" w:color="auto" w:fill="FFFFFF"/>
          <w:lang w:val="ru-RU"/>
        </w:rPr>
        <w:t>Комитет</w:t>
      </w:r>
      <w:r w:rsidRPr="00494635">
        <w:rPr>
          <w:lang w:val="ru-RU"/>
        </w:rPr>
        <w:t xml:space="preserve"> поручил Бюро принять в порядке исключения поступившее с опозданием представление информации, требующейся согласно Резолюциям </w:t>
      </w:r>
      <w:r w:rsidRPr="00494635">
        <w:rPr>
          <w:b/>
          <w:bCs/>
          <w:lang w:val="ru-RU"/>
        </w:rPr>
        <w:t>49 (Пересм. ВКР-19)</w:t>
      </w:r>
      <w:r w:rsidRPr="00494635">
        <w:rPr>
          <w:lang w:val="ru-RU"/>
        </w:rPr>
        <w:t xml:space="preserve"> и </w:t>
      </w:r>
      <w:r w:rsidRPr="00494635">
        <w:rPr>
          <w:b/>
          <w:bCs/>
          <w:lang w:val="ru-RU"/>
        </w:rPr>
        <w:t>552 (Пересм. ВКР-19)</w:t>
      </w:r>
      <w:r w:rsidRPr="00494635">
        <w:rPr>
          <w:lang w:val="ru-RU"/>
        </w:rPr>
        <w:t>. Комитет также предложил администрации Индонезии уведомить Бюро о том, какие частотные присвоения будут использоваться для контролирования спутника в отношении TT&amp;C во время его ввода в действие.</w:t>
      </w:r>
    </w:p>
    <w:p w14:paraId="2E967BC2" w14:textId="77777777" w:rsidR="00A06CB6" w:rsidRPr="00494635" w:rsidRDefault="00A06CB6" w:rsidP="00A06CB6">
      <w:pPr>
        <w:jc w:val="both"/>
        <w:rPr>
          <w:szCs w:val="24"/>
          <w:lang w:val="ru-RU"/>
        </w:rPr>
      </w:pPr>
      <w:bookmarkStart w:id="11" w:name="_Hlk118381800"/>
      <w:r w:rsidRPr="00494635">
        <w:rPr>
          <w:lang w:val="ru-RU"/>
        </w:rPr>
        <w:t>Комитет еще раз обратил внимание всех администраций на тот факт, что предоставление продления регламентарного предельного срока ввода в действие или повторного ввода в действие частотных представлений спутниковой сети не означает автоматического продления предельных сроков, установленных в каких-либо других применимых положениях Регламента радиосвязи".</w:t>
      </w:r>
      <w:bookmarkEnd w:id="11"/>
    </w:p>
    <w:p w14:paraId="5E169EE9" w14:textId="77777777" w:rsidR="00A06CB6" w:rsidRPr="00494635" w:rsidRDefault="00A06CB6" w:rsidP="00A06CB6">
      <w:pPr>
        <w:jc w:val="both"/>
        <w:rPr>
          <w:b/>
          <w:bCs/>
          <w:lang w:val="ru-RU"/>
        </w:rPr>
      </w:pPr>
      <w:r w:rsidRPr="00494635">
        <w:rPr>
          <w:lang w:val="ru-RU"/>
        </w:rPr>
        <w:t>5.2.19</w:t>
      </w:r>
      <w:r w:rsidRPr="00494635">
        <w:rPr>
          <w:lang w:val="ru-RU"/>
        </w:rPr>
        <w:tab/>
        <w:t xml:space="preserve">Предложение </w:t>
      </w:r>
      <w:r w:rsidRPr="00494635">
        <w:rPr>
          <w:b/>
          <w:bCs/>
          <w:lang w:val="ru-RU"/>
        </w:rPr>
        <w:t>принимается</w:t>
      </w:r>
      <w:r w:rsidRPr="00494635">
        <w:rPr>
          <w:lang w:val="ru-RU" w:eastAsia="zh-CN"/>
        </w:rPr>
        <w:t>.</w:t>
      </w:r>
    </w:p>
    <w:p w14:paraId="24DB3DE4" w14:textId="77777777" w:rsidR="00A06CB6" w:rsidRPr="00494635" w:rsidRDefault="00A06CB6" w:rsidP="00A06CB6">
      <w:pPr>
        <w:pStyle w:val="Heading2"/>
        <w:jc w:val="both"/>
        <w:rPr>
          <w:lang w:val="ru-RU"/>
        </w:rPr>
      </w:pPr>
      <w:r w:rsidRPr="00494635">
        <w:rPr>
          <w:lang w:val="ru-RU"/>
        </w:rPr>
        <w:lastRenderedPageBreak/>
        <w:t>5.3</w:t>
      </w:r>
      <w:r w:rsidRPr="00494635">
        <w:rPr>
          <w:lang w:val="ru-RU"/>
        </w:rPr>
        <w:tab/>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PSN</w:t>
      </w:r>
      <w:r w:rsidRPr="00494635">
        <w:rPr>
          <w:lang w:val="ru-RU"/>
        </w:rPr>
        <w:noBreakHyphen/>
        <w:t>146E (Документ RRB22-3/7)</w:t>
      </w:r>
    </w:p>
    <w:p w14:paraId="09E2273A" w14:textId="77777777" w:rsidR="00A06CB6" w:rsidRPr="00494635" w:rsidRDefault="00A06CB6" w:rsidP="00A06CB6">
      <w:pPr>
        <w:jc w:val="both"/>
        <w:rPr>
          <w:lang w:val="ru-RU"/>
        </w:rPr>
      </w:pPr>
      <w:r w:rsidRPr="00494635">
        <w:rPr>
          <w:lang w:val="ru-RU" w:eastAsia="zh-CN"/>
        </w:rPr>
        <w:t>5.3.1</w:t>
      </w:r>
      <w:r w:rsidRPr="00494635">
        <w:rPr>
          <w:lang w:val="ru-RU"/>
        </w:rPr>
        <w:tab/>
      </w:r>
      <w:r w:rsidRPr="00494635">
        <w:rPr>
          <w:b/>
          <w:bCs/>
          <w:lang w:val="ru-RU"/>
        </w:rPr>
        <w:t xml:space="preserve">Г-н Лоо (руководитель SSD/SDR) </w:t>
      </w:r>
      <w:r w:rsidRPr="00494635">
        <w:rPr>
          <w:lang w:val="ru-RU"/>
        </w:rPr>
        <w:t xml:space="preserve">представляет Документ RRB22-3/7, в котором содержится просьба администрации Индонезии о дополнительном продлении регламентарного предельного срока ввода в действие частотных присвоений спутниковой сети PSN-146E. 29 сентября 2022 года изготовитель спутников компания Thales Alenia Space France (TAS) проинформировала администрацию Индонезии о задержках в графике производства и процессе запуска спутника SATRIA, которые подробно описаны в письме, прилагаемом к представлению, и которые не позволят соблюсти регламентарный предельный срок 31 октября 2023 года, утвержденный Комитетом на его 86-м собрании. Компания TAS стремилась свести задержки к минимуму, однако из-за проблем, связанных с COVID-19, возникла шестинедельная задержка, и теперь доставка спутника на место запуска ожидается 7 июня 2023 года. Из-за необходимости изменить способ транспортировки спутника с воздушного судна на морское для его доставки на место запуска необходим дополнительный месяц. Ввиду того, что один месяц потребуется на стандартную пусковую кампанию и семь месяцев – на подъем орбиты при помощи электрической силовой установки, ожидается, что спутник SATRIA достигнет своей орбитальной позиции 146° в. д. не ранее марта 2024 года. Соответственно, администрация Индонезии запрашивает продление на пять месяцев, до 31 марта 2024 года. </w:t>
      </w:r>
    </w:p>
    <w:p w14:paraId="440795EA" w14:textId="77777777" w:rsidR="00A06CB6" w:rsidRPr="00494635" w:rsidRDefault="00A06CB6" w:rsidP="00A06CB6">
      <w:pPr>
        <w:jc w:val="both"/>
        <w:rPr>
          <w:lang w:val="ru-RU"/>
        </w:rPr>
      </w:pPr>
      <w:r w:rsidRPr="00494635">
        <w:rPr>
          <w:lang w:val="ru-RU"/>
        </w:rPr>
        <w:t>5.3.2</w:t>
      </w:r>
      <w:r w:rsidRPr="00494635">
        <w:rPr>
          <w:lang w:val="ru-RU"/>
        </w:rPr>
        <w:tab/>
      </w:r>
      <w:r w:rsidRPr="00494635">
        <w:rPr>
          <w:b/>
          <w:bCs/>
          <w:lang w:val="ru-RU"/>
        </w:rPr>
        <w:t>Г-н Анри</w:t>
      </w:r>
      <w:r w:rsidRPr="00494635">
        <w:rPr>
          <w:lang w:val="ru-RU"/>
        </w:rPr>
        <w:t xml:space="preserve"> заявляет, что он с большим сочувствием относится к этой просьбе, которая отвечает всем условиям, чтобы дело было квалифицировано как форс-мажорная ситуация, и не сомневается, что спутник SATRIA будет запущен для ввода в действие частотных присвоений спутниковой сети PSN</w:t>
      </w:r>
      <w:r w:rsidRPr="00494635">
        <w:rPr>
          <w:lang w:val="ru-RU"/>
        </w:rPr>
        <w:noBreakHyphen/>
        <w:t>146E, однако имеется ограниченная информация в поддержку продолжительности запрашиваемого продления. В прилагаемом письме от изготовителя спутников говорится о шестинедельной задержке из-за пандемии COVID-19 и одном месяце для транспортировки спутника из-за изменения способа транспортировки с воздушного судна на морское, т. е. в общей сложности два с половиной месяца, однако запрашивается продление на пять месяцев. Кроме того, имеется некоторая неопределенность в отношении предполагаемой даты запуска спутника 7 августа 2023 года. Учитывая, что в настоящее время регламентарным предельным сроком ввода в действие частотных присвоений спутниковой сети PSN-146E является 31 октября 2023 года, он предлагает, чтобы Комитет отложил принятие решения до следующего собрания и просил администрацию Индонезии предоставить дополнительную информацию в поддержку своей просьбы, в том числе даты доставки спутника, прибытия на место запуска, планируемую дату запуска и прибытия в орбитальную позицию.</w:t>
      </w:r>
    </w:p>
    <w:p w14:paraId="720F1489" w14:textId="77777777" w:rsidR="00A06CB6" w:rsidRPr="00494635" w:rsidRDefault="00A06CB6" w:rsidP="00A06CB6">
      <w:pPr>
        <w:jc w:val="both"/>
        <w:rPr>
          <w:lang w:val="ru-RU"/>
        </w:rPr>
      </w:pPr>
      <w:r w:rsidRPr="00494635">
        <w:rPr>
          <w:lang w:val="ru-RU"/>
        </w:rPr>
        <w:t>5.3.3</w:t>
      </w:r>
      <w:r w:rsidRPr="00494635">
        <w:rPr>
          <w:lang w:val="ru-RU"/>
        </w:rPr>
        <w:tab/>
      </w:r>
      <w:r w:rsidRPr="00494635">
        <w:rPr>
          <w:b/>
          <w:bCs/>
          <w:lang w:val="ru-RU"/>
        </w:rPr>
        <w:t>Г-н Аззуз</w:t>
      </w:r>
      <w:r w:rsidRPr="00494635">
        <w:rPr>
          <w:lang w:val="ru-RU"/>
        </w:rPr>
        <w:t xml:space="preserve"> говорит, что на основе предоставленной информации продолжительность продления трудно рассчитать и следует просить </w:t>
      </w:r>
      <w:r w:rsidRPr="00494635">
        <w:rPr>
          <w:shd w:val="clear" w:color="auto" w:fill="FFFFFF"/>
          <w:lang w:val="ru-RU"/>
        </w:rPr>
        <w:t>администрацию</w:t>
      </w:r>
      <w:r w:rsidRPr="00494635">
        <w:rPr>
          <w:lang w:val="ru-RU"/>
        </w:rPr>
        <w:t xml:space="preserve"> Индонезии предоставить более точные временные графики к следующему собранию Комитета. По предыдущим оценкам, подъем орбиты при помощи электрической силовой установки занимает пять месяцев, а не семь, как указано в этом представлении.</w:t>
      </w:r>
    </w:p>
    <w:p w14:paraId="4793C680" w14:textId="77777777" w:rsidR="00A06CB6" w:rsidRPr="00494635" w:rsidRDefault="00A06CB6" w:rsidP="00A06CB6">
      <w:pPr>
        <w:jc w:val="both"/>
        <w:rPr>
          <w:lang w:val="ru-RU"/>
        </w:rPr>
      </w:pPr>
      <w:r w:rsidRPr="00494635">
        <w:rPr>
          <w:lang w:val="ru-RU"/>
        </w:rPr>
        <w:t>5.3.4</w:t>
      </w:r>
      <w:r w:rsidRPr="00494635">
        <w:rPr>
          <w:lang w:val="ru-RU"/>
        </w:rPr>
        <w:tab/>
      </w:r>
      <w:r w:rsidRPr="00494635">
        <w:rPr>
          <w:b/>
          <w:bCs/>
          <w:lang w:val="ru-RU"/>
        </w:rPr>
        <w:t>Г-жа Бомье</w:t>
      </w:r>
      <w:r w:rsidRPr="00494635">
        <w:rPr>
          <w:lang w:val="ru-RU"/>
        </w:rPr>
        <w:t xml:space="preserve"> считает, что ситуация </w:t>
      </w:r>
      <w:r w:rsidRPr="00494635">
        <w:rPr>
          <w:shd w:val="clear" w:color="auto" w:fill="FFFFFF"/>
          <w:lang w:val="ru-RU"/>
        </w:rPr>
        <w:t>квалифицируется</w:t>
      </w:r>
      <w:r w:rsidRPr="00494635">
        <w:rPr>
          <w:lang w:val="ru-RU"/>
        </w:rPr>
        <w:t xml:space="preserve"> как случай форс-мажорных обстоятельств, поскольку было предоставлено достаточно информации, чтобы показать, что в противном случае регламентарный предельный срок был бы соблюден. Однако, исходя из предоставленной информации, дополнительные задержки составляют два с половиной месяца, и более длительное продление было бы трудно оправдать, особенно в отсутствие дополнительной информации о дате запуска. Одномесячная пусковая кампания и ранее планировавшийся пятимесячный период подъема орбиты уже были учтены ВКР-19, и, когда Комитет на своем 86-м собрании предоставлял продление еще на семь месяцев, он принимал во внимание только задержки из-за COVID-19, т. е. форс-мажорных обстоятельств. Теперь, по оценкам изготовителя спутника, подъем орбиты при помощи электрической силовой установки займет семь месяцев с учетом возможных нештатных ситуаций, потенциально допускающих некоторые непредвиденные обстоятельства, связанные с запуском, и Комитет должен следовать предыдущим решениям. Она не видит препятствий для запроса разъяснений относительно запланированной даты запуска и окна для запуска, но из представления следует, что стандартная месячная пусковая кампания начнется сразу после доставки спутника.</w:t>
      </w:r>
    </w:p>
    <w:p w14:paraId="0B330AB9" w14:textId="77777777" w:rsidR="00A06CB6" w:rsidRPr="00494635" w:rsidRDefault="00A06CB6" w:rsidP="00A06CB6">
      <w:pPr>
        <w:jc w:val="both"/>
        <w:rPr>
          <w:lang w:val="ru-RU"/>
        </w:rPr>
      </w:pPr>
      <w:r w:rsidRPr="00494635">
        <w:rPr>
          <w:lang w:val="ru-RU"/>
        </w:rPr>
        <w:lastRenderedPageBreak/>
        <w:t>5.3.5</w:t>
      </w:r>
      <w:r w:rsidRPr="00494635">
        <w:rPr>
          <w:lang w:val="ru-RU"/>
        </w:rPr>
        <w:tab/>
      </w:r>
      <w:r w:rsidRPr="00494635">
        <w:rPr>
          <w:b/>
          <w:bCs/>
          <w:lang w:val="ru-RU"/>
        </w:rPr>
        <w:t>Г-н Хасимото</w:t>
      </w:r>
      <w:r w:rsidRPr="00494635">
        <w:rPr>
          <w:lang w:val="ru-RU"/>
        </w:rPr>
        <w:t xml:space="preserve"> говорит, что </w:t>
      </w:r>
      <w:r w:rsidRPr="00494635">
        <w:rPr>
          <w:shd w:val="clear" w:color="auto" w:fill="FFFFFF"/>
          <w:lang w:val="ru-RU"/>
        </w:rPr>
        <w:t>Комитету</w:t>
      </w:r>
      <w:r w:rsidRPr="00494635">
        <w:rPr>
          <w:lang w:val="ru-RU"/>
        </w:rPr>
        <w:t xml:space="preserve"> требуются дополнительные разъяснения, прежде чем предоставить запрошенное продление, в том числе в отношении электрической силовой установки.</w:t>
      </w:r>
    </w:p>
    <w:p w14:paraId="402F161A" w14:textId="77777777" w:rsidR="00A06CB6" w:rsidRPr="00494635" w:rsidRDefault="00A06CB6" w:rsidP="00A06CB6">
      <w:pPr>
        <w:jc w:val="both"/>
        <w:rPr>
          <w:lang w:val="ru-RU"/>
        </w:rPr>
      </w:pPr>
      <w:r w:rsidRPr="00494635">
        <w:rPr>
          <w:lang w:val="ru-RU"/>
        </w:rPr>
        <w:t>5.3.6</w:t>
      </w:r>
      <w:r w:rsidRPr="00494635">
        <w:rPr>
          <w:lang w:val="ru-RU"/>
        </w:rPr>
        <w:tab/>
      </w:r>
      <w:r w:rsidRPr="00494635">
        <w:rPr>
          <w:b/>
          <w:bCs/>
          <w:lang w:val="ru-RU"/>
        </w:rPr>
        <w:t>Г-н Талиб</w:t>
      </w:r>
      <w:r w:rsidRPr="00494635">
        <w:rPr>
          <w:lang w:val="ru-RU"/>
        </w:rPr>
        <w:t xml:space="preserve"> высказывает согласие с тем, что данный случай квалифицируется как случай форс-мажорных обстоятельств. Следует просить администрацию Индонезии предоставить дополнительную информацию в поддержку запрашиваемого продления, чтобы Комитет мог принять решение на своем следующем собрании. </w:t>
      </w:r>
      <w:r w:rsidRPr="00494635">
        <w:rPr>
          <w:b/>
          <w:bCs/>
          <w:lang w:val="ru-RU"/>
        </w:rPr>
        <w:t>Г-н Борхон</w:t>
      </w:r>
      <w:r w:rsidRPr="00494635">
        <w:rPr>
          <w:lang w:val="ru-RU"/>
        </w:rPr>
        <w:t xml:space="preserve"> поддерживает эту просьбу.</w:t>
      </w:r>
    </w:p>
    <w:p w14:paraId="696FB471" w14:textId="77777777" w:rsidR="00A06CB6" w:rsidRPr="00494635" w:rsidRDefault="00A06CB6" w:rsidP="00A06CB6">
      <w:pPr>
        <w:jc w:val="both"/>
        <w:rPr>
          <w:lang w:val="ru-RU"/>
        </w:rPr>
      </w:pPr>
      <w:r w:rsidRPr="00494635">
        <w:rPr>
          <w:lang w:val="ru-RU"/>
        </w:rPr>
        <w:t>5.3.7</w:t>
      </w:r>
      <w:r w:rsidRPr="00494635">
        <w:rPr>
          <w:lang w:val="ru-RU"/>
        </w:rPr>
        <w:tab/>
      </w:r>
      <w:r w:rsidRPr="00494635">
        <w:rPr>
          <w:b/>
          <w:bCs/>
          <w:lang w:val="ru-RU"/>
        </w:rPr>
        <w:t>Г-н Лоо (руководитель SSD/SDR)</w:t>
      </w:r>
      <w:r w:rsidRPr="00494635">
        <w:rPr>
          <w:lang w:val="ru-RU"/>
        </w:rPr>
        <w:t xml:space="preserve"> говорит, что, хотя в информации от изготовителя спутника объясняются задержки продолжительностью два с половиной месяца, администрация Индонезии проинформировала Бюро о том, что </w:t>
      </w:r>
      <w:r w:rsidRPr="00494635">
        <w:rPr>
          <w:shd w:val="clear" w:color="auto" w:fill="FFFFFF"/>
          <w:lang w:val="ru-RU"/>
        </w:rPr>
        <w:t>запрашивается</w:t>
      </w:r>
      <w:r w:rsidRPr="00494635">
        <w:rPr>
          <w:lang w:val="ru-RU"/>
        </w:rPr>
        <w:t xml:space="preserve"> пятимесячное продление ввиду возможных нештатных ситуаций при эксплуатации электродвигателя. Первоначальный план предполагал использование четырех двигателей (период подъема орбиты – четыре с половиной месяца), но в сценарии для наихудшего случая, когда работают только три двигателя, период подъема орбиты увеличится до семи месяцев.</w:t>
      </w:r>
    </w:p>
    <w:p w14:paraId="7D6A3A73" w14:textId="77777777" w:rsidR="00A06CB6" w:rsidRPr="00494635" w:rsidRDefault="00A06CB6" w:rsidP="00A06CB6">
      <w:pPr>
        <w:jc w:val="both"/>
        <w:rPr>
          <w:lang w:val="ru-RU"/>
        </w:rPr>
      </w:pPr>
      <w:r w:rsidRPr="00494635">
        <w:rPr>
          <w:lang w:val="ru-RU"/>
        </w:rPr>
        <w:t>5.3.8</w:t>
      </w:r>
      <w:r w:rsidRPr="00494635">
        <w:rPr>
          <w:lang w:val="ru-RU"/>
        </w:rPr>
        <w:tab/>
      </w:r>
      <w:r w:rsidRPr="00494635">
        <w:rPr>
          <w:b/>
          <w:bCs/>
          <w:lang w:val="ru-RU"/>
        </w:rPr>
        <w:t>Г-жа Жеанти</w:t>
      </w:r>
      <w:r w:rsidRPr="00494635">
        <w:rPr>
          <w:lang w:val="ru-RU"/>
        </w:rPr>
        <w:t xml:space="preserve"> говорит, что Комитету следует с пониманием отнестись к просьбе, которая касается реального проекта. Она может </w:t>
      </w:r>
      <w:r w:rsidRPr="00494635">
        <w:rPr>
          <w:shd w:val="clear" w:color="auto" w:fill="FFFFFF"/>
          <w:lang w:val="ru-RU"/>
        </w:rPr>
        <w:t>согласиться</w:t>
      </w:r>
      <w:r w:rsidRPr="00494635">
        <w:rPr>
          <w:lang w:val="ru-RU"/>
        </w:rPr>
        <w:t xml:space="preserve"> на продление длительностью от четырех с половиной до пяти месяцев (шесть недель из-за COVID-19, один месяц из-за необходимого изменения способа транспортировки и дополнительные два месяца для подъема орбиты).</w:t>
      </w:r>
    </w:p>
    <w:p w14:paraId="6F514117" w14:textId="77777777" w:rsidR="00A06CB6" w:rsidRPr="00494635" w:rsidRDefault="00A06CB6" w:rsidP="00A06CB6">
      <w:pPr>
        <w:jc w:val="both"/>
        <w:rPr>
          <w:lang w:val="ru-RU"/>
        </w:rPr>
      </w:pPr>
      <w:r w:rsidRPr="00494635">
        <w:rPr>
          <w:lang w:val="ru-RU"/>
        </w:rPr>
        <w:t>5.3.9</w:t>
      </w:r>
      <w:r w:rsidRPr="00494635">
        <w:rPr>
          <w:lang w:val="ru-RU"/>
        </w:rPr>
        <w:tab/>
      </w:r>
      <w:r w:rsidRPr="00494635">
        <w:rPr>
          <w:b/>
          <w:bCs/>
          <w:lang w:val="ru-RU"/>
        </w:rPr>
        <w:t>Г-н Хоан</w:t>
      </w:r>
      <w:r w:rsidRPr="00494635">
        <w:rPr>
          <w:lang w:val="ru-RU"/>
        </w:rPr>
        <w:t xml:space="preserve">, напоминая о заключении, сделанном Комитетом на его 86-м собрании, отмечает, что продление, предоставленное тогда, основывалось на конкретных расчетах Комитета, и в них не принимался во внимание запас дополнительного времени или непредвиденные обстоятельства, связанные с пандемией. Он не видит препятствий для предоставления дополнительного продления, но запрошенные пять месяцев не </w:t>
      </w:r>
      <w:r w:rsidRPr="00494635">
        <w:rPr>
          <w:shd w:val="clear" w:color="auto" w:fill="FFFFFF"/>
          <w:lang w:val="ru-RU"/>
        </w:rPr>
        <w:t>соответствуют</w:t>
      </w:r>
      <w:r w:rsidRPr="00494635">
        <w:rPr>
          <w:lang w:val="ru-RU"/>
        </w:rPr>
        <w:t xml:space="preserve"> задержке в два с половиной месяца, возникшей из-за COVID-19 и изменения способа транспортировки. По его мнению, дополнительного времени для подъема орбиты даваться не должно. Следует предложить администрации Индонезии предоставить более подробную информацию в поддержку запрошенного продления и изложить меры для соблюдения установленного срока.</w:t>
      </w:r>
    </w:p>
    <w:p w14:paraId="1B3AFE2D" w14:textId="77777777" w:rsidR="00A06CB6" w:rsidRPr="00494635" w:rsidRDefault="00A06CB6" w:rsidP="00A06CB6">
      <w:pPr>
        <w:rPr>
          <w:lang w:val="ru-RU"/>
        </w:rPr>
      </w:pPr>
      <w:r w:rsidRPr="00494635">
        <w:rPr>
          <w:lang w:val="ru-RU"/>
        </w:rPr>
        <w:t>5.3.10</w:t>
      </w:r>
      <w:r w:rsidRPr="00494635">
        <w:rPr>
          <w:lang w:val="ru-RU"/>
        </w:rPr>
        <w:tab/>
      </w:r>
      <w:r w:rsidRPr="00494635">
        <w:rPr>
          <w:b/>
          <w:bCs/>
          <w:lang w:val="ru-RU"/>
        </w:rPr>
        <w:t>Г-жа Гасанова</w:t>
      </w:r>
      <w:r w:rsidRPr="00494635">
        <w:rPr>
          <w:lang w:val="ru-RU"/>
        </w:rPr>
        <w:t>, отмечая, что случай квалифицируется как случай форс-мажорных обстоятельств, заявляет, что не видит препятствий для предоставления продления. Поскольку регламентарный предельный срок установлен на 31 октября 2023 года, она высказывает согласие с тем, что следует запросить у администрации Индонезии дополнительную информацию в поддержку ее просьбы, в том числе информацию о дате запуска.</w:t>
      </w:r>
    </w:p>
    <w:p w14:paraId="4135D0B3" w14:textId="77777777" w:rsidR="00A06CB6" w:rsidRPr="00494635" w:rsidRDefault="00A06CB6" w:rsidP="00A06CB6">
      <w:pPr>
        <w:rPr>
          <w:lang w:val="ru-RU"/>
        </w:rPr>
      </w:pPr>
      <w:r w:rsidRPr="00494635">
        <w:rPr>
          <w:lang w:val="ru-RU"/>
        </w:rPr>
        <w:t>5.3.11</w:t>
      </w:r>
      <w:r w:rsidRPr="00494635">
        <w:rPr>
          <w:lang w:val="ru-RU"/>
        </w:rPr>
        <w:tab/>
      </w:r>
      <w:r w:rsidRPr="00494635">
        <w:rPr>
          <w:b/>
          <w:bCs/>
          <w:lang w:val="ru-RU"/>
        </w:rPr>
        <w:t>Г-жа Бомье</w:t>
      </w:r>
      <w:r w:rsidRPr="00494635">
        <w:rPr>
          <w:lang w:val="ru-RU"/>
        </w:rPr>
        <w:t xml:space="preserve"> говорит, что из объяснений, представленных г-ном Лоо, следует, что в просьбе о пятимесячном продлении администрация Индонезии учитывает возможную необходимость дополнительных двух месяцев на подъем </w:t>
      </w:r>
      <w:r w:rsidRPr="00494635">
        <w:rPr>
          <w:shd w:val="clear" w:color="auto" w:fill="FFFFFF"/>
          <w:lang w:val="ru-RU"/>
        </w:rPr>
        <w:t>орбиты</w:t>
      </w:r>
      <w:r w:rsidRPr="00494635">
        <w:rPr>
          <w:lang w:val="ru-RU"/>
        </w:rPr>
        <w:t xml:space="preserve"> в случае непредвиденных обстоятельств. В прошлом Комитет не учитывал возможность таких непредвиденных обстоятельств в своих решениях, и, если потребуется дополнительное время, Комитету будет относительно просто рассмотреть вопрос о дальнейшем продлении. Хотя дата запуска не была указана, ожидаемая последовательность событий ясна: кампания запуска продолжительностью один месяц начинается после доставки спутника в место запуска. Она поддержит предложение о продлении на два с половиной месяца на текущем собрании.</w:t>
      </w:r>
    </w:p>
    <w:p w14:paraId="48944063" w14:textId="77777777" w:rsidR="00A06CB6" w:rsidRPr="00494635" w:rsidRDefault="00A06CB6" w:rsidP="00A06CB6">
      <w:pPr>
        <w:rPr>
          <w:lang w:val="ru-RU"/>
        </w:rPr>
      </w:pPr>
      <w:r w:rsidRPr="00494635">
        <w:rPr>
          <w:lang w:val="ru-RU"/>
        </w:rPr>
        <w:t>5.3.12</w:t>
      </w:r>
      <w:r w:rsidRPr="00494635">
        <w:rPr>
          <w:lang w:val="ru-RU"/>
        </w:rPr>
        <w:tab/>
      </w:r>
      <w:r w:rsidRPr="00494635">
        <w:rPr>
          <w:b/>
          <w:bCs/>
          <w:lang w:val="ru-RU"/>
        </w:rPr>
        <w:t>Г-н Аззуз</w:t>
      </w:r>
      <w:r w:rsidRPr="00494635">
        <w:rPr>
          <w:lang w:val="ru-RU"/>
        </w:rPr>
        <w:t xml:space="preserve"> поддерживает это мнение. Продление на два с половиной месяца позволит избежать путаницы в отношении периода подъема орбиты; если потребуется больше времени, может быть запрошено дополнительное продление.</w:t>
      </w:r>
    </w:p>
    <w:p w14:paraId="7A76FC3D" w14:textId="77777777" w:rsidR="00A06CB6" w:rsidRPr="00494635" w:rsidRDefault="00A06CB6" w:rsidP="00A06CB6">
      <w:pPr>
        <w:rPr>
          <w:lang w:val="ru-RU"/>
        </w:rPr>
      </w:pPr>
      <w:r w:rsidRPr="00494635">
        <w:rPr>
          <w:lang w:val="ru-RU"/>
        </w:rPr>
        <w:t>5.3.13</w:t>
      </w:r>
      <w:r w:rsidRPr="00494635">
        <w:rPr>
          <w:lang w:val="ru-RU"/>
        </w:rPr>
        <w:tab/>
      </w:r>
      <w:r w:rsidRPr="00494635">
        <w:rPr>
          <w:b/>
          <w:bCs/>
          <w:lang w:val="ru-RU"/>
        </w:rPr>
        <w:t>Председатель</w:t>
      </w:r>
      <w:r w:rsidRPr="00494635">
        <w:rPr>
          <w:lang w:val="ru-RU"/>
        </w:rPr>
        <w:t xml:space="preserve"> заявляет, что данный случай удовлетворяет всем условиям, позволяющим квалифицировать его как случай форс-мажорных обстоятельств, но мнения относительно продолжительности предоставляемого </w:t>
      </w:r>
      <w:r w:rsidRPr="00494635">
        <w:rPr>
          <w:shd w:val="clear" w:color="auto" w:fill="FFFFFF"/>
          <w:lang w:val="ru-RU"/>
        </w:rPr>
        <w:t>продления</w:t>
      </w:r>
      <w:r w:rsidRPr="00494635">
        <w:rPr>
          <w:lang w:val="ru-RU"/>
        </w:rPr>
        <w:t xml:space="preserve"> расходятся. Следует предложить администрации Индонезии предоставить информацию о дате запуска спутника, которая является ключевым элементом для определения Комитетом обоснованного периода продления.</w:t>
      </w:r>
    </w:p>
    <w:p w14:paraId="41B7AE0A" w14:textId="77777777" w:rsidR="00A06CB6" w:rsidRPr="00494635" w:rsidRDefault="00A06CB6" w:rsidP="00A06CB6">
      <w:pPr>
        <w:rPr>
          <w:lang w:val="ru-RU"/>
        </w:rPr>
      </w:pPr>
      <w:r w:rsidRPr="00494635">
        <w:rPr>
          <w:lang w:val="ru-RU"/>
        </w:rPr>
        <w:t>5.3.14</w:t>
      </w:r>
      <w:r w:rsidRPr="00494635">
        <w:rPr>
          <w:lang w:val="ru-RU"/>
        </w:rPr>
        <w:tab/>
      </w:r>
      <w:r w:rsidRPr="00494635">
        <w:rPr>
          <w:b/>
          <w:bCs/>
          <w:lang w:val="ru-RU"/>
        </w:rPr>
        <w:t>Г-жа Жеанти</w:t>
      </w:r>
      <w:r w:rsidRPr="00494635">
        <w:rPr>
          <w:lang w:val="ru-RU"/>
        </w:rPr>
        <w:t xml:space="preserve">, отмечая дополнительную рабочую нагрузку на Комитет и администрацию, которую повлечет за собой запрос дополнительной информации, предлагает, чтобы Комитет </w:t>
      </w:r>
      <w:r w:rsidRPr="00494635">
        <w:rPr>
          <w:lang w:val="ru-RU"/>
        </w:rPr>
        <w:lastRenderedPageBreak/>
        <w:t xml:space="preserve">предоставил продление на два с </w:t>
      </w:r>
      <w:r w:rsidRPr="00494635">
        <w:rPr>
          <w:shd w:val="clear" w:color="auto" w:fill="FFFFFF"/>
          <w:lang w:val="ru-RU"/>
        </w:rPr>
        <w:t>половиной</w:t>
      </w:r>
      <w:r w:rsidRPr="00494635">
        <w:rPr>
          <w:lang w:val="ru-RU"/>
        </w:rPr>
        <w:t xml:space="preserve"> месяца на настоящем собрании при том понимании, что можно будет запросить дополнительное продление, если для подъема орбиты потребуется больше времени.</w:t>
      </w:r>
    </w:p>
    <w:p w14:paraId="3E9C9577" w14:textId="77777777" w:rsidR="00A06CB6" w:rsidRPr="00494635" w:rsidRDefault="00A06CB6" w:rsidP="00A06CB6">
      <w:pPr>
        <w:rPr>
          <w:lang w:val="ru-RU"/>
        </w:rPr>
      </w:pPr>
      <w:r w:rsidRPr="00494635">
        <w:rPr>
          <w:lang w:val="ru-RU"/>
        </w:rPr>
        <w:t>5.3.15</w:t>
      </w:r>
      <w:r w:rsidRPr="00494635">
        <w:rPr>
          <w:lang w:val="ru-RU"/>
        </w:rPr>
        <w:tab/>
      </w:r>
      <w:r w:rsidRPr="00494635">
        <w:rPr>
          <w:b/>
          <w:bCs/>
          <w:lang w:val="ru-RU"/>
        </w:rPr>
        <w:t>Г-н Анри</w:t>
      </w:r>
      <w:r w:rsidRPr="00494635">
        <w:rPr>
          <w:lang w:val="ru-RU"/>
        </w:rPr>
        <w:t xml:space="preserve"> говорит, что, хотя он </w:t>
      </w:r>
      <w:r w:rsidRPr="00494635">
        <w:rPr>
          <w:shd w:val="clear" w:color="auto" w:fill="FFFFFF"/>
          <w:lang w:val="ru-RU"/>
        </w:rPr>
        <w:t>может</w:t>
      </w:r>
      <w:r w:rsidRPr="00494635">
        <w:rPr>
          <w:lang w:val="ru-RU"/>
        </w:rPr>
        <w:t xml:space="preserve"> поддержать предложение о продлении на два с половиной месяца на текущем собрании, такие вопросы, как окно для запуска, срок подъема орбиты и нештатная ситуация, остаются неразъясненными. Поскольку регламентарный предельный срок установлен на 31 октября 2023 года, у Комитета есть время для запроса разъяснений, прежде чем поспешно предоставлять продление на период, которого может оказаться недостаточно. Он предпочел бы, чтобы решение было отложено до следующего собрания. Пока же следует запросить у администрации Индонезии таблицу с указанием сроков доставки спутника, его прибытия на место запуска и в орбитальную позицию.</w:t>
      </w:r>
    </w:p>
    <w:p w14:paraId="181EDC49" w14:textId="77777777" w:rsidR="00A06CB6" w:rsidRPr="00494635" w:rsidRDefault="00A06CB6" w:rsidP="00A06CB6">
      <w:pPr>
        <w:rPr>
          <w:lang w:val="ru-RU"/>
        </w:rPr>
      </w:pPr>
      <w:r w:rsidRPr="00494635">
        <w:rPr>
          <w:lang w:val="ru-RU"/>
        </w:rPr>
        <w:t>5.3.16</w:t>
      </w:r>
      <w:r w:rsidRPr="00494635">
        <w:rPr>
          <w:lang w:val="ru-RU"/>
        </w:rPr>
        <w:tab/>
      </w:r>
      <w:r w:rsidRPr="00494635">
        <w:rPr>
          <w:b/>
          <w:bCs/>
          <w:lang w:val="ru-RU"/>
        </w:rPr>
        <w:t>Г-жа Бомье</w:t>
      </w:r>
      <w:r w:rsidRPr="00494635">
        <w:rPr>
          <w:lang w:val="ru-RU"/>
        </w:rPr>
        <w:t xml:space="preserve"> говорит, что было бы предпочтительнее не запрашивать дополнительную информацию; Комитету следует принять решение на настоящем собрании. Вызывает тревогу тот факт, что объяснение запрошенного пятимесячного продления основывается не на самом представлении, а на разъяснениях, предоставленных Бюро.</w:t>
      </w:r>
    </w:p>
    <w:p w14:paraId="72F59F21" w14:textId="77777777" w:rsidR="00A06CB6" w:rsidRPr="00494635" w:rsidRDefault="00A06CB6" w:rsidP="00A06CB6">
      <w:pPr>
        <w:rPr>
          <w:lang w:val="ru-RU"/>
        </w:rPr>
      </w:pPr>
      <w:r w:rsidRPr="00494635">
        <w:rPr>
          <w:lang w:val="ru-RU"/>
        </w:rPr>
        <w:t>5.3.17</w:t>
      </w:r>
      <w:r w:rsidRPr="00494635">
        <w:rPr>
          <w:lang w:val="ru-RU"/>
        </w:rPr>
        <w:tab/>
      </w:r>
      <w:r w:rsidRPr="00494635">
        <w:rPr>
          <w:b/>
          <w:bCs/>
          <w:lang w:val="ru-RU"/>
        </w:rPr>
        <w:t>Г-н Варламов</w:t>
      </w:r>
      <w:r w:rsidRPr="00494635">
        <w:rPr>
          <w:lang w:val="ru-RU"/>
        </w:rPr>
        <w:t xml:space="preserve"> говорит, что Комитету будет очень сложно принять решение о продолжительности продления без какой-либо информации об окне для запуска. Если на настоящем собрании Комитет предоставит продление на два с половиной месяца, а администрация Индонезии запросит дополнительное продление, Комитет не сможет предоставить его на основании соблюдения условий форс-мажорных обстоятельств. Затем этот случай, скорее всего, будет передан на ВКР-23, что не должно входить в намерения Комитета. В связи с этим, прежде чем принимать решение, Комитету следует запросить у администрации Индонезии дополнительную информацию.</w:t>
      </w:r>
    </w:p>
    <w:p w14:paraId="53E6A12F" w14:textId="77777777" w:rsidR="00A06CB6" w:rsidRPr="00494635" w:rsidRDefault="00A06CB6" w:rsidP="00A06CB6">
      <w:pPr>
        <w:rPr>
          <w:lang w:val="ru-RU"/>
        </w:rPr>
      </w:pPr>
      <w:r w:rsidRPr="00494635">
        <w:rPr>
          <w:lang w:val="ru-RU"/>
        </w:rPr>
        <w:t>5.3.18</w:t>
      </w:r>
      <w:r w:rsidRPr="00494635">
        <w:rPr>
          <w:lang w:val="ru-RU"/>
        </w:rPr>
        <w:tab/>
      </w:r>
      <w:r w:rsidRPr="00494635">
        <w:rPr>
          <w:b/>
          <w:bCs/>
          <w:lang w:val="ru-RU"/>
        </w:rPr>
        <w:t>Г-н Хоан</w:t>
      </w:r>
      <w:r w:rsidRPr="00494635">
        <w:rPr>
          <w:lang w:val="ru-RU"/>
        </w:rPr>
        <w:t xml:space="preserve"> говорит, что материалы, предоставленные администрацией Индонезии, не оправдывают запрашиваемого </w:t>
      </w:r>
      <w:r w:rsidRPr="00494635">
        <w:rPr>
          <w:shd w:val="clear" w:color="auto" w:fill="FFFFFF"/>
          <w:lang w:val="ru-RU"/>
        </w:rPr>
        <w:t>пятимесячного</w:t>
      </w:r>
      <w:r w:rsidRPr="00494635">
        <w:rPr>
          <w:lang w:val="ru-RU"/>
        </w:rPr>
        <w:t xml:space="preserve"> продления. Комитету следует отложить принятие решения до следующего собрания и запросить у администрации дополнительную информацию, в том числе об окне для запуска. Такой подход избавит администрацию от необходимости запрашивать дополнительное продление, если двух с половиной месяцев окажется недостаточно.</w:t>
      </w:r>
    </w:p>
    <w:p w14:paraId="51C26D00" w14:textId="77777777" w:rsidR="00A06CB6" w:rsidRPr="00494635" w:rsidRDefault="00A06CB6" w:rsidP="00A06CB6">
      <w:pPr>
        <w:rPr>
          <w:lang w:val="ru-RU"/>
        </w:rPr>
      </w:pPr>
      <w:r w:rsidRPr="00494635">
        <w:rPr>
          <w:lang w:val="ru-RU"/>
        </w:rPr>
        <w:t>5.3.19</w:t>
      </w:r>
      <w:r w:rsidRPr="00494635">
        <w:rPr>
          <w:lang w:val="ru-RU"/>
        </w:rPr>
        <w:tab/>
      </w:r>
      <w:r w:rsidRPr="00494635">
        <w:rPr>
          <w:b/>
          <w:bCs/>
          <w:lang w:val="ru-RU"/>
        </w:rPr>
        <w:t>Г-н Талиб</w:t>
      </w:r>
      <w:r w:rsidRPr="00494635">
        <w:rPr>
          <w:lang w:val="ru-RU"/>
        </w:rPr>
        <w:t xml:space="preserve"> вновь повторяет свою точку зрения о том, что Комитету следует отложить принятие решения до следующего собрания до получения дополнительной информации от администрации Индонезии.</w:t>
      </w:r>
    </w:p>
    <w:p w14:paraId="2ADC8C8B" w14:textId="77777777" w:rsidR="00A06CB6" w:rsidRPr="00494635" w:rsidRDefault="00A06CB6" w:rsidP="00A06CB6">
      <w:pPr>
        <w:rPr>
          <w:lang w:val="ru-RU"/>
        </w:rPr>
      </w:pPr>
      <w:r w:rsidRPr="00494635">
        <w:rPr>
          <w:lang w:val="ru-RU"/>
        </w:rPr>
        <w:t>5.3.20</w:t>
      </w:r>
      <w:r w:rsidRPr="00494635">
        <w:rPr>
          <w:lang w:val="ru-RU"/>
        </w:rPr>
        <w:tab/>
      </w:r>
      <w:r w:rsidRPr="00494635">
        <w:rPr>
          <w:b/>
          <w:bCs/>
          <w:lang w:val="ru-RU"/>
        </w:rPr>
        <w:t>Председатель</w:t>
      </w:r>
      <w:r w:rsidRPr="00494635">
        <w:rPr>
          <w:lang w:val="ru-RU"/>
        </w:rPr>
        <w:t xml:space="preserve"> предлагает </w:t>
      </w:r>
      <w:r w:rsidRPr="00494635">
        <w:rPr>
          <w:shd w:val="clear" w:color="auto" w:fill="FFFFFF"/>
          <w:lang w:val="ru-RU"/>
        </w:rPr>
        <w:t>Комитету</w:t>
      </w:r>
      <w:r w:rsidRPr="00494635">
        <w:rPr>
          <w:lang w:val="ru-RU"/>
        </w:rPr>
        <w:t xml:space="preserve"> сделать следующее заключение по данному вопросу:</w:t>
      </w:r>
    </w:p>
    <w:p w14:paraId="6A08676B" w14:textId="77777777" w:rsidR="00A06CB6" w:rsidRPr="00494635" w:rsidRDefault="00A06CB6" w:rsidP="00A06CB6">
      <w:pPr>
        <w:rPr>
          <w:lang w:val="ru-RU"/>
        </w:rPr>
      </w:pPr>
      <w:r w:rsidRPr="00494635">
        <w:rPr>
          <w:lang w:val="ru-RU"/>
        </w:rPr>
        <w:t>"В отношении Документа RRB22-3/7, в котором содержится представление администрации Индонезии, Комитет отметил, что:</w:t>
      </w:r>
    </w:p>
    <w:p w14:paraId="5F74532E" w14:textId="77777777" w:rsidR="00A06CB6" w:rsidRPr="00494635" w:rsidRDefault="00A06CB6" w:rsidP="00A06CB6">
      <w:pPr>
        <w:pStyle w:val="enumlev1"/>
        <w:rPr>
          <w:lang w:val="ru-RU"/>
        </w:rPr>
      </w:pPr>
      <w:r w:rsidRPr="00494635">
        <w:rPr>
          <w:lang w:val="ru-RU"/>
        </w:rPr>
        <w:t>•</w:t>
      </w:r>
      <w:r w:rsidRPr="00494635">
        <w:rPr>
          <w:lang w:val="ru-RU"/>
        </w:rPr>
        <w:tab/>
        <w:t>на своем 86-м собрании он уже продлевал регламентарный предельный срок ввода в действие частотных присвоений спутниковой сети PSN-146E до 31 октября 2023 года, посчитав, что данная ситуация относится к случаю форс-мажорных обстоятельств;</w:t>
      </w:r>
    </w:p>
    <w:p w14:paraId="0CA7E75A" w14:textId="77777777" w:rsidR="00A06CB6" w:rsidRPr="00494635" w:rsidRDefault="00A06CB6" w:rsidP="00A06CB6">
      <w:pPr>
        <w:pStyle w:val="enumlev1"/>
        <w:rPr>
          <w:lang w:val="ru-RU"/>
        </w:rPr>
      </w:pPr>
      <w:r w:rsidRPr="00494635">
        <w:rPr>
          <w:lang w:val="ru-RU"/>
        </w:rPr>
        <w:t>•</w:t>
      </w:r>
      <w:r w:rsidRPr="00494635">
        <w:rPr>
          <w:lang w:val="ru-RU"/>
        </w:rPr>
        <w:tab/>
        <w:t>производитель спутника столкнулся с шестинедельной задержкой из-за изменения правил работы в связи с глобальной пандемией COVID-19 и пожаром на территории субподрядчика;</w:t>
      </w:r>
    </w:p>
    <w:p w14:paraId="206320CB" w14:textId="77777777" w:rsidR="00A06CB6" w:rsidRPr="00494635" w:rsidRDefault="00A06CB6" w:rsidP="00A06CB6">
      <w:pPr>
        <w:pStyle w:val="enumlev1"/>
        <w:rPr>
          <w:lang w:val="ru-RU"/>
        </w:rPr>
      </w:pPr>
      <w:r w:rsidRPr="00494635">
        <w:rPr>
          <w:lang w:val="ru-RU"/>
        </w:rPr>
        <w:t>•</w:t>
      </w:r>
      <w:r w:rsidRPr="00494635">
        <w:rPr>
          <w:lang w:val="ru-RU"/>
        </w:rPr>
        <w:tab/>
        <w:t>необходимое изменение способа транспортировки спутника с воздушного судна на морское привело к дополнительной задержке на один месяц.</w:t>
      </w:r>
    </w:p>
    <w:p w14:paraId="15EDCEF6" w14:textId="77777777" w:rsidR="00A06CB6" w:rsidRPr="00494635" w:rsidRDefault="00A06CB6" w:rsidP="00A06CB6">
      <w:pPr>
        <w:rPr>
          <w:lang w:val="ru-RU"/>
        </w:rPr>
      </w:pPr>
      <w:r w:rsidRPr="00494635">
        <w:rPr>
          <w:lang w:val="ru-RU"/>
        </w:rPr>
        <w:t xml:space="preserve">На основании предоставленной информации Комитет пришел к выводу, что данная ситуация удовлетворяет всем условиям, для того чтобы считаться случаем форс-мажорных обстоятельств. В то же время, хотя запрашиваемое </w:t>
      </w:r>
      <w:r w:rsidRPr="00494635">
        <w:rPr>
          <w:shd w:val="clear" w:color="auto" w:fill="FFFFFF"/>
          <w:lang w:val="ru-RU"/>
        </w:rPr>
        <w:t>продление</w:t>
      </w:r>
      <w:r w:rsidRPr="00494635">
        <w:rPr>
          <w:lang w:val="ru-RU"/>
        </w:rPr>
        <w:t xml:space="preserve"> носит ограниченный и определенный характер, Комитет не смог найти аргументов для обоснования запрашиваемого продления на пять месяцев. В связи с этим Комитет поручил Бюро предложить администрации Индонезии предоставить дополнительную информацию в поддержку продолжительности запрашиваемого продления, которая должна включать: </w:t>
      </w:r>
    </w:p>
    <w:p w14:paraId="5F296438" w14:textId="77777777" w:rsidR="00A06CB6" w:rsidRPr="00494635" w:rsidRDefault="00A06CB6" w:rsidP="00A06CB6">
      <w:pPr>
        <w:pStyle w:val="enumlev1"/>
        <w:rPr>
          <w:lang w:val="ru-RU"/>
        </w:rPr>
      </w:pPr>
      <w:r w:rsidRPr="00494635">
        <w:rPr>
          <w:lang w:val="ru-RU"/>
        </w:rPr>
        <w:t>•</w:t>
      </w:r>
      <w:r w:rsidRPr="00494635">
        <w:rPr>
          <w:lang w:val="ru-RU"/>
        </w:rPr>
        <w:tab/>
        <w:t>конкретную информацию о новом окне запуска;</w:t>
      </w:r>
    </w:p>
    <w:p w14:paraId="51F6A2AB" w14:textId="77777777" w:rsidR="00A06CB6" w:rsidRPr="00494635" w:rsidRDefault="00A06CB6" w:rsidP="00A06CB6">
      <w:pPr>
        <w:pStyle w:val="enumlev1"/>
        <w:rPr>
          <w:lang w:val="ru-RU"/>
        </w:rPr>
      </w:pPr>
      <w:r w:rsidRPr="00494635">
        <w:rPr>
          <w:lang w:val="ru-RU"/>
        </w:rPr>
        <w:lastRenderedPageBreak/>
        <w:t>•</w:t>
      </w:r>
      <w:r w:rsidRPr="00494635">
        <w:rPr>
          <w:lang w:val="ru-RU"/>
        </w:rPr>
        <w:tab/>
        <w:t>вспомогательную документацию от поставщика услуг запуска, в которой подтверждалась бы запланированная дата запуска;</w:t>
      </w:r>
    </w:p>
    <w:p w14:paraId="7DCB4A4A" w14:textId="77777777" w:rsidR="00A06CB6" w:rsidRPr="00494635" w:rsidRDefault="00A06CB6" w:rsidP="00A06CB6">
      <w:pPr>
        <w:pStyle w:val="enumlev1"/>
        <w:rPr>
          <w:szCs w:val="24"/>
          <w:lang w:val="ru-RU"/>
        </w:rPr>
      </w:pPr>
      <w:r w:rsidRPr="00494635">
        <w:rPr>
          <w:lang w:val="ru-RU"/>
        </w:rPr>
        <w:t>•</w:t>
      </w:r>
      <w:r w:rsidRPr="00494635">
        <w:rPr>
          <w:lang w:val="ru-RU"/>
        </w:rPr>
        <w:tab/>
        <w:t>конкретные сведения, подтверждающие, что продление на пять месяцев является обоснованным, с учетом того, что предоставленная на данный момент информация служит обоснованием продления не более чем на два с половиной месяца</w:t>
      </w:r>
      <w:r w:rsidRPr="00494635">
        <w:rPr>
          <w:szCs w:val="24"/>
          <w:lang w:val="ru-RU"/>
        </w:rPr>
        <w:t>".</w:t>
      </w:r>
    </w:p>
    <w:p w14:paraId="7AEE06B8" w14:textId="77777777" w:rsidR="00A06CB6" w:rsidRPr="00494635" w:rsidRDefault="00A06CB6" w:rsidP="00A06CB6">
      <w:pPr>
        <w:jc w:val="both"/>
        <w:rPr>
          <w:lang w:val="ru-RU"/>
        </w:rPr>
      </w:pPr>
      <w:r w:rsidRPr="00494635">
        <w:rPr>
          <w:lang w:val="ru-RU"/>
        </w:rPr>
        <w:t>5.3.21</w:t>
      </w:r>
      <w:r w:rsidRPr="00494635">
        <w:rPr>
          <w:lang w:val="ru-RU"/>
        </w:rPr>
        <w:tab/>
        <w:t xml:space="preserve">Предложение </w:t>
      </w:r>
      <w:r w:rsidRPr="00494635">
        <w:rPr>
          <w:b/>
          <w:bCs/>
          <w:lang w:val="ru-RU"/>
        </w:rPr>
        <w:t>принимается</w:t>
      </w:r>
      <w:r w:rsidRPr="00494635">
        <w:rPr>
          <w:lang w:val="ru-RU" w:eastAsia="zh-CN"/>
        </w:rPr>
        <w:t>.</w:t>
      </w:r>
    </w:p>
    <w:p w14:paraId="1884BB34" w14:textId="77777777" w:rsidR="00A06CB6" w:rsidRPr="00494635" w:rsidRDefault="00A06CB6" w:rsidP="00A06CB6">
      <w:pPr>
        <w:pStyle w:val="Heading2"/>
        <w:rPr>
          <w:lang w:val="ru-RU"/>
        </w:rPr>
      </w:pPr>
      <w:r w:rsidRPr="00494635">
        <w:rPr>
          <w:lang w:val="ru-RU"/>
        </w:rPr>
        <w:t>5.4</w:t>
      </w:r>
      <w:r w:rsidRPr="00494635">
        <w:rPr>
          <w:lang w:val="ru-RU"/>
        </w:rPr>
        <w:tab/>
        <w:t>Представление администрации Германии (Федеративной Республики) с просьбой о продлении регламентарного предельного срока ввода в действие частотных присвоений спутниковой сети H2M</w:t>
      </w:r>
      <w:r w:rsidRPr="00494635">
        <w:rPr>
          <w:lang w:val="ru-RU"/>
        </w:rPr>
        <w:noBreakHyphen/>
        <w:t>0.5E (Документ RRB22-3/8)</w:t>
      </w:r>
    </w:p>
    <w:p w14:paraId="370E8532" w14:textId="77777777" w:rsidR="00A06CB6" w:rsidRPr="00494635" w:rsidRDefault="00A06CB6" w:rsidP="00A06CB6">
      <w:pPr>
        <w:rPr>
          <w:highlight w:val="lightGray"/>
          <w:lang w:val="ru-RU"/>
        </w:rPr>
      </w:pPr>
      <w:r w:rsidRPr="00494635">
        <w:rPr>
          <w:lang w:val="ru-RU"/>
        </w:rPr>
        <w:t>5.4.1</w:t>
      </w:r>
      <w:r w:rsidRPr="00494635">
        <w:rPr>
          <w:lang w:val="ru-RU"/>
        </w:rPr>
        <w:tab/>
      </w:r>
      <w:r w:rsidRPr="00494635">
        <w:rPr>
          <w:b/>
          <w:bCs/>
          <w:lang w:val="ru-RU"/>
        </w:rPr>
        <w:t>Г-н Лоо (руководитель SSD/SPR)</w:t>
      </w:r>
      <w:r w:rsidRPr="00494635">
        <w:rPr>
          <w:lang w:val="ru-RU"/>
        </w:rPr>
        <w:t xml:space="preserve">, представляя Документ RRB22-3/8, говорит, что в нем содержится просьба администрации Германии о продлении регламентарного предельного срока ввода в действие частотных присвоений спутниковой сети H2M-0.5E на основании двух форс-мажорных обстоятельств – пандемии COVID-19 и террористического акта с поджогом помещений производителя спутников OHB Systems AG 1 января 2022 года. События и то, как они соответствуют четырем условиям форс-мажорных обстоятельств, подробно описаны в документе и приложениях к нему. Также была предоставлена подробная информация об усилиях, предпринятых для того, чтобы спутник достиг своей орбитальной позиции задолго до регламентарного предельного срока 2 мая 2023 года, и о мерах по смягчению последствий, принятых в связи с четырехмесячной задержкой, вызванной форс-мажорными обстоятельствами. Последнее включает переговоры оператора спутника, Космического агентства Германии, о новом окне для запуска (с 1 по 30 июня 2023 г.) с поставщиком услуг запуска компанией Arianespace. Вместе с Arianespace и Европейским космическим агентством (ЕКА) Космическое агентство Германии также изучило возможность обменяться сроками запуска с миссией ЕКА JUICE (ее окно для запуска, запланированное на апрель 2023 года, на свое новое окно для запуска), однако это не принесло результатов. Его усилия по поиску временно заменяющего спутника с необходимой комбинацией частот в диапазонах S, Ku и Ka также не увенчались успехом. Заявление и информация по Резолюции </w:t>
      </w:r>
      <w:r w:rsidRPr="00494635">
        <w:rPr>
          <w:b/>
          <w:bCs/>
          <w:lang w:val="ru-RU"/>
        </w:rPr>
        <w:t>49 (Пересм. ВКР-19)</w:t>
      </w:r>
      <w:r w:rsidRPr="00494635">
        <w:rPr>
          <w:lang w:val="ru-RU"/>
        </w:rPr>
        <w:t xml:space="preserve"> для спутниковой сети были получены Бюро 29 октября 2022 года и сейчас рассматриваются. Администрация Германии запросила продление со 2 мая по 15 августа 2023 года, что компенсирует четырехмесячную задержку, вызванную форс-мажорными обстоятельствами, и обеспечивает разумные сроки для подъема орбиты и ввода в действие частотных присвоений.</w:t>
      </w:r>
    </w:p>
    <w:p w14:paraId="431897B2" w14:textId="77777777" w:rsidR="00A06CB6" w:rsidRPr="00494635" w:rsidRDefault="00A06CB6" w:rsidP="00A06CB6">
      <w:pPr>
        <w:rPr>
          <w:lang w:val="ru-RU"/>
        </w:rPr>
      </w:pPr>
      <w:r w:rsidRPr="00494635">
        <w:rPr>
          <w:lang w:val="ru-RU"/>
        </w:rPr>
        <w:t>5.4.2</w:t>
      </w:r>
      <w:r w:rsidRPr="00494635">
        <w:rPr>
          <w:lang w:val="ru-RU"/>
        </w:rPr>
        <w:tab/>
      </w:r>
      <w:r w:rsidRPr="00494635">
        <w:rPr>
          <w:b/>
          <w:bCs/>
          <w:lang w:val="ru-RU"/>
        </w:rPr>
        <w:t>Г-жа Бомье</w:t>
      </w:r>
      <w:r w:rsidRPr="00494635">
        <w:rPr>
          <w:lang w:val="ru-RU"/>
        </w:rPr>
        <w:t xml:space="preserve"> отмечает, что, согласно предоставленной администрацией Германии подробной информации, которая была подготовлена с тщательностью, достойной похвалы, проект шел по графику в целях соблюдения предельного срока ввода в действие частотных присвоений, пока не произошли вспышка пандемии COVID-19 и террористическая атака с поджогом, которые вызвали четырехмесячную задержку выполнения проекта. Поэтому она считает, что случай отвечает условиям форс-мажорных обстоятельств. Она также отмечает, что, хотя спутник будет готов в феврале 2023 года, его фактические дата отправки и дата запуска зависят от запуска спутника JUICE в апреле 2023 года. Администрация Германии изучила меры по смягчению последствий, такие как альтернативные варианты запуска и временно заменяющие спутники, но лучшего варианта, чем запуск в июне, не нашлось. Согласно графику, указанному в представлении, подъем орбиты займет две недели, что предполагает продление до 15 июля 2023 года. Запрашиваемая дата 15 августа 2023 года означает, что администрация хотела бы иметь дополнительный месяц для компенсации сдвигов в графике. В течение предыдущих 30 месяцев Комитет, принимая решения о продолжительности периода продления, последовательно исключал любой такой запас; кроме того, администрация Германии всегда может подать заявку на дополнительное продление, если запуск миссии JUICE будет задержан, поскольку такая задержка будет квалифицироваться как случай форс-мажорных обстоятельств. Поэтому она выступает за продление до середины июля 2023 года; вопрос о продлении для компенсации задержек в случае непредвиденных обстоятельств должен быть поднят в отчете Комитета по Резолюции </w:t>
      </w:r>
      <w:r w:rsidRPr="00494635">
        <w:rPr>
          <w:b/>
          <w:bCs/>
          <w:lang w:val="ru-RU"/>
        </w:rPr>
        <w:t>80 (Пересм. ВКР-07)</w:t>
      </w:r>
      <w:r w:rsidRPr="00494635">
        <w:rPr>
          <w:lang w:val="ru-RU"/>
        </w:rPr>
        <w:t xml:space="preserve"> для ВКР-23, вместо того чтобы создавать прецедент без тщательного рассмотрения.</w:t>
      </w:r>
    </w:p>
    <w:p w14:paraId="21805AE9" w14:textId="77777777" w:rsidR="00A06CB6" w:rsidRPr="00494635" w:rsidRDefault="00A06CB6" w:rsidP="00A06CB6">
      <w:pPr>
        <w:rPr>
          <w:lang w:val="ru-RU"/>
        </w:rPr>
      </w:pPr>
      <w:r w:rsidRPr="00494635">
        <w:rPr>
          <w:lang w:val="ru-RU"/>
        </w:rPr>
        <w:lastRenderedPageBreak/>
        <w:t>5.4.3</w:t>
      </w:r>
      <w:r w:rsidRPr="00494635">
        <w:rPr>
          <w:lang w:val="ru-RU"/>
        </w:rPr>
        <w:tab/>
      </w:r>
      <w:r w:rsidRPr="00494635">
        <w:rPr>
          <w:b/>
          <w:bCs/>
          <w:lang w:val="ru-RU"/>
        </w:rPr>
        <w:t>Г-н Талиб</w:t>
      </w:r>
      <w:r w:rsidRPr="00494635">
        <w:rPr>
          <w:b/>
          <w:lang w:val="ru-RU"/>
        </w:rPr>
        <w:t xml:space="preserve"> </w:t>
      </w:r>
      <w:r w:rsidRPr="00494635">
        <w:rPr>
          <w:lang w:val="ru-RU"/>
        </w:rPr>
        <w:t>соглашается, что данный случай отвечает условиям форс-мажорных обстоятельств. Он понимает обеспокоенность г-жи Бомье по поводу сдвигов в графике и продолжительности продления; однако с учетом подтверждений, предоставленных OHB Systems AG и Arianespace и прилагаемых к документу, он выступает за предоставление продления на три с половиной месяца в соответствии с просьбой.</w:t>
      </w:r>
    </w:p>
    <w:p w14:paraId="542C6EEA" w14:textId="77777777" w:rsidR="00A06CB6" w:rsidRPr="00494635" w:rsidRDefault="00A06CB6" w:rsidP="00A06CB6">
      <w:pPr>
        <w:rPr>
          <w:lang w:val="ru-RU"/>
        </w:rPr>
      </w:pPr>
      <w:r w:rsidRPr="00494635">
        <w:rPr>
          <w:lang w:val="ru-RU"/>
        </w:rPr>
        <w:t>5.4.4</w:t>
      </w:r>
      <w:r w:rsidRPr="00494635">
        <w:rPr>
          <w:lang w:val="ru-RU"/>
        </w:rPr>
        <w:tab/>
      </w:r>
      <w:r w:rsidRPr="00494635">
        <w:rPr>
          <w:b/>
          <w:bCs/>
          <w:lang w:val="ru-RU"/>
        </w:rPr>
        <w:t>Г-н Хоан</w:t>
      </w:r>
      <w:r w:rsidRPr="00494635">
        <w:rPr>
          <w:lang w:val="ru-RU"/>
        </w:rPr>
        <w:t xml:space="preserve"> соглашается с тем, что задержка ввода в действие частотных присвоений была вызвана двумя событиями, которые удовлетворяют четырем условиям форс-мажорных обстоятельств. Несмотря на то, что администрация Германии запросила продление на относительно короткий срок, она представила подробные расчеты графиков, а Космическое агентство Германии предприняло усилия, достойные похвалы, чтобы найти более раннее время для запуска. Он полагает, что Комитету следует удовлетворить просьбу о продлении до 15 августа 2023 года.</w:t>
      </w:r>
    </w:p>
    <w:p w14:paraId="47A7F1C8" w14:textId="77777777" w:rsidR="00A06CB6" w:rsidRPr="00494635" w:rsidRDefault="00A06CB6" w:rsidP="00A06CB6">
      <w:pPr>
        <w:rPr>
          <w:lang w:val="ru-RU"/>
        </w:rPr>
      </w:pPr>
      <w:r w:rsidRPr="00494635">
        <w:rPr>
          <w:lang w:val="ru-RU"/>
        </w:rPr>
        <w:t>5.4.5</w:t>
      </w:r>
      <w:r w:rsidRPr="00494635">
        <w:rPr>
          <w:lang w:val="ru-RU"/>
        </w:rPr>
        <w:tab/>
      </w:r>
      <w:r w:rsidRPr="00494635">
        <w:rPr>
          <w:b/>
          <w:bCs/>
          <w:lang w:val="ru-RU"/>
        </w:rPr>
        <w:t>Г-жа Гасанова</w:t>
      </w:r>
      <w:r w:rsidRPr="00494635">
        <w:rPr>
          <w:lang w:val="ru-RU"/>
        </w:rPr>
        <w:t xml:space="preserve"> высказывает согласие с тем, что администрация Германии представила подробный график запуска. Администрация также направила Бюро необходимое заявление и информацию по Резолюции </w:t>
      </w:r>
      <w:r w:rsidRPr="00494635">
        <w:rPr>
          <w:b/>
          <w:bCs/>
          <w:lang w:val="ru-RU"/>
        </w:rPr>
        <w:t>49 (Пересм. ВКР-19)</w:t>
      </w:r>
      <w:r w:rsidRPr="00494635">
        <w:rPr>
          <w:lang w:val="ru-RU"/>
        </w:rPr>
        <w:t>. Более того, пандемия COVID-19 является событием неподконтрольным администрации. Поэтому она считает, что случай отвечает условиям форс-мажорных обстоятельств, и выступает за продление до 15 августа 2023 года.</w:t>
      </w:r>
    </w:p>
    <w:p w14:paraId="10F35948" w14:textId="77777777" w:rsidR="00A06CB6" w:rsidRPr="00494635" w:rsidRDefault="00A06CB6" w:rsidP="00A06CB6">
      <w:pPr>
        <w:rPr>
          <w:lang w:val="ru-RU"/>
        </w:rPr>
      </w:pPr>
      <w:r w:rsidRPr="00494635">
        <w:rPr>
          <w:lang w:val="ru-RU"/>
        </w:rPr>
        <w:t>5.4.6</w:t>
      </w:r>
      <w:r w:rsidRPr="00494635">
        <w:rPr>
          <w:lang w:val="ru-RU"/>
        </w:rPr>
        <w:tab/>
      </w:r>
      <w:r w:rsidRPr="00494635">
        <w:rPr>
          <w:b/>
          <w:bCs/>
          <w:lang w:val="ru-RU"/>
        </w:rPr>
        <w:t>Г-н Аззуз</w:t>
      </w:r>
      <w:r w:rsidRPr="00494635">
        <w:rPr>
          <w:lang w:val="ru-RU"/>
        </w:rPr>
        <w:t xml:space="preserve"> отмечает, что проект касается некоммерческого спутника, предназначенного для научных и военных целей. Оператор с успехом провел обширную работу по координации частот в диапазонах Ka и Ku и представил в Бюро необходимое заявление и информацию по Резолюции </w:t>
      </w:r>
      <w:r w:rsidRPr="00494635">
        <w:rPr>
          <w:b/>
          <w:bCs/>
          <w:lang w:val="ru-RU"/>
        </w:rPr>
        <w:t>49 (Пересм. ВКР-19)</w:t>
      </w:r>
      <w:r w:rsidRPr="00494635">
        <w:rPr>
          <w:lang w:val="ru-RU"/>
        </w:rPr>
        <w:t>. Согласно информации в документе, случай квалифицируется как случай форс-мажорных обстоятельств. Поэтому он выступает за предоставление продления, однако, во избежание противоречия с предыдущими решениями Комитета, только до 15 июля 2023 года.</w:t>
      </w:r>
    </w:p>
    <w:p w14:paraId="62B4C78A" w14:textId="77777777" w:rsidR="00A06CB6" w:rsidRPr="00494635" w:rsidRDefault="00A06CB6" w:rsidP="00A06CB6">
      <w:pPr>
        <w:jc w:val="both"/>
        <w:rPr>
          <w:lang w:val="ru-RU"/>
        </w:rPr>
      </w:pPr>
      <w:r w:rsidRPr="00494635">
        <w:rPr>
          <w:lang w:val="ru-RU"/>
        </w:rPr>
        <w:t>5.4.7</w:t>
      </w:r>
      <w:r w:rsidRPr="00494635">
        <w:rPr>
          <w:lang w:val="ru-RU"/>
        </w:rPr>
        <w:tab/>
      </w:r>
      <w:r w:rsidRPr="00494635">
        <w:rPr>
          <w:b/>
          <w:bCs/>
          <w:lang w:val="ru-RU"/>
        </w:rPr>
        <w:t>Г-н Анри</w:t>
      </w:r>
      <w:r w:rsidRPr="00494635">
        <w:rPr>
          <w:lang w:val="ru-RU"/>
        </w:rPr>
        <w:t xml:space="preserve"> говорит, что из-за двух форс-мажорных обстоятельств, вполне обоснованных в заявке, испытания спутника были задержаны до февраля 2023 года. Продление на два с половиной месяца, до 15 июля 2023 года, учитывает время, необходимое для отправки спутника и проверки его готовности к запуску. Окно для запуска с 1 по 30 июня находится внутри плотного графика, в котором учтен запланированный запуск миссии JUICE в апреле 2023 года. Дополнительные недели до 15 августа 2023 года, по-видимому, включают время после прибытия спутника в геостационарную орбитальную позицию для ряда мероприятий, таких как испытания на орбите, до полного включения спутника. Он был бы готов предоставить продление до 15 августа 2023 года, но считает, что в просьбе отсутствует информация о необходимости этого дополнительного месяца. Он также соглашается с г</w:t>
      </w:r>
      <w:r w:rsidRPr="00494635">
        <w:rPr>
          <w:lang w:val="ru-RU"/>
        </w:rPr>
        <w:noBreakHyphen/>
        <w:t>ном Аззузом и г-жой Бомье в том, что Комитет должен быть внимательным в отношении предоставления дополнительного времени для компенсации задержек на случай непредвиденных обстоятельств. Поэтому, чтобы обеспечить согласованность с предыдущими решениями Комитета о дополнительных периодах на случай непредвиденных обстоятельств, он выступает за продление до 15 июля 2023 года.</w:t>
      </w:r>
    </w:p>
    <w:p w14:paraId="4C57F5AA" w14:textId="77777777" w:rsidR="00A06CB6" w:rsidRPr="00494635" w:rsidRDefault="00A06CB6" w:rsidP="00A06CB6">
      <w:pPr>
        <w:jc w:val="both"/>
        <w:rPr>
          <w:lang w:val="ru-RU"/>
        </w:rPr>
      </w:pPr>
      <w:r w:rsidRPr="00494635">
        <w:rPr>
          <w:lang w:val="ru-RU"/>
        </w:rPr>
        <w:t>5.4.8</w:t>
      </w:r>
      <w:r w:rsidRPr="00494635">
        <w:rPr>
          <w:lang w:val="ru-RU"/>
        </w:rPr>
        <w:tab/>
      </w:r>
      <w:r w:rsidRPr="00494635">
        <w:rPr>
          <w:b/>
          <w:bCs/>
          <w:lang w:val="ru-RU"/>
        </w:rPr>
        <w:t>Г-н Борхон</w:t>
      </w:r>
      <w:r w:rsidRPr="00494635">
        <w:rPr>
          <w:lang w:val="ru-RU"/>
        </w:rPr>
        <w:t xml:space="preserve"> говорит, что представленные материалы содержат очевидные доказательства того, что данный случай является форс-мажорным и что администрация Германии приложила все усилия для своевременного запуска спутника. Новый график запусков является чрезвычайно плотным. Он выражает согласие с г-ном Анри в том, что можно было бы более четко объяснить процесс ввода системы в действие, а также с г-жой Бомье в том, что продление на три с половиной месяца не соответствовало бы решениям Комитета в других случаях. Поэтому он поддерживает продление до 15 июля 2023 года.</w:t>
      </w:r>
    </w:p>
    <w:p w14:paraId="65785040" w14:textId="77777777" w:rsidR="00A06CB6" w:rsidRPr="00494635" w:rsidRDefault="00A06CB6" w:rsidP="00A06CB6">
      <w:pPr>
        <w:jc w:val="both"/>
        <w:rPr>
          <w:lang w:val="ru-RU"/>
        </w:rPr>
      </w:pPr>
      <w:r w:rsidRPr="00494635">
        <w:rPr>
          <w:lang w:val="ru-RU"/>
        </w:rPr>
        <w:t>5.4.9</w:t>
      </w:r>
      <w:r w:rsidRPr="00494635">
        <w:rPr>
          <w:lang w:val="ru-RU"/>
        </w:rPr>
        <w:tab/>
      </w:r>
      <w:r w:rsidRPr="00494635">
        <w:rPr>
          <w:b/>
          <w:lang w:val="ru-RU"/>
        </w:rPr>
        <w:t>Г-жа Жеанти</w:t>
      </w:r>
      <w:r w:rsidRPr="00494635">
        <w:rPr>
          <w:lang w:val="ru-RU"/>
        </w:rPr>
        <w:t xml:space="preserve"> говорит, что вклад хорошо подготовлен и подробен, и в нем убедительно представлено обоснование форс-</w:t>
      </w:r>
      <w:r w:rsidRPr="00494635">
        <w:rPr>
          <w:szCs w:val="22"/>
          <w:lang w:val="ru-RU"/>
        </w:rPr>
        <w:t>мажорных обстоятельств. Менее понятны пояснения относительно того, почему требуется дополнительный месяц для покрытия непредвиденных обстоятельств. Она с пониманием относится к просьбе о продлении на три с половиной месяца, в особенности ввиду</w:t>
      </w:r>
      <w:r w:rsidRPr="00494635">
        <w:rPr>
          <w:lang w:val="ru-RU"/>
        </w:rPr>
        <w:t xml:space="preserve"> усилий, предпринимаемых для улучшения ситуации, но также считает, что Комитет должен быть последовательным. Если Комитет предоставит продление на этот срок, ему придется подготовить для этого обоснование.</w:t>
      </w:r>
    </w:p>
    <w:p w14:paraId="53AB8AC1" w14:textId="77777777" w:rsidR="00A06CB6" w:rsidRPr="00494635" w:rsidRDefault="00A06CB6" w:rsidP="00A06CB6">
      <w:pPr>
        <w:jc w:val="both"/>
        <w:rPr>
          <w:lang w:val="ru-RU"/>
        </w:rPr>
      </w:pPr>
      <w:r w:rsidRPr="00494635">
        <w:rPr>
          <w:lang w:val="ru-RU"/>
        </w:rPr>
        <w:lastRenderedPageBreak/>
        <w:t>5.4.10</w:t>
      </w:r>
      <w:r w:rsidRPr="00494635">
        <w:rPr>
          <w:lang w:val="ru-RU"/>
        </w:rPr>
        <w:tab/>
      </w:r>
      <w:r w:rsidRPr="00494635">
        <w:rPr>
          <w:b/>
          <w:lang w:val="ru-RU"/>
        </w:rPr>
        <w:t>Г-н Хасимото</w:t>
      </w:r>
      <w:r w:rsidRPr="00494635">
        <w:rPr>
          <w:lang w:val="ru-RU"/>
        </w:rPr>
        <w:t xml:space="preserve"> говорит, что ввиду представленных четких сведений он согласен признать данный случай форс-мажорными обстоятельствами. Он также соглашается с предыдущими выступавшими относительно того, что Комитет должен предоставить продление на два с половиной месяца, до 15 июля 2023 года.</w:t>
      </w:r>
    </w:p>
    <w:p w14:paraId="76F6F057" w14:textId="77777777" w:rsidR="00A06CB6" w:rsidRPr="00494635" w:rsidRDefault="00A06CB6" w:rsidP="00A06CB6">
      <w:pPr>
        <w:jc w:val="both"/>
        <w:rPr>
          <w:szCs w:val="22"/>
          <w:lang w:val="ru-RU"/>
        </w:rPr>
      </w:pPr>
      <w:r w:rsidRPr="00494635">
        <w:rPr>
          <w:szCs w:val="22"/>
          <w:lang w:val="ru-RU"/>
        </w:rPr>
        <w:t>5.4.11</w:t>
      </w:r>
      <w:r w:rsidRPr="00494635">
        <w:rPr>
          <w:szCs w:val="22"/>
          <w:lang w:val="ru-RU"/>
        </w:rPr>
        <w:tab/>
      </w:r>
      <w:r w:rsidRPr="00494635">
        <w:rPr>
          <w:b/>
          <w:bCs/>
          <w:szCs w:val="22"/>
          <w:lang w:val="ru-RU"/>
        </w:rPr>
        <w:t>Г-н Варламов</w:t>
      </w:r>
      <w:r w:rsidRPr="00494635">
        <w:rPr>
          <w:szCs w:val="22"/>
          <w:lang w:val="ru-RU"/>
        </w:rPr>
        <w:t xml:space="preserve"> говорит, что налицо случай форс-мажорных обстоятельств и что поэтому продление обосновано. В то же время неверно говорить о двух с половиной или трех с половиной месяцах. В письме от производителя, прилагаемом как Приложение 1 к документу, содержится график, в котором указана конечная дата стадии запуска и начального этапа орбитального полета (LEOP) и орбитального тестирования (IOT) – 23 июля 2023 года. Решение Комитета должно определяться этой датой. </w:t>
      </w:r>
    </w:p>
    <w:p w14:paraId="7A6F3ED3" w14:textId="77777777" w:rsidR="00A06CB6" w:rsidRPr="00494635" w:rsidRDefault="00A06CB6" w:rsidP="00A06CB6">
      <w:pPr>
        <w:jc w:val="both"/>
        <w:rPr>
          <w:lang w:val="ru-RU"/>
        </w:rPr>
      </w:pPr>
      <w:r w:rsidRPr="00494635">
        <w:rPr>
          <w:lang w:val="ru-RU"/>
        </w:rPr>
        <w:t>5.4.12</w:t>
      </w:r>
      <w:r w:rsidRPr="00494635">
        <w:rPr>
          <w:lang w:val="ru-RU"/>
        </w:rPr>
        <w:tab/>
      </w:r>
      <w:r w:rsidRPr="00494635">
        <w:rPr>
          <w:b/>
          <w:bCs/>
          <w:lang w:val="ru-RU"/>
        </w:rPr>
        <w:t>Г-н Анри</w:t>
      </w:r>
      <w:r w:rsidRPr="00494635">
        <w:rPr>
          <w:lang w:val="ru-RU"/>
        </w:rPr>
        <w:t xml:space="preserve"> говорит, что, насколько он понимает, к 15 июля 2023 года спутник будет размещен в позиции 0,5° в. д. и будет способен вести передачу и прием в рамках заявленных частотных присвоений сети согласно п. </w:t>
      </w:r>
      <w:r w:rsidRPr="00494635">
        <w:rPr>
          <w:b/>
          <w:bCs/>
          <w:lang w:val="ru-RU"/>
        </w:rPr>
        <w:t xml:space="preserve">11.44B </w:t>
      </w:r>
      <w:r w:rsidRPr="00494635">
        <w:rPr>
          <w:lang w:val="ru-RU"/>
        </w:rPr>
        <w:t>РР. Ввиду этого не должно быть сложностей, а также вреда для администрации в том, чтобы объявить, что частоты были введены в действие согласно п. </w:t>
      </w:r>
      <w:r w:rsidRPr="00494635">
        <w:rPr>
          <w:b/>
          <w:bCs/>
          <w:lang w:val="ru-RU"/>
        </w:rPr>
        <w:t xml:space="preserve">11.44B </w:t>
      </w:r>
      <w:r w:rsidRPr="00494635">
        <w:rPr>
          <w:lang w:val="ru-RU"/>
        </w:rPr>
        <w:t>РР в это время. Иначе будет обстоять дело, если произойдут сдвиги в программе JUICE, которые окажут неблагоприятное воздействие на запуск спутника H2SAT. В этом случае он поддержит рассмотрение просьбы от администрации о дальнейшем продлении, которую она представит в тот момент.</w:t>
      </w:r>
    </w:p>
    <w:p w14:paraId="18CA235C" w14:textId="77777777" w:rsidR="00A06CB6" w:rsidRPr="00494635" w:rsidRDefault="00A06CB6" w:rsidP="00A06CB6">
      <w:pPr>
        <w:jc w:val="both"/>
        <w:rPr>
          <w:lang w:val="ru-RU"/>
        </w:rPr>
      </w:pPr>
      <w:r w:rsidRPr="00494635">
        <w:rPr>
          <w:lang w:val="ru-RU"/>
        </w:rPr>
        <w:t>5.4.13</w:t>
      </w:r>
      <w:r w:rsidRPr="00494635">
        <w:rPr>
          <w:lang w:val="ru-RU"/>
        </w:rPr>
        <w:tab/>
      </w:r>
      <w:r w:rsidRPr="00494635">
        <w:rPr>
          <w:b/>
          <w:bCs/>
          <w:lang w:val="ru-RU"/>
        </w:rPr>
        <w:t>Г-жа Бомье</w:t>
      </w:r>
      <w:r w:rsidRPr="00494635">
        <w:rPr>
          <w:lang w:val="ru-RU"/>
        </w:rPr>
        <w:t xml:space="preserve"> соглашается с этим. Комитет принимает во внимание период орбитального тестирования, только если тестирование проходит в позиции, отличной от рабочей позиции спутника. Если спутник запущен напрямую в свою орбитальную позицию, нет необходимости предусматривать период орбитального тестирования, и поэтому нет необходимости принимать его во внимание с регламентарной точки зрения.</w:t>
      </w:r>
    </w:p>
    <w:p w14:paraId="1DBB39E5" w14:textId="77777777" w:rsidR="00A06CB6" w:rsidRPr="00494635" w:rsidRDefault="00A06CB6" w:rsidP="00A06CB6">
      <w:pPr>
        <w:jc w:val="both"/>
        <w:rPr>
          <w:lang w:val="ru-RU"/>
        </w:rPr>
      </w:pPr>
      <w:r w:rsidRPr="00494635">
        <w:rPr>
          <w:lang w:val="ru-RU"/>
        </w:rPr>
        <w:t>5.4.14</w:t>
      </w:r>
      <w:r w:rsidRPr="00494635">
        <w:rPr>
          <w:lang w:val="ru-RU"/>
        </w:rPr>
        <w:tab/>
      </w:r>
      <w:r w:rsidRPr="00494635">
        <w:rPr>
          <w:b/>
          <w:bCs/>
          <w:lang w:val="ru-RU"/>
        </w:rPr>
        <w:t>Г-н Варламов</w:t>
      </w:r>
      <w:r w:rsidRPr="00494635">
        <w:rPr>
          <w:lang w:val="ru-RU"/>
        </w:rPr>
        <w:t xml:space="preserve"> говорит, что, по его мнению, спутниковая сеть считается введенной в действие, когда она может вести передачу и прием с указанными характеристиками, т. е. когда она предоставляет услуги, а не когда она достигла своей номинальной орбитальной позиции. В этот момент половина полезной нагрузки спутника может быть еще в нерабочем состоянии, его источник питания подлежит проверке, ретрансляторы могут быть не включены, и наземный сегмент подлежит отработке. Разница между 15 и 23 июля 2023 года составляет всего восемь дней. В предыдущих решениях Комитета не упоминался спутник в номинальной орбитальной позиции; они основывались на конкретных датах. </w:t>
      </w:r>
    </w:p>
    <w:p w14:paraId="32A8C5E2" w14:textId="77777777" w:rsidR="00A06CB6" w:rsidRPr="00494635" w:rsidRDefault="00A06CB6" w:rsidP="00A06CB6">
      <w:pPr>
        <w:jc w:val="both"/>
        <w:rPr>
          <w:lang w:val="ru-RU"/>
        </w:rPr>
      </w:pPr>
      <w:r w:rsidRPr="00494635">
        <w:rPr>
          <w:lang w:val="ru-RU"/>
        </w:rPr>
        <w:t>5.4.15</w:t>
      </w:r>
      <w:r w:rsidRPr="00494635">
        <w:rPr>
          <w:lang w:val="ru-RU"/>
        </w:rPr>
        <w:tab/>
      </w:r>
      <w:r w:rsidRPr="00494635">
        <w:rPr>
          <w:b/>
          <w:bCs/>
          <w:lang w:val="ru-RU"/>
        </w:rPr>
        <w:t>Г-н Аззуз</w:t>
      </w:r>
      <w:r w:rsidRPr="00494635">
        <w:rPr>
          <w:lang w:val="ru-RU"/>
        </w:rPr>
        <w:t xml:space="preserve"> предлагает указать в решении Комитета, что администрация может запросить дополнительное продление, если возникнут сложности с реализацией первого продления.</w:t>
      </w:r>
    </w:p>
    <w:p w14:paraId="0FBC31B7" w14:textId="77777777" w:rsidR="00A06CB6" w:rsidRPr="00494635" w:rsidRDefault="00A06CB6" w:rsidP="00A06CB6">
      <w:pPr>
        <w:jc w:val="both"/>
        <w:rPr>
          <w:lang w:val="ru-RU"/>
        </w:rPr>
      </w:pPr>
      <w:r w:rsidRPr="00494635">
        <w:rPr>
          <w:lang w:val="ru-RU"/>
        </w:rPr>
        <w:t>5.4.16</w:t>
      </w:r>
      <w:r w:rsidRPr="00494635">
        <w:rPr>
          <w:lang w:val="ru-RU"/>
        </w:rPr>
        <w:tab/>
        <w:t xml:space="preserve">После неофициального обсуждения </w:t>
      </w:r>
      <w:r w:rsidRPr="00494635">
        <w:rPr>
          <w:b/>
          <w:bCs/>
          <w:lang w:val="ru-RU"/>
        </w:rPr>
        <w:t xml:space="preserve">г-н Варламов </w:t>
      </w:r>
      <w:r w:rsidRPr="00494635">
        <w:rPr>
          <w:lang w:val="ru-RU"/>
        </w:rPr>
        <w:t>сообщает, что члены Комитета согласовали продление до середины июля 2023 года, учитывая, что к этому времени спутник будет развернут в своей номинальной орбитальной позиции.</w:t>
      </w:r>
    </w:p>
    <w:p w14:paraId="41CBFF50" w14:textId="77777777" w:rsidR="00A06CB6" w:rsidRPr="00494635" w:rsidRDefault="00A06CB6" w:rsidP="00A06CB6">
      <w:pPr>
        <w:jc w:val="both"/>
        <w:rPr>
          <w:lang w:val="ru-RU" w:eastAsia="zh-CN"/>
        </w:rPr>
      </w:pPr>
      <w:r w:rsidRPr="00494635">
        <w:rPr>
          <w:lang w:val="ru-RU"/>
        </w:rPr>
        <w:t>5.4.17</w:t>
      </w:r>
      <w:r w:rsidRPr="00494635">
        <w:rPr>
          <w:lang w:val="ru-RU"/>
        </w:rPr>
        <w:tab/>
      </w:r>
      <w:r w:rsidRPr="00494635">
        <w:rPr>
          <w:b/>
          <w:bCs/>
          <w:szCs w:val="24"/>
          <w:lang w:val="ru-RU"/>
        </w:rPr>
        <w:t>Председатель</w:t>
      </w:r>
      <w:r w:rsidRPr="00494635">
        <w:rPr>
          <w:szCs w:val="24"/>
          <w:lang w:val="ru-RU"/>
        </w:rPr>
        <w:t xml:space="preserve"> предлагает Комитету сделать по данному вопросу</w:t>
      </w:r>
      <w:r w:rsidRPr="00494635">
        <w:rPr>
          <w:rFonts w:cstheme="minorHAnsi"/>
          <w:szCs w:val="24"/>
          <w:lang w:val="ru-RU" w:eastAsia="zh-CN"/>
        </w:rPr>
        <w:t xml:space="preserve"> следующее</w:t>
      </w:r>
      <w:r w:rsidRPr="00494635">
        <w:rPr>
          <w:szCs w:val="24"/>
          <w:lang w:val="ru-RU"/>
        </w:rPr>
        <w:t xml:space="preserve"> заключение</w:t>
      </w:r>
      <w:r w:rsidRPr="00494635">
        <w:rPr>
          <w:lang w:val="ru-RU" w:eastAsia="zh-CN"/>
        </w:rPr>
        <w:t>:</w:t>
      </w:r>
    </w:p>
    <w:p w14:paraId="4A0E84FE" w14:textId="77777777" w:rsidR="00A06CB6" w:rsidRPr="00494635" w:rsidRDefault="00A06CB6" w:rsidP="00A06CB6">
      <w:pPr>
        <w:jc w:val="both"/>
        <w:rPr>
          <w:lang w:val="ru-RU"/>
        </w:rPr>
      </w:pPr>
      <w:r w:rsidRPr="00494635">
        <w:rPr>
          <w:lang w:val="ru-RU"/>
        </w:rPr>
        <w:t>"Рассмотрев Документ RRB22-3/8, содержащий представление администрации Германии, Комитет поблагодарил администрацию за предоставленную подробную и исчерпывающую информацию. Комитет отметил, что:</w:t>
      </w:r>
    </w:p>
    <w:p w14:paraId="2A10D174" w14:textId="77777777" w:rsidR="00A06CB6" w:rsidRPr="00494635" w:rsidRDefault="00A06CB6" w:rsidP="00A06CB6">
      <w:pPr>
        <w:pStyle w:val="enumlev1"/>
        <w:jc w:val="both"/>
        <w:rPr>
          <w:lang w:val="ru-RU"/>
        </w:rPr>
      </w:pPr>
      <w:r w:rsidRPr="00494635">
        <w:rPr>
          <w:lang w:val="ru-RU"/>
        </w:rPr>
        <w:t>•</w:t>
      </w:r>
      <w:r w:rsidRPr="00494635">
        <w:rPr>
          <w:lang w:val="ru-RU"/>
        </w:rPr>
        <w:tab/>
        <w:t>регламентарный предельный срок ввода в действие частотных присвоений спутниковой сети H2M-0.5E – 2 мая 2023 года;</w:t>
      </w:r>
    </w:p>
    <w:p w14:paraId="62400610" w14:textId="77777777" w:rsidR="00A06CB6" w:rsidRPr="00494635" w:rsidRDefault="00A06CB6" w:rsidP="00A06CB6">
      <w:pPr>
        <w:pStyle w:val="enumlev1"/>
        <w:jc w:val="both"/>
        <w:rPr>
          <w:lang w:val="ru-RU"/>
        </w:rPr>
      </w:pPr>
      <w:r w:rsidRPr="00494635">
        <w:rPr>
          <w:lang w:val="ru-RU"/>
        </w:rPr>
        <w:t>•</w:t>
      </w:r>
      <w:r w:rsidRPr="00494635">
        <w:rPr>
          <w:lang w:val="ru-RU"/>
        </w:rPr>
        <w:tab/>
        <w:t>изготовление и испытание спутника H2SAT были задержаны из-за глобальной пандемии COVID-19 и террористического акта с поджогом помещений изготовителя спутника, в результате чего спутник был готов на четыре месяца позже;</w:t>
      </w:r>
    </w:p>
    <w:p w14:paraId="4D35731F" w14:textId="77777777" w:rsidR="00A06CB6" w:rsidRPr="00494635" w:rsidRDefault="00A06CB6" w:rsidP="00A06CB6">
      <w:pPr>
        <w:pStyle w:val="enumlev1"/>
        <w:jc w:val="both"/>
        <w:rPr>
          <w:lang w:val="ru-RU"/>
        </w:rPr>
      </w:pPr>
      <w:r w:rsidRPr="00494635">
        <w:rPr>
          <w:lang w:val="ru-RU"/>
        </w:rPr>
        <w:t>•</w:t>
      </w:r>
      <w:r w:rsidRPr="00494635">
        <w:rPr>
          <w:lang w:val="ru-RU"/>
        </w:rPr>
        <w:tab/>
        <w:t>поставщик услуг запуска установил новое окно запуска на период с 1 по 30 июня 2023 года;</w:t>
      </w:r>
    </w:p>
    <w:p w14:paraId="168E47E7" w14:textId="77777777" w:rsidR="00A06CB6" w:rsidRPr="00494635" w:rsidRDefault="00A06CB6" w:rsidP="00A06CB6">
      <w:pPr>
        <w:pStyle w:val="enumlev1"/>
        <w:jc w:val="both"/>
        <w:rPr>
          <w:lang w:val="ru-RU"/>
        </w:rPr>
      </w:pPr>
      <w:r w:rsidRPr="00494635">
        <w:rPr>
          <w:lang w:val="ru-RU"/>
        </w:rPr>
        <w:t>•</w:t>
      </w:r>
      <w:r w:rsidRPr="00494635">
        <w:rPr>
          <w:lang w:val="ru-RU"/>
        </w:rPr>
        <w:tab/>
        <w:t xml:space="preserve">заявление и информация по Резолюции </w:t>
      </w:r>
      <w:r w:rsidRPr="00494635">
        <w:rPr>
          <w:b/>
          <w:bCs/>
          <w:lang w:val="ru-RU"/>
        </w:rPr>
        <w:t>49 (Пересм. ВКР-19)</w:t>
      </w:r>
      <w:r w:rsidRPr="00494635">
        <w:rPr>
          <w:lang w:val="ru-RU"/>
        </w:rPr>
        <w:t xml:space="preserve"> были предоставлены 29 октября 2022 года;</w:t>
      </w:r>
    </w:p>
    <w:p w14:paraId="6B692203" w14:textId="77777777" w:rsidR="00A06CB6" w:rsidRPr="00494635" w:rsidRDefault="00A06CB6" w:rsidP="00A06CB6">
      <w:pPr>
        <w:pStyle w:val="enumlev1"/>
        <w:jc w:val="both"/>
        <w:rPr>
          <w:lang w:val="ru-RU"/>
        </w:rPr>
      </w:pPr>
      <w:r w:rsidRPr="00494635">
        <w:rPr>
          <w:lang w:val="ru-RU"/>
        </w:rPr>
        <w:t>•</w:t>
      </w:r>
      <w:r w:rsidRPr="00494635">
        <w:rPr>
          <w:lang w:val="ru-RU"/>
        </w:rPr>
        <w:tab/>
        <w:t xml:space="preserve">администрация Германии могла бы уложиться в регламентарный предельный срок ввода в действие частотных присвоений спутниковой сети H2M-0.5E с достаточным запасом времени, </w:t>
      </w:r>
      <w:r w:rsidRPr="00494635">
        <w:rPr>
          <w:lang w:val="ru-RU"/>
        </w:rPr>
        <w:lastRenderedPageBreak/>
        <w:t>если бы не форс-мажорные обстоятельства (глобальная пандемия COVID-19 и поджог – террористическая атака на изготовителя спутника);</w:t>
      </w:r>
    </w:p>
    <w:p w14:paraId="3B4AB6AA" w14:textId="77777777" w:rsidR="00A06CB6" w:rsidRPr="00494635" w:rsidRDefault="00A06CB6" w:rsidP="00A06CB6">
      <w:pPr>
        <w:pStyle w:val="enumlev1"/>
        <w:jc w:val="both"/>
        <w:rPr>
          <w:lang w:val="ru-RU"/>
        </w:rPr>
      </w:pPr>
      <w:r w:rsidRPr="00494635">
        <w:rPr>
          <w:lang w:val="ru-RU"/>
        </w:rPr>
        <w:t>•</w:t>
      </w:r>
      <w:r w:rsidRPr="00494635">
        <w:rPr>
          <w:lang w:val="ru-RU"/>
        </w:rPr>
        <w:tab/>
        <w:t>начало пусковой кампании, а также точная дата отгрузки в место запуска и запуск зависели от даты запуска спутника JUICE в апреле 2023 года;</w:t>
      </w:r>
    </w:p>
    <w:p w14:paraId="3C4E6F0D" w14:textId="77777777" w:rsidR="00A06CB6" w:rsidRPr="00494635" w:rsidRDefault="00A06CB6" w:rsidP="00A06CB6">
      <w:pPr>
        <w:pStyle w:val="enumlev1"/>
        <w:jc w:val="both"/>
        <w:rPr>
          <w:lang w:val="ru-RU"/>
        </w:rPr>
      </w:pPr>
      <w:r w:rsidRPr="00494635">
        <w:rPr>
          <w:lang w:val="ru-RU"/>
        </w:rPr>
        <w:t>•</w:t>
      </w:r>
      <w:r w:rsidRPr="00494635">
        <w:rPr>
          <w:lang w:val="ru-RU"/>
        </w:rPr>
        <w:tab/>
        <w:t>запрашиваемое продление регламентарного предельного срока является определенным и ограниченным;</w:t>
      </w:r>
    </w:p>
    <w:p w14:paraId="280710A7" w14:textId="77777777" w:rsidR="00A06CB6" w:rsidRPr="00494635" w:rsidRDefault="00A06CB6" w:rsidP="00A06CB6">
      <w:pPr>
        <w:pStyle w:val="enumlev1"/>
        <w:jc w:val="both"/>
        <w:rPr>
          <w:lang w:val="ru-RU"/>
        </w:rPr>
      </w:pPr>
      <w:r w:rsidRPr="00494635">
        <w:rPr>
          <w:lang w:val="ru-RU"/>
        </w:rPr>
        <w:t>•</w:t>
      </w:r>
      <w:r w:rsidRPr="00494635">
        <w:rPr>
          <w:lang w:val="ru-RU"/>
        </w:rPr>
        <w:tab/>
        <w:t>Комитет не вправе продлевать регламентарные предельные сроки на основании дополнительных непредвиденных обстоятельств.</w:t>
      </w:r>
    </w:p>
    <w:p w14:paraId="3216A2B9" w14:textId="77777777" w:rsidR="00A06CB6" w:rsidRPr="00494635" w:rsidRDefault="00A06CB6" w:rsidP="00A06CB6">
      <w:pPr>
        <w:jc w:val="both"/>
        <w:rPr>
          <w:highlight w:val="lightGray"/>
          <w:lang w:val="ru-RU"/>
        </w:rPr>
      </w:pPr>
      <w:r w:rsidRPr="00494635">
        <w:rPr>
          <w:lang w:val="ru-RU"/>
        </w:rPr>
        <w:t>Комитет признал усилия администрации:</w:t>
      </w:r>
    </w:p>
    <w:p w14:paraId="296D54B2" w14:textId="77777777" w:rsidR="00A06CB6" w:rsidRPr="00494635" w:rsidRDefault="00A06CB6" w:rsidP="00A06CB6">
      <w:pPr>
        <w:pStyle w:val="enumlev1"/>
        <w:jc w:val="both"/>
        <w:rPr>
          <w:lang w:val="ru-RU"/>
        </w:rPr>
      </w:pPr>
      <w:r w:rsidRPr="00494635">
        <w:rPr>
          <w:lang w:val="ru-RU"/>
        </w:rPr>
        <w:t>•</w:t>
      </w:r>
      <w:r w:rsidRPr="00494635">
        <w:rPr>
          <w:lang w:val="ru-RU"/>
        </w:rPr>
        <w:tab/>
        <w:t>по координации частотных присвоений спутниковой сети H2M-0.5E;</w:t>
      </w:r>
    </w:p>
    <w:p w14:paraId="6257010F" w14:textId="77777777" w:rsidR="00A06CB6" w:rsidRPr="00494635" w:rsidRDefault="00A06CB6" w:rsidP="00A06CB6">
      <w:pPr>
        <w:pStyle w:val="enumlev1"/>
        <w:jc w:val="both"/>
        <w:rPr>
          <w:lang w:val="ru-RU"/>
        </w:rPr>
      </w:pPr>
      <w:r w:rsidRPr="00494635">
        <w:rPr>
          <w:lang w:val="ru-RU"/>
        </w:rPr>
        <w:t>•</w:t>
      </w:r>
      <w:r w:rsidRPr="00494635">
        <w:rPr>
          <w:lang w:val="ru-RU"/>
        </w:rPr>
        <w:tab/>
        <w:t>по выполнению своих обязательств в соответствии с Регламентом радиосвязи путем принятия различных мер по смягчению обстоятельств, включая обсуждение возможности поменять дату запуска со спутником JUICE ЕКА, исследование вариантов смены поставщика услуг запуска и возможного использования временно заменяющего спутника.</w:t>
      </w:r>
    </w:p>
    <w:p w14:paraId="3ED098D5" w14:textId="77777777" w:rsidR="00A06CB6" w:rsidRPr="00494635" w:rsidRDefault="00A06CB6" w:rsidP="00A06CB6">
      <w:pPr>
        <w:jc w:val="both"/>
        <w:rPr>
          <w:highlight w:val="lightGray"/>
          <w:lang w:val="ru-RU"/>
        </w:rPr>
      </w:pPr>
      <w:r w:rsidRPr="00494635">
        <w:rPr>
          <w:lang w:val="ru-RU"/>
        </w:rPr>
        <w:t>На основании предоставленной информации и подтверждающей документации Комитет пришел к выводу, что данная ситуация удовлетворяет 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Германии о продлении регламентарного предельного срока ввода в действие частотных присвоений спутниковой сети H2M-0.5E в полосах частот, перечисленных в Таблице 1, до 15 июля 2023 года.</w:t>
      </w:r>
    </w:p>
    <w:p w14:paraId="6383EAEF" w14:textId="77777777" w:rsidR="00A06CB6" w:rsidRPr="00494635" w:rsidRDefault="00A06CB6" w:rsidP="00A06CB6">
      <w:pPr>
        <w:pStyle w:val="TableNo"/>
        <w:spacing w:before="120"/>
        <w:rPr>
          <w:lang w:val="ru-RU"/>
        </w:rPr>
      </w:pPr>
      <w:r w:rsidRPr="00494635">
        <w:rPr>
          <w:lang w:val="ru-RU"/>
        </w:rPr>
        <w:t>Таблица 1</w:t>
      </w:r>
    </w:p>
    <w:tbl>
      <w:tblPr>
        <w:tblStyle w:val="TableGrid"/>
        <w:tblW w:w="0" w:type="auto"/>
        <w:tblLayout w:type="fixed"/>
        <w:tblLook w:val="04A0" w:firstRow="1" w:lastRow="0" w:firstColumn="1" w:lastColumn="0" w:noHBand="0" w:noVBand="1"/>
      </w:tblPr>
      <w:tblGrid>
        <w:gridCol w:w="3256"/>
        <w:gridCol w:w="3402"/>
        <w:gridCol w:w="2551"/>
      </w:tblGrid>
      <w:tr w:rsidR="00A06CB6" w:rsidRPr="00494635" w14:paraId="2BAA4B62" w14:textId="77777777" w:rsidTr="00A06CB6">
        <w:tc>
          <w:tcPr>
            <w:tcW w:w="3256" w:type="dxa"/>
          </w:tcPr>
          <w:p w14:paraId="56D8BE92"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2102,5 – 2107,5 МГц</w:t>
            </w:r>
          </w:p>
        </w:tc>
        <w:tc>
          <w:tcPr>
            <w:tcW w:w="3402" w:type="dxa"/>
          </w:tcPr>
          <w:p w14:paraId="5413C885"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2283,5 – 2288,5 МГц</w:t>
            </w:r>
          </w:p>
        </w:tc>
        <w:tc>
          <w:tcPr>
            <w:tcW w:w="2551" w:type="dxa"/>
          </w:tcPr>
          <w:p w14:paraId="16007C39"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10 950 – 11 200 МГц</w:t>
            </w:r>
          </w:p>
        </w:tc>
      </w:tr>
      <w:tr w:rsidR="00A06CB6" w:rsidRPr="00494635" w14:paraId="79A13DF8" w14:textId="77777777" w:rsidTr="00A06CB6">
        <w:tc>
          <w:tcPr>
            <w:tcW w:w="3256" w:type="dxa"/>
          </w:tcPr>
          <w:p w14:paraId="3F1ABCAD"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11 450 – 11 700 МГц</w:t>
            </w:r>
          </w:p>
        </w:tc>
        <w:tc>
          <w:tcPr>
            <w:tcW w:w="3402" w:type="dxa"/>
          </w:tcPr>
          <w:p w14:paraId="7FC51D06"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14 000 – 14 500 МГц</w:t>
            </w:r>
          </w:p>
        </w:tc>
        <w:tc>
          <w:tcPr>
            <w:tcW w:w="2551" w:type="dxa"/>
          </w:tcPr>
          <w:p w14:paraId="47F769C3"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19 700 – 21 200 МГц</w:t>
            </w:r>
          </w:p>
        </w:tc>
      </w:tr>
      <w:tr w:rsidR="00A06CB6" w:rsidRPr="00494635" w14:paraId="706D44AD" w14:textId="77777777" w:rsidTr="00A06CB6">
        <w:tc>
          <w:tcPr>
            <w:tcW w:w="3256" w:type="dxa"/>
          </w:tcPr>
          <w:p w14:paraId="39D35505"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23 270 – 23 308 МГц (МСЛ)</w:t>
            </w:r>
          </w:p>
        </w:tc>
        <w:tc>
          <w:tcPr>
            <w:tcW w:w="3402" w:type="dxa"/>
          </w:tcPr>
          <w:p w14:paraId="7B717974"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26 364 – 26 400 МГц (МСЛ)</w:t>
            </w:r>
          </w:p>
        </w:tc>
        <w:tc>
          <w:tcPr>
            <w:tcW w:w="2551" w:type="dxa"/>
          </w:tcPr>
          <w:p w14:paraId="4B4D52C6" w14:textId="77777777" w:rsidR="00A06CB6" w:rsidRPr="00494635" w:rsidRDefault="00A06CB6" w:rsidP="00A06CB6">
            <w:pPr>
              <w:pStyle w:val="Default"/>
              <w:keepNext/>
              <w:spacing w:before="40" w:after="40"/>
              <w:rPr>
                <w:rFonts w:asciiTheme="minorHAnsi" w:hAnsiTheme="minorHAnsi"/>
                <w:sz w:val="22"/>
                <w:szCs w:val="22"/>
                <w:lang w:val="ru-RU"/>
              </w:rPr>
            </w:pPr>
            <w:r w:rsidRPr="00494635">
              <w:rPr>
                <w:rFonts w:asciiTheme="minorHAnsi" w:hAnsiTheme="minorHAnsi"/>
                <w:sz w:val="22"/>
                <w:szCs w:val="22"/>
                <w:lang w:val="ru-RU"/>
              </w:rPr>
              <w:t>29 500 – 31 000 МГц"</w:t>
            </w:r>
          </w:p>
        </w:tc>
      </w:tr>
    </w:tbl>
    <w:p w14:paraId="2AF09D61" w14:textId="77777777" w:rsidR="00A06CB6" w:rsidRPr="00494635" w:rsidRDefault="00A06CB6" w:rsidP="00A06CB6">
      <w:pPr>
        <w:rPr>
          <w:lang w:val="ru-RU"/>
        </w:rPr>
      </w:pPr>
      <w:r w:rsidRPr="00494635">
        <w:rPr>
          <w:lang w:val="ru-RU"/>
        </w:rPr>
        <w:t>5.4.18</w:t>
      </w:r>
      <w:r w:rsidRPr="00494635">
        <w:rPr>
          <w:lang w:val="ru-RU"/>
        </w:rPr>
        <w:tab/>
        <w:t xml:space="preserve">Предложение </w:t>
      </w:r>
      <w:r w:rsidRPr="00494635">
        <w:rPr>
          <w:b/>
          <w:bCs/>
          <w:lang w:val="ru-RU"/>
        </w:rPr>
        <w:t>принимается</w:t>
      </w:r>
      <w:r w:rsidRPr="00494635">
        <w:rPr>
          <w:lang w:val="ru-RU"/>
        </w:rPr>
        <w:t>.</w:t>
      </w:r>
    </w:p>
    <w:p w14:paraId="6BD267E1" w14:textId="77777777" w:rsidR="00A06CB6" w:rsidRPr="00494635" w:rsidRDefault="00A06CB6" w:rsidP="00A06CB6">
      <w:pPr>
        <w:pStyle w:val="Heading2"/>
        <w:jc w:val="both"/>
        <w:rPr>
          <w:lang w:val="ru-RU"/>
        </w:rPr>
      </w:pPr>
      <w:r w:rsidRPr="00494635">
        <w:rPr>
          <w:lang w:val="ru-RU"/>
        </w:rPr>
        <w:t>5.5</w:t>
      </w:r>
      <w:r w:rsidRPr="00494635">
        <w:rPr>
          <w:lang w:val="ru-RU"/>
        </w:rPr>
        <w:tab/>
        <w:t>Представление администрации Пакистана с повторной просьбой о продлении регламентарного предельного срока ввода в действие частотных присвоений спутниковым сетям PAKSAT-MM1-38.2E-KA и PAKSAT-MM1-38.2E-FSS (Документ RRB22-3/9)</w:t>
      </w:r>
    </w:p>
    <w:p w14:paraId="01E8142F" w14:textId="77777777" w:rsidR="00A06CB6" w:rsidRPr="00494635" w:rsidRDefault="00A06CB6" w:rsidP="00A06CB6">
      <w:pPr>
        <w:jc w:val="both"/>
        <w:rPr>
          <w:lang w:val="ru-RU"/>
        </w:rPr>
      </w:pPr>
      <w:r w:rsidRPr="00494635">
        <w:rPr>
          <w:lang w:val="ru-RU"/>
        </w:rPr>
        <w:t>5.5.1</w:t>
      </w:r>
      <w:r w:rsidRPr="00494635">
        <w:rPr>
          <w:lang w:val="ru-RU"/>
        </w:rPr>
        <w:tab/>
      </w:r>
      <w:r w:rsidRPr="00494635">
        <w:rPr>
          <w:b/>
          <w:lang w:val="ru-RU" w:eastAsia="zh-CN"/>
        </w:rPr>
        <w:t>Г-н Лоо</w:t>
      </w:r>
      <w:r w:rsidRPr="00494635">
        <w:rPr>
          <w:lang w:val="ru-RU" w:eastAsia="zh-CN"/>
        </w:rPr>
        <w:t xml:space="preserve"> </w:t>
      </w:r>
      <w:r w:rsidRPr="00494635">
        <w:rPr>
          <w:b/>
          <w:lang w:val="ru-RU"/>
        </w:rPr>
        <w:t xml:space="preserve">(руководитель SSD/SDR) </w:t>
      </w:r>
      <w:r w:rsidRPr="00494635">
        <w:rPr>
          <w:bCs/>
          <w:lang w:val="ru-RU"/>
        </w:rPr>
        <w:t>представляет Документ</w:t>
      </w:r>
      <w:r w:rsidRPr="00494635">
        <w:rPr>
          <w:lang w:val="ru-RU"/>
        </w:rPr>
        <w:t> RRB22-3/9, в котором администрация Пакистана повторяет свою просьбу о продлении регламентарного предельного срока ввода в действие частотных присвоений спутниковым сетям PAKSAT-MM1-38.2E-KA и PAKSAT</w:t>
      </w:r>
      <w:r w:rsidRPr="00494635">
        <w:rPr>
          <w:lang w:val="ru-RU"/>
        </w:rPr>
        <w:noBreakHyphen/>
        <w:t>MM1-38.2E-FSS, соответственно, с 26 января 2024 года и 17 декабря 2023 года до 31 июля 2024 года на основании форс-мажорных обстоятельств, связанных с пандемией COVID-19. Этот важный проект обеспечит важнейшие услуги электросвязи для всей страны.</w:t>
      </w:r>
    </w:p>
    <w:p w14:paraId="3F5B02DA" w14:textId="77777777" w:rsidR="00A06CB6" w:rsidRPr="00494635" w:rsidRDefault="00A06CB6" w:rsidP="00A06CB6">
      <w:pPr>
        <w:jc w:val="both"/>
        <w:rPr>
          <w:rFonts w:eastAsia="Calibri" w:cs="Calibri"/>
          <w:szCs w:val="24"/>
          <w:lang w:val="ru-RU"/>
        </w:rPr>
      </w:pPr>
      <w:r w:rsidRPr="00494635">
        <w:rPr>
          <w:lang w:val="ru-RU"/>
        </w:rPr>
        <w:t>5.5.2</w:t>
      </w:r>
      <w:r w:rsidRPr="00494635">
        <w:rPr>
          <w:lang w:val="ru-RU"/>
        </w:rPr>
        <w:tab/>
        <w:t>На своем 86</w:t>
      </w:r>
      <w:r w:rsidRPr="00494635">
        <w:rPr>
          <w:lang w:val="ru-RU"/>
        </w:rPr>
        <w:noBreakHyphen/>
        <w:t>м собрании Комитет настоятельно рекомендовал администрации Пакистана предпринять все усилия для соблюдения регламентарных предельных сроков ввода в действие частотных присвоений этим спутниковым сетям. После этого график проекта был сокращен на два с половиной месяца с новой датой запуска 15 января 2024 года (37,5 месяца с начала работы), как указано в Дополнительном документе 1 к Документу RRB22-3/9. Контракт со спутниковым оператором (Корпорация China Great Wall Industry), в котором указываются согласованные этапы для новой даты запуска, был подписан 21 января 2022 года (Приложение C к Документу RRB22-3/9). Тем не менее, правительство Китая вводило дополнительные меры изоляции в связи с пандемией COVID</w:t>
      </w:r>
      <w:r w:rsidRPr="00494635">
        <w:rPr>
          <w:lang w:val="ru-RU"/>
        </w:rPr>
        <w:noBreakHyphen/>
        <w:t xml:space="preserve">19 в 2021 и 2022 годах (Приложение D к Документу RRB22-3/9), которые, вместе с вызванными пандемией задержками в цепочке поставок, привели к отсрочке проекта еще на шесть месяцев. Текущий график программы и меры, предпринимаемые администрацией и производителем для обеспечения запуска к 15 июля 2024 года, включая сертификаты подтверждения для запуска, содержатся в </w:t>
      </w:r>
      <w:r w:rsidRPr="00494635">
        <w:rPr>
          <w:lang w:val="ru-RU"/>
        </w:rPr>
        <w:lastRenderedPageBreak/>
        <w:t xml:space="preserve">Дополнительном документе 1, а подтверждающая документация размещена в Приложениях E–H к Документу RRB22-3/9. </w:t>
      </w:r>
    </w:p>
    <w:p w14:paraId="21892C62" w14:textId="77777777" w:rsidR="00A06CB6" w:rsidRPr="00494635" w:rsidRDefault="00A06CB6" w:rsidP="00A06CB6">
      <w:pPr>
        <w:jc w:val="both"/>
        <w:rPr>
          <w:lang w:val="ru-RU"/>
        </w:rPr>
      </w:pPr>
      <w:r w:rsidRPr="00494635">
        <w:rPr>
          <w:lang w:val="ru-RU"/>
        </w:rPr>
        <w:t>5.5.3</w:t>
      </w:r>
      <w:r w:rsidRPr="00494635">
        <w:rPr>
          <w:lang w:val="ru-RU"/>
        </w:rPr>
        <w:tab/>
      </w:r>
      <w:r w:rsidRPr="00494635">
        <w:rPr>
          <w:b/>
          <w:bCs/>
          <w:lang w:val="ru-RU"/>
        </w:rPr>
        <w:t>Г-н Анри</w:t>
      </w:r>
      <w:r w:rsidRPr="00494635">
        <w:rPr>
          <w:lang w:val="ru-RU"/>
        </w:rPr>
        <w:t xml:space="preserve"> благодарит администрацию Пакистана за справедливое принятие во внимание советов и замечаний, высказанных Комитетом на его 86</w:t>
      </w:r>
      <w:r w:rsidRPr="00494635">
        <w:rPr>
          <w:lang w:val="ru-RU"/>
        </w:rPr>
        <w:noBreakHyphen/>
        <w:t>м собрании, и отмечает, что график запуска был сокращен с 40 до 37,5 месяцев после начала работы над созданием спутника 30 ноября 2020 года (с 30 марта 2024 г. до 15 января 2024 г.). Связанные с COVID-19 меры изоляции в Китае были очень строгими, и он может понять, что они привели к дополнительной отсрочке осуществления проекта на шесть месяцев, однако можно было бы предоставить более существенную информацию о продолжительности задержки. Выступающий с сочувствием относится к данному случаю, в особенности учитывая все усилия и действия, предпринятые администрацией Пакистана для обеспечения своевременного запуска спутника и эксплуатации частотных присвоений заявки PAKSAT в позиции 38,2</w:t>
      </w:r>
      <w:r w:rsidRPr="00494635">
        <w:rPr>
          <w:vertAlign w:val="superscript"/>
          <w:lang w:val="ru-RU"/>
        </w:rPr>
        <w:t>о</w:t>
      </w:r>
      <w:r w:rsidRPr="00494635">
        <w:rPr>
          <w:lang w:val="ru-RU"/>
        </w:rPr>
        <w:t> в. д. Он выступает за предоставление продления, так как это дело соответствует условиям, позволяющим квалифицировать его как форс-мажорную ситуацию. Поскольку ожидается, что спутник прибудет в орбитальную позицию 24 июля 2024 года, согласно представленному графику проекта, может потребоваться дополнительное обсуждение точной продолжительности продления.</w:t>
      </w:r>
    </w:p>
    <w:p w14:paraId="26786526" w14:textId="77777777" w:rsidR="00A06CB6" w:rsidRPr="00494635" w:rsidRDefault="00A06CB6" w:rsidP="00A06CB6">
      <w:pPr>
        <w:jc w:val="both"/>
        <w:rPr>
          <w:lang w:val="ru-RU"/>
        </w:rPr>
      </w:pPr>
      <w:r w:rsidRPr="00494635">
        <w:rPr>
          <w:lang w:val="ru-RU"/>
        </w:rPr>
        <w:t>5.5.4</w:t>
      </w:r>
      <w:r w:rsidRPr="00494635">
        <w:rPr>
          <w:lang w:val="ru-RU"/>
        </w:rPr>
        <w:tab/>
      </w:r>
      <w:r w:rsidRPr="00494635">
        <w:rPr>
          <w:b/>
          <w:bCs/>
          <w:lang w:val="ru-RU"/>
        </w:rPr>
        <w:t>Г-н Хасимото</w:t>
      </w:r>
      <w:r w:rsidRPr="00494635">
        <w:rPr>
          <w:lang w:val="ru-RU"/>
        </w:rPr>
        <w:t xml:space="preserve">, отмечая, что деятельность по проекту продолжается, говорит, что Комитету следует признать, что COVID-19 оказал различное воздействие на разные страны. Ограничения, введенные Китаем, были одними из самых жестких, и понятно, что последствия пандемии продолжают ощущаться. Запрашиваемое продление является ограниченным и разумным, и была представлена достаточная подтверждающая документация. Поэтому он может поддержать просьбу. </w:t>
      </w:r>
    </w:p>
    <w:p w14:paraId="73CD2976" w14:textId="77777777" w:rsidR="00A06CB6" w:rsidRPr="00494635" w:rsidRDefault="00A06CB6" w:rsidP="00A06CB6">
      <w:pPr>
        <w:jc w:val="both"/>
        <w:rPr>
          <w:lang w:val="ru-RU"/>
        </w:rPr>
      </w:pPr>
      <w:r w:rsidRPr="00494635">
        <w:rPr>
          <w:lang w:val="ru-RU"/>
        </w:rPr>
        <w:t>5.5.5</w:t>
      </w:r>
      <w:r w:rsidRPr="00494635">
        <w:rPr>
          <w:lang w:val="ru-RU"/>
        </w:rPr>
        <w:tab/>
      </w:r>
      <w:r w:rsidRPr="00494635">
        <w:rPr>
          <w:b/>
          <w:bCs/>
          <w:lang w:val="ru-RU"/>
        </w:rPr>
        <w:t>Г-жа Бомье</w:t>
      </w:r>
      <w:r w:rsidRPr="00494635">
        <w:rPr>
          <w:lang w:val="ru-RU"/>
        </w:rPr>
        <w:t xml:space="preserve"> благодарит администрацию Пакистана за подробное представление и за принятие во внимание рекомендаций, данных на предыдущем собрании, когда Комитет отметил, что программа испытала задержки, напрямую связанные с пандемией, но не смог сделать вывод, что ситуация соответствовала всем условиям, чтобы быть признанной случаем форс-мажорных обстоятельств. Она отмечает, что правительство Пакистана продолжает осуществление спутникового проекта и что был достигнут значительный прогресс в ходе его выполнения. Хотя несомненно, что программа испытала дополнительные задержки в связи с пандемией, не было представлено подробных сведений о том, как была получена задержка в шесть месяцев, и была бы полезна дополнительная информация о продолжительности мер изоляции в связи с COVID-19. Кроме того, была представлена ограниченная информация как доказательство соглашения с поставщиком услуг, и администрация все еще не рассмотрела другие варианты, такие как использование временно заменяющего спутника. На основании представленной информации сложно сделать вывод о том, что рассматривались или применялись все возможности смягчения последствий рисков несоблюдения предельного срока. Выступающая в полной мере признает усилия, предпринимаемые администрацией Пакистана, и представленную подробную информацию, объясняющую достигнутый прогресс и встречающиеся трудности, но она выступает за запрос дополнительных ограниченных пояснений, чтобы Комитет мог подтвердить, что ситуация соответствует всем четырем условиям, по которым она может квалифицироваться как случай форс-мажорных обстоятельств, и обосновать продолжительность запрашиваемого продления. </w:t>
      </w:r>
    </w:p>
    <w:p w14:paraId="20BC78B9" w14:textId="77777777" w:rsidR="00A06CB6" w:rsidRPr="00494635" w:rsidRDefault="00A06CB6" w:rsidP="00A06CB6">
      <w:pPr>
        <w:jc w:val="both"/>
        <w:rPr>
          <w:lang w:val="ru-RU"/>
        </w:rPr>
      </w:pPr>
      <w:r w:rsidRPr="00494635">
        <w:rPr>
          <w:lang w:val="ru-RU"/>
        </w:rPr>
        <w:t>5.5.6</w:t>
      </w:r>
      <w:r w:rsidRPr="00494635">
        <w:rPr>
          <w:lang w:val="ru-RU"/>
        </w:rPr>
        <w:tab/>
      </w:r>
      <w:r w:rsidRPr="00494635">
        <w:rPr>
          <w:b/>
          <w:bCs/>
          <w:lang w:val="ru-RU"/>
        </w:rPr>
        <w:t>Г-н Хоан</w:t>
      </w:r>
      <w:r w:rsidRPr="00494635">
        <w:rPr>
          <w:lang w:val="ru-RU"/>
        </w:rPr>
        <w:t>, отмечая информацию, предоставленную администрацией Пакистана в соответствии с решением Комитета, принятым на его 86</w:t>
      </w:r>
      <w:r w:rsidRPr="00494635">
        <w:rPr>
          <w:lang w:val="ru-RU"/>
        </w:rPr>
        <w:noBreakHyphen/>
        <w:t xml:space="preserve">м собрании, замечает, что производитель применил дополнительные ресурсы, сократив продолжительность проекта на два с половиной месяца, но что меры изоляции и ограничения, введенные правительством Китая, оказали воздействие на пересмотренный план. По его мнению, запрашиваемое продление не является слишком долгим, и были представлены доказательства запуска спутника до 15 июля 2024 года. Этот проект важен для спутниковой связи в Пакистане как развивающейся стране, и он может согласиться с просьбой. </w:t>
      </w:r>
    </w:p>
    <w:p w14:paraId="79701790" w14:textId="77777777" w:rsidR="00A06CB6" w:rsidRPr="00494635" w:rsidRDefault="00A06CB6" w:rsidP="00A06CB6">
      <w:pPr>
        <w:jc w:val="both"/>
        <w:rPr>
          <w:lang w:val="ru-RU" w:eastAsia="zh-CN"/>
        </w:rPr>
      </w:pPr>
      <w:r w:rsidRPr="00494635">
        <w:rPr>
          <w:lang w:val="ru-RU"/>
        </w:rPr>
        <w:t>5.5.7</w:t>
      </w:r>
      <w:r w:rsidRPr="00494635">
        <w:rPr>
          <w:lang w:val="ru-RU"/>
        </w:rPr>
        <w:tab/>
      </w:r>
      <w:r w:rsidRPr="00494635">
        <w:rPr>
          <w:b/>
          <w:bCs/>
          <w:lang w:val="ru-RU"/>
        </w:rPr>
        <w:t>Г-н Борхон</w:t>
      </w:r>
      <w:r w:rsidRPr="00494635">
        <w:rPr>
          <w:sz w:val="24"/>
          <w:szCs w:val="22"/>
          <w:lang w:val="ru-RU" w:eastAsia="zh-CN"/>
        </w:rPr>
        <w:t xml:space="preserve"> </w:t>
      </w:r>
      <w:r w:rsidRPr="00494635">
        <w:rPr>
          <w:lang w:val="ru-RU" w:eastAsia="zh-CN"/>
        </w:rPr>
        <w:t>благодарит администрацию Пакистана за хорошо обоснованную просьбу и усилия по соблюдению регламентарного предельного срока. Воздействие COVID-19 различно в разных странах, но Китай ввел ряд наиболее строгих мер изоляции. При рассмотрении случаев, в которых делается ссылка на COVID</w:t>
      </w:r>
      <w:r w:rsidRPr="00494635">
        <w:rPr>
          <w:lang w:val="ru-RU" w:eastAsia="zh-CN"/>
        </w:rPr>
        <w:noBreakHyphen/>
        <w:t>19 как на основания форс-мажорных обстоятельств, Комитет должен рассмотреть воздействие на график. Настоящий случай удовлетворяет всем четырем условиям форс-</w:t>
      </w:r>
      <w:r w:rsidRPr="00494635">
        <w:rPr>
          <w:lang w:val="ru-RU" w:eastAsia="zh-CN"/>
        </w:rPr>
        <w:lastRenderedPageBreak/>
        <w:t xml:space="preserve">мажорных обстоятельств, и выступающий поддерживает запрошенное продление, которое, как он надеется, поможет Пакистану справиться с испытываемыми им стихийными бедствиями. </w:t>
      </w:r>
    </w:p>
    <w:p w14:paraId="5C44DEA8" w14:textId="77777777" w:rsidR="00A06CB6" w:rsidRPr="00494635" w:rsidRDefault="00A06CB6" w:rsidP="00A06CB6">
      <w:pPr>
        <w:jc w:val="both"/>
        <w:rPr>
          <w:lang w:val="ru-RU" w:eastAsia="zh-CN"/>
        </w:rPr>
      </w:pPr>
      <w:r w:rsidRPr="00494635">
        <w:rPr>
          <w:lang w:val="ru-RU" w:eastAsia="zh-CN"/>
        </w:rPr>
        <w:t>5.5.8</w:t>
      </w:r>
      <w:r w:rsidRPr="00494635">
        <w:rPr>
          <w:lang w:val="ru-RU"/>
        </w:rPr>
        <w:tab/>
      </w:r>
      <w:r w:rsidRPr="00494635">
        <w:rPr>
          <w:b/>
          <w:bCs/>
          <w:lang w:val="ru-RU" w:eastAsia="zh-CN"/>
        </w:rPr>
        <w:t>Г-н Аззуз</w:t>
      </w:r>
      <w:r w:rsidRPr="00494635">
        <w:rPr>
          <w:lang w:val="ru-RU" w:eastAsia="zh-CN"/>
        </w:rPr>
        <w:t>, отмечая координационные соглашения, заключенные с другими администрациями, четкие усилия, предпринятые для сокращения продолжительности проекта, и воздействие пандемии COVID-19 на Китай и Пакистан, говорит, что он выступает за предоставление продления до 24 или 31 июля 2024 года.</w:t>
      </w:r>
    </w:p>
    <w:p w14:paraId="591EA9DF" w14:textId="77777777" w:rsidR="00A06CB6" w:rsidRPr="00494635" w:rsidRDefault="00A06CB6" w:rsidP="00A06CB6">
      <w:pPr>
        <w:jc w:val="both"/>
        <w:rPr>
          <w:lang w:val="ru-RU" w:eastAsia="zh-CN"/>
        </w:rPr>
      </w:pPr>
      <w:r w:rsidRPr="00494635">
        <w:rPr>
          <w:lang w:val="ru-RU" w:eastAsia="zh-CN"/>
        </w:rPr>
        <w:t>5.5.9</w:t>
      </w:r>
      <w:r w:rsidRPr="00494635">
        <w:rPr>
          <w:lang w:val="ru-RU"/>
        </w:rPr>
        <w:tab/>
      </w:r>
      <w:r w:rsidRPr="00494635">
        <w:rPr>
          <w:b/>
          <w:bCs/>
          <w:lang w:val="ru-RU" w:eastAsia="zh-CN"/>
        </w:rPr>
        <w:t>Г-жа Жеанти</w:t>
      </w:r>
      <w:r w:rsidRPr="00494635">
        <w:rPr>
          <w:lang w:val="ru-RU" w:eastAsia="zh-CN"/>
        </w:rPr>
        <w:t>, напоминая о решении Комитета, принятом на его 86</w:t>
      </w:r>
      <w:r w:rsidRPr="00494635">
        <w:rPr>
          <w:lang w:val="ru-RU" w:eastAsia="zh-CN"/>
        </w:rPr>
        <w:noBreakHyphen/>
        <w:t>м собрании, говорит, что, несмотря на усилия, предпринятые администрацией Пакистана для соблюдения регламентарных предельных сроков, продление все-таки необходимо ввиду жестких ограничений в связи с COVID-19, введенных в Китае. Она отмечает, что администрация и производитель спутника стремятся запустить спутник до 15 июля 2024 года, но может поддержать продление до 31 июля 2024 года.</w:t>
      </w:r>
    </w:p>
    <w:p w14:paraId="0867BDDC" w14:textId="77777777" w:rsidR="00A06CB6" w:rsidRPr="00494635" w:rsidRDefault="00A06CB6" w:rsidP="00A06CB6">
      <w:pPr>
        <w:jc w:val="both"/>
        <w:rPr>
          <w:b/>
          <w:bCs/>
          <w:lang w:val="ru-RU" w:eastAsia="zh-CN"/>
        </w:rPr>
      </w:pPr>
      <w:r w:rsidRPr="00494635">
        <w:rPr>
          <w:lang w:val="ru-RU" w:eastAsia="zh-CN"/>
        </w:rPr>
        <w:t>5.5.10</w:t>
      </w:r>
      <w:r w:rsidRPr="00494635">
        <w:rPr>
          <w:lang w:val="ru-RU"/>
        </w:rPr>
        <w:tab/>
      </w:r>
      <w:r w:rsidRPr="00494635">
        <w:rPr>
          <w:b/>
          <w:bCs/>
          <w:lang w:val="ru-RU" w:eastAsia="zh-CN"/>
        </w:rPr>
        <w:t>Г-н Талиб</w:t>
      </w:r>
      <w:r w:rsidRPr="00494635">
        <w:rPr>
          <w:lang w:val="ru-RU" w:eastAsia="zh-CN"/>
        </w:rPr>
        <w:t>, напоминая о решении Комитета, принятом на его 86</w:t>
      </w:r>
      <w:r w:rsidRPr="00494635">
        <w:rPr>
          <w:lang w:val="ru-RU" w:eastAsia="zh-CN"/>
        </w:rPr>
        <w:noBreakHyphen/>
        <w:t xml:space="preserve">м собрании, и о значительных усилиях, предпринятых Пакистаном, говорит, что в данном случае пандемия является основанием для форс-мажорных обстоятельств, в особенности учитывая весьма строгие меры, принятые в Китае в связи с COVID-19, и возникшие в связи с этим нарушения в цепочках поставок. Он поддержал бы продление до 31 июля 2024 года. </w:t>
      </w:r>
    </w:p>
    <w:p w14:paraId="0EEB5F57" w14:textId="77777777" w:rsidR="00A06CB6" w:rsidRPr="00494635" w:rsidRDefault="00A06CB6" w:rsidP="00A06CB6">
      <w:pPr>
        <w:jc w:val="both"/>
        <w:rPr>
          <w:lang w:val="ru-RU" w:eastAsia="zh-CN"/>
        </w:rPr>
      </w:pPr>
      <w:r w:rsidRPr="00494635">
        <w:rPr>
          <w:lang w:val="ru-RU" w:eastAsia="zh-CN"/>
        </w:rPr>
        <w:t>5.5.11</w:t>
      </w:r>
      <w:r w:rsidRPr="00494635">
        <w:rPr>
          <w:lang w:val="ru-RU"/>
        </w:rPr>
        <w:tab/>
      </w:r>
      <w:r w:rsidRPr="00494635">
        <w:rPr>
          <w:b/>
          <w:bCs/>
          <w:lang w:val="ru-RU" w:eastAsia="zh-CN"/>
        </w:rPr>
        <w:t>Г-жа Гасанова</w:t>
      </w:r>
      <w:r w:rsidRPr="00494635">
        <w:rPr>
          <w:lang w:val="ru-RU" w:eastAsia="zh-CN"/>
        </w:rPr>
        <w:t xml:space="preserve"> дает высокую оценку подробному представлению и описанным в нем усилиям, отмечая значение спутникового проекта для предоставления услуг электросвязи в Пакистане, развивающейся стране. Хотя контракт был подписан в январе 2022 года, пересмотренный план был задержан вследствие глобальных ограничений, обусловленных пандемией COVID-19; был также представлен текущий график спутникового проекта. Она выступает за предоставление запрашиваемого продления. </w:t>
      </w:r>
    </w:p>
    <w:p w14:paraId="76B54BD8" w14:textId="77777777" w:rsidR="00A06CB6" w:rsidRPr="00494635" w:rsidRDefault="00A06CB6" w:rsidP="00A06CB6">
      <w:pPr>
        <w:jc w:val="both"/>
        <w:rPr>
          <w:lang w:val="ru-RU" w:eastAsia="zh-CN"/>
        </w:rPr>
      </w:pPr>
      <w:r w:rsidRPr="00494635">
        <w:rPr>
          <w:lang w:val="ru-RU" w:eastAsia="zh-CN"/>
        </w:rPr>
        <w:t>5.5.12</w:t>
      </w:r>
      <w:r w:rsidRPr="00494635">
        <w:rPr>
          <w:lang w:val="ru-RU"/>
        </w:rPr>
        <w:tab/>
      </w:r>
      <w:r w:rsidRPr="00494635">
        <w:rPr>
          <w:b/>
          <w:bCs/>
          <w:lang w:val="ru-RU" w:eastAsia="zh-CN"/>
        </w:rPr>
        <w:t>Г-н Варламов</w:t>
      </w:r>
      <w:r w:rsidRPr="00494635">
        <w:rPr>
          <w:lang w:val="ru-RU" w:eastAsia="zh-CN"/>
        </w:rPr>
        <w:t xml:space="preserve"> соглашается с тем, что Комитету следует удовлетворить просьбу о продлении; 24 июля 2024 года будет подходящей датой, поскольку это даст спутнику достаточно времени для достижения его орбитальной позиции и соответствует аналогичным случаям, рассматривавшимся Комитетом. </w:t>
      </w:r>
    </w:p>
    <w:p w14:paraId="242B8300" w14:textId="77777777" w:rsidR="00A06CB6" w:rsidRPr="00494635" w:rsidRDefault="00A06CB6" w:rsidP="00A06CB6">
      <w:pPr>
        <w:jc w:val="both"/>
        <w:rPr>
          <w:lang w:val="ru-RU"/>
        </w:rPr>
      </w:pPr>
      <w:r w:rsidRPr="00494635">
        <w:rPr>
          <w:lang w:val="ru-RU"/>
        </w:rPr>
        <w:t>5.5.13</w:t>
      </w:r>
      <w:r w:rsidRPr="00494635">
        <w:rPr>
          <w:lang w:val="ru-RU"/>
        </w:rPr>
        <w:tab/>
      </w:r>
      <w:r w:rsidRPr="00494635">
        <w:rPr>
          <w:b/>
          <w:bCs/>
          <w:lang w:val="ru-RU" w:eastAsia="zh-CN"/>
        </w:rPr>
        <w:t>Председатель</w:t>
      </w:r>
      <w:r w:rsidRPr="00494635">
        <w:rPr>
          <w:lang w:val="ru-RU" w:eastAsia="zh-CN"/>
        </w:rPr>
        <w:t xml:space="preserve"> предлагает Комитету сделать по данному вопросу следующее заключение</w:t>
      </w:r>
      <w:r w:rsidRPr="00494635">
        <w:rPr>
          <w:lang w:val="ru-RU"/>
        </w:rPr>
        <w:t>:</w:t>
      </w:r>
    </w:p>
    <w:p w14:paraId="344D4F46" w14:textId="77777777" w:rsidR="00A06CB6" w:rsidRPr="00494635" w:rsidRDefault="00A06CB6" w:rsidP="00A06CB6">
      <w:pPr>
        <w:jc w:val="both"/>
        <w:rPr>
          <w:highlight w:val="lightGray"/>
          <w:lang w:val="ru-RU"/>
        </w:rPr>
      </w:pPr>
      <w:r w:rsidRPr="00494635">
        <w:rPr>
          <w:lang w:val="ru-RU"/>
        </w:rPr>
        <w:t>"Комитет подробно рассмотрел просьбу администрации Пакистана, содержащуюся в Документе RRB22-3/9, и отметил, что:</w:t>
      </w:r>
    </w:p>
    <w:p w14:paraId="14E6F3B8" w14:textId="77777777" w:rsidR="00A06CB6" w:rsidRPr="00494635" w:rsidRDefault="00A06CB6" w:rsidP="00A06CB6">
      <w:pPr>
        <w:pStyle w:val="enumlev1"/>
        <w:jc w:val="both"/>
        <w:rPr>
          <w:lang w:val="ru-RU"/>
        </w:rPr>
      </w:pPr>
      <w:r w:rsidRPr="00494635">
        <w:rPr>
          <w:lang w:val="ru-RU"/>
        </w:rPr>
        <w:t>•</w:t>
      </w:r>
      <w:r w:rsidRPr="00494635">
        <w:rPr>
          <w:lang w:val="ru-RU"/>
        </w:rPr>
        <w:tab/>
        <w:t>на своем 86-м собрании Комитет решил не удовлетворять на том этапе просьбу администрации и призвать ее приложить все усилия для соблюдения регламентарных предельных сроков и введения в действие частотных присвоений спутниковым сетям PAKSAT-MM1-38.2E-KA и PAKSAT-MM1-38.2E-FSS 26 января 2024 года и 17 декабря 2023 года соответственно;</w:t>
      </w:r>
    </w:p>
    <w:p w14:paraId="7B2091A9" w14:textId="77777777" w:rsidR="00A06CB6" w:rsidRPr="00494635" w:rsidRDefault="00A06CB6" w:rsidP="00A06CB6">
      <w:pPr>
        <w:pStyle w:val="enumlev1"/>
        <w:jc w:val="both"/>
        <w:rPr>
          <w:lang w:val="ru-RU"/>
        </w:rPr>
      </w:pPr>
      <w:r w:rsidRPr="00494635">
        <w:rPr>
          <w:lang w:val="ru-RU"/>
        </w:rPr>
        <w:t>•</w:t>
      </w:r>
      <w:r w:rsidRPr="00494635">
        <w:rPr>
          <w:lang w:val="ru-RU"/>
        </w:rPr>
        <w:tab/>
        <w:t>проект является реальным проектом на конечной стадии разработки;</w:t>
      </w:r>
    </w:p>
    <w:p w14:paraId="2B810CF6" w14:textId="77777777" w:rsidR="00A06CB6" w:rsidRPr="00494635" w:rsidRDefault="00A06CB6" w:rsidP="00A06CB6">
      <w:pPr>
        <w:pStyle w:val="enumlev1"/>
        <w:jc w:val="both"/>
        <w:rPr>
          <w:lang w:val="ru-RU"/>
        </w:rPr>
      </w:pPr>
      <w:r w:rsidRPr="00494635">
        <w:rPr>
          <w:lang w:val="ru-RU"/>
        </w:rPr>
        <w:t>•</w:t>
      </w:r>
      <w:r w:rsidRPr="00494635">
        <w:rPr>
          <w:lang w:val="ru-RU"/>
        </w:rPr>
        <w:tab/>
        <w:t>контракт с изготовителем спутника был подписан 21 января 2022 года, при этом контракт начал действовать 30 ноября 2020 года;</w:t>
      </w:r>
    </w:p>
    <w:p w14:paraId="10DB09EB" w14:textId="77777777" w:rsidR="00A06CB6" w:rsidRPr="00494635" w:rsidRDefault="00A06CB6" w:rsidP="00A06CB6">
      <w:pPr>
        <w:pStyle w:val="enumlev1"/>
        <w:jc w:val="both"/>
        <w:rPr>
          <w:lang w:val="ru-RU"/>
        </w:rPr>
      </w:pPr>
      <w:r w:rsidRPr="00494635">
        <w:rPr>
          <w:lang w:val="ru-RU"/>
        </w:rPr>
        <w:t>•</w:t>
      </w:r>
      <w:r w:rsidRPr="00494635">
        <w:rPr>
          <w:lang w:val="ru-RU"/>
        </w:rPr>
        <w:tab/>
        <w:t>влияние глобальной пандемии COVID-19 на сроки проекта привело к задержке на шесть месяцев, при этом новая дата запуска спутника – 15 июля 2024 года и новая дата ввода сети в действие – 31 июля 2024 года;</w:t>
      </w:r>
    </w:p>
    <w:p w14:paraId="3E1839F6" w14:textId="77777777" w:rsidR="00A06CB6" w:rsidRPr="00494635" w:rsidRDefault="00A06CB6" w:rsidP="00A06CB6">
      <w:pPr>
        <w:pStyle w:val="enumlev1"/>
        <w:jc w:val="both"/>
        <w:rPr>
          <w:lang w:val="ru-RU"/>
        </w:rPr>
      </w:pPr>
      <w:r w:rsidRPr="00494635">
        <w:rPr>
          <w:lang w:val="ru-RU"/>
        </w:rPr>
        <w:t>•</w:t>
      </w:r>
      <w:r w:rsidRPr="00494635">
        <w:rPr>
          <w:lang w:val="ru-RU"/>
        </w:rPr>
        <w:tab/>
        <w:t>поставщик услуг запуска и разработчик ракеты-носителя подтвердили запуск спутника до 15 июля 2024 года;</w:t>
      </w:r>
    </w:p>
    <w:p w14:paraId="4274780C" w14:textId="77777777" w:rsidR="00A06CB6" w:rsidRPr="00494635" w:rsidRDefault="00A06CB6" w:rsidP="00A06CB6">
      <w:pPr>
        <w:pStyle w:val="enumlev1"/>
        <w:jc w:val="both"/>
        <w:rPr>
          <w:lang w:val="ru-RU"/>
        </w:rPr>
      </w:pPr>
      <w:r w:rsidRPr="00494635">
        <w:rPr>
          <w:lang w:val="ru-RU"/>
        </w:rPr>
        <w:t>•</w:t>
      </w:r>
      <w:r w:rsidRPr="00494635">
        <w:rPr>
          <w:lang w:val="ru-RU"/>
        </w:rPr>
        <w:tab/>
        <w:t>проект имеет большое значение для администрации Пакистана и обеспечит жизненно важные услуги электросвязи для всей страны.</w:t>
      </w:r>
    </w:p>
    <w:p w14:paraId="092E2A7F" w14:textId="77777777" w:rsidR="00A06CB6" w:rsidRPr="00494635" w:rsidRDefault="00A06CB6" w:rsidP="00A06CB6">
      <w:pPr>
        <w:jc w:val="both"/>
        <w:rPr>
          <w:highlight w:val="lightGray"/>
          <w:lang w:val="ru-RU"/>
        </w:rPr>
      </w:pPr>
      <w:r w:rsidRPr="00494635">
        <w:rPr>
          <w:lang w:val="ru-RU"/>
        </w:rPr>
        <w:t xml:space="preserve">Комитет признал усилия, предпринятые этой администрацией для сокращения первоначального графика на два с половиной месяца, выделения дополнительных ресурсов и переноса даты запуска на 15 января 2024 года, после чего на пересмотренный план повлияли новые ограничения, связанные с </w:t>
      </w:r>
      <w:r w:rsidRPr="00494635">
        <w:rPr>
          <w:lang w:val="ru-RU"/>
        </w:rPr>
        <w:lastRenderedPageBreak/>
        <w:t>глобальной пандемией COVID-19. В соответствии со Статьей 44 Устава Комитет принял во внимание особые потребности развивающихся стран и географическое положение некоторых стран.</w:t>
      </w:r>
    </w:p>
    <w:p w14:paraId="4B20FE36" w14:textId="77777777" w:rsidR="00A06CB6" w:rsidRPr="00494635" w:rsidRDefault="00A06CB6" w:rsidP="00A06CB6">
      <w:pPr>
        <w:jc w:val="both"/>
        <w:rPr>
          <w:lang w:val="ru-RU"/>
        </w:rPr>
      </w:pPr>
      <w:r w:rsidRPr="00494635">
        <w:rPr>
          <w:lang w:val="ru-RU"/>
        </w:rPr>
        <w:t>На основании предоставленной информации и документации Комитет пришел к выводу, что данная ситуация удовлетворяет 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Пакистана о продлении регламентарного предельного срока ввода в действие частотных присвоений спутниковым сетям PAKSAT-MM1-38.2E-KA и PAKSAT-MM1-38.2E-FSS до 31 июля 2024 года."</w:t>
      </w:r>
    </w:p>
    <w:p w14:paraId="4BC540AC" w14:textId="77777777" w:rsidR="00A06CB6" w:rsidRPr="00494635" w:rsidRDefault="00A06CB6" w:rsidP="00A06CB6">
      <w:pPr>
        <w:jc w:val="both"/>
        <w:rPr>
          <w:lang w:val="ru-RU"/>
        </w:rPr>
      </w:pPr>
      <w:r w:rsidRPr="00494635">
        <w:rPr>
          <w:lang w:val="ru-RU"/>
        </w:rPr>
        <w:t>5.5.14</w:t>
      </w:r>
      <w:r w:rsidRPr="00494635">
        <w:rPr>
          <w:lang w:val="ru-RU"/>
        </w:rPr>
        <w:tab/>
        <w:t xml:space="preserve">Предложение </w:t>
      </w:r>
      <w:r w:rsidRPr="00494635">
        <w:rPr>
          <w:b/>
          <w:bCs/>
          <w:lang w:val="ru-RU"/>
        </w:rPr>
        <w:t>принимается</w:t>
      </w:r>
      <w:r w:rsidRPr="00494635">
        <w:rPr>
          <w:lang w:val="ru-RU"/>
        </w:rPr>
        <w:t>.</w:t>
      </w:r>
    </w:p>
    <w:p w14:paraId="694EE544" w14:textId="77777777" w:rsidR="00A06CB6" w:rsidRPr="00494635" w:rsidRDefault="00A06CB6" w:rsidP="00A06CB6">
      <w:pPr>
        <w:pStyle w:val="Heading2"/>
        <w:jc w:val="both"/>
        <w:rPr>
          <w:lang w:val="ru-RU"/>
        </w:rPr>
      </w:pPr>
      <w:r w:rsidRPr="00494635">
        <w:rPr>
          <w:lang w:val="ru-RU"/>
        </w:rPr>
        <w:t>5.6</w:t>
      </w:r>
      <w:r w:rsidRPr="00494635">
        <w:rPr>
          <w:lang w:val="ru-RU"/>
        </w:rPr>
        <w:tab/>
        <w:t xml:space="preserve">Представление администрации </w:t>
      </w:r>
      <w:r w:rsidRPr="00494635">
        <w:rPr>
          <w:spacing w:val="2"/>
          <w:lang w:val="ru-RU"/>
        </w:rPr>
        <w:t>Папуа-Новой Гвинеи</w:t>
      </w:r>
      <w:r w:rsidRPr="00494635">
        <w:rPr>
          <w:lang w:val="ru-RU"/>
        </w:rPr>
        <w:t xml:space="preserve"> с просьбой о продлении регламентарного предельного срока ввода в действие частотных присвоений спутниковой сети MICRONSAT (Документ RRB22-3/10)</w:t>
      </w:r>
    </w:p>
    <w:p w14:paraId="12BE594B" w14:textId="77777777" w:rsidR="00A06CB6" w:rsidRPr="00494635" w:rsidRDefault="00A06CB6" w:rsidP="00A06CB6">
      <w:pPr>
        <w:jc w:val="both"/>
        <w:rPr>
          <w:szCs w:val="22"/>
          <w:lang w:val="ru-RU"/>
        </w:rPr>
      </w:pPr>
      <w:r w:rsidRPr="00494635">
        <w:rPr>
          <w:lang w:val="ru-RU"/>
        </w:rPr>
        <w:t>5.6.1</w:t>
      </w:r>
      <w:r w:rsidRPr="00494635">
        <w:rPr>
          <w:lang w:val="ru-RU"/>
        </w:rPr>
        <w:tab/>
      </w:r>
      <w:r w:rsidRPr="00494635">
        <w:rPr>
          <w:b/>
          <w:lang w:val="ru-RU"/>
        </w:rPr>
        <w:t xml:space="preserve">Г-н Лоо (руководитель SSD/SPR) </w:t>
      </w:r>
      <w:r w:rsidRPr="00494635">
        <w:rPr>
          <w:bCs/>
          <w:lang w:val="ru-RU"/>
        </w:rPr>
        <w:t>представляет Документ</w:t>
      </w:r>
      <w:r w:rsidRPr="00494635">
        <w:rPr>
          <w:lang w:val="ru-RU"/>
        </w:rPr>
        <w:t> RRB22-3/8 и приложения к нему, в которых администрация Папуа-Новой Гвинеи запрашивает продление, с 23 ноября 2022 года до 10 марта 2024 года, регламентарного предельного ввода в действие частотных присвоений спутниковой сети MICRONSAT в диапазонах Q/V на основаниях форс-мажорных обстоятельств. По первоначальному графику производства первый спутник сети, BW3, должен был быть построен и испытан для запуска в четвертом квартале 2021 года, задолго до предельного срока, установленного в соответствии с Резолюцией </w:t>
      </w:r>
      <w:r w:rsidRPr="00494635">
        <w:rPr>
          <w:b/>
          <w:lang w:val="ru-RU"/>
        </w:rPr>
        <w:t>771 (ВКР</w:t>
      </w:r>
      <w:r w:rsidRPr="00494635">
        <w:rPr>
          <w:b/>
          <w:lang w:val="ru-RU"/>
        </w:rPr>
        <w:noBreakHyphen/>
        <w:t>19)</w:t>
      </w:r>
      <w:r w:rsidRPr="00494635">
        <w:rPr>
          <w:lang w:val="ru-RU"/>
        </w:rPr>
        <w:t xml:space="preserve"> для ввода в действие частотных присвоений в диапазонах Q/V. Запуск был задержан российским поставщиком услуг запуска "Главкосмос Пусковые Услуги" (Главкосмос) по внутренним техническим и оперативным причинам, и затем Министерство торговли Соединенных Штатов Америки приостановило действие экспортной лицензии ракеты "Союз" в ответ на ситуацию на Украине. Оператор MICRONSAT</w:t>
      </w:r>
      <w:r w:rsidRPr="00494635">
        <w:rPr>
          <w:szCs w:val="22"/>
          <w:lang w:val="ru-RU"/>
        </w:rPr>
        <w:t xml:space="preserve"> сразу же рассмотрел альтернативные варианты, и в конечном счете спутник BW3 был запущен SpaceX 10 сентября 2022 года, но не на предварительно планировавшуюся орбиту. Спутник поднимет собственную орбиту с помощью </w:t>
      </w:r>
      <w:r w:rsidRPr="00494635">
        <w:rPr>
          <w:color w:val="000000"/>
          <w:szCs w:val="22"/>
          <w:shd w:val="clear" w:color="auto" w:fill="FFFFFF"/>
          <w:lang w:val="ru-RU"/>
        </w:rPr>
        <w:t xml:space="preserve">электрической силовой установки, и этот процесс может занять до </w:t>
      </w:r>
      <w:r w:rsidRPr="00494635">
        <w:rPr>
          <w:szCs w:val="22"/>
          <w:lang w:val="ru-RU"/>
        </w:rPr>
        <w:t xml:space="preserve">18 месяцев, что является основанием просьбы о продлении на такой срок. </w:t>
      </w:r>
    </w:p>
    <w:p w14:paraId="2B7441D4" w14:textId="77777777" w:rsidR="00A06CB6" w:rsidRPr="00494635" w:rsidRDefault="00A06CB6" w:rsidP="00A06CB6">
      <w:pPr>
        <w:jc w:val="both"/>
        <w:rPr>
          <w:lang w:val="ru-RU"/>
        </w:rPr>
      </w:pPr>
      <w:r w:rsidRPr="00494635">
        <w:rPr>
          <w:szCs w:val="22"/>
          <w:lang w:val="ru-RU"/>
        </w:rPr>
        <w:t>5.6.2</w:t>
      </w:r>
      <w:r w:rsidRPr="00494635">
        <w:rPr>
          <w:szCs w:val="22"/>
          <w:lang w:val="ru-RU"/>
        </w:rPr>
        <w:tab/>
        <w:t xml:space="preserve">В ответ на замечания и вопросы от </w:t>
      </w:r>
      <w:r w:rsidRPr="00494635">
        <w:rPr>
          <w:b/>
          <w:szCs w:val="22"/>
          <w:lang w:val="ru-RU"/>
        </w:rPr>
        <w:t>г-жи</w:t>
      </w:r>
      <w:r w:rsidRPr="00494635">
        <w:rPr>
          <w:b/>
          <w:lang w:val="ru-RU"/>
        </w:rPr>
        <w:t xml:space="preserve"> Гасановой, г-жи Жеанти </w:t>
      </w:r>
      <w:r w:rsidRPr="00494635">
        <w:rPr>
          <w:bCs/>
          <w:lang w:val="ru-RU"/>
        </w:rPr>
        <w:t xml:space="preserve">и </w:t>
      </w:r>
      <w:r w:rsidRPr="00494635">
        <w:rPr>
          <w:b/>
          <w:lang w:val="ru-RU"/>
        </w:rPr>
        <w:t xml:space="preserve">г-на Хоана </w:t>
      </w:r>
      <w:r w:rsidRPr="00494635">
        <w:rPr>
          <w:bCs/>
          <w:lang w:val="ru-RU"/>
        </w:rPr>
        <w:t>выступающий подтверждает, что, в соответствии с п. </w:t>
      </w:r>
      <w:r w:rsidRPr="00494635">
        <w:rPr>
          <w:b/>
          <w:lang w:val="ru-RU"/>
        </w:rPr>
        <w:t>11.44С</w:t>
      </w:r>
      <w:r w:rsidRPr="00494635">
        <w:rPr>
          <w:bCs/>
          <w:lang w:val="ru-RU"/>
        </w:rPr>
        <w:t>, для ввода в действие всей группировки требуется только одна космическая станция, способная вести передачу или прием в соответствующей(их) полосе(ах) частот</w:t>
      </w:r>
      <w:r w:rsidRPr="00494635">
        <w:rPr>
          <w:lang w:val="ru-RU"/>
        </w:rPr>
        <w:t>. Просьба о продлении касается только полос частот, подпадающих под действие Резолюции </w:t>
      </w:r>
      <w:r w:rsidRPr="00494635">
        <w:rPr>
          <w:b/>
          <w:bCs/>
          <w:lang w:val="ru-RU"/>
        </w:rPr>
        <w:t>771 (ВКР-19)</w:t>
      </w:r>
      <w:r w:rsidRPr="00494635">
        <w:rPr>
          <w:lang w:val="ru-RU"/>
        </w:rPr>
        <w:t xml:space="preserve">, перечисленных в Приложении 5 к Документу RRB22-3/10. У Бюро нет дополнительной информации о внутренних технических и оперативных проблемах, испытываемых компанией поставщика услуг запуска. </w:t>
      </w:r>
    </w:p>
    <w:p w14:paraId="260E229B" w14:textId="77777777" w:rsidR="00A06CB6" w:rsidRPr="00494635" w:rsidRDefault="00A06CB6" w:rsidP="00A06CB6">
      <w:pPr>
        <w:jc w:val="both"/>
        <w:rPr>
          <w:lang w:val="ru-RU"/>
        </w:rPr>
      </w:pPr>
      <w:r w:rsidRPr="00494635">
        <w:rPr>
          <w:lang w:val="ru-RU"/>
        </w:rPr>
        <w:t>5.6.3</w:t>
      </w:r>
      <w:r w:rsidRPr="00494635">
        <w:rPr>
          <w:lang w:val="ru-RU"/>
        </w:rPr>
        <w:tab/>
      </w:r>
      <w:r w:rsidRPr="00494635">
        <w:rPr>
          <w:b/>
          <w:lang w:val="ru-RU"/>
        </w:rPr>
        <w:t>Г-н Хоан</w:t>
      </w:r>
      <w:r w:rsidRPr="00494635">
        <w:rPr>
          <w:lang w:val="ru-RU"/>
        </w:rPr>
        <w:t xml:space="preserve"> говорит, что, хотя приостановка первоначального запуска может считаться случаем форс-мажорных обстоятельств, Комитету следует сначала получить информацию о том, почему было невозможно запустить спутник BW3 на ракете "Союз" в четвертом квартале 2021 года, до приостановки действия экспортной лицензии. </w:t>
      </w:r>
    </w:p>
    <w:p w14:paraId="07525DD1" w14:textId="77777777" w:rsidR="00A06CB6" w:rsidRPr="00494635" w:rsidRDefault="00A06CB6" w:rsidP="00A06CB6">
      <w:pPr>
        <w:jc w:val="both"/>
        <w:rPr>
          <w:lang w:val="ru-RU"/>
        </w:rPr>
      </w:pPr>
      <w:r w:rsidRPr="00494635">
        <w:rPr>
          <w:lang w:val="ru-RU"/>
        </w:rPr>
        <w:t>5.6.4</w:t>
      </w:r>
      <w:r w:rsidRPr="00494635">
        <w:rPr>
          <w:lang w:val="ru-RU"/>
        </w:rPr>
        <w:tab/>
        <w:t xml:space="preserve">В ответ на вопрос </w:t>
      </w:r>
      <w:r w:rsidRPr="00494635">
        <w:rPr>
          <w:b/>
          <w:lang w:val="ru-RU"/>
        </w:rPr>
        <w:t>г-на Талиб</w:t>
      </w:r>
      <w:r w:rsidRPr="00494635">
        <w:rPr>
          <w:b/>
          <w:bCs/>
          <w:lang w:val="ru-RU"/>
        </w:rPr>
        <w:t>a</w:t>
      </w:r>
      <w:r w:rsidRPr="00494635">
        <w:rPr>
          <w:lang w:val="ru-RU"/>
        </w:rPr>
        <w:t xml:space="preserve"> о продолжительности продления </w:t>
      </w:r>
      <w:r w:rsidRPr="00494635">
        <w:rPr>
          <w:b/>
          <w:lang w:val="ru-RU"/>
        </w:rPr>
        <w:t xml:space="preserve">г-н Лоо (руководитель SSD/SPR) </w:t>
      </w:r>
      <w:r w:rsidRPr="00494635">
        <w:rPr>
          <w:bCs/>
          <w:lang w:val="ru-RU"/>
        </w:rPr>
        <w:t>говорит, что период в 18 месяцев, необходимый для подъема орбиты, рассчитывался с даты запуска</w:t>
      </w:r>
      <w:r w:rsidRPr="00494635">
        <w:rPr>
          <w:lang w:val="ru-RU"/>
        </w:rPr>
        <w:t xml:space="preserve"> SpaceX, т. е. 10 сентября 2022 года.</w:t>
      </w:r>
    </w:p>
    <w:p w14:paraId="7DE5D5AB" w14:textId="77777777" w:rsidR="00A06CB6" w:rsidRPr="00494635" w:rsidRDefault="00A06CB6" w:rsidP="00A06CB6">
      <w:pPr>
        <w:jc w:val="both"/>
        <w:rPr>
          <w:lang w:val="ru-RU"/>
        </w:rPr>
      </w:pPr>
      <w:r w:rsidRPr="00494635">
        <w:rPr>
          <w:lang w:val="ru-RU"/>
        </w:rPr>
        <w:t>5.6.5</w:t>
      </w:r>
      <w:r w:rsidRPr="00494635">
        <w:rPr>
          <w:lang w:val="ru-RU"/>
        </w:rPr>
        <w:tab/>
      </w:r>
      <w:r w:rsidRPr="00494635">
        <w:rPr>
          <w:b/>
          <w:bCs/>
          <w:lang w:val="ru-RU"/>
        </w:rPr>
        <w:t>Г-жа Бомье</w:t>
      </w:r>
      <w:r w:rsidRPr="00494635">
        <w:rPr>
          <w:lang w:val="ru-RU"/>
        </w:rPr>
        <w:t xml:space="preserve"> дает высокую оценку действиям оператора по поиску альтернативного поставщика услуг запуска и организации запуска в сентябре 2022 года. При этом неясно, на основании представленных документов, каким было бы новое окно запуска после задержки запуска "Главкосмосом" или сколько времени первоначально отводилось для подъема орбиты. Упоминание о "внутренних технических и оперативных проблемах", как представляется, не свидетельствует о форс-мажорных обстоятельствах, и в представлении не рассматриваются какие-либо из четырех условий форс-мажорных обстоятельств</w:t>
      </w:r>
      <w:r w:rsidRPr="00494635">
        <w:rPr>
          <w:i/>
          <w:iCs/>
          <w:lang w:val="ru-RU"/>
        </w:rPr>
        <w:t xml:space="preserve">. </w:t>
      </w:r>
      <w:r w:rsidRPr="00494635">
        <w:rPr>
          <w:lang w:val="ru-RU"/>
        </w:rPr>
        <w:t xml:space="preserve">Кроме того, не была представлена информация, которая дала бы Комитету возможность сопоставить графики запуска ракеты "Союз" по сравнению с SpaceX, и поэтому нет способа оценки того, было ли бы возможно соблюсти первоначальный предельный срок ввода в </w:t>
      </w:r>
      <w:r w:rsidRPr="00494635">
        <w:rPr>
          <w:lang w:val="ru-RU"/>
        </w:rPr>
        <w:lastRenderedPageBreak/>
        <w:t xml:space="preserve">действие. Кроме того, выступающая не в состоянии оценить правильность технической информации, представленной в Приложении 4, для объяснения того, почему для подъема орбиты требуется до 18 месяцев. Наконец, неясно, каким образом приостановка действия экспортной лицензии Соединенных Штатов Америки (согласно Приложению 3 представления) или разрешение запуска (согласно самому представлению) сказывается на заявке на регистрацию администрации Папуа-Новой Гвинеи. В заключение она считает, что Комитет не располагает достаточной информацией для определения того, были ли соблюдены все четыре условия форс-мажорных обстоятельств. </w:t>
      </w:r>
    </w:p>
    <w:p w14:paraId="7542EA8B" w14:textId="77777777" w:rsidR="00A06CB6" w:rsidRPr="00494635" w:rsidRDefault="00A06CB6" w:rsidP="00A06CB6">
      <w:pPr>
        <w:jc w:val="both"/>
        <w:rPr>
          <w:lang w:val="ru-RU"/>
        </w:rPr>
      </w:pPr>
      <w:r w:rsidRPr="00494635">
        <w:rPr>
          <w:lang w:val="ru-RU"/>
        </w:rPr>
        <w:t>5.6.6</w:t>
      </w:r>
      <w:r w:rsidRPr="00494635">
        <w:rPr>
          <w:lang w:val="ru-RU"/>
        </w:rPr>
        <w:tab/>
      </w:r>
      <w:r w:rsidRPr="00494635">
        <w:rPr>
          <w:b/>
          <w:bCs/>
          <w:lang w:val="ru-RU"/>
        </w:rPr>
        <w:t>Г-н Хасимото</w:t>
      </w:r>
      <w:r w:rsidRPr="00494635">
        <w:rPr>
          <w:lang w:val="ru-RU"/>
        </w:rPr>
        <w:t xml:space="preserve"> соглашается с предыдущими выступающими в том, что не было представлено объяснения задержки первоначального запуска. Кроме того, хотя причины того, почему требуется 18 месяцев для подъема орбиты, представлены в Приложении 4, источник не был указан и непонятно, кто составил приложение. Эти пункты следует разъяснить, прежде чем Комитет сможет предоставить продление.</w:t>
      </w:r>
    </w:p>
    <w:p w14:paraId="232CC637" w14:textId="77777777" w:rsidR="00A06CB6" w:rsidRPr="00494635" w:rsidRDefault="00A06CB6" w:rsidP="00A06CB6">
      <w:pPr>
        <w:jc w:val="both"/>
        <w:rPr>
          <w:lang w:val="ru-RU"/>
        </w:rPr>
      </w:pPr>
      <w:r w:rsidRPr="00494635">
        <w:rPr>
          <w:lang w:val="ru-RU"/>
        </w:rPr>
        <w:t>5.6.7</w:t>
      </w:r>
      <w:r w:rsidRPr="00494635">
        <w:rPr>
          <w:lang w:val="ru-RU"/>
        </w:rPr>
        <w:tab/>
      </w:r>
      <w:r w:rsidRPr="00494635">
        <w:rPr>
          <w:b/>
          <w:bCs/>
          <w:lang w:val="ru-RU"/>
        </w:rPr>
        <w:t>Г-н Анри</w:t>
      </w:r>
      <w:r w:rsidRPr="00494635">
        <w:rPr>
          <w:lang w:val="ru-RU"/>
        </w:rPr>
        <w:t xml:space="preserve"> говорит, что, хотя администрация Папуа-Новой Гвинеи запросила продление на 18 месяцев, ее просьба в действительности должна была быть на 15 месяцев: время между предельным сроком, установленным согласно Резолюции </w:t>
      </w:r>
      <w:r w:rsidRPr="00494635">
        <w:rPr>
          <w:b/>
          <w:bCs/>
          <w:lang w:val="ru-RU"/>
        </w:rPr>
        <w:t>771 (ВКР</w:t>
      </w:r>
      <w:r w:rsidRPr="00494635">
        <w:rPr>
          <w:b/>
          <w:bCs/>
          <w:lang w:val="ru-RU"/>
        </w:rPr>
        <w:noBreakHyphen/>
        <w:t>19)</w:t>
      </w:r>
      <w:r w:rsidRPr="00494635">
        <w:rPr>
          <w:lang w:val="ru-RU"/>
        </w:rPr>
        <w:t xml:space="preserve"> (23 ноября 2022 г.) для ввода в действие частотных присвоений в диапазонах Q/V, и датой, на которую спутник достигнет своего орбитального местоположения. Он разделяет опасения предыдущих ораторов о том, что некоторая информация либо отсутствует, либо является неполной. Что касается срока подъема орбиты, выступающий понимает, что ракета Союз доставила бы спутник на более значительную высоту с более северной площадки, чем ракета-носитель и площадка SpaceX, что могло бы объяснить более длительный срок подъема орбиты; он хотел бы получить подтверждение этого. Выступающий полностью соглашается с г</w:t>
      </w:r>
      <w:r w:rsidRPr="00494635">
        <w:rPr>
          <w:lang w:val="ru-RU"/>
        </w:rPr>
        <w:noBreakHyphen/>
        <w:t>ном Хасимото в том, что требуется указание на источник объяснения, приведенного в Приложении 4. Можно считать, что данный случай содержит некоторые элементы, которые позволяют квалифицировать его как форс-мажорную ситуацию, но представленной информации недостаточно на данном этапе, чтобы позволить Комитету заключить, что спутник оказался бы на месте вовремя, если бы не конфликт между Россией и Украиной. Он понимает, что Комитет сочувствует администрации Папуа-Новой Гвинеи в связи с ситуацией, в которой она оказалась, но считает, что ему необходима дополнительная информация для принятия окончательного решения.</w:t>
      </w:r>
    </w:p>
    <w:p w14:paraId="07BCFF3B" w14:textId="77777777" w:rsidR="00A06CB6" w:rsidRPr="00494635" w:rsidRDefault="00A06CB6" w:rsidP="00A06CB6">
      <w:pPr>
        <w:jc w:val="both"/>
        <w:rPr>
          <w:lang w:val="ru-RU"/>
        </w:rPr>
      </w:pPr>
      <w:bookmarkStart w:id="12" w:name="_Hlk120000982"/>
      <w:r w:rsidRPr="00494635">
        <w:rPr>
          <w:lang w:val="ru-RU"/>
        </w:rPr>
        <w:t>5.6.8</w:t>
      </w:r>
      <w:r w:rsidRPr="00494635">
        <w:rPr>
          <w:lang w:val="ru-RU"/>
        </w:rPr>
        <w:tab/>
        <w:t xml:space="preserve">В ответ на вопрос </w:t>
      </w:r>
      <w:r w:rsidRPr="00494635">
        <w:rPr>
          <w:b/>
          <w:bCs/>
          <w:lang w:val="ru-RU"/>
        </w:rPr>
        <w:t>г-на Варламова</w:t>
      </w:r>
      <w:r w:rsidRPr="00494635">
        <w:rPr>
          <w:lang w:val="ru-RU"/>
        </w:rPr>
        <w:t xml:space="preserve"> о полосах частот, перечисленных в заявке на регистрацию сети, </w:t>
      </w:r>
      <w:r w:rsidRPr="00494635">
        <w:rPr>
          <w:b/>
          <w:bCs/>
          <w:lang w:val="ru-RU"/>
        </w:rPr>
        <w:t xml:space="preserve">г-н Лоо (руководитель SSD/SPR) </w:t>
      </w:r>
      <w:r w:rsidRPr="00494635">
        <w:rPr>
          <w:lang w:val="ru-RU"/>
        </w:rPr>
        <w:t>говорит, что в заявке на регистрацию MICRONSAT, которая была опубликована в 2018 году, перечисляется много полос частот. Поскольку заявление было получено только в отношении космической эксплуатации в диапазоне S и других служб в диапазонах Q/V, в настоящее время Бюро не располагает информацией о планируемой дате ввода в действие других полос. При этом только диапазоны Q/V подпадают под действие Резолюции </w:t>
      </w:r>
      <w:r w:rsidRPr="00494635">
        <w:rPr>
          <w:b/>
          <w:bCs/>
          <w:lang w:val="ru-RU"/>
        </w:rPr>
        <w:t>771 (ВКР</w:t>
      </w:r>
      <w:r w:rsidRPr="00494635">
        <w:rPr>
          <w:b/>
          <w:bCs/>
          <w:lang w:val="ru-RU"/>
        </w:rPr>
        <w:noBreakHyphen/>
        <w:t xml:space="preserve">19) </w:t>
      </w:r>
      <w:r w:rsidRPr="00494635">
        <w:rPr>
          <w:lang w:val="ru-RU"/>
        </w:rPr>
        <w:t>и должны были быть введены в действие к 3 ноября 2022 года. Согласно п. </w:t>
      </w:r>
      <w:r w:rsidRPr="00494635">
        <w:rPr>
          <w:b/>
          <w:bCs/>
          <w:lang w:val="ru-RU"/>
        </w:rPr>
        <w:t xml:space="preserve">11.44 </w:t>
      </w:r>
      <w:r w:rsidRPr="00494635">
        <w:rPr>
          <w:lang w:val="ru-RU"/>
        </w:rPr>
        <w:t>РР, регламентарный предельный срок ввода в действие других полос составляет семь лет (т. е. в 2025 г.), независимо от того, были ли они заявлены в соответствии с п. </w:t>
      </w:r>
      <w:r w:rsidRPr="00494635">
        <w:rPr>
          <w:b/>
          <w:bCs/>
          <w:lang w:val="ru-RU"/>
        </w:rPr>
        <w:t>4.4</w:t>
      </w:r>
      <w:r w:rsidRPr="00494635">
        <w:rPr>
          <w:lang w:val="ru-RU"/>
        </w:rPr>
        <w:t>.</w:t>
      </w:r>
    </w:p>
    <w:bookmarkEnd w:id="12"/>
    <w:p w14:paraId="78982657" w14:textId="77777777" w:rsidR="00A06CB6" w:rsidRPr="00494635" w:rsidRDefault="00A06CB6" w:rsidP="00A06CB6">
      <w:pPr>
        <w:jc w:val="both"/>
        <w:rPr>
          <w:lang w:val="ru-RU"/>
        </w:rPr>
      </w:pPr>
      <w:r w:rsidRPr="00494635">
        <w:rPr>
          <w:lang w:val="ru-RU"/>
        </w:rPr>
        <w:t>5.6.9</w:t>
      </w:r>
      <w:r w:rsidRPr="00494635">
        <w:rPr>
          <w:lang w:val="ru-RU"/>
        </w:rPr>
        <w:tab/>
      </w:r>
      <w:r w:rsidRPr="00494635">
        <w:rPr>
          <w:b/>
          <w:lang w:val="ru-RU"/>
        </w:rPr>
        <w:t>Г-н Аззуз</w:t>
      </w:r>
      <w:r w:rsidRPr="00494635">
        <w:rPr>
          <w:lang w:val="ru-RU"/>
        </w:rPr>
        <w:t xml:space="preserve"> соглашается с предыдущими выступающими в том, что следует предложить администрации Папуа-Новой Гвинеи представить дополнительную информацию по всем затронутым аспектам, с тем чтобы дать Комитету возможность принять решение на его 92</w:t>
      </w:r>
      <w:r w:rsidRPr="00494635">
        <w:rPr>
          <w:lang w:val="ru-RU"/>
        </w:rPr>
        <w:noBreakHyphen/>
        <w:t xml:space="preserve">м собрании. Кроме того, он считает, что в расчетах, указанных в Приложении 4, содержится ошибка, что повышает значение знания источника. </w:t>
      </w:r>
    </w:p>
    <w:p w14:paraId="0003C262" w14:textId="77777777" w:rsidR="00A06CB6" w:rsidRPr="00494635" w:rsidRDefault="00A06CB6" w:rsidP="00A06CB6">
      <w:pPr>
        <w:jc w:val="both"/>
        <w:rPr>
          <w:lang w:val="ru-RU"/>
        </w:rPr>
      </w:pPr>
      <w:r w:rsidRPr="00494635">
        <w:rPr>
          <w:lang w:val="ru-RU"/>
        </w:rPr>
        <w:t>5.6.10</w:t>
      </w:r>
      <w:r w:rsidRPr="00494635">
        <w:rPr>
          <w:lang w:val="ru-RU"/>
        </w:rPr>
        <w:tab/>
      </w:r>
      <w:r w:rsidRPr="00494635">
        <w:rPr>
          <w:b/>
          <w:bCs/>
          <w:lang w:val="ru-RU"/>
        </w:rPr>
        <w:t>Председатель</w:t>
      </w:r>
      <w:r w:rsidRPr="00494635">
        <w:rPr>
          <w:lang w:val="ru-RU"/>
        </w:rPr>
        <w:t xml:space="preserve"> предлагает Комитету сделать по данному вопросу следующее заключение:</w:t>
      </w:r>
    </w:p>
    <w:p w14:paraId="2B44D6EF" w14:textId="77777777" w:rsidR="00A06CB6" w:rsidRPr="00494635" w:rsidRDefault="00A06CB6" w:rsidP="00A06CB6">
      <w:pPr>
        <w:jc w:val="both"/>
        <w:rPr>
          <w:highlight w:val="lightGray"/>
          <w:lang w:val="ru-RU"/>
        </w:rPr>
      </w:pPr>
      <w:r w:rsidRPr="00494635">
        <w:rPr>
          <w:lang w:val="ru-RU"/>
        </w:rPr>
        <w:t>"Рассмотрев Документ RRB22-3/10, содержащий представление администрации Папуа-Новой Гвинеи, Комитет отметил, что:</w:t>
      </w:r>
    </w:p>
    <w:p w14:paraId="0AF6648C" w14:textId="77777777" w:rsidR="00A06CB6" w:rsidRPr="00494635" w:rsidRDefault="00A06CB6" w:rsidP="00A06CB6">
      <w:pPr>
        <w:pStyle w:val="enumlev1"/>
        <w:jc w:val="both"/>
        <w:rPr>
          <w:lang w:val="ru-RU"/>
        </w:rPr>
      </w:pPr>
      <w:r w:rsidRPr="00494635">
        <w:rPr>
          <w:lang w:val="ru-RU"/>
        </w:rPr>
        <w:t>•</w:t>
      </w:r>
      <w:r w:rsidRPr="00494635">
        <w:rPr>
          <w:lang w:val="ru-RU"/>
        </w:rPr>
        <w:tab/>
        <w:t xml:space="preserve">частотные присвоения спутниковой сети MICRONSAT были заявлены в Бюро до 23 ноября 2019 года и в соответствии с Резолюцией </w:t>
      </w:r>
      <w:r w:rsidRPr="00494635">
        <w:rPr>
          <w:b/>
          <w:bCs/>
          <w:lang w:val="ru-RU"/>
        </w:rPr>
        <w:t>771 (ВКР-19)</w:t>
      </w:r>
      <w:r w:rsidRPr="00494635">
        <w:rPr>
          <w:lang w:val="ru-RU"/>
        </w:rPr>
        <w:t xml:space="preserve"> должны быть введены в действие до 23 ноября 2022 года;</w:t>
      </w:r>
    </w:p>
    <w:p w14:paraId="297C085E" w14:textId="77777777" w:rsidR="00A06CB6" w:rsidRPr="00494635" w:rsidRDefault="00A06CB6" w:rsidP="00A06CB6">
      <w:pPr>
        <w:pStyle w:val="enumlev1"/>
        <w:jc w:val="both"/>
        <w:rPr>
          <w:lang w:val="ru-RU"/>
        </w:rPr>
      </w:pPr>
      <w:r w:rsidRPr="00494635">
        <w:rPr>
          <w:lang w:val="ru-RU"/>
        </w:rPr>
        <w:lastRenderedPageBreak/>
        <w:t>•</w:t>
      </w:r>
      <w:r w:rsidRPr="00494635">
        <w:rPr>
          <w:lang w:val="ru-RU"/>
        </w:rPr>
        <w:tab/>
        <w:t>контракт на запуск спутника BW3 с помощью ракеты-носителя "Союз" был заключен с российским поставщиком услуг запуска компанией АО "Главкосмос Пусковые Услуги" (Главкосмос), а запуск был запланирован на четвертый квартал 2021 года;</w:t>
      </w:r>
    </w:p>
    <w:p w14:paraId="1659D482" w14:textId="77777777" w:rsidR="00A06CB6" w:rsidRPr="00494635" w:rsidRDefault="00A06CB6" w:rsidP="00A06CB6">
      <w:pPr>
        <w:pStyle w:val="enumlev1"/>
        <w:jc w:val="both"/>
        <w:rPr>
          <w:lang w:val="ru-RU"/>
        </w:rPr>
      </w:pPr>
      <w:r w:rsidRPr="00494635">
        <w:rPr>
          <w:lang w:val="ru-RU"/>
        </w:rPr>
        <w:t>•</w:t>
      </w:r>
      <w:r w:rsidRPr="00494635">
        <w:rPr>
          <w:lang w:val="ru-RU"/>
        </w:rPr>
        <w:tab/>
        <w:t>действие экспортной лицензии компании AST &amp; Science, LLC, у которой был контракт с Главкосмосом, было приостановлено;</w:t>
      </w:r>
    </w:p>
    <w:p w14:paraId="0F3A2C99" w14:textId="77777777" w:rsidR="00A06CB6" w:rsidRPr="00494635" w:rsidRDefault="00A06CB6" w:rsidP="00A06CB6">
      <w:pPr>
        <w:pStyle w:val="enumlev1"/>
        <w:jc w:val="both"/>
        <w:rPr>
          <w:lang w:val="ru-RU"/>
        </w:rPr>
      </w:pPr>
      <w:r w:rsidRPr="00494635">
        <w:rPr>
          <w:lang w:val="ru-RU"/>
        </w:rPr>
        <w:t>•</w:t>
      </w:r>
      <w:r w:rsidRPr="00494635">
        <w:rPr>
          <w:lang w:val="ru-RU"/>
        </w:rPr>
        <w:tab/>
        <w:t>поставщик услуг запуска задержал запуск по внутренним причинам технического и эксплуатационного характера;</w:t>
      </w:r>
    </w:p>
    <w:p w14:paraId="45CDAF9A" w14:textId="77777777" w:rsidR="00A06CB6" w:rsidRPr="00494635" w:rsidRDefault="00A06CB6" w:rsidP="00A06CB6">
      <w:pPr>
        <w:pStyle w:val="enumlev1"/>
        <w:jc w:val="both"/>
        <w:rPr>
          <w:lang w:val="ru-RU"/>
        </w:rPr>
      </w:pPr>
      <w:r w:rsidRPr="00494635">
        <w:rPr>
          <w:lang w:val="ru-RU"/>
        </w:rPr>
        <w:t>•</w:t>
      </w:r>
      <w:r w:rsidRPr="00494635">
        <w:rPr>
          <w:lang w:val="ru-RU"/>
        </w:rPr>
        <w:tab/>
        <w:t>предоставленная информация является недостаточной для определения того, удовлетворяет ли данная ситуация всем условиям, для того чтобы считаться случаем форс-мажорных обстоятельств;</w:t>
      </w:r>
    </w:p>
    <w:p w14:paraId="7ED68A1C" w14:textId="77777777" w:rsidR="00A06CB6" w:rsidRPr="00494635" w:rsidRDefault="00A06CB6" w:rsidP="00A06CB6">
      <w:pPr>
        <w:pStyle w:val="enumlev1"/>
        <w:jc w:val="both"/>
        <w:rPr>
          <w:lang w:val="ru-RU"/>
        </w:rPr>
      </w:pPr>
      <w:r w:rsidRPr="00494635">
        <w:rPr>
          <w:lang w:val="ru-RU"/>
        </w:rPr>
        <w:t>•</w:t>
      </w:r>
      <w:r w:rsidRPr="00494635">
        <w:rPr>
          <w:lang w:val="ru-RU"/>
        </w:rPr>
        <w:tab/>
        <w:t>предоставленная информация является недостаточной для обоснования продолжительности запрошенного продления на 18 месяцев;</w:t>
      </w:r>
    </w:p>
    <w:p w14:paraId="077D508E" w14:textId="77777777" w:rsidR="00A06CB6" w:rsidRPr="00494635" w:rsidRDefault="00A06CB6" w:rsidP="00A06CB6">
      <w:pPr>
        <w:pStyle w:val="enumlev1"/>
        <w:jc w:val="both"/>
        <w:rPr>
          <w:lang w:val="ru-RU"/>
        </w:rPr>
      </w:pPr>
      <w:r w:rsidRPr="00494635">
        <w:rPr>
          <w:lang w:val="ru-RU"/>
        </w:rPr>
        <w:t>•</w:t>
      </w:r>
      <w:r w:rsidRPr="00494635">
        <w:rPr>
          <w:lang w:val="ru-RU"/>
        </w:rPr>
        <w:tab/>
        <w:t>запуск спутника был осуществлен 10 сентября 2022 года.</w:t>
      </w:r>
    </w:p>
    <w:p w14:paraId="6D881F24" w14:textId="77777777" w:rsidR="00A06CB6" w:rsidRPr="00494635" w:rsidRDefault="00A06CB6" w:rsidP="00A06CB6">
      <w:pPr>
        <w:jc w:val="both"/>
        <w:rPr>
          <w:highlight w:val="lightGray"/>
          <w:lang w:val="ru-RU"/>
        </w:rPr>
      </w:pPr>
      <w:r w:rsidRPr="00494635">
        <w:rPr>
          <w:lang w:val="ru-RU"/>
        </w:rPr>
        <w:t>На основании предоставленной информации Комитет пришел к выводу, что он не может удовлетворить просьбу администрации Папуа-Новой Гвинеи. Требуется более подробная информация, чтобы определить, относится ли данная ситуация к случаю форс-мажорных обстоятельств, и обосновать запрошенную продолжительность продления регламентарного предельного срока. В связи с этим Комитет поручил Бюро предложить администрации Папуа-Новой Гвинеи представить 92-му собранию Комитета информацию по следующим вопросам в поддержку ее просьбы:</w:t>
      </w:r>
    </w:p>
    <w:p w14:paraId="1A1F93D4" w14:textId="77777777" w:rsidR="00A06CB6" w:rsidRPr="00494635" w:rsidRDefault="00A06CB6" w:rsidP="00A06CB6">
      <w:pPr>
        <w:pStyle w:val="enumlev1"/>
        <w:jc w:val="both"/>
        <w:rPr>
          <w:lang w:val="ru-RU"/>
        </w:rPr>
      </w:pPr>
      <w:r w:rsidRPr="00494635">
        <w:rPr>
          <w:lang w:val="ru-RU"/>
        </w:rPr>
        <w:t>•</w:t>
      </w:r>
      <w:r w:rsidRPr="00494635">
        <w:rPr>
          <w:lang w:val="ru-RU"/>
        </w:rPr>
        <w:tab/>
        <w:t>подробные доказательства того, что были соблюдены все условия для отнесения ситуации к случаю форс-мажорных обстоятельств;</w:t>
      </w:r>
    </w:p>
    <w:p w14:paraId="4876E749" w14:textId="77777777" w:rsidR="00A06CB6" w:rsidRPr="00494635" w:rsidRDefault="00A06CB6" w:rsidP="00A06CB6">
      <w:pPr>
        <w:pStyle w:val="enumlev1"/>
        <w:jc w:val="both"/>
        <w:rPr>
          <w:lang w:val="ru-RU"/>
        </w:rPr>
      </w:pPr>
      <w:r w:rsidRPr="00494635">
        <w:rPr>
          <w:lang w:val="ru-RU"/>
        </w:rPr>
        <w:t>•</w:t>
      </w:r>
      <w:r w:rsidRPr="00494635">
        <w:rPr>
          <w:lang w:val="ru-RU"/>
        </w:rPr>
        <w:tab/>
        <w:t>документацию для обоснования запрашиваемой продолжительности продления регламентарного предельного срока;</w:t>
      </w:r>
    </w:p>
    <w:p w14:paraId="1493A900"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информацию о любом новом окне запуска, предложенном Главкосмосом в связи с задержкой запуска после четвертого квартала 2021 года;</w:t>
      </w:r>
    </w:p>
    <w:p w14:paraId="7FC7116E"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информацию о времени, необходимом для выполнения маневра по подъему орбиты, при первоначальном запуске Главкосмосом;</w:t>
      </w:r>
    </w:p>
    <w:p w14:paraId="12F49E27" w14:textId="77777777" w:rsidR="00A06CB6" w:rsidRPr="00494635" w:rsidRDefault="00A06CB6" w:rsidP="00A06CB6">
      <w:pPr>
        <w:pStyle w:val="enumlev1"/>
        <w:jc w:val="both"/>
        <w:rPr>
          <w:lang w:val="ru-RU"/>
        </w:rPr>
      </w:pPr>
      <w:r w:rsidRPr="00494635">
        <w:rPr>
          <w:lang w:val="ru-RU"/>
        </w:rPr>
        <w:t>•</w:t>
      </w:r>
      <w:r w:rsidRPr="00494635">
        <w:rPr>
          <w:lang w:val="ru-RU"/>
        </w:rPr>
        <w:tab/>
        <w:t>происхождение содержащейся в Приложении 4 информации об электрической силовой установке BW3 и ее подтверждение/аттестация экспертным источником.</w:t>
      </w:r>
    </w:p>
    <w:p w14:paraId="4D63F4F1" w14:textId="77777777" w:rsidR="00A06CB6" w:rsidRPr="00494635" w:rsidRDefault="00A06CB6" w:rsidP="00A06CB6">
      <w:pPr>
        <w:jc w:val="both"/>
        <w:rPr>
          <w:lang w:val="ru-RU"/>
        </w:rPr>
      </w:pPr>
      <w:r w:rsidRPr="00494635">
        <w:rPr>
          <w:lang w:val="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(Земля-космос) до завершения 92-го собрания Комитета."</w:t>
      </w:r>
    </w:p>
    <w:p w14:paraId="0EB892ED" w14:textId="77777777" w:rsidR="00A06CB6" w:rsidRPr="00494635" w:rsidRDefault="00A06CB6" w:rsidP="00A06CB6">
      <w:pPr>
        <w:jc w:val="both"/>
        <w:rPr>
          <w:lang w:val="ru-RU"/>
        </w:rPr>
      </w:pPr>
      <w:r w:rsidRPr="00494635">
        <w:rPr>
          <w:lang w:val="ru-RU"/>
        </w:rPr>
        <w:t>5.6.11</w:t>
      </w:r>
      <w:r w:rsidRPr="00494635">
        <w:rPr>
          <w:lang w:val="ru-RU"/>
        </w:rPr>
        <w:tab/>
        <w:t xml:space="preserve">Предложение </w:t>
      </w:r>
      <w:r w:rsidRPr="00494635">
        <w:rPr>
          <w:b/>
          <w:bCs/>
          <w:lang w:val="ru-RU"/>
        </w:rPr>
        <w:t>принимается</w:t>
      </w:r>
      <w:r w:rsidRPr="00494635">
        <w:rPr>
          <w:lang w:val="ru-RU"/>
        </w:rPr>
        <w:t>.</w:t>
      </w:r>
    </w:p>
    <w:p w14:paraId="59E94B9D" w14:textId="77777777" w:rsidR="00A06CB6" w:rsidRPr="00494635" w:rsidRDefault="00A06CB6" w:rsidP="00A06CB6">
      <w:pPr>
        <w:pStyle w:val="Heading2"/>
        <w:jc w:val="both"/>
        <w:rPr>
          <w:lang w:val="ru-RU"/>
        </w:rPr>
      </w:pPr>
      <w:r w:rsidRPr="00494635">
        <w:rPr>
          <w:lang w:val="ru-RU"/>
        </w:rPr>
        <w:t>5.7</w:t>
      </w:r>
      <w:r w:rsidRPr="00494635">
        <w:rPr>
          <w:lang w:val="ru-RU"/>
        </w:rPr>
        <w:tab/>
        <w:t>Представление администрации Кипра с просьбой о продлении регламентарного предельного срока ввода в действие частотных присвоений спутниковой сети CYP</w:t>
      </w:r>
      <w:r w:rsidRPr="00494635">
        <w:rPr>
          <w:lang w:val="ru-RU"/>
        </w:rPr>
        <w:noBreakHyphen/>
        <w:t>30B</w:t>
      </w:r>
      <w:r w:rsidRPr="00494635">
        <w:rPr>
          <w:lang w:val="ru-RU"/>
        </w:rPr>
        <w:noBreakHyphen/>
        <w:t>59.7E-3 (Документ RRB22-3/12)</w:t>
      </w:r>
    </w:p>
    <w:p w14:paraId="6606A4BE" w14:textId="77777777" w:rsidR="00A06CB6" w:rsidRPr="00494635" w:rsidRDefault="00A06CB6" w:rsidP="00A06CB6">
      <w:pPr>
        <w:jc w:val="both"/>
        <w:rPr>
          <w:lang w:val="ru-RU"/>
        </w:rPr>
      </w:pPr>
      <w:r w:rsidRPr="00494635">
        <w:rPr>
          <w:lang w:val="ru-RU"/>
        </w:rPr>
        <w:t>5.7.1</w:t>
      </w:r>
      <w:r w:rsidRPr="00494635">
        <w:rPr>
          <w:lang w:val="ru-RU"/>
        </w:rPr>
        <w:tab/>
      </w:r>
      <w:r w:rsidRPr="00494635">
        <w:rPr>
          <w:b/>
          <w:bCs/>
          <w:lang w:val="ru-RU"/>
        </w:rPr>
        <w:t xml:space="preserve">Г-н Ван (руководитель SSD/SNP) </w:t>
      </w:r>
      <w:r w:rsidRPr="00494635">
        <w:rPr>
          <w:lang w:val="ru-RU"/>
        </w:rPr>
        <w:t>представляет Документ RRB22-3/12, в котором содержится просьба администрации Кипра о продлении регламентарного предельного срока ввода в действие частотных присвоений спутниковой сети CYP</w:t>
      </w:r>
      <w:r w:rsidRPr="00494635">
        <w:rPr>
          <w:lang w:val="ru-RU"/>
        </w:rPr>
        <w:noBreakHyphen/>
        <w:t>30B</w:t>
      </w:r>
      <w:r w:rsidRPr="00494635">
        <w:rPr>
          <w:lang w:val="ru-RU"/>
        </w:rPr>
        <w:noBreakHyphen/>
        <w:t xml:space="preserve">59.7E-3 на 11 месяцев, с 15 декабря 2022 года до 18 ноября 2023 года, по причине форс-мажорных обстоятельств. Как упоминается в представлении, контракт с производителем (Maxar Space) от имени Ovzon, Швеция, на спутник OVZON 3 имеет дату начала осуществления 10 июля 2019 года с </w:t>
      </w:r>
      <w:r w:rsidRPr="00494635">
        <w:rPr>
          <w:lang w:val="ru-RU" w:bidi="ru-RU"/>
        </w:rPr>
        <w:t>датой отгрузки по контракту</w:t>
      </w:r>
      <w:r w:rsidRPr="00494635">
        <w:rPr>
          <w:lang w:val="ru-RU"/>
        </w:rPr>
        <w:t xml:space="preserve"> 25 августа 2021 года. Контракт с поставщиком услуг запуска (Arianespace) был подписан 29 июля 2019 года с периодом запуска три месяца – с октября по декабрь 2021 года. Ожидалось, что спутник достигнет орбитальной позиции до конца апреля 2022 года.</w:t>
      </w:r>
    </w:p>
    <w:p w14:paraId="27EAFDA4" w14:textId="77777777" w:rsidR="00A06CB6" w:rsidRPr="00494635" w:rsidRDefault="00A06CB6" w:rsidP="00A06CB6">
      <w:pPr>
        <w:jc w:val="both"/>
        <w:rPr>
          <w:lang w:val="ru-RU"/>
        </w:rPr>
      </w:pPr>
      <w:r w:rsidRPr="00494635">
        <w:rPr>
          <w:lang w:val="ru-RU"/>
        </w:rPr>
        <w:lastRenderedPageBreak/>
        <w:t>5.7.2</w:t>
      </w:r>
      <w:r w:rsidRPr="00494635">
        <w:rPr>
          <w:lang w:val="ru-RU"/>
        </w:rPr>
        <w:tab/>
        <w:t xml:space="preserve">Подводя итоги графика мероприятий, он говорит, что несколько раз начиная с марта 2020 года компания Maxar заявляла о трех задержках по причине форс-мажорных обстоятельств ввиду глобальной пандемии COVID-19, лесных пожаров и неблагоприятных погодных условий, о чем говорится в Прилагаемых документах 1–4 к представлению. 29 апреля 2021 года Maxar предупредила Ovzon об отказе важных компонентов </w:t>
      </w:r>
      <w:r w:rsidRPr="00494635">
        <w:rPr>
          <w:lang w:val="ru-RU" w:bidi="ru-RU"/>
        </w:rPr>
        <w:t>двигателей-маховиков, поставленных субподрядчиком</w:t>
      </w:r>
      <w:r w:rsidRPr="00494635">
        <w:rPr>
          <w:lang w:val="ru-RU"/>
        </w:rPr>
        <w:t xml:space="preserve"> (Прилагаемый документ 6 к Документу RRB22-3/12), что </w:t>
      </w:r>
      <w:r w:rsidRPr="00494635">
        <w:rPr>
          <w:lang w:val="ru-RU" w:bidi="ru-RU"/>
        </w:rPr>
        <w:t>представляет собой форс-мажорное обстоятельство</w:t>
      </w:r>
      <w:r w:rsidRPr="00494635">
        <w:rPr>
          <w:lang w:val="ru-RU"/>
        </w:rPr>
        <w:t xml:space="preserve">. 14 мая 2022 года </w:t>
      </w:r>
      <w:r w:rsidRPr="00494635">
        <w:rPr>
          <w:lang w:val="ru-RU" w:bidi="ru-RU"/>
        </w:rPr>
        <w:t>компания Maxar информировала Ovzon о том, что ее субподрядчик применил положения о ранжировании, предусмотренные в Законе Соединенных Штатов Америки об оборонной промышленности, к двигателям-маховикам, которые наконец были доставлены</w:t>
      </w:r>
      <w:r w:rsidRPr="00494635">
        <w:rPr>
          <w:lang w:val="ru-RU"/>
        </w:rPr>
        <w:t xml:space="preserve"> 8 июля 2022 года (Прилагаемый документ 10 к Документу RRB22-3/12), с отставанием от графика 22 месяца. В результате этих задержек производство спутника OVZON 3 застопорилось на заводе Maxar (Прилагаемый документ 9 к Документу RRB22-3/12). Текущей датой поставки является 25 марта 2023 года, через 19 месяцев после контрактной даты отгрузки. Запуск теперь ожидается в первой половине 2023 года, и, при периоде подъема орбиты при помощи электрической силовой установки 140 дней, ввод в действие ожидается до 18 ноября 2023 года. </w:t>
      </w:r>
    </w:p>
    <w:p w14:paraId="7D1156A3" w14:textId="77777777" w:rsidR="00A06CB6" w:rsidRPr="00494635" w:rsidRDefault="00A06CB6" w:rsidP="00A06CB6">
      <w:pPr>
        <w:jc w:val="both"/>
        <w:rPr>
          <w:lang w:val="ru-RU"/>
        </w:rPr>
      </w:pPr>
      <w:r w:rsidRPr="00494635">
        <w:rPr>
          <w:lang w:val="ru-RU"/>
        </w:rPr>
        <w:t>5.7.3</w:t>
      </w:r>
      <w:r w:rsidRPr="00494635">
        <w:rPr>
          <w:lang w:val="ru-RU"/>
        </w:rPr>
        <w:tab/>
        <w:t>Далее администрация описывает форс-мажорные обстоятельства, препятствующие вводу присвоений в действие до регламентарного предельного срока, и то, как соблюдались четыре условия форс-мажорных обстоятельств.</w:t>
      </w:r>
    </w:p>
    <w:p w14:paraId="1D35B828" w14:textId="77777777" w:rsidR="00A06CB6" w:rsidRPr="00494635" w:rsidRDefault="00A06CB6" w:rsidP="00A06CB6">
      <w:pPr>
        <w:jc w:val="both"/>
        <w:rPr>
          <w:lang w:val="ru-RU"/>
        </w:rPr>
      </w:pPr>
      <w:r w:rsidRPr="00494635">
        <w:rPr>
          <w:lang w:val="ru-RU"/>
        </w:rPr>
        <w:t>5.7.4</w:t>
      </w:r>
      <w:r w:rsidRPr="00494635">
        <w:rPr>
          <w:lang w:val="ru-RU"/>
        </w:rPr>
        <w:tab/>
      </w:r>
      <w:r w:rsidRPr="00494635">
        <w:rPr>
          <w:b/>
          <w:bCs/>
          <w:lang w:val="ru-RU"/>
        </w:rPr>
        <w:t>Г-н Анри</w:t>
      </w:r>
      <w:r w:rsidRPr="00494635">
        <w:rPr>
          <w:lang w:val="ru-RU"/>
        </w:rPr>
        <w:t xml:space="preserve"> выражает определенное сочувствие по поводу этого случая, который касается реального выполняемого спутникового проекта. Дата начала осуществления контракта, первоначальная дата отгрузки по контракту и планируемое окно запуска с октября по декабрь 2021 года позволяют предположить, что были предприняты все возможные усилия для соблюдения регламентарного предельного срока ввода в действие частотных присвоений спутниковой сети CYP</w:t>
      </w:r>
      <w:r w:rsidRPr="00494635">
        <w:rPr>
          <w:lang w:val="ru-RU"/>
        </w:rPr>
        <w:noBreakHyphen/>
        <w:t>30B-59.7E-3. В представлении содержится большой объем подтверждающей информации, однако указанные задержки и их последствия не всегда четко определены в количественном выражении. Кроме того, не приведено подтверждение ожидаемой даты поставки – 25 марта 2023 года – и отсутствует информация о поставщике услуг запуска. В сообщениях СМИ говорится, что запуск спутника OVZON-3 будет произведен с декабря 2022 года по февраль 2023 года на борту одной из последних ракет Ariane 5, и в этом случае ожидаемая поставка спутника должна быть осуществлена до 25 марта 2023 года. Хотя имеется определенная логика в просьбе о продлении с учетом некоторых задержек, которые могут объясняться глобальной пандемией COVID-19, часть информации по-прежнему отсутствует. Выступающий также выражает надежду, что администрация представит информацию, требующуюся согласно Резолюциям </w:t>
      </w:r>
      <w:r w:rsidRPr="00494635">
        <w:rPr>
          <w:b/>
          <w:bCs/>
          <w:lang w:val="ru-RU"/>
        </w:rPr>
        <w:t>49 (Пересм. ВКР</w:t>
      </w:r>
      <w:r w:rsidRPr="00494635">
        <w:rPr>
          <w:b/>
          <w:bCs/>
          <w:lang w:val="ru-RU"/>
        </w:rPr>
        <w:noBreakHyphen/>
        <w:t>19)</w:t>
      </w:r>
      <w:r w:rsidRPr="00494635">
        <w:rPr>
          <w:lang w:val="ru-RU"/>
        </w:rPr>
        <w:t xml:space="preserve"> и </w:t>
      </w:r>
      <w:r w:rsidRPr="00494635">
        <w:rPr>
          <w:b/>
          <w:bCs/>
          <w:lang w:val="ru-RU"/>
        </w:rPr>
        <w:t>552 (Пересм. ВКР</w:t>
      </w:r>
      <w:r w:rsidRPr="00494635">
        <w:rPr>
          <w:b/>
          <w:bCs/>
          <w:lang w:val="ru-RU"/>
        </w:rPr>
        <w:noBreakHyphen/>
        <w:t>19</w:t>
      </w:r>
      <w:r w:rsidRPr="00494635">
        <w:rPr>
          <w:lang w:val="ru-RU"/>
        </w:rPr>
        <w:t>), а также информацию для заявления до конца декабря 2022 года.</w:t>
      </w:r>
    </w:p>
    <w:p w14:paraId="30E6A3A2" w14:textId="77777777" w:rsidR="00A06CB6" w:rsidRPr="00494635" w:rsidRDefault="00A06CB6" w:rsidP="00A06CB6">
      <w:pPr>
        <w:jc w:val="both"/>
        <w:rPr>
          <w:lang w:val="ru-RU"/>
        </w:rPr>
      </w:pPr>
      <w:r w:rsidRPr="00494635">
        <w:rPr>
          <w:lang w:val="ru-RU"/>
        </w:rPr>
        <w:t>5.7.5</w:t>
      </w:r>
      <w:r w:rsidRPr="00494635">
        <w:rPr>
          <w:lang w:val="ru-RU"/>
        </w:rPr>
        <w:tab/>
      </w:r>
      <w:r w:rsidRPr="00494635">
        <w:rPr>
          <w:b/>
          <w:lang w:val="ru-RU"/>
        </w:rPr>
        <w:t>Г-н Аззуз</w:t>
      </w:r>
      <w:r w:rsidRPr="00494635">
        <w:rPr>
          <w:lang w:val="ru-RU"/>
        </w:rPr>
        <w:t xml:space="preserve"> говорит, что, хотя был представлен большой объем информации, некоторым задержкам не дана количественная оценка и трудно обосновать запрашиваемое продление на 11 месяцев. Кроме того, не было представлено объяснение по поводу периода подъема орбиты в 140 дней. </w:t>
      </w:r>
    </w:p>
    <w:p w14:paraId="1B20542C" w14:textId="77777777" w:rsidR="00A06CB6" w:rsidRPr="00494635" w:rsidRDefault="00A06CB6" w:rsidP="00A06CB6">
      <w:pPr>
        <w:jc w:val="both"/>
        <w:rPr>
          <w:lang w:val="ru-RU"/>
        </w:rPr>
      </w:pPr>
      <w:r w:rsidRPr="00494635">
        <w:rPr>
          <w:lang w:val="ru-RU"/>
        </w:rPr>
        <w:t>5.7.6</w:t>
      </w:r>
      <w:r w:rsidRPr="00494635">
        <w:rPr>
          <w:lang w:val="ru-RU"/>
        </w:rPr>
        <w:tab/>
      </w:r>
      <w:r w:rsidRPr="00494635">
        <w:rPr>
          <w:b/>
          <w:bCs/>
          <w:lang w:val="ru-RU"/>
        </w:rPr>
        <w:t>Г-жа Бомье</w:t>
      </w:r>
      <w:r w:rsidRPr="00494635">
        <w:rPr>
          <w:lang w:val="ru-RU"/>
        </w:rPr>
        <w:t xml:space="preserve"> говорит, что представление достаточно хорошо подготовлено и была представлена четкая и подробная подтверждающая информация, включая полезный анализ соблюдения четырех условий форс-мажорных обстоятельств. Поставка спутника была задержана на 19 месяцев и, хотя запуск ожидается в первой половине 2023 года, не приводится информации о поставщике услуг запуска и о контракте. Период подъема орбиты составляет около пяти месяцев, и спутник будет в своей орбитальной позиции к 18 ноября 2023 года, если запуск состоится до конца июня. Хотя администрация получила и приложила несколько сообщений от производителя о форс-мажорных обстоятельствах, только в одном дается количественная оценка фактических задержек, приписываемых глобальной пандемии COVID-19, лесным пожарам и проблемам в цепочке поставок. Таким образом, хотя нет сомнений в том, что проект испытал задержки в связи с форс-мажорными обстоятельствами, была представлена недостаточная информация по графику проекта и по статусу строительства спутника, которая позволила бы Комитету определить, выполнялся ли проект в срок до задержек, или принять решение о том, что задержка в два года объяснялась непосредственно и исключительно форс-мажорными обстоятельствами. Она выражает сочувствие по поводу сложностей </w:t>
      </w:r>
      <w:r w:rsidRPr="00494635">
        <w:rPr>
          <w:lang w:val="ru-RU"/>
        </w:rPr>
        <w:lastRenderedPageBreak/>
        <w:t>в осуществлении реального проекта и предлагает Комитету запросить дополнительные разъяснения у администрации Кипра для рассмотрения на следующем собрании.</w:t>
      </w:r>
    </w:p>
    <w:p w14:paraId="4249D90D" w14:textId="77777777" w:rsidR="00A06CB6" w:rsidRPr="00494635" w:rsidRDefault="00A06CB6" w:rsidP="00A06CB6">
      <w:pPr>
        <w:jc w:val="both"/>
        <w:rPr>
          <w:lang w:val="ru-RU"/>
        </w:rPr>
      </w:pPr>
      <w:r w:rsidRPr="00494635">
        <w:rPr>
          <w:lang w:val="ru-RU"/>
        </w:rPr>
        <w:t>5.7.7</w:t>
      </w:r>
      <w:r w:rsidRPr="00494635">
        <w:rPr>
          <w:lang w:val="ru-RU"/>
        </w:rPr>
        <w:tab/>
      </w:r>
      <w:r w:rsidRPr="00494635">
        <w:rPr>
          <w:b/>
          <w:bCs/>
          <w:lang w:val="ru-RU"/>
        </w:rPr>
        <w:t>Г-н Хоан</w:t>
      </w:r>
      <w:r w:rsidRPr="00494635">
        <w:rPr>
          <w:lang w:val="ru-RU"/>
        </w:rPr>
        <w:t xml:space="preserve"> говорит, что он сочувствует администрации Кипра по поводу испытываемых ею трудностей, отмечая, что контракты на производство и запуск были подписаны заранее для ввода в действие частотных присвоений до регламентарного предельного срока. Согласно представлению, было невозможно соблюсти этот предельный срок ввиду глобальной пандемии COVID-19 и отказу важных компонентов, поставленных субподрядчиком. Он соглашается, что данный случай квалифицируется как форс-мажорные обстоятельства в результате пандемии COVID-19 и что Комитет может предоставить продление на этом основании. Отмечая, что на ВКР</w:t>
      </w:r>
      <w:r w:rsidRPr="00494635">
        <w:rPr>
          <w:lang w:val="ru-RU"/>
        </w:rPr>
        <w:noBreakHyphen/>
        <w:t xml:space="preserve">12 обсуждались задержки в поставке компонентов после стихийного бедствия, он говорит, что Комитету, тем не менее, следует тщательно рассмотреть вопрос о том, могут ли такие задержки при применении национального законодательства использоваться как обоснование форс-мажорных обстоятельств. Решение Комитета в этом отношении создаст прецедент для других случаев. </w:t>
      </w:r>
    </w:p>
    <w:p w14:paraId="2618A2FD" w14:textId="77777777" w:rsidR="00A06CB6" w:rsidRPr="00494635" w:rsidRDefault="00A06CB6" w:rsidP="00A06CB6">
      <w:pPr>
        <w:jc w:val="both"/>
        <w:rPr>
          <w:lang w:val="ru-RU"/>
        </w:rPr>
      </w:pPr>
      <w:r w:rsidRPr="00494635">
        <w:rPr>
          <w:lang w:val="ru-RU"/>
        </w:rPr>
        <w:t>5.7.8</w:t>
      </w:r>
      <w:r w:rsidRPr="00494635">
        <w:rPr>
          <w:lang w:val="ru-RU"/>
        </w:rPr>
        <w:tab/>
      </w:r>
      <w:r w:rsidRPr="00494635">
        <w:rPr>
          <w:b/>
          <w:bCs/>
          <w:lang w:val="ru-RU"/>
        </w:rPr>
        <w:t>Председатель</w:t>
      </w:r>
      <w:r w:rsidRPr="00494635">
        <w:rPr>
          <w:lang w:val="ru-RU"/>
        </w:rPr>
        <w:t xml:space="preserve"> говорит, что г-н Хоан поднял очень важный вопрос, и соглашается с тем, что Комитету следует внимательно рассмотреть вопрос о том, могут ли задержки, связанные с воздействием применения национального законодательства либо задержкой поставки компонентов субподрядчиками, служить обоснованием форс-мажорных обстоятельств или они должны учитываться на этапе планирования проекта.</w:t>
      </w:r>
    </w:p>
    <w:p w14:paraId="1A318088" w14:textId="77777777" w:rsidR="00A06CB6" w:rsidRPr="00494635" w:rsidRDefault="00A06CB6" w:rsidP="00A06CB6">
      <w:pPr>
        <w:jc w:val="both"/>
        <w:rPr>
          <w:lang w:val="ru-RU"/>
        </w:rPr>
      </w:pPr>
      <w:r w:rsidRPr="00494635">
        <w:rPr>
          <w:lang w:val="ru-RU"/>
        </w:rPr>
        <w:t>5.7.9</w:t>
      </w:r>
      <w:r w:rsidRPr="00494635">
        <w:rPr>
          <w:lang w:val="ru-RU"/>
        </w:rPr>
        <w:tab/>
      </w:r>
      <w:r w:rsidRPr="00494635">
        <w:rPr>
          <w:b/>
          <w:bCs/>
          <w:lang w:val="ru-RU"/>
        </w:rPr>
        <w:t>Г-н Хасимото</w:t>
      </w:r>
      <w:r w:rsidRPr="00494635">
        <w:rPr>
          <w:lang w:val="ru-RU"/>
        </w:rPr>
        <w:t xml:space="preserve"> говорит, что трудно понять задержки, вызванные проблемой закупок компонентов у субподрядчика, в том числе в результате применения </w:t>
      </w:r>
      <w:r w:rsidRPr="00494635">
        <w:rPr>
          <w:lang w:val="ru-RU" w:bidi="ru-RU"/>
        </w:rPr>
        <w:t>Закона об оборонной промышленности</w:t>
      </w:r>
      <w:r w:rsidRPr="00494635">
        <w:rPr>
          <w:lang w:val="ru-RU"/>
        </w:rPr>
        <w:t xml:space="preserve">. Неясно, какие меры были приняты для преодоления или сокращения задержки в 22 месяца в поставке компонентов, и основной подрядчик может отвечать за планирование субподрядов в отношении задержек. Он сочувствует администрации Кипра, но требуются дальнейшие пояснения для определения того, отвечает ли данный случай условиям форс-мажорных обстоятельств. </w:t>
      </w:r>
    </w:p>
    <w:p w14:paraId="781C92DB" w14:textId="77777777" w:rsidR="00A06CB6" w:rsidRPr="00494635" w:rsidRDefault="00A06CB6" w:rsidP="00A06CB6">
      <w:pPr>
        <w:jc w:val="both"/>
        <w:rPr>
          <w:lang w:val="ru-RU"/>
        </w:rPr>
      </w:pPr>
      <w:r w:rsidRPr="00494635">
        <w:rPr>
          <w:lang w:val="ru-RU"/>
        </w:rPr>
        <w:t>5.7.10</w:t>
      </w:r>
      <w:r w:rsidRPr="00494635">
        <w:rPr>
          <w:lang w:val="ru-RU"/>
        </w:rPr>
        <w:tab/>
      </w:r>
      <w:r w:rsidRPr="00494635">
        <w:rPr>
          <w:b/>
          <w:bCs/>
          <w:lang w:val="ru-RU"/>
        </w:rPr>
        <w:t xml:space="preserve">Г-н Талиб </w:t>
      </w:r>
      <w:r w:rsidRPr="00494635">
        <w:rPr>
          <w:lang w:val="ru-RU"/>
        </w:rPr>
        <w:t xml:space="preserve">говорит, что глубоко сочувствует администрации Кипра, и благодарит ее за содержательное представление. Данный случай касается реального проекта, но неясно, были ли соблюдены четыре условия форс-мажорных обстоятельств. Следует предложить администрации представить дополнительную информацию, в том числе в отношении окна запуска и диапазонов частот на борту спутника, чтобы дать Комитету возможность определить предоставляемое продление, поскольку была предоставлена недостаточная информация для обоснования продления на 11 месяцев. </w:t>
      </w:r>
    </w:p>
    <w:p w14:paraId="7B3AD743" w14:textId="77777777" w:rsidR="00A06CB6" w:rsidRPr="00494635" w:rsidRDefault="00A06CB6" w:rsidP="00A06CB6">
      <w:pPr>
        <w:jc w:val="both"/>
        <w:rPr>
          <w:lang w:val="ru-RU"/>
        </w:rPr>
      </w:pPr>
      <w:r w:rsidRPr="00494635">
        <w:rPr>
          <w:lang w:val="ru-RU"/>
        </w:rPr>
        <w:t>5.7.11</w:t>
      </w:r>
      <w:r w:rsidRPr="00494635">
        <w:rPr>
          <w:lang w:val="ru-RU"/>
        </w:rPr>
        <w:tab/>
      </w:r>
      <w:r w:rsidRPr="00494635">
        <w:rPr>
          <w:b/>
          <w:bCs/>
          <w:lang w:val="ru-RU"/>
        </w:rPr>
        <w:t>Г-жа Жеанти</w:t>
      </w:r>
      <w:r w:rsidRPr="00494635">
        <w:rPr>
          <w:lang w:val="ru-RU"/>
        </w:rPr>
        <w:t xml:space="preserve"> говорит, что она также испытывает сочувствие по поводу данного случая, который касается реального проекта. В хорошо подготовленном вкладе разъясняется, каким образом данная ситуация соответствует четырем условиям форс-мажорных обстоятельств, и она сделала вывод, согласно которому администрация Кипра соблюла бы регламентарный предельный срок в отсутствие случившихся задержек. Поэтому она могла бы согласиться на предоставление продления на основании форс-мажорных обстоятельств. Вместе с тем она не видит сложности в том, чтобы запросить дополнительную информацию от администрации в свете вопросов, поднятых другими членами. В представлении весьма подробно описываются задержки с поставкой компонентов субподрядчиком, что, возможно, должно быть отнесено к задержкам производства. Поскольку национальные законы должны быть известны всем, возникает интересный вопрос, может ли их воздействие считаться непредвиденным. </w:t>
      </w:r>
    </w:p>
    <w:p w14:paraId="1B612159" w14:textId="77777777" w:rsidR="00A06CB6" w:rsidRPr="00494635" w:rsidRDefault="00A06CB6" w:rsidP="00A06CB6">
      <w:pPr>
        <w:jc w:val="both"/>
        <w:rPr>
          <w:lang w:val="ru-RU"/>
        </w:rPr>
      </w:pPr>
      <w:r w:rsidRPr="00494635">
        <w:rPr>
          <w:lang w:val="ru-RU"/>
        </w:rPr>
        <w:t>5.7.12</w:t>
      </w:r>
      <w:r w:rsidRPr="00494635">
        <w:rPr>
          <w:lang w:val="ru-RU"/>
        </w:rPr>
        <w:tab/>
      </w:r>
      <w:r w:rsidRPr="00494635">
        <w:rPr>
          <w:b/>
          <w:lang w:val="ru-RU"/>
        </w:rPr>
        <w:t>Г-жа Гасанова</w:t>
      </w:r>
      <w:r w:rsidRPr="00494635">
        <w:rPr>
          <w:lang w:val="ru-RU"/>
        </w:rPr>
        <w:t>, отмечая, что данный случай касается реального проекта, говорит, что она сочувствует администрации Кипра. Следует предложить администрации представить недостающую информацию 92</w:t>
      </w:r>
      <w:r w:rsidRPr="00494635">
        <w:rPr>
          <w:lang w:val="ru-RU"/>
        </w:rPr>
        <w:noBreakHyphen/>
        <w:t xml:space="preserve">му собранию Комитета, в том числе о поставщике услуг запуска и контракте. Сроком приемлемости заявления спутниковой сети Кипра является 15 декабря 2022 года. Следует поручить Бюро продолжать принимать во внимание частотные присвоения спутниковой сети CYP-30B-59.7E-3 до конца 92-го собрания Комитета. </w:t>
      </w:r>
    </w:p>
    <w:p w14:paraId="78491E7B" w14:textId="77777777" w:rsidR="00A06CB6" w:rsidRPr="00494635" w:rsidRDefault="00A06CB6" w:rsidP="00A06CB6">
      <w:pPr>
        <w:jc w:val="both"/>
        <w:rPr>
          <w:lang w:val="ru-RU"/>
        </w:rPr>
      </w:pPr>
      <w:r w:rsidRPr="00494635">
        <w:rPr>
          <w:lang w:val="ru-RU"/>
        </w:rPr>
        <w:t>5.7.13</w:t>
      </w:r>
      <w:r w:rsidRPr="00494635">
        <w:rPr>
          <w:lang w:val="ru-RU"/>
        </w:rPr>
        <w:tab/>
      </w:r>
      <w:r w:rsidRPr="00494635">
        <w:rPr>
          <w:b/>
          <w:lang w:val="ru-RU"/>
        </w:rPr>
        <w:t>Г-н Варламов</w:t>
      </w:r>
      <w:r w:rsidRPr="00494635">
        <w:rPr>
          <w:lang w:val="ru-RU"/>
        </w:rPr>
        <w:t xml:space="preserve"> говорит, что администрация Кипра, несомненно, предприняла усилия для производства спутника, и в представлении излагаются встречавшиеся трудности. В то же время у Комитета нет достаточной информации для подтверждения того, что были соблюдены все условия </w:t>
      </w:r>
      <w:r w:rsidRPr="00494635">
        <w:rPr>
          <w:lang w:val="ru-RU"/>
        </w:rPr>
        <w:lastRenderedPageBreak/>
        <w:t>форс-мажорных обстоятельств, и для определения продолжительности продления, которое может быть предоставлено. При подписании контракта юристы принимали во внимание положения национальных законов, в том числе относящиеся к оборонной промышленности, и поэтому воздействие их возможного применения должно приниматься во внимание. Требуется дополнительная информация, в том числе по случившимся задержкам и новому окну запуска.</w:t>
      </w:r>
    </w:p>
    <w:p w14:paraId="28235C02" w14:textId="77777777" w:rsidR="00A06CB6" w:rsidRPr="00494635" w:rsidRDefault="00A06CB6" w:rsidP="00A06CB6">
      <w:pPr>
        <w:jc w:val="both"/>
        <w:rPr>
          <w:lang w:val="ru-RU"/>
        </w:rPr>
      </w:pPr>
      <w:r w:rsidRPr="00494635">
        <w:rPr>
          <w:lang w:val="ru-RU"/>
        </w:rPr>
        <w:t>5.7.14</w:t>
      </w:r>
      <w:r w:rsidRPr="00494635">
        <w:rPr>
          <w:lang w:val="ru-RU"/>
        </w:rPr>
        <w:tab/>
      </w:r>
      <w:r w:rsidRPr="00494635">
        <w:rPr>
          <w:b/>
          <w:bCs/>
          <w:lang w:val="ru-RU"/>
        </w:rPr>
        <w:t>Г-н Ван (руководитель SSD/SNP)</w:t>
      </w:r>
      <w:r w:rsidRPr="00494635">
        <w:rPr>
          <w:lang w:val="ru-RU"/>
        </w:rPr>
        <w:t xml:space="preserve">, отвечая на вопрос </w:t>
      </w:r>
      <w:r w:rsidRPr="00494635">
        <w:rPr>
          <w:b/>
          <w:bCs/>
          <w:lang w:val="ru-RU"/>
        </w:rPr>
        <w:t>г-на Анри</w:t>
      </w:r>
      <w:r w:rsidRPr="00494635">
        <w:rPr>
          <w:lang w:val="ru-RU"/>
        </w:rPr>
        <w:t>, говорит, что администрация Кипра представила четыре сети в позиции 59,7 в. д., которые используют полосы частот в соответствии с Приложением </w:t>
      </w:r>
      <w:r w:rsidRPr="00494635">
        <w:rPr>
          <w:b/>
          <w:bCs/>
          <w:lang w:val="ru-RU"/>
        </w:rPr>
        <w:t>30B</w:t>
      </w:r>
      <w:r w:rsidRPr="00494635">
        <w:rPr>
          <w:lang w:val="ru-RU"/>
        </w:rPr>
        <w:t>. Первые две (CYP-30B-59.7E и CYP-30B-59.7E-2) были представлены в 2017 году, введены в действие в марте 2020 года и приостановлены через 90 дней. Регламентарный предельный срок повторного ввода в действие –16 июня 2023 года, т. е. до продления, запрашиваемого администрацией для обсуждаемой в настоящее время сети. Сеть CYP</w:t>
      </w:r>
      <w:r w:rsidRPr="00494635">
        <w:rPr>
          <w:lang w:val="ru-RU"/>
        </w:rPr>
        <w:noBreakHyphen/>
        <w:t>30B-59.7E-3 была представлена в 2014 году, но Бюро получило только представление для Части A. Информация, требующаяся согласно Резолюции </w:t>
      </w:r>
      <w:r w:rsidRPr="00494635">
        <w:rPr>
          <w:b/>
          <w:bCs/>
          <w:lang w:val="ru-RU"/>
        </w:rPr>
        <w:t>49 (Пересм. ВКР</w:t>
      </w:r>
      <w:r w:rsidRPr="00494635">
        <w:rPr>
          <w:b/>
          <w:bCs/>
          <w:lang w:val="ru-RU"/>
        </w:rPr>
        <w:noBreakHyphen/>
        <w:t>19)</w:t>
      </w:r>
      <w:r w:rsidRPr="00494635">
        <w:rPr>
          <w:lang w:val="ru-RU"/>
        </w:rPr>
        <w:t>, Части B и заявлению, еще не была представлена, несмотря на напоминания Бюро в июне и сентябре 2022 года. Сеть CYP-30B-59.7E-4 была получена в 2021 году и опубликована в 2022 году. Что касается соответствующих полос частот, выступающий говорит, что у двух первых сетей на линии вверх есть только 250 МГц в диапазоне Ku. Последние две сети, которые еще находятся на этапе Части А, используют все 500 МГц.</w:t>
      </w:r>
    </w:p>
    <w:p w14:paraId="6F8D6DFF" w14:textId="77777777" w:rsidR="00A06CB6" w:rsidRPr="00494635" w:rsidRDefault="00A06CB6" w:rsidP="00A06CB6">
      <w:pPr>
        <w:jc w:val="both"/>
        <w:rPr>
          <w:lang w:val="ru-RU"/>
        </w:rPr>
      </w:pPr>
      <w:r w:rsidRPr="00494635">
        <w:rPr>
          <w:lang w:val="ru-RU"/>
        </w:rPr>
        <w:t>5.7.15</w:t>
      </w:r>
      <w:r w:rsidRPr="00494635">
        <w:rPr>
          <w:lang w:val="ru-RU"/>
        </w:rPr>
        <w:tab/>
      </w:r>
      <w:r w:rsidRPr="00494635">
        <w:rPr>
          <w:b/>
          <w:lang w:val="ru-RU"/>
        </w:rPr>
        <w:t>Г-н Анри</w:t>
      </w:r>
      <w:r w:rsidRPr="00494635">
        <w:rPr>
          <w:lang w:val="ru-RU"/>
        </w:rPr>
        <w:t xml:space="preserve"> говорит, что он пытался понять связь между датой возобновления двух приостановленных сетей (16 июня 2023 г.) и датой продления, запрашиваемого для работы спутника OVZON</w:t>
      </w:r>
      <w:r w:rsidRPr="00494635">
        <w:rPr>
          <w:lang w:val="ru-RU"/>
        </w:rPr>
        <w:noBreakHyphen/>
        <w:t>3 (18 ноября 2023 г.); маловероятно присутствие более чем одного спутника в орбитальной позиции 59,7° в. д., и такой спутник должен быть там к 16 июня 2023 года для возобновления работы двух приостановленных спутниковых сетей. Комитету следует напомнить администрации Кипра о необходимости соблюдения регламентарных процедур и представления Части В, заявления и информации согласно Резолюции </w:t>
      </w:r>
      <w:r w:rsidRPr="00494635">
        <w:rPr>
          <w:b/>
          <w:lang w:val="ru-RU"/>
        </w:rPr>
        <w:t>49 (</w:t>
      </w:r>
      <w:r w:rsidRPr="00494635">
        <w:rPr>
          <w:b/>
          <w:bCs/>
          <w:lang w:val="ru-RU"/>
        </w:rPr>
        <w:t>Пересм. ВКР</w:t>
      </w:r>
      <w:r w:rsidRPr="00494635">
        <w:rPr>
          <w:b/>
          <w:lang w:val="ru-RU"/>
        </w:rPr>
        <w:noBreakHyphen/>
        <w:t>19)</w:t>
      </w:r>
      <w:r w:rsidRPr="00494635">
        <w:rPr>
          <w:lang w:val="ru-RU"/>
        </w:rPr>
        <w:t xml:space="preserve"> к соответствующим предельным срокам. Он согласен, что г</w:t>
      </w:r>
      <w:r w:rsidRPr="00494635">
        <w:rPr>
          <w:lang w:val="ru-RU"/>
        </w:rPr>
        <w:noBreakHyphen/>
        <w:t xml:space="preserve">н Хоаном поднял важный вопрос. Национальное законодательство известно всем соответствующим сторонам и, следовательно, принимается во внимание во время подписания контрактов. Комитету следует прояснить свою позицию в отношении того, может ли применение такого законодательства использоваться как обоснование форс-мажорных обстоятельств. </w:t>
      </w:r>
    </w:p>
    <w:p w14:paraId="1FC1D576" w14:textId="77777777" w:rsidR="00A06CB6" w:rsidRPr="00494635" w:rsidRDefault="00A06CB6" w:rsidP="00A06CB6">
      <w:pPr>
        <w:jc w:val="both"/>
        <w:rPr>
          <w:lang w:val="ru-RU"/>
        </w:rPr>
      </w:pPr>
      <w:bookmarkStart w:id="13" w:name="_Hlk119997446"/>
      <w:r w:rsidRPr="00494635">
        <w:rPr>
          <w:lang w:val="ru-RU"/>
        </w:rPr>
        <w:t>5.7.16</w:t>
      </w:r>
      <w:r w:rsidRPr="00494635">
        <w:rPr>
          <w:lang w:val="ru-RU"/>
        </w:rPr>
        <w:tab/>
      </w:r>
      <w:r w:rsidRPr="00494635">
        <w:rPr>
          <w:b/>
          <w:bCs/>
          <w:lang w:val="ru-RU"/>
        </w:rPr>
        <w:t>Г-жа Бомье</w:t>
      </w:r>
      <w:r w:rsidRPr="00494635">
        <w:rPr>
          <w:lang w:val="ru-RU"/>
        </w:rPr>
        <w:t xml:space="preserve"> соглашается с тем, что законодательные требования хорошо известны во время подписания контракта и что само по себе их применение обычно не считается удовлетворяющим требования форс-мажорных обстоятельств. Если их применение приводится в качестве единственной причины задержки, Комитет едва ли прореагирует положительно и будет полагать, что непредвиденные обстоятельства предусмотрены в процессе планирования. В то же время, если воздействие их применения усугубляется другими элементами, связанными с форс-мажорным событием (например, пандемия COVID-19), и другими масштабными проблемами, которые не могли быть предусмотрены в настоящем случае, Комитет может пожелать указать, что потенциальное воздействие соответствующего национального законодательства или потенциальных задержек в поставке компонентов не может использоваться как обоснование форс-мажорных обстоятельств, если отсутствуют чрезвычайные обстоятельства. Кроме того, в представлении содержится большой объем подтверждающей документации, но многие события, о которых было заявлено оператору, квалифицировались как форс-мажорные обстоятельства производителем и необязательно удовлетворяют всем требованиям Комитета. Соответственно, по мнению выступающей, в настоящее время Комитет не располагает достаточной информацией для вывода о том, что данный случай квалифицируется как ситуация форс-мажорных обстоятельств.</w:t>
      </w:r>
    </w:p>
    <w:bookmarkEnd w:id="13"/>
    <w:p w14:paraId="6A26D33A" w14:textId="77777777" w:rsidR="00A06CB6" w:rsidRPr="00494635" w:rsidRDefault="00A06CB6" w:rsidP="00A06CB6">
      <w:pPr>
        <w:jc w:val="both"/>
        <w:rPr>
          <w:lang w:val="ru-RU"/>
        </w:rPr>
      </w:pPr>
      <w:r w:rsidRPr="00494635">
        <w:rPr>
          <w:lang w:val="ru-RU"/>
        </w:rPr>
        <w:t>5.7.17</w:t>
      </w:r>
      <w:r w:rsidRPr="00494635">
        <w:rPr>
          <w:lang w:val="ru-RU"/>
        </w:rPr>
        <w:tab/>
      </w:r>
      <w:r w:rsidRPr="00494635">
        <w:rPr>
          <w:b/>
          <w:bCs/>
          <w:lang w:val="ru-RU"/>
        </w:rPr>
        <w:t>Председатель</w:t>
      </w:r>
      <w:r w:rsidRPr="00494635">
        <w:rPr>
          <w:lang w:val="ru-RU"/>
        </w:rPr>
        <w:t xml:space="preserve"> говорит, что вывод Комитета должен оставаться общим по своему характеру и не должен давать оснований считать, что национальное законодательство может использоваться для обоснования форс-мажорных обстоятельств. Затронутые администрации могут заявлять об исключительных случаях. Поэтому он предлагает Комитету сделать по данному вопросу следующее заключение:</w:t>
      </w:r>
    </w:p>
    <w:p w14:paraId="6E823D39" w14:textId="77777777" w:rsidR="00A06CB6" w:rsidRPr="00494635" w:rsidRDefault="00A06CB6" w:rsidP="00A06CB6">
      <w:pPr>
        <w:jc w:val="both"/>
        <w:rPr>
          <w:highlight w:val="lightGray"/>
          <w:lang w:val="ru-RU"/>
        </w:rPr>
      </w:pPr>
      <w:r w:rsidRPr="00494635">
        <w:rPr>
          <w:lang w:val="ru-RU"/>
        </w:rPr>
        <w:t>"Рассмотрев Документ RRB22-3/12, содержащий представление администрации Кипра, Комитет отметил, что:</w:t>
      </w:r>
    </w:p>
    <w:p w14:paraId="157395CB" w14:textId="77777777" w:rsidR="00A06CB6" w:rsidRPr="00494635" w:rsidRDefault="00A06CB6" w:rsidP="00A06CB6">
      <w:pPr>
        <w:pStyle w:val="enumlev1"/>
        <w:jc w:val="both"/>
        <w:rPr>
          <w:lang w:val="ru-RU"/>
        </w:rPr>
      </w:pPr>
      <w:r w:rsidRPr="00494635">
        <w:rPr>
          <w:lang w:val="ru-RU"/>
        </w:rPr>
        <w:lastRenderedPageBreak/>
        <w:t>•</w:t>
      </w:r>
      <w:r w:rsidRPr="00494635">
        <w:rPr>
          <w:lang w:val="ru-RU"/>
        </w:rPr>
        <w:tab/>
        <w:t>регламентарный предельный срок ввода в действие частотных присвоений спутниковой сети CYP-30B-59.7E-3 – 15 декабря 2022 года;</w:t>
      </w:r>
    </w:p>
    <w:p w14:paraId="0E463762" w14:textId="77777777" w:rsidR="00A06CB6" w:rsidRPr="00494635" w:rsidRDefault="00A06CB6" w:rsidP="00A06CB6">
      <w:pPr>
        <w:pStyle w:val="enumlev1"/>
        <w:jc w:val="both"/>
        <w:rPr>
          <w:lang w:val="ru-RU"/>
        </w:rPr>
      </w:pPr>
      <w:r w:rsidRPr="00494635">
        <w:rPr>
          <w:lang w:val="ru-RU"/>
        </w:rPr>
        <w:t>•</w:t>
      </w:r>
      <w:r w:rsidRPr="00494635">
        <w:rPr>
          <w:lang w:val="ru-RU"/>
        </w:rPr>
        <w:tab/>
        <w:t>случай касается реального проекта на конечной стадии разработки;</w:t>
      </w:r>
    </w:p>
    <w:p w14:paraId="36C76BA4" w14:textId="77777777" w:rsidR="00A06CB6" w:rsidRPr="00494635" w:rsidRDefault="00A06CB6" w:rsidP="00A06CB6">
      <w:pPr>
        <w:pStyle w:val="enumlev1"/>
        <w:jc w:val="both"/>
        <w:rPr>
          <w:lang w:val="ru-RU"/>
        </w:rPr>
      </w:pPr>
      <w:r w:rsidRPr="00494635">
        <w:rPr>
          <w:lang w:val="ru-RU"/>
        </w:rPr>
        <w:t>•</w:t>
      </w:r>
      <w:r w:rsidRPr="00494635">
        <w:rPr>
          <w:lang w:val="ru-RU"/>
        </w:rPr>
        <w:tab/>
        <w:t>контракт с изготовителем спутника Ovzon 3 был заключен 10 июля 2019 года с датой отгрузки 25 августа 2021 года;</w:t>
      </w:r>
    </w:p>
    <w:p w14:paraId="1B793F88" w14:textId="77777777" w:rsidR="00A06CB6" w:rsidRPr="00494635" w:rsidRDefault="00A06CB6" w:rsidP="00A06CB6">
      <w:pPr>
        <w:pStyle w:val="enumlev1"/>
        <w:jc w:val="both"/>
        <w:rPr>
          <w:lang w:val="ru-RU"/>
        </w:rPr>
      </w:pPr>
      <w:r w:rsidRPr="00494635">
        <w:rPr>
          <w:lang w:val="ru-RU"/>
        </w:rPr>
        <w:t>•</w:t>
      </w:r>
      <w:r w:rsidRPr="00494635">
        <w:rPr>
          <w:lang w:val="ru-RU"/>
        </w:rPr>
        <w:tab/>
        <w:t>администрация также указала, что 29 июля 2019 года с поставщиком услуг запуска был подписан контракт с окном запуска в октябре–декабре 2021 года и ожидаемым прибытием спутника в орбитальную позицию до конца апреля 2022 года, однако подтверждающая документация предоставлена не была;</w:t>
      </w:r>
    </w:p>
    <w:p w14:paraId="15870CCA" w14:textId="77777777" w:rsidR="00A06CB6" w:rsidRPr="00494635" w:rsidRDefault="00A06CB6" w:rsidP="00A06CB6">
      <w:pPr>
        <w:pStyle w:val="enumlev1"/>
        <w:jc w:val="both"/>
        <w:rPr>
          <w:lang w:val="ru-RU"/>
        </w:rPr>
      </w:pPr>
      <w:r w:rsidRPr="00494635">
        <w:rPr>
          <w:lang w:val="ru-RU"/>
        </w:rPr>
        <w:t>•</w:t>
      </w:r>
      <w:r w:rsidRPr="00494635">
        <w:rPr>
          <w:lang w:val="ru-RU"/>
        </w:rPr>
        <w:tab/>
        <w:t>исходя из сообщенных сроков выполнения проекта, администрация уложилась бы в регламентарный предельный срок ввода в действие частотных присвоений спутниковой сети CYP-30B-59.7E-3 при условии отсутствия имевших место задержек;</w:t>
      </w:r>
    </w:p>
    <w:p w14:paraId="790266B0" w14:textId="77777777" w:rsidR="00A06CB6" w:rsidRPr="00494635" w:rsidRDefault="00A06CB6" w:rsidP="00A06CB6">
      <w:pPr>
        <w:pStyle w:val="enumlev1"/>
        <w:jc w:val="both"/>
        <w:rPr>
          <w:lang w:val="ru-RU"/>
        </w:rPr>
      </w:pPr>
      <w:r w:rsidRPr="00494635">
        <w:rPr>
          <w:lang w:val="ru-RU"/>
        </w:rPr>
        <w:t>•</w:t>
      </w:r>
      <w:r w:rsidRPr="00494635">
        <w:rPr>
          <w:lang w:val="ru-RU"/>
        </w:rPr>
        <w:tab/>
        <w:t>потенциальное влияние соответствующего национального законодательства или возможные задержки при доставке компонентов субподрядчиками должны учитываться на этапе планирования проекта и не могут служить обоснованием форс-мажорных обстоятельств;</w:t>
      </w:r>
    </w:p>
    <w:p w14:paraId="6C2A6ED0" w14:textId="77777777" w:rsidR="00A06CB6" w:rsidRPr="00494635" w:rsidRDefault="00A06CB6" w:rsidP="00A06CB6">
      <w:pPr>
        <w:pStyle w:val="enumlev1"/>
        <w:jc w:val="both"/>
        <w:rPr>
          <w:lang w:val="ru-RU"/>
        </w:rPr>
      </w:pPr>
      <w:r w:rsidRPr="00494635">
        <w:rPr>
          <w:lang w:val="ru-RU"/>
        </w:rPr>
        <w:t>•</w:t>
      </w:r>
      <w:r w:rsidRPr="00494635">
        <w:rPr>
          <w:lang w:val="ru-RU"/>
        </w:rPr>
        <w:tab/>
        <w:t>хотя задержки объясняются воздействием глобальной пандемии COVID-19, лесными пожарами и неблагоприятными погодными условиями, их воздействие не имеет количественной оценки;</w:t>
      </w:r>
    </w:p>
    <w:p w14:paraId="32EA0B96" w14:textId="77777777" w:rsidR="00A06CB6" w:rsidRPr="00494635" w:rsidRDefault="00A06CB6" w:rsidP="00A06CB6">
      <w:pPr>
        <w:pStyle w:val="enumlev1"/>
        <w:jc w:val="both"/>
        <w:rPr>
          <w:lang w:val="ru-RU"/>
        </w:rPr>
      </w:pPr>
      <w:r w:rsidRPr="00494635">
        <w:rPr>
          <w:lang w:val="ru-RU"/>
        </w:rPr>
        <w:t>•</w:t>
      </w:r>
      <w:r w:rsidRPr="00494635">
        <w:rPr>
          <w:lang w:val="ru-RU"/>
        </w:rPr>
        <w:tab/>
        <w:t>предоставленная информация является недостаточной для определения того, удовлетворяет ли ситуация всем условиям, для того чтобы считаться случаем форс-мажорных обстоятельств;</w:t>
      </w:r>
    </w:p>
    <w:p w14:paraId="57CB543B" w14:textId="77777777" w:rsidR="00A06CB6" w:rsidRPr="00494635" w:rsidRDefault="00A06CB6" w:rsidP="00A06CB6">
      <w:pPr>
        <w:pStyle w:val="enumlev1"/>
        <w:jc w:val="both"/>
        <w:rPr>
          <w:lang w:val="ru-RU"/>
        </w:rPr>
      </w:pPr>
      <w:r w:rsidRPr="00494635">
        <w:rPr>
          <w:lang w:val="ru-RU"/>
        </w:rPr>
        <w:t>•</w:t>
      </w:r>
      <w:r w:rsidRPr="00494635">
        <w:rPr>
          <w:lang w:val="ru-RU"/>
        </w:rPr>
        <w:tab/>
        <w:t>предоставленная информация является недостаточной для обоснования продления срока на 11 месяцев.</w:t>
      </w:r>
    </w:p>
    <w:p w14:paraId="2E6B3400" w14:textId="77777777" w:rsidR="00A06CB6" w:rsidRPr="00494635" w:rsidRDefault="00A06CB6" w:rsidP="00A06CB6">
      <w:pPr>
        <w:jc w:val="both"/>
        <w:rPr>
          <w:highlight w:val="lightGray"/>
          <w:lang w:val="ru-RU"/>
        </w:rPr>
      </w:pPr>
      <w:r w:rsidRPr="00494635">
        <w:rPr>
          <w:lang w:val="ru-RU"/>
        </w:rPr>
        <w:t>На основании предоставленной информации Комитет пришел к выводу, что он не может удовлетворить просьбу администрации Кипра. Требуется более подробная информация, чтобы определить, относится ли данная ситуация к случаю форс-мажорных обстоятельств, и обосновать запрошенную продолжительность продления регламентарного предельного срока. В связи с этим Комитет поручил Бюро предложить администрации Кипра представить 92</w:t>
      </w:r>
      <w:r w:rsidRPr="00494635">
        <w:rPr>
          <w:lang w:val="ru-RU"/>
        </w:rPr>
        <w:noBreakHyphen/>
        <w:t>му собранию Комитета информацию по следующим вопросам в поддержку ее просьбы:</w:t>
      </w:r>
    </w:p>
    <w:p w14:paraId="61B6B24C" w14:textId="77777777" w:rsidR="00A06CB6" w:rsidRPr="00494635" w:rsidRDefault="00A06CB6" w:rsidP="00A06CB6">
      <w:pPr>
        <w:pStyle w:val="enumlev1"/>
        <w:jc w:val="both"/>
        <w:rPr>
          <w:lang w:val="ru-RU"/>
        </w:rPr>
      </w:pPr>
      <w:r w:rsidRPr="00494635">
        <w:rPr>
          <w:lang w:val="ru-RU"/>
        </w:rPr>
        <w:t>•</w:t>
      </w:r>
      <w:r w:rsidRPr="00494635">
        <w:rPr>
          <w:lang w:val="ru-RU"/>
        </w:rPr>
        <w:tab/>
        <w:t>подробные доказательства того, что по каждому из форс-мажорных обстоятельств соблюдены все условия для отнесения ситуации к случаю форс-мажорных обстоятельств;</w:t>
      </w:r>
    </w:p>
    <w:p w14:paraId="38E306B2" w14:textId="77777777" w:rsidR="00A06CB6" w:rsidRPr="00494635" w:rsidRDefault="00A06CB6" w:rsidP="00A06CB6">
      <w:pPr>
        <w:pStyle w:val="enumlev1"/>
        <w:jc w:val="both"/>
        <w:rPr>
          <w:lang w:val="ru-RU"/>
        </w:rPr>
      </w:pPr>
      <w:r w:rsidRPr="00494635">
        <w:rPr>
          <w:lang w:val="ru-RU"/>
        </w:rPr>
        <w:t>•</w:t>
      </w:r>
      <w:r w:rsidRPr="00494635">
        <w:rPr>
          <w:lang w:val="ru-RU"/>
        </w:rPr>
        <w:tab/>
        <w:t>документацию, обосновывающую запрашиваемую продолжительность продления регламентарного предельного срока;</w:t>
      </w:r>
    </w:p>
    <w:p w14:paraId="7884A284" w14:textId="77777777" w:rsidR="00A06CB6" w:rsidRPr="00494635" w:rsidRDefault="00A06CB6" w:rsidP="00A06CB6">
      <w:pPr>
        <w:pStyle w:val="enumlev1"/>
        <w:jc w:val="both"/>
        <w:rPr>
          <w:lang w:val="ru-RU"/>
        </w:rPr>
      </w:pPr>
      <w:r w:rsidRPr="00494635">
        <w:rPr>
          <w:lang w:val="ru-RU"/>
        </w:rPr>
        <w:t>•</w:t>
      </w:r>
      <w:r w:rsidRPr="00494635">
        <w:rPr>
          <w:lang w:val="ru-RU"/>
        </w:rPr>
        <w:tab/>
        <w:t>документацию для количественной оценки задержек, связанных с глобальной пандемией COVID-19, лесными пожарами и неблагоприятными погодными условиями, а также их совокупного воздействия с целью обоснования просьбы о продлении регламентарного предельного срока на 11 месяцев;</w:t>
      </w:r>
    </w:p>
    <w:p w14:paraId="135BA994" w14:textId="77777777" w:rsidR="00A06CB6" w:rsidRPr="00494635" w:rsidRDefault="00A06CB6" w:rsidP="00A06CB6">
      <w:pPr>
        <w:pStyle w:val="enumlev1"/>
        <w:jc w:val="both"/>
        <w:rPr>
          <w:lang w:val="ru-RU"/>
        </w:rPr>
      </w:pPr>
      <w:r w:rsidRPr="00494635">
        <w:rPr>
          <w:lang w:val="ru-RU"/>
        </w:rPr>
        <w:t>•</w:t>
      </w:r>
      <w:r w:rsidRPr="00494635">
        <w:rPr>
          <w:lang w:val="ru-RU"/>
        </w:rPr>
        <w:tab/>
        <w:t>документацию по заключенным контрактам с изготовителем и поставщиком услуг запуска, в которых также указаны дата отгрузки спутника и окно запуска;</w:t>
      </w:r>
    </w:p>
    <w:p w14:paraId="3E853D8D" w14:textId="77777777" w:rsidR="00A06CB6" w:rsidRPr="00494635" w:rsidRDefault="00A06CB6" w:rsidP="00A06CB6">
      <w:pPr>
        <w:pStyle w:val="enumlev1"/>
        <w:jc w:val="both"/>
        <w:rPr>
          <w:lang w:val="ru-RU"/>
        </w:rPr>
      </w:pPr>
      <w:r w:rsidRPr="00494635">
        <w:rPr>
          <w:lang w:val="ru-RU"/>
        </w:rPr>
        <w:t>•</w:t>
      </w:r>
      <w:r w:rsidRPr="00494635">
        <w:rPr>
          <w:lang w:val="ru-RU"/>
        </w:rPr>
        <w:tab/>
        <w:t>частотные диапазоны ретрансляторов на борту спутника OVZON 3;</w:t>
      </w:r>
    </w:p>
    <w:p w14:paraId="18971933" w14:textId="77777777" w:rsidR="00A06CB6" w:rsidRPr="00494635" w:rsidRDefault="00A06CB6" w:rsidP="00A06CB6">
      <w:pPr>
        <w:pStyle w:val="enumlev1"/>
        <w:jc w:val="both"/>
        <w:rPr>
          <w:lang w:val="ru-RU"/>
        </w:rPr>
      </w:pPr>
      <w:r w:rsidRPr="00494635">
        <w:rPr>
          <w:lang w:val="ru-RU"/>
        </w:rPr>
        <w:t>•</w:t>
      </w:r>
      <w:r w:rsidRPr="00494635">
        <w:rPr>
          <w:lang w:val="ru-RU"/>
        </w:rPr>
        <w:tab/>
        <w:t>шаги, предпринятые Maxar для уменьшения задержки из-за первоначального отказа двигателя-маховика Honeywell и дальнейших дополнительных задержек;</w:t>
      </w:r>
    </w:p>
    <w:p w14:paraId="77AE7E3C" w14:textId="77777777" w:rsidR="00A06CB6" w:rsidRPr="00494635" w:rsidRDefault="00A06CB6" w:rsidP="00A06CB6">
      <w:pPr>
        <w:pStyle w:val="enumlev1"/>
        <w:jc w:val="both"/>
        <w:rPr>
          <w:lang w:val="ru-RU"/>
        </w:rPr>
      </w:pPr>
      <w:r w:rsidRPr="00494635">
        <w:rPr>
          <w:lang w:val="ru-RU"/>
        </w:rPr>
        <w:t>•</w:t>
      </w:r>
      <w:r w:rsidRPr="00494635">
        <w:rPr>
          <w:lang w:val="ru-RU"/>
        </w:rPr>
        <w:tab/>
        <w:t>меры, предпринятые Maxar для снижения влияния Закона США об оборонной продукции и правилах приоритизации;</w:t>
      </w:r>
    </w:p>
    <w:p w14:paraId="7C2DB349" w14:textId="77777777" w:rsidR="00A06CB6" w:rsidRPr="00494635" w:rsidRDefault="00A06CB6" w:rsidP="00A06CB6">
      <w:pPr>
        <w:pStyle w:val="enumlev1"/>
        <w:jc w:val="both"/>
        <w:rPr>
          <w:lang w:val="ru-RU"/>
        </w:rPr>
      </w:pPr>
      <w:r w:rsidRPr="00494635">
        <w:rPr>
          <w:lang w:val="ru-RU"/>
        </w:rPr>
        <w:t>•</w:t>
      </w:r>
      <w:r w:rsidRPr="00494635">
        <w:rPr>
          <w:lang w:val="ru-RU"/>
        </w:rPr>
        <w:tab/>
        <w:t>сроки изготовления спутника OVZON 3 (дата вступления в силу контракта, начало работ, доставка спутника), продолжительность подготовки к запуску и планируемая дата запуска, планируемая дата прибытия в точку ГСО (59,7° в. д.), включая период подъема на орбиту, как первоначально планировалось и как предполагается теперь;</w:t>
      </w:r>
    </w:p>
    <w:p w14:paraId="00440284" w14:textId="77777777" w:rsidR="00A06CB6" w:rsidRPr="00494635" w:rsidRDefault="00A06CB6" w:rsidP="00A06CB6">
      <w:pPr>
        <w:pStyle w:val="enumlev1"/>
        <w:jc w:val="both"/>
        <w:rPr>
          <w:lang w:val="ru-RU"/>
        </w:rPr>
      </w:pPr>
      <w:r w:rsidRPr="00494635">
        <w:rPr>
          <w:lang w:val="ru-RU"/>
        </w:rPr>
        <w:t>•</w:t>
      </w:r>
      <w:r w:rsidRPr="00494635">
        <w:rPr>
          <w:lang w:val="ru-RU"/>
        </w:rPr>
        <w:tab/>
        <w:t>статус изготовления спутника перед наступлением каждого форс-мажорного обстоятельства.</w:t>
      </w:r>
    </w:p>
    <w:p w14:paraId="4C213355" w14:textId="77777777" w:rsidR="00A06CB6" w:rsidRPr="00494635" w:rsidRDefault="00A06CB6" w:rsidP="00A06CB6">
      <w:pPr>
        <w:jc w:val="both"/>
        <w:rPr>
          <w:lang w:val="ru-RU"/>
        </w:rPr>
      </w:pPr>
      <w:r w:rsidRPr="00494635">
        <w:rPr>
          <w:lang w:val="ru-RU"/>
        </w:rPr>
        <w:lastRenderedPageBreak/>
        <w:t xml:space="preserve">Комитет напомнил администрации Кипра, что Часть B и заявление должны быть получены не позднее 15 декабря 2022 года, а информация согласно Резолюции </w:t>
      </w:r>
      <w:r w:rsidRPr="00494635">
        <w:rPr>
          <w:b/>
          <w:bCs/>
          <w:lang w:val="ru-RU"/>
        </w:rPr>
        <w:t>49 (Пересм. ВКР-19)</w:t>
      </w:r>
      <w:r w:rsidRPr="00494635">
        <w:rPr>
          <w:lang w:val="ru-RU"/>
        </w:rPr>
        <w:t xml:space="preserve"> должна быть получена не позднее 30 дней после 15 декабря 2022 года. Комитет далее поручил Бюро продолжать учитывать частотные присвоения спутниковой сети CYP-30B-59.7E-3 до завершения 92-го собрания Комитета."</w:t>
      </w:r>
    </w:p>
    <w:p w14:paraId="30BB1242" w14:textId="77777777" w:rsidR="00A06CB6" w:rsidRPr="00494635" w:rsidRDefault="00A06CB6" w:rsidP="00A06CB6">
      <w:pPr>
        <w:jc w:val="both"/>
        <w:rPr>
          <w:lang w:val="ru-RU"/>
        </w:rPr>
      </w:pPr>
      <w:r w:rsidRPr="00494635">
        <w:rPr>
          <w:lang w:val="ru-RU"/>
        </w:rPr>
        <w:t>5.7.18</w:t>
      </w:r>
      <w:r w:rsidRPr="00494635">
        <w:rPr>
          <w:lang w:val="ru-RU"/>
        </w:rPr>
        <w:tab/>
        <w:t xml:space="preserve">Решение </w:t>
      </w:r>
      <w:r w:rsidRPr="00494635">
        <w:rPr>
          <w:b/>
          <w:bCs/>
          <w:lang w:val="ru-RU"/>
        </w:rPr>
        <w:t>принимается</w:t>
      </w:r>
      <w:r w:rsidRPr="00494635">
        <w:rPr>
          <w:lang w:val="ru-RU"/>
        </w:rPr>
        <w:t>.</w:t>
      </w:r>
    </w:p>
    <w:p w14:paraId="13B82FB1" w14:textId="77777777" w:rsidR="00A06CB6" w:rsidRPr="00494635" w:rsidRDefault="00A06CB6" w:rsidP="00A06CB6">
      <w:pPr>
        <w:pStyle w:val="Heading2"/>
        <w:jc w:val="both"/>
        <w:rPr>
          <w:lang w:val="ru-RU"/>
        </w:rPr>
      </w:pPr>
      <w:r w:rsidRPr="00494635">
        <w:rPr>
          <w:lang w:val="ru-RU"/>
        </w:rPr>
        <w:t>5.8</w:t>
      </w:r>
      <w:r w:rsidRPr="00494635">
        <w:rPr>
          <w:lang w:val="ru-RU"/>
        </w:rPr>
        <w:tab/>
        <w:t>Представление администрации Российской Федерации,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системы SKY-F (Документ RRB22</w:t>
      </w:r>
      <w:r w:rsidRPr="00494635">
        <w:rPr>
          <w:lang w:val="ru-RU"/>
        </w:rPr>
        <w:noBreakHyphen/>
        <w:t>3/15)</w:t>
      </w:r>
    </w:p>
    <w:p w14:paraId="1C0A583E" w14:textId="77777777" w:rsidR="00A06CB6" w:rsidRPr="00494635" w:rsidRDefault="00A06CB6" w:rsidP="00A06CB6">
      <w:pPr>
        <w:jc w:val="both"/>
        <w:rPr>
          <w:lang w:val="ru-RU"/>
        </w:rPr>
      </w:pPr>
      <w:r w:rsidRPr="00494635">
        <w:rPr>
          <w:lang w:val="ru-RU"/>
        </w:rPr>
        <w:t>5.8.1</w:t>
      </w:r>
      <w:r w:rsidRPr="00494635">
        <w:rPr>
          <w:lang w:val="ru-RU"/>
        </w:rPr>
        <w:tab/>
      </w:r>
      <w:r w:rsidRPr="00494635">
        <w:rPr>
          <w:b/>
          <w:bCs/>
          <w:lang w:val="ru-RU"/>
        </w:rPr>
        <w:t>Г-н Лоо (</w:t>
      </w:r>
      <w:r w:rsidRPr="00494635">
        <w:rPr>
          <w:lang w:val="ru-RU"/>
        </w:rPr>
        <w:t>руководитель SSD/SPR) представляет Документ RRB22-3/15, в котором администрация Российской Федерации представляет дополнительную информацию, которую Комитет запросил на своем 90</w:t>
      </w:r>
      <w:r w:rsidRPr="00494635">
        <w:rPr>
          <w:lang w:val="ru-RU"/>
        </w:rPr>
        <w:noBreakHyphen/>
        <w:t xml:space="preserve">м собрании в отношении просьбы администрации о продлении регламентарного предельного срока ввода в действие частотных присвоений спутниковой системы SKY-F на основании </w:t>
      </w:r>
      <w:r w:rsidRPr="00494635">
        <w:rPr>
          <w:shd w:val="clear" w:color="auto" w:fill="FFFFFF"/>
          <w:lang w:val="ru-RU"/>
        </w:rPr>
        <w:t xml:space="preserve">задержки запуска, вызванной </w:t>
      </w:r>
      <w:r w:rsidRPr="00494635">
        <w:rPr>
          <w:lang w:val="ru-RU"/>
        </w:rPr>
        <w:t>неготовностью одного из спутников, размещаемых на той же ракете-носителе. Представленная информация включает краткое описание подлежащего запуску спутника (в Приложении 1 к представлению), включая полосы частот и статус строительства спутника, в том числе дату начала строительства и ожидается ли завершение строительства спутника до первоначального окна запуска (в Приложении 2).</w:t>
      </w:r>
    </w:p>
    <w:p w14:paraId="53E80C2D" w14:textId="77777777" w:rsidR="00A06CB6" w:rsidRPr="00494635" w:rsidRDefault="00A06CB6" w:rsidP="00A06CB6">
      <w:pPr>
        <w:jc w:val="both"/>
        <w:rPr>
          <w:lang w:val="ru-RU"/>
        </w:rPr>
      </w:pPr>
      <w:r w:rsidRPr="00494635">
        <w:rPr>
          <w:lang w:val="ru-RU"/>
        </w:rPr>
        <w:t>5.8.2</w:t>
      </w:r>
      <w:r w:rsidRPr="00494635">
        <w:rPr>
          <w:lang w:val="ru-RU"/>
        </w:rPr>
        <w:tab/>
        <w:t xml:space="preserve">В ответ на вопрос </w:t>
      </w:r>
      <w:r w:rsidRPr="00494635">
        <w:rPr>
          <w:b/>
          <w:lang w:val="ru-RU"/>
        </w:rPr>
        <w:t xml:space="preserve">г-жи Гасановой </w:t>
      </w:r>
      <w:r w:rsidRPr="00494635">
        <w:rPr>
          <w:bCs/>
          <w:lang w:val="ru-RU"/>
        </w:rPr>
        <w:t>он подтверждает, что спутник был запущен</w:t>
      </w:r>
      <w:r w:rsidRPr="00494635">
        <w:rPr>
          <w:lang w:val="ru-RU"/>
        </w:rPr>
        <w:t xml:space="preserve"> 22 октября 2022 года.</w:t>
      </w:r>
    </w:p>
    <w:p w14:paraId="08280965" w14:textId="77777777" w:rsidR="00A06CB6" w:rsidRPr="00494635" w:rsidRDefault="00A06CB6" w:rsidP="00A06CB6">
      <w:pPr>
        <w:jc w:val="both"/>
        <w:rPr>
          <w:lang w:val="ru-RU"/>
        </w:rPr>
      </w:pPr>
      <w:r w:rsidRPr="00494635">
        <w:rPr>
          <w:lang w:val="ru-RU"/>
        </w:rPr>
        <w:t>5.8.3</w:t>
      </w:r>
      <w:r w:rsidRPr="00494635">
        <w:rPr>
          <w:lang w:val="ru-RU"/>
        </w:rPr>
        <w:tab/>
      </w:r>
      <w:r w:rsidRPr="00494635">
        <w:rPr>
          <w:b/>
          <w:lang w:val="ru-RU"/>
        </w:rPr>
        <w:t>Г-н Аззуз</w:t>
      </w:r>
      <w:r w:rsidRPr="00494635">
        <w:rPr>
          <w:bCs/>
          <w:lang w:val="ru-RU"/>
        </w:rPr>
        <w:t>,</w:t>
      </w:r>
      <w:r w:rsidRPr="00494635">
        <w:rPr>
          <w:b/>
          <w:lang w:val="ru-RU"/>
        </w:rPr>
        <w:t xml:space="preserve"> г-жа Жеанти</w:t>
      </w:r>
      <w:r w:rsidRPr="00494635">
        <w:rPr>
          <w:bCs/>
          <w:lang w:val="ru-RU"/>
        </w:rPr>
        <w:t>,</w:t>
      </w:r>
      <w:r w:rsidRPr="00494635">
        <w:rPr>
          <w:b/>
          <w:lang w:val="ru-RU"/>
        </w:rPr>
        <w:t xml:space="preserve"> г-н Талиб</w:t>
      </w:r>
      <w:r w:rsidRPr="00494635">
        <w:rPr>
          <w:bCs/>
          <w:lang w:val="ru-RU"/>
        </w:rPr>
        <w:t>,</w:t>
      </w:r>
      <w:r w:rsidRPr="00494635">
        <w:rPr>
          <w:b/>
          <w:lang w:val="ru-RU"/>
        </w:rPr>
        <w:t xml:space="preserve"> г-н Хоан</w:t>
      </w:r>
      <w:r w:rsidRPr="00494635">
        <w:rPr>
          <w:bCs/>
          <w:lang w:val="ru-RU"/>
        </w:rPr>
        <w:t>,</w:t>
      </w:r>
      <w:r w:rsidRPr="00494635">
        <w:rPr>
          <w:b/>
          <w:lang w:val="ru-RU"/>
        </w:rPr>
        <w:t xml:space="preserve"> г-жа Гасанова, г-н Хасимото</w:t>
      </w:r>
      <w:r w:rsidRPr="00494635">
        <w:rPr>
          <w:bCs/>
          <w:lang w:val="ru-RU"/>
        </w:rPr>
        <w:t>,</w:t>
      </w:r>
      <w:r w:rsidRPr="00494635">
        <w:rPr>
          <w:b/>
          <w:lang w:val="ru-RU"/>
        </w:rPr>
        <w:t xml:space="preserve"> г-н Борхон </w:t>
      </w:r>
      <w:r w:rsidRPr="00494635">
        <w:rPr>
          <w:bCs/>
          <w:lang w:val="ru-RU"/>
        </w:rPr>
        <w:t>и</w:t>
      </w:r>
      <w:r w:rsidRPr="00494635">
        <w:rPr>
          <w:lang w:val="ru-RU"/>
        </w:rPr>
        <w:t xml:space="preserve"> </w:t>
      </w:r>
      <w:r w:rsidRPr="00494635">
        <w:rPr>
          <w:b/>
          <w:lang w:val="ru-RU"/>
        </w:rPr>
        <w:t>г</w:t>
      </w:r>
      <w:r w:rsidRPr="00494635">
        <w:rPr>
          <w:b/>
          <w:lang w:val="ru-RU"/>
        </w:rPr>
        <w:noBreakHyphen/>
        <w:t>н Мчуну</w:t>
      </w:r>
      <w:r w:rsidRPr="00494635">
        <w:rPr>
          <w:lang w:val="ru-RU"/>
        </w:rPr>
        <w:t xml:space="preserve"> считают, что документ содержит информацию, запрошенную Комитетом на его 90</w:t>
      </w:r>
      <w:r w:rsidRPr="00494635">
        <w:rPr>
          <w:lang w:val="ru-RU"/>
        </w:rPr>
        <w:noBreakHyphen/>
        <w:t xml:space="preserve">м собрании и показывающую, что спутник был построен и запущен. Они поддерживают удовлетворение просьбы о продлении на четыре месяца, до 31 января 2023 года. </w:t>
      </w:r>
    </w:p>
    <w:p w14:paraId="02FD2284" w14:textId="77777777" w:rsidR="00A06CB6" w:rsidRPr="00494635" w:rsidRDefault="00A06CB6" w:rsidP="00A06CB6">
      <w:pPr>
        <w:jc w:val="both"/>
        <w:rPr>
          <w:lang w:val="ru-RU"/>
        </w:rPr>
      </w:pPr>
      <w:r w:rsidRPr="00494635">
        <w:rPr>
          <w:lang w:val="ru-RU"/>
        </w:rPr>
        <w:t>5.8.4</w:t>
      </w:r>
      <w:r w:rsidRPr="00494635">
        <w:rPr>
          <w:lang w:val="ru-RU"/>
        </w:rPr>
        <w:tab/>
      </w:r>
      <w:r w:rsidRPr="00494635">
        <w:rPr>
          <w:b/>
          <w:lang w:val="ru-RU"/>
        </w:rPr>
        <w:t>Г-жа Бомье</w:t>
      </w:r>
      <w:r w:rsidRPr="00494635">
        <w:rPr>
          <w:lang w:val="ru-RU"/>
        </w:rPr>
        <w:t xml:space="preserve"> также считает, что документ показывает, что спутник был готов для отгрузки в конце августа, что дата запуска была определена и запуск был фактически осуществлен. Поэтому она также поддерживает предоставление продления, но считает, что оно должно быть до конца октября 2022 года. В предыдущем представлении прогнозировалось окно запуска в январе/феврале 2023 года, что оправдывало просьбу о продлении на четыре месяца. С тех пор спутник был запущен 22 октября 2022 года, и в своем решении Комитет должен учитывать эту новую информацию.</w:t>
      </w:r>
    </w:p>
    <w:p w14:paraId="4421C59E" w14:textId="77777777" w:rsidR="00A06CB6" w:rsidRPr="00494635" w:rsidRDefault="00A06CB6" w:rsidP="00A06CB6">
      <w:pPr>
        <w:jc w:val="both"/>
        <w:rPr>
          <w:lang w:val="ru-RU"/>
        </w:rPr>
      </w:pPr>
      <w:r w:rsidRPr="00494635">
        <w:rPr>
          <w:lang w:val="ru-RU"/>
        </w:rPr>
        <w:t>5.8.5</w:t>
      </w:r>
      <w:r w:rsidRPr="00494635">
        <w:rPr>
          <w:lang w:val="ru-RU"/>
        </w:rPr>
        <w:tab/>
      </w:r>
      <w:r w:rsidRPr="00494635">
        <w:rPr>
          <w:b/>
          <w:lang w:val="ru-RU"/>
        </w:rPr>
        <w:t>Г-н Анри</w:t>
      </w:r>
      <w:r w:rsidRPr="00494635">
        <w:rPr>
          <w:bCs/>
          <w:lang w:val="ru-RU"/>
        </w:rPr>
        <w:t xml:space="preserve">, подчеркивая, что рассматриваемый случай подпадает под действие Правил процедуры о задержке </w:t>
      </w:r>
      <w:r w:rsidRPr="00494635">
        <w:rPr>
          <w:lang w:val="ru-RU"/>
        </w:rPr>
        <w:t>запуска, вызванной неготовностью одного из спутников</w:t>
      </w:r>
      <w:r w:rsidRPr="00494635">
        <w:rPr>
          <w:bCs/>
          <w:lang w:val="ru-RU"/>
        </w:rPr>
        <w:t>, размещаемых на той же ракете-носителе, говорит, что он выступит за предоставление продления регламентарного предельного срока ввода в действие частотных присвоений спутниковой сети</w:t>
      </w:r>
      <w:r w:rsidRPr="00494635">
        <w:rPr>
          <w:lang w:val="ru-RU"/>
        </w:rPr>
        <w:t xml:space="preserve"> SKY-F</w:t>
      </w:r>
      <w:r w:rsidRPr="00494635">
        <w:rPr>
          <w:bCs/>
          <w:lang w:val="ru-RU"/>
        </w:rPr>
        <w:t>, но на ограниченный срок, основанный на дате запуска спутника – 22 октября 2022 года</w:t>
      </w:r>
      <w:r w:rsidRPr="00494635">
        <w:rPr>
          <w:lang w:val="ru-RU"/>
        </w:rPr>
        <w:t xml:space="preserve">. </w:t>
      </w:r>
    </w:p>
    <w:p w14:paraId="5EA729EC" w14:textId="77777777" w:rsidR="00A06CB6" w:rsidRPr="00494635" w:rsidRDefault="00A06CB6" w:rsidP="00A06CB6">
      <w:pPr>
        <w:jc w:val="both"/>
        <w:rPr>
          <w:lang w:val="ru-RU"/>
        </w:rPr>
      </w:pPr>
      <w:r w:rsidRPr="00494635">
        <w:rPr>
          <w:lang w:val="ru-RU"/>
        </w:rPr>
        <w:t>5.8.6</w:t>
      </w:r>
      <w:r w:rsidRPr="00494635">
        <w:rPr>
          <w:lang w:val="ru-RU"/>
        </w:rPr>
        <w:tab/>
        <w:t xml:space="preserve">В ответ на предложение </w:t>
      </w:r>
      <w:r w:rsidRPr="00494635">
        <w:rPr>
          <w:b/>
          <w:lang w:val="ru-RU"/>
        </w:rPr>
        <w:t>г-на Аззуза</w:t>
      </w:r>
      <w:r w:rsidRPr="00494635">
        <w:rPr>
          <w:lang w:val="ru-RU"/>
        </w:rPr>
        <w:t xml:space="preserve"> о том, что администрации Российской Федерации следовало бы вновь обратиться к Комитету на его следующем собрании с просьбой о продлении на больший срок, если это будет необходимо, выступающий добавляет, что не думает, что после конца января 2023 года потребуется дополнительное время, потому что спутник запущен. Комитет должен предоставить продление, которое совместимо с датой запуска – 22 октября 2022 года. Представляется, что представленная на предыдущем собрании информация указывает на короткий период ввода в действие. Если Комитет хочет быть последовательным при предоставлении продлений, ему следует предоставить продление до конца ноября 2022 года.</w:t>
      </w:r>
    </w:p>
    <w:p w14:paraId="4E002650" w14:textId="77777777" w:rsidR="00A06CB6" w:rsidRPr="00494635" w:rsidRDefault="00A06CB6" w:rsidP="00A06CB6">
      <w:pPr>
        <w:jc w:val="both"/>
        <w:rPr>
          <w:lang w:val="ru-RU"/>
        </w:rPr>
      </w:pPr>
      <w:r w:rsidRPr="00494635">
        <w:rPr>
          <w:lang w:val="ru-RU"/>
        </w:rPr>
        <w:t>5.8.7</w:t>
      </w:r>
      <w:r w:rsidRPr="00494635">
        <w:rPr>
          <w:lang w:val="ru-RU"/>
        </w:rPr>
        <w:tab/>
      </w:r>
      <w:r w:rsidRPr="00494635">
        <w:rPr>
          <w:b/>
          <w:lang w:val="ru-RU"/>
        </w:rPr>
        <w:t xml:space="preserve">Г-жа Бомье </w:t>
      </w:r>
      <w:r w:rsidRPr="00494635">
        <w:rPr>
          <w:bCs/>
          <w:lang w:val="ru-RU"/>
        </w:rPr>
        <w:t>соглашается и напоминает, что Комитету поручено предоставлять ограниченные по времени продления</w:t>
      </w:r>
      <w:r w:rsidRPr="00494635">
        <w:rPr>
          <w:lang w:val="ru-RU"/>
        </w:rPr>
        <w:t>. Согласно представленному графику, всегда планируется начинать испытания сразу после запуска. С учетом фактической даты запуска спутника, представляется разумным продление до конца октября 2022 года; вместе с тем из осторожности Комитет может рассмотреть возможность предоставления продления до конца ноября 2022 года.</w:t>
      </w:r>
    </w:p>
    <w:p w14:paraId="76CAB442" w14:textId="77777777" w:rsidR="00A06CB6" w:rsidRPr="00494635" w:rsidRDefault="00A06CB6" w:rsidP="00A06CB6">
      <w:pPr>
        <w:jc w:val="both"/>
        <w:rPr>
          <w:lang w:val="ru-RU"/>
        </w:rPr>
      </w:pPr>
      <w:r w:rsidRPr="00494635">
        <w:rPr>
          <w:lang w:val="ru-RU"/>
        </w:rPr>
        <w:t>5.8.8</w:t>
      </w:r>
      <w:r w:rsidRPr="00494635">
        <w:rPr>
          <w:lang w:val="ru-RU"/>
        </w:rPr>
        <w:tab/>
      </w:r>
      <w:r w:rsidRPr="00494635">
        <w:rPr>
          <w:b/>
          <w:lang w:val="ru-RU"/>
        </w:rPr>
        <w:t xml:space="preserve">Г-жа Жеанти </w:t>
      </w:r>
      <w:r w:rsidRPr="00494635">
        <w:rPr>
          <w:bCs/>
          <w:lang w:val="ru-RU"/>
        </w:rPr>
        <w:t>соглашается, учитывая, что спутник запущен</w:t>
      </w:r>
      <w:r w:rsidRPr="00494635">
        <w:rPr>
          <w:lang w:val="ru-RU"/>
        </w:rPr>
        <w:t>.</w:t>
      </w:r>
    </w:p>
    <w:p w14:paraId="59724914" w14:textId="77777777" w:rsidR="00A06CB6" w:rsidRPr="00494635" w:rsidRDefault="00A06CB6" w:rsidP="00A06CB6">
      <w:pPr>
        <w:jc w:val="both"/>
        <w:rPr>
          <w:lang w:val="ru-RU"/>
        </w:rPr>
      </w:pPr>
      <w:r w:rsidRPr="00494635">
        <w:rPr>
          <w:lang w:val="ru-RU"/>
        </w:rPr>
        <w:lastRenderedPageBreak/>
        <w:t>5.8.9</w:t>
      </w:r>
      <w:r w:rsidRPr="00494635">
        <w:rPr>
          <w:lang w:val="ru-RU"/>
        </w:rPr>
        <w:tab/>
      </w:r>
      <w:r w:rsidRPr="00494635">
        <w:rPr>
          <w:b/>
          <w:bCs/>
          <w:lang w:val="ru-RU"/>
        </w:rPr>
        <w:t xml:space="preserve">Председатель </w:t>
      </w:r>
      <w:r w:rsidRPr="00494635">
        <w:rPr>
          <w:bCs/>
          <w:lang w:val="ru-RU"/>
        </w:rPr>
        <w:t>предлагает Комитету сделать по данному вопросу следующее заключение</w:t>
      </w:r>
      <w:r w:rsidRPr="00494635">
        <w:rPr>
          <w:lang w:val="ru-RU"/>
        </w:rPr>
        <w:t>:</w:t>
      </w:r>
    </w:p>
    <w:p w14:paraId="106A5CE9" w14:textId="77777777" w:rsidR="00A06CB6" w:rsidRPr="00494635" w:rsidRDefault="00A06CB6" w:rsidP="00A06CB6">
      <w:pPr>
        <w:jc w:val="both"/>
        <w:rPr>
          <w:lang w:val="ru-RU"/>
        </w:rPr>
      </w:pPr>
      <w:r w:rsidRPr="00494635">
        <w:rPr>
          <w:lang w:val="ru-RU"/>
        </w:rPr>
        <w:t>"Комитет подробно рассмотрел просьбу и дополнительную информацию от администрации Российской Федерации, содержащиеся в Документе RRB22-3/15. Комитет поблагодарил администрацию Российской Федерации за предоставление всей информации, запрошенной Комитетом на его 90-м собрании. Комитет отметил, что:</w:t>
      </w:r>
    </w:p>
    <w:p w14:paraId="5B7B058C"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информация содержит описание спутника и его диапазонов частот;</w:t>
      </w:r>
    </w:p>
    <w:p w14:paraId="1990C0D3" w14:textId="77777777" w:rsidR="00A06CB6" w:rsidRPr="00494635" w:rsidRDefault="00A06CB6" w:rsidP="00A06CB6">
      <w:pPr>
        <w:pStyle w:val="enumlev1"/>
        <w:jc w:val="both"/>
        <w:rPr>
          <w:lang w:val="ru-RU"/>
        </w:rPr>
      </w:pPr>
      <w:r w:rsidRPr="00494635">
        <w:rPr>
          <w:lang w:val="ru-RU"/>
        </w:rPr>
        <w:t>•</w:t>
      </w:r>
      <w:r w:rsidRPr="00494635">
        <w:rPr>
          <w:lang w:val="ru-RU"/>
        </w:rPr>
        <w:tab/>
        <w:t>информация о состоянии изготовления спутника и дате начала изготовления свидетельствует о том, что строительство спутника было завершено до первоначального окна запуска;</w:t>
      </w:r>
    </w:p>
    <w:p w14:paraId="614226E2" w14:textId="77777777" w:rsidR="00A06CB6" w:rsidRPr="00494635" w:rsidRDefault="00A06CB6" w:rsidP="00A06CB6">
      <w:pPr>
        <w:pStyle w:val="enumlev1"/>
        <w:jc w:val="both"/>
        <w:rPr>
          <w:lang w:val="ru-RU"/>
        </w:rPr>
      </w:pPr>
      <w:r w:rsidRPr="00494635">
        <w:rPr>
          <w:lang w:val="ru-RU"/>
        </w:rPr>
        <w:t>•</w:t>
      </w:r>
      <w:r w:rsidRPr="00494635">
        <w:rPr>
          <w:lang w:val="ru-RU"/>
        </w:rPr>
        <w:tab/>
        <w:t>спутник SKYF-D был запущен 22 октября 2022 года.</w:t>
      </w:r>
    </w:p>
    <w:p w14:paraId="41DA89D6" w14:textId="77777777" w:rsidR="00A06CB6" w:rsidRPr="00494635" w:rsidRDefault="00A06CB6" w:rsidP="00A06CB6">
      <w:pPr>
        <w:jc w:val="both"/>
        <w:rPr>
          <w:lang w:val="ru-RU"/>
        </w:rPr>
      </w:pPr>
      <w:r w:rsidRPr="00494635">
        <w:rPr>
          <w:lang w:val="ru-RU"/>
        </w:rPr>
        <w:t>На основании предоставленной информации Комитет пришел к выводу, что данный случай квалифицируется как задержка запуска, вызванная неготовностью одного из спутников, размещаемых на той же ракете-носителе, в соответствии с правилами процедуры по продлению регламентарного предельного срока ввода в действие спутниковых присвоений. В связи с этим Комитет принял решение удовлетворить просьбу администрации Российской Федерации о продлении регламентарного предельного срока ввода в действие частотных присвоений спутниковой системе SKY-F в полосах частот 17 800–18 600 МГц и 18 800–19 300 МГц (космос-Земля), а также 27 600–28 400 МГц и 28 600</w:t>
      </w:r>
      <m:oMath>
        <m:r>
          <w:rPr>
            <w:rFonts w:ascii="Cambria Math" w:hAnsi="Cambria Math"/>
            <w:lang w:val="ru-RU"/>
          </w:rPr>
          <m:t>-</m:t>
        </m:r>
      </m:oMath>
      <w:r w:rsidRPr="00494635">
        <w:rPr>
          <w:lang w:val="ru-RU"/>
        </w:rPr>
        <w:t>29 100 МГц (Земля-космос) до 30 ноября 2022 года."</w:t>
      </w:r>
    </w:p>
    <w:p w14:paraId="77E6B97F" w14:textId="77777777" w:rsidR="00A06CB6" w:rsidRPr="00494635" w:rsidRDefault="00A06CB6" w:rsidP="00A06CB6">
      <w:pPr>
        <w:jc w:val="both"/>
        <w:rPr>
          <w:lang w:val="ru-RU"/>
        </w:rPr>
      </w:pPr>
      <w:r w:rsidRPr="00494635">
        <w:rPr>
          <w:lang w:val="ru-RU"/>
        </w:rPr>
        <w:t>5.8.10</w:t>
      </w:r>
      <w:r w:rsidRPr="00494635">
        <w:rPr>
          <w:lang w:val="ru-RU"/>
        </w:rPr>
        <w:tab/>
        <w:t xml:space="preserve">Предложение </w:t>
      </w:r>
      <w:r w:rsidRPr="00494635">
        <w:rPr>
          <w:b/>
          <w:bCs/>
          <w:lang w:val="ru-RU"/>
        </w:rPr>
        <w:t>принимается</w:t>
      </w:r>
      <w:r w:rsidRPr="00494635">
        <w:rPr>
          <w:lang w:val="ru-RU"/>
        </w:rPr>
        <w:t>.</w:t>
      </w:r>
    </w:p>
    <w:p w14:paraId="69672669" w14:textId="77777777" w:rsidR="00A06CB6" w:rsidRPr="00494635" w:rsidRDefault="00A06CB6" w:rsidP="00A06CB6">
      <w:pPr>
        <w:pStyle w:val="Heading1"/>
        <w:jc w:val="both"/>
        <w:rPr>
          <w:lang w:val="ru-RU"/>
        </w:rPr>
      </w:pPr>
      <w:r w:rsidRPr="00494635">
        <w:rPr>
          <w:lang w:val="ru-RU"/>
        </w:rPr>
        <w:t>6</w:t>
      </w:r>
      <w:r w:rsidRPr="00494635">
        <w:rPr>
          <w:lang w:val="ru-RU"/>
        </w:rPr>
        <w:tab/>
        <w:t>Случаи вредных помех</w:t>
      </w:r>
    </w:p>
    <w:p w14:paraId="35396BED" w14:textId="77777777" w:rsidR="00A06CB6" w:rsidRPr="00494635" w:rsidRDefault="00A06CB6" w:rsidP="00A06CB6">
      <w:pPr>
        <w:pStyle w:val="Heading2"/>
        <w:jc w:val="both"/>
        <w:rPr>
          <w:lang w:val="ru-RU"/>
        </w:rPr>
      </w:pPr>
      <w:r w:rsidRPr="00494635">
        <w:rPr>
          <w:lang w:val="ru-RU"/>
        </w:rPr>
        <w:t>6.1</w:t>
      </w:r>
      <w:r w:rsidRPr="00494635">
        <w:rPr>
          <w:lang w:val="ru-RU"/>
        </w:rPr>
        <w:tab/>
        <w:t>Представление администрации Китайской Народной Республики в ответ на 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494635">
        <w:rPr>
          <w:bCs/>
          <w:lang w:val="ru-RU"/>
        </w:rPr>
        <w:t>12</w:t>
      </w:r>
      <w:r w:rsidRPr="00494635">
        <w:rPr>
          <w:lang w:val="ru-RU"/>
        </w:rPr>
        <w:t xml:space="preserve"> РР (Документы RRB22-3/3, (RRB22-2/DELAYED/2), RRB22-3/DELAYED/1, RRB22</w:t>
      </w:r>
      <w:r w:rsidRPr="00494635">
        <w:rPr>
          <w:lang w:val="ru-RU"/>
        </w:rPr>
        <w:noBreakHyphen/>
        <w:t>3/DELAYED/2)</w:t>
      </w:r>
    </w:p>
    <w:p w14:paraId="76EE3E82" w14:textId="77777777" w:rsidR="00A06CB6" w:rsidRPr="00494635" w:rsidRDefault="00A06CB6" w:rsidP="00A06CB6">
      <w:pPr>
        <w:jc w:val="both"/>
        <w:rPr>
          <w:lang w:val="ru-RU"/>
        </w:rPr>
      </w:pPr>
      <w:r w:rsidRPr="00494635">
        <w:rPr>
          <w:lang w:val="ru-RU"/>
        </w:rPr>
        <w:t>6.1.1</w:t>
      </w:r>
      <w:r w:rsidRPr="00494635">
        <w:rPr>
          <w:lang w:val="ru-RU"/>
        </w:rPr>
        <w:tab/>
      </w:r>
      <w:r w:rsidRPr="00494635">
        <w:rPr>
          <w:b/>
          <w:bCs/>
          <w:lang w:val="ru-RU"/>
        </w:rPr>
        <w:t>Г-н Васильев (руководитель TSD)</w:t>
      </w:r>
      <w:r w:rsidRPr="00494635">
        <w:rPr>
          <w:lang w:val="ru-RU"/>
        </w:rPr>
        <w:t>, представляя данный пункт, говорит, что в Документе RRB22-3/3 содержится полученное с опозданием представление администрации Китая для 90</w:t>
      </w:r>
      <w:r w:rsidRPr="00494635">
        <w:rPr>
          <w:lang w:val="ru-RU"/>
        </w:rPr>
        <w:noBreakHyphen/>
        <w:t>го собрания (Документ RRB22-2/DELAYED/2) и представлены разъяснения в ответ на представление администрации Соединенного Королевства для этого собрания (Документ RRB22</w:t>
      </w:r>
      <w:r w:rsidRPr="00494635">
        <w:rPr>
          <w:lang w:val="ru-RU"/>
        </w:rPr>
        <w:noBreakHyphen/>
        <w:t>2/10). Администрация Китая указывает, что, поскольку соответствующие частоты находились, соответственно, под юрисдикцией администраций Омана и Сингапура во время возникновения помех, о помехах, в соответствии с п. </w:t>
      </w:r>
      <w:r w:rsidRPr="00494635">
        <w:rPr>
          <w:b/>
          <w:bCs/>
          <w:lang w:val="ru-RU"/>
        </w:rPr>
        <w:t xml:space="preserve">15.34 </w:t>
      </w:r>
      <w:r w:rsidRPr="00494635">
        <w:rPr>
          <w:lang w:val="ru-RU"/>
        </w:rPr>
        <w:t>РР, должны сообщить эти администрации. Комитету предлагается рассмотреть вопрос о том, необходимо ли продолжать рассмотрение данного вопроса. Администрация Китая также ставит под сомнение утверждения администрации Соединенного Королевства относительно источника вредных помех в районе Цинхай-Тибетского нагорья, учитывая, что особые климатические условия, существующие там, могут вызвать эффект атмосферного волновода, создавая ошибки в радиопеленгации и определении местоположения</w:t>
      </w:r>
      <w:r w:rsidRPr="00494635">
        <w:rPr>
          <w:szCs w:val="22"/>
          <w:lang w:val="ru-RU"/>
        </w:rPr>
        <w:t>. Кроме того, в отсутствие технического подтверждения администрации Соединенного Королевства</w:t>
      </w:r>
      <w:r w:rsidRPr="00494635">
        <w:rPr>
          <w:lang w:val="ru-RU"/>
        </w:rPr>
        <w:t xml:space="preserve"> неуместно просить Комитет принимать решение относительно нарушений п. </w:t>
      </w:r>
      <w:r w:rsidRPr="00494635">
        <w:rPr>
          <w:b/>
          <w:bCs/>
          <w:lang w:val="ru-RU"/>
        </w:rPr>
        <w:t>15.1</w:t>
      </w:r>
      <w:r w:rsidRPr="00494635">
        <w:rPr>
          <w:lang w:val="ru-RU"/>
        </w:rPr>
        <w:t xml:space="preserve"> РР администрацией Китая. </w:t>
      </w:r>
    </w:p>
    <w:p w14:paraId="2CE0F225" w14:textId="77777777" w:rsidR="00A06CB6" w:rsidRPr="00494635" w:rsidRDefault="00A06CB6" w:rsidP="00A06CB6">
      <w:pPr>
        <w:jc w:val="both"/>
        <w:rPr>
          <w:lang w:val="ru-RU"/>
        </w:rPr>
      </w:pPr>
      <w:r w:rsidRPr="00494635">
        <w:rPr>
          <w:lang w:val="ru-RU"/>
        </w:rPr>
        <w:t>6.1.2</w:t>
      </w:r>
      <w:r w:rsidRPr="00494635">
        <w:rPr>
          <w:lang w:val="ru-RU"/>
        </w:rPr>
        <w:tab/>
        <w:t>В Документе RRB22-3/DELAYED/1 содержится представление администрации Соединенного Королевства, в котором выражается разочарование по поводу того, что Комитет не смог определить по данным, представленным этой администрацией его 90</w:t>
      </w:r>
      <w:r w:rsidRPr="00494635">
        <w:rPr>
          <w:lang w:val="ru-RU"/>
        </w:rPr>
        <w:noBreakHyphen/>
        <w:t>му собранию (Документ RRB22-2/10), и по результатам кампании по международному радиоконтролю</w:t>
      </w:r>
      <w:r w:rsidRPr="00494635">
        <w:rPr>
          <w:sz w:val="24"/>
          <w:szCs w:val="22"/>
          <w:lang w:val="ru-RU"/>
        </w:rPr>
        <w:t xml:space="preserve"> </w:t>
      </w:r>
      <w:r w:rsidRPr="00494635">
        <w:rPr>
          <w:lang w:val="ru-RU"/>
        </w:rPr>
        <w:t>(Дополнительный документ 10 к Документу RRB21-2/3), что произошли нарушения п. </w:t>
      </w:r>
      <w:r w:rsidRPr="00494635">
        <w:rPr>
          <w:b/>
          <w:bCs/>
          <w:lang w:val="ru-RU"/>
        </w:rPr>
        <w:t>15.1</w:t>
      </w:r>
      <w:r w:rsidRPr="00494635">
        <w:rPr>
          <w:lang w:val="ru-RU"/>
        </w:rPr>
        <w:t xml:space="preserve"> РР. Администрация Соединенного Королевства просит Комитет прояснить в протоколе текущего собрания заявление в его заключении, сделанном на 90</w:t>
      </w:r>
      <w:r w:rsidRPr="00494635">
        <w:rPr>
          <w:lang w:val="ru-RU"/>
        </w:rPr>
        <w:noBreakHyphen/>
        <w:t>м собрании (п. 7.2.22 Документа RRB22-2/16), относительно того, что "эксплуатация станций, создающих ненужные излучения, является прямым нарушением п. </w:t>
      </w:r>
      <w:r w:rsidRPr="00494635">
        <w:rPr>
          <w:b/>
          <w:bCs/>
          <w:lang w:val="ru-RU"/>
        </w:rPr>
        <w:t>15.1</w:t>
      </w:r>
      <w:r w:rsidRPr="00494635">
        <w:rPr>
          <w:lang w:val="ru-RU"/>
        </w:rPr>
        <w:t xml:space="preserve"> РР" в данном случае приписывается станциям, расположенным на территории Китая. Эта администрация также запрашивает пояснения по дополнительным данным, необходимым для вывода о том, что вредные </w:t>
      </w:r>
      <w:r w:rsidRPr="00494635">
        <w:rPr>
          <w:lang w:val="ru-RU"/>
        </w:rPr>
        <w:lastRenderedPageBreak/>
        <w:t>помехи являются преднамеренными. Если Комитет считает данные кампании по международному радиоконтролю</w:t>
      </w:r>
      <w:r w:rsidRPr="00494635">
        <w:rPr>
          <w:sz w:val="24"/>
          <w:szCs w:val="22"/>
          <w:lang w:val="ru-RU"/>
        </w:rPr>
        <w:t xml:space="preserve"> </w:t>
      </w:r>
      <w:r w:rsidRPr="00494635">
        <w:rPr>
          <w:lang w:val="ru-RU"/>
        </w:rPr>
        <w:t>недостаточными для этой цели, следует рассмотреть вопрос о проведении дополнительной кампании измерений. Администрация Соединенного Королевства перечисляет причины, по которым запрашиваемые администрацией Китая результаты измерений напряженности поля могут подвергаться сомнению. В заключение эта администрация отмечает, что ей неизвестен так называемый эффект атмосферного волновода, о нем не говорится на собраниях Координационной конференции по высоким частотам (ККВЧ), и он конкретно не упоминается в Рекомендациях 3-й Исследовательской комиссии МСЭ-R.</w:t>
      </w:r>
    </w:p>
    <w:p w14:paraId="4CB64517" w14:textId="77777777" w:rsidR="00A06CB6" w:rsidRPr="00494635" w:rsidRDefault="00A06CB6" w:rsidP="00A06CB6">
      <w:pPr>
        <w:jc w:val="both"/>
        <w:rPr>
          <w:lang w:val="ru-RU"/>
        </w:rPr>
      </w:pPr>
      <w:r w:rsidRPr="00494635">
        <w:rPr>
          <w:lang w:val="ru-RU"/>
        </w:rPr>
        <w:t>6.1.3</w:t>
      </w:r>
      <w:r w:rsidRPr="00494635">
        <w:rPr>
          <w:lang w:val="ru-RU"/>
        </w:rPr>
        <w:tab/>
        <w:t>В Документе RRB22-3/DELAYED/2 содержится дополнительное представление администрации Китая в ответ на поступивший с опозданием вклад администрации Соединенного Королевства. В нем содержится мнение, согласно которому обеим администрациям следует в полной мере уважать принятые Комитетом на его 89</w:t>
      </w:r>
      <w:r w:rsidRPr="00494635">
        <w:rPr>
          <w:lang w:val="ru-RU"/>
        </w:rPr>
        <w:noBreakHyphen/>
        <w:t>м и 90</w:t>
      </w:r>
      <w:r w:rsidRPr="00494635">
        <w:rPr>
          <w:lang w:val="ru-RU"/>
        </w:rPr>
        <w:noBreakHyphen/>
        <w:t>м собраниях решения, укреплять сотрудничество и решать вопросы в строгом соответствии с соответствующими положениями Регламента радиосвязи, в том числе п. </w:t>
      </w:r>
      <w:r w:rsidRPr="00494635">
        <w:rPr>
          <w:b/>
          <w:bCs/>
          <w:lang w:val="ru-RU"/>
        </w:rPr>
        <w:t xml:space="preserve">15.22 </w:t>
      </w:r>
      <w:r w:rsidRPr="00494635">
        <w:rPr>
          <w:lang w:val="ru-RU"/>
        </w:rPr>
        <w:t>РР. Администрации Соединенного Королевства не следует делать поспешный вывод о том, что администрация Китая нарушила п. </w:t>
      </w:r>
      <w:r w:rsidRPr="00494635">
        <w:rPr>
          <w:b/>
          <w:bCs/>
          <w:lang w:val="ru-RU"/>
        </w:rPr>
        <w:t>15.1</w:t>
      </w:r>
      <w:r w:rsidRPr="00494635">
        <w:rPr>
          <w:lang w:val="ru-RU"/>
        </w:rPr>
        <w:t xml:space="preserve"> РР, без проведения необходимого технического исследования. С 2019 года администрация Китая предлагала администрации Соединенного Королевства представить соответствующие технические данные и использовать Рекомендации МСЭ</w:t>
      </w:r>
      <w:r w:rsidRPr="00494635">
        <w:rPr>
          <w:lang w:val="ru-RU"/>
        </w:rPr>
        <w:noBreakHyphen/>
        <w:t>R P.845 и МСЭ</w:t>
      </w:r>
      <w:r w:rsidRPr="00494635">
        <w:rPr>
          <w:lang w:val="ru-RU"/>
        </w:rPr>
        <w:noBreakHyphen/>
        <w:t>R BS.560-4 как справочные материалы для запрашиваемых измерений напряженности поля. Администрация Китая надеется, что обе стороны продолжат двустороннее сотрудничество, и готова работать с администрацией Соединенного Королевства для решения технических проблем, которые могут вызывать помехи. В то же время эта администрация считает, что Комитету не следует далее рассматривать данный вопрос, если другой администрацией не будет представлена вся техническая информация и не будут предприняты дополнительные усилия по координации.</w:t>
      </w:r>
    </w:p>
    <w:p w14:paraId="0785606C" w14:textId="77777777" w:rsidR="00A06CB6" w:rsidRPr="00494635" w:rsidRDefault="00A06CB6" w:rsidP="00A06CB6">
      <w:pPr>
        <w:jc w:val="both"/>
        <w:rPr>
          <w:lang w:val="ru-RU"/>
        </w:rPr>
      </w:pPr>
      <w:r w:rsidRPr="00494635">
        <w:rPr>
          <w:lang w:val="ru-RU"/>
        </w:rPr>
        <w:t>6.1.4</w:t>
      </w:r>
      <w:r w:rsidRPr="00494635">
        <w:rPr>
          <w:lang w:val="ru-RU"/>
        </w:rPr>
        <w:tab/>
        <w:t xml:space="preserve">Отвечая на вопросы </w:t>
      </w:r>
      <w:r w:rsidRPr="00494635">
        <w:rPr>
          <w:b/>
          <w:bCs/>
          <w:lang w:val="ru-RU"/>
        </w:rPr>
        <w:t>г-на Талиба</w:t>
      </w:r>
      <w:r w:rsidRPr="00494635">
        <w:rPr>
          <w:lang w:val="ru-RU"/>
        </w:rPr>
        <w:t xml:space="preserve">, </w:t>
      </w:r>
      <w:r w:rsidRPr="00494635">
        <w:rPr>
          <w:b/>
          <w:bCs/>
          <w:lang w:val="ru-RU"/>
        </w:rPr>
        <w:t>г-жи Гасановой</w:t>
      </w:r>
      <w:r w:rsidRPr="00494635">
        <w:rPr>
          <w:lang w:val="ru-RU"/>
        </w:rPr>
        <w:t xml:space="preserve">, </w:t>
      </w:r>
      <w:r w:rsidRPr="00494635">
        <w:rPr>
          <w:b/>
          <w:bCs/>
          <w:lang w:val="ru-RU"/>
        </w:rPr>
        <w:t>Председателя</w:t>
      </w:r>
      <w:r w:rsidRPr="00494635">
        <w:rPr>
          <w:lang w:val="ru-RU"/>
        </w:rPr>
        <w:t xml:space="preserve">, </w:t>
      </w:r>
      <w:r w:rsidRPr="00494635">
        <w:rPr>
          <w:b/>
          <w:bCs/>
          <w:lang w:val="ru-RU"/>
        </w:rPr>
        <w:t>г-жи Бомье</w:t>
      </w:r>
      <w:r w:rsidRPr="00494635">
        <w:rPr>
          <w:lang w:val="ru-RU"/>
        </w:rPr>
        <w:t xml:space="preserve"> и </w:t>
      </w:r>
      <w:r w:rsidRPr="00494635">
        <w:rPr>
          <w:b/>
          <w:bCs/>
          <w:lang w:val="ru-RU"/>
        </w:rPr>
        <w:t>г-на Аззуза</w:t>
      </w:r>
      <w:r w:rsidRPr="00494635">
        <w:rPr>
          <w:lang w:val="ru-RU"/>
        </w:rPr>
        <w:t xml:space="preserve">, </w:t>
      </w:r>
      <w:r w:rsidRPr="00494635">
        <w:rPr>
          <w:b/>
          <w:bCs/>
          <w:lang w:val="ru-RU"/>
        </w:rPr>
        <w:t>г-н Васильев (руководитель TSD)</w:t>
      </w:r>
      <w:r w:rsidRPr="00494635">
        <w:rPr>
          <w:lang w:val="ru-RU"/>
        </w:rPr>
        <w:t xml:space="preserve"> сообщает, что Бюро не получало никаких сообщений о помехах со времени предыдущего собрания Комитета. Передающие станции были зарегистрированы в расписании ВЧ-радиовещания для администраций Омана и Сингапура, а администрация Китая указала, что в соответствии с п. </w:t>
      </w:r>
      <w:r w:rsidRPr="00494635">
        <w:rPr>
          <w:b/>
          <w:bCs/>
          <w:lang w:val="ru-RU"/>
        </w:rPr>
        <w:t>15.34</w:t>
      </w:r>
      <w:r w:rsidRPr="00494635">
        <w:rPr>
          <w:lang w:val="ru-RU"/>
        </w:rPr>
        <w:t xml:space="preserve"> РР донесения о помехах должны представить администрации, имевшие юрисдикцию на момент возникновения помех. Хотя частоты были зарегистрированы для администрации Соединенного Королевства, передачи ВЧ-радиовещания распространяются на расстояния тысяч километров, и несколько станций в странах помимо Соединенного Королевства, включая Оман и Сингапур, ретранслировали передачи Британской радиовещательной корпорации (BBC). Что касается различий во мнениях администраций в отношении необходимости проведения измерений напряженности поля, он говорит, что хотя проведение таких технических измерений, несомненно, будет полезно, проблема заключается в их осуществимости: мешающий сигнал может быть не обнаружен в период, когда передачи не ведутся; могут быть обнаружены другие сигналы из-за распространения ВЧ-передач на большие расстояния, что затрудняет отделение и измерение мешающих сигналов; результаты могут быть оспорены из-за значительных различий в условиях распространения. Администрация Соединенного Королевства сообщала о помехах с 2016 года в разные временные периоды. Они не наблюдались непрерывно в течение 24 часов и часто совпадали с временными интервалами для передач BBC, указанными в расписании ВЧ-радиовещания. Бюро не располагает информацией о результатах каких-либо измерений напряженности поля мешающего сигнала. Следующее собрание ККВЧ состоится в феврале 2023 года. </w:t>
      </w:r>
    </w:p>
    <w:p w14:paraId="22D0B347" w14:textId="77777777" w:rsidR="00A06CB6" w:rsidRPr="00494635" w:rsidRDefault="00A06CB6" w:rsidP="00A06CB6">
      <w:pPr>
        <w:jc w:val="both"/>
        <w:rPr>
          <w:lang w:val="ru-RU"/>
        </w:rPr>
      </w:pPr>
      <w:r w:rsidRPr="00494635">
        <w:rPr>
          <w:lang w:val="ru-RU"/>
        </w:rPr>
        <w:t>6.1.5</w:t>
      </w:r>
      <w:r w:rsidRPr="00494635">
        <w:rPr>
          <w:lang w:val="ru-RU"/>
        </w:rPr>
        <w:tab/>
      </w:r>
      <w:r w:rsidRPr="00494635">
        <w:rPr>
          <w:b/>
          <w:bCs/>
          <w:lang w:val="ru-RU"/>
        </w:rPr>
        <w:t>Председатель</w:t>
      </w:r>
      <w:r w:rsidRPr="00494635">
        <w:rPr>
          <w:lang w:val="ru-RU"/>
        </w:rPr>
        <w:t xml:space="preserve"> указывает, что главной задачей Комитета является разрешение случая вредных помех, рассматриваемого в течение длительного времени, а не углубленное изучение регламентарных вопросов. Комитет неоднократно давал поручения Бюро провести собрание с участием обеих администраций для содействия обсуждению решения проблемы, однако до настоящего времени Бюро не преуспело в организации такого собрания.</w:t>
      </w:r>
    </w:p>
    <w:p w14:paraId="3B7A6C6E" w14:textId="77777777" w:rsidR="00A06CB6" w:rsidRPr="00494635" w:rsidRDefault="00A06CB6" w:rsidP="00A06CB6">
      <w:pPr>
        <w:jc w:val="both"/>
        <w:rPr>
          <w:lang w:val="ru-RU"/>
        </w:rPr>
      </w:pPr>
      <w:r w:rsidRPr="00494635">
        <w:rPr>
          <w:lang w:val="ru-RU"/>
        </w:rPr>
        <w:t>6.1.6</w:t>
      </w:r>
      <w:r w:rsidRPr="00494635">
        <w:rPr>
          <w:lang w:val="ru-RU"/>
        </w:rPr>
        <w:tab/>
      </w:r>
      <w:r w:rsidRPr="00494635">
        <w:rPr>
          <w:b/>
          <w:bCs/>
          <w:lang w:val="ru-RU"/>
        </w:rPr>
        <w:t>Г-н Талиб</w:t>
      </w:r>
      <w:r w:rsidRPr="00494635">
        <w:rPr>
          <w:lang w:val="ru-RU"/>
        </w:rPr>
        <w:t xml:space="preserve"> отмечает, что будет затруднительно получить результаты измерений, достоверность которых не будет вызывать сомнений, и говорит, что он скорее возлагает надежду на усилия по координации, чем на технические меры для разрешения данного случая. Поэтому Комитет, возможно, пожелает в заключение пригласить обе администрации принять участие в координационном собрании </w:t>
      </w:r>
      <w:r w:rsidRPr="00494635">
        <w:rPr>
          <w:lang w:val="ru-RU"/>
        </w:rPr>
        <w:lastRenderedPageBreak/>
        <w:t xml:space="preserve">под эгидой Бюро и направить решительный сигнал о необходимости соблюдения Регламента радиосвязи, в частности, Статей 4 и 15. Комитету следует проявить осмотрительность, с тем чтобы не воспроизвести в своем заключении заявления одной из администраций, которые он не смог проверить. </w:t>
      </w:r>
    </w:p>
    <w:p w14:paraId="629E964B" w14:textId="77777777" w:rsidR="00A06CB6" w:rsidRPr="00494635" w:rsidRDefault="00A06CB6" w:rsidP="00A06CB6">
      <w:pPr>
        <w:jc w:val="both"/>
        <w:rPr>
          <w:lang w:val="ru-RU"/>
        </w:rPr>
      </w:pPr>
      <w:r w:rsidRPr="00494635">
        <w:rPr>
          <w:lang w:val="ru-RU"/>
        </w:rPr>
        <w:t>6.1.7</w:t>
      </w:r>
      <w:r w:rsidRPr="00494635">
        <w:rPr>
          <w:lang w:val="ru-RU"/>
        </w:rPr>
        <w:tab/>
      </w:r>
      <w:r w:rsidRPr="00494635">
        <w:rPr>
          <w:b/>
          <w:bCs/>
          <w:lang w:val="ru-RU"/>
        </w:rPr>
        <w:t>Г-жа Бомье</w:t>
      </w:r>
      <w:r w:rsidRPr="00494635">
        <w:rPr>
          <w:lang w:val="ru-RU"/>
        </w:rPr>
        <w:t xml:space="preserve"> говорит, что Комитет в своем заключении и в ходе обсуждений на предыдущем собрании четко сформулировал, что собрание с участием обеих администраций не следует называть "координационным". Этот термин является источником разногласий, и очень жаль, что он был использован администрацией Китая в Документе RRB22-3/3. ВЧ-радиостанции уже полностью скоординированы, и Комитету следует соблюдать осторожность, с тем чтобы не обозначить собрание как нечто иное, чем двустороннее мероприятие для решения проблемы вредных помех. Администрация Китая, по-видимому, предположила, что место возникновения помех в районе Цинхай-Тибетского нагорья могло быть определено ошибочно из-за атмосферного волноводного эффекта, и она задает вопрос, известно ли Бюро о каких-либо конкретных особенностях местности, которые могли бы привести к возникновению такого явления, которое не является широко известным. Существуют определенные трудности в проведении надежных измерений напряженности поля, и, хотя результаты кампании по радиоконтролю, по ее мнению, ясно указывают на источник помех, она спрашивает, могут ли быть продолжены мероприятия по радиоконтролю, с тем чтобы развеять любые сомнения относительно источника помех.</w:t>
      </w:r>
    </w:p>
    <w:p w14:paraId="78F8AF62" w14:textId="77777777" w:rsidR="00A06CB6" w:rsidRPr="00494635" w:rsidRDefault="00A06CB6" w:rsidP="00A06CB6">
      <w:pPr>
        <w:jc w:val="both"/>
        <w:rPr>
          <w:lang w:val="ru-RU"/>
        </w:rPr>
      </w:pPr>
      <w:r w:rsidRPr="00494635">
        <w:rPr>
          <w:lang w:val="ru-RU"/>
        </w:rPr>
        <w:t>6.1.8</w:t>
      </w:r>
      <w:r w:rsidRPr="00494635">
        <w:rPr>
          <w:lang w:val="ru-RU"/>
        </w:rPr>
        <w:tab/>
      </w:r>
      <w:r w:rsidRPr="00494635">
        <w:rPr>
          <w:b/>
          <w:bCs/>
          <w:lang w:val="ru-RU"/>
        </w:rPr>
        <w:t>Г-н Васильев (руководитель TSD)</w:t>
      </w:r>
      <w:r w:rsidRPr="00494635">
        <w:rPr>
          <w:lang w:val="ru-RU"/>
        </w:rPr>
        <w:t xml:space="preserve"> отвечает, что в Рекомендациях МСЭ-R, касающихся распространения радиоволн, нет описания эффекта атмосферного волновода, на который ссылалась администрация Китая, и приводит описания ряда из известных явлений. Хотя возникновение такого эффекта маловероятно, он не является неправдоподобным, и его существование нельзя полностью игнорировать. Однако, поскольку помехи иногда совпадали с передачами BBC, проблема эффекта может быть затруднена тем фактом, что он возникает в такое точное время. Кампания по радиоконтролю в диапазоне ВЧ, для проведения которой потребовались значительные усилия по координации, была первой такой кампанией за последние 25 лет, и данные собирались четырьмя администрациями в течение пяти недель, с тем чтобы подтвердить наличие мешающего сигнала. Учитывая количество проведенных пеленгационных измерений, результаты можно считать надежными и правдоподобными, и сбор дополнительных данных может быть затруднен. Кроме того, на 87-м собрании Комитета было принято решение, что на данном этапе в дополнительных результатах радиоконтроля нет необходимости, и что полученных результатов достаточно для того, чтобы сделать определенные заключения.</w:t>
      </w:r>
    </w:p>
    <w:p w14:paraId="776D3145" w14:textId="77777777" w:rsidR="00A06CB6" w:rsidRPr="00494635" w:rsidRDefault="00A06CB6" w:rsidP="00A06CB6">
      <w:pPr>
        <w:jc w:val="both"/>
        <w:rPr>
          <w:lang w:val="ru-RU"/>
        </w:rPr>
      </w:pPr>
      <w:r w:rsidRPr="00494635">
        <w:rPr>
          <w:lang w:val="ru-RU"/>
        </w:rPr>
        <w:t>6.1.9</w:t>
      </w:r>
      <w:r w:rsidRPr="00494635">
        <w:rPr>
          <w:lang w:val="ru-RU"/>
        </w:rPr>
        <w:tab/>
      </w:r>
      <w:r w:rsidRPr="00494635">
        <w:rPr>
          <w:b/>
          <w:bCs/>
          <w:lang w:val="ru-RU"/>
        </w:rPr>
        <w:t>Г-н Аззуз</w:t>
      </w:r>
      <w:r w:rsidRPr="00494635">
        <w:rPr>
          <w:lang w:val="ru-RU"/>
        </w:rPr>
        <w:t xml:space="preserve"> призывает администрацию Китая принять все возможные меры для устранения вредных помех, если их источник находится на территории страны, и предлагает продолжить рассмотрение вопроса о возможности использования станций международного радиоконтроля для определения источника помех. Администрацию Соединенного Королевства следует попросить связаться с администрацией Китая и передать необходимую для решения вопроса информацию, такую как технические параметры, время начала и окончания сигнала и результаты пеленгации. Следует просить Бюро оказать помощь обеим администрациям, предложить технические и регламентарные методы, чтобы прийти к заключению по вопросу источника помех, и сообщить о прогрессе, в том числе о любых достижениях, на следующем собрании ККВЧ.</w:t>
      </w:r>
    </w:p>
    <w:p w14:paraId="330808D9" w14:textId="77777777" w:rsidR="00A06CB6" w:rsidRPr="00494635" w:rsidRDefault="00A06CB6" w:rsidP="00A06CB6">
      <w:pPr>
        <w:jc w:val="both"/>
        <w:rPr>
          <w:lang w:val="ru-RU"/>
        </w:rPr>
      </w:pPr>
      <w:r w:rsidRPr="00494635">
        <w:rPr>
          <w:lang w:val="ru-RU"/>
        </w:rPr>
        <w:t>6.1.10</w:t>
      </w:r>
      <w:r w:rsidRPr="00494635">
        <w:rPr>
          <w:lang w:val="ru-RU"/>
        </w:rPr>
        <w:tab/>
      </w:r>
      <w:r w:rsidRPr="00494635">
        <w:rPr>
          <w:b/>
          <w:bCs/>
          <w:lang w:val="ru-RU"/>
        </w:rPr>
        <w:t>Председатель</w:t>
      </w:r>
      <w:r w:rsidRPr="00494635">
        <w:rPr>
          <w:lang w:val="ru-RU"/>
        </w:rPr>
        <w:t xml:space="preserve"> выражает надежду, что обстановка на следующем собрании ККВЧ, которое состоится в феврале 2023 года с участием технических экспертов по ВЧ-радиовещанию обеих сторон, будет благоприятствовать дальнейшему прогрессу.</w:t>
      </w:r>
    </w:p>
    <w:p w14:paraId="56482C25" w14:textId="77777777" w:rsidR="00A06CB6" w:rsidRPr="00494635" w:rsidRDefault="00A06CB6" w:rsidP="00A06CB6">
      <w:pPr>
        <w:jc w:val="both"/>
        <w:rPr>
          <w:lang w:val="ru-RU"/>
        </w:rPr>
      </w:pPr>
      <w:r w:rsidRPr="00494635">
        <w:rPr>
          <w:lang w:val="ru-RU"/>
        </w:rPr>
        <w:t>6.1.11</w:t>
      </w:r>
      <w:r w:rsidRPr="00494635">
        <w:rPr>
          <w:lang w:val="ru-RU"/>
        </w:rPr>
        <w:tab/>
      </w:r>
      <w:r w:rsidRPr="00494635">
        <w:rPr>
          <w:b/>
          <w:bCs/>
          <w:lang w:val="ru-RU"/>
        </w:rPr>
        <w:t>Г-н Варламов</w:t>
      </w:r>
      <w:r w:rsidRPr="00494635">
        <w:rPr>
          <w:lang w:val="ru-RU"/>
        </w:rPr>
        <w:t xml:space="preserve"> выражает сомнение, что этот вопрос будет решен на собрании ККВЧ, на котором решаются вопросы временных интервалов и полос частот, но не вредных помех. В своем поступившем с опозданием представлении (Документ RRB22-3/DELAYED/1) администрация Соединенного Королевства не упоминает случай вредных помех, но просит Комитет дать разъяснения по двум вопросам. В отношении первого вопроса он говорит, что на предыдущем собрании Комитет не располагал достаточным объемом информации, чтобы сделать заключение о том, что данный конкретный случай является прямым нарушением п. </w:t>
      </w:r>
      <w:r w:rsidRPr="00494635">
        <w:rPr>
          <w:b/>
          <w:bCs/>
          <w:lang w:val="ru-RU"/>
        </w:rPr>
        <w:t>15.1</w:t>
      </w:r>
      <w:r w:rsidRPr="00494635">
        <w:rPr>
          <w:lang w:val="ru-RU"/>
        </w:rPr>
        <w:t xml:space="preserve"> РР, и у Комитета по-прежнему нет оснований или информации, такой как уровень сигнала, чтобы прийти к подобному заключению. Насколько он </w:t>
      </w:r>
      <w:r w:rsidRPr="00494635">
        <w:rPr>
          <w:lang w:val="ru-RU"/>
        </w:rPr>
        <w:lastRenderedPageBreak/>
        <w:t xml:space="preserve">понимает, администрация имеет суверенное право вести любые передачи в пределах своей национальной территории и любые помехи для приема сигналов на других территориях должны быть устранены, и он просит Бюро дать разъяснения по этому вопросу. Насколько ему известно, жалоб на помехи от соседних стран не поступало, а сообщения администрации Соединенного Королевства касаются помех для ее передач, возникающих в результате вещания на территории Китая. Соответственно, это не является случаем вредных помех или нарушением п. </w:t>
      </w:r>
      <w:r w:rsidRPr="00494635">
        <w:rPr>
          <w:b/>
          <w:bCs/>
          <w:lang w:val="ru-RU"/>
        </w:rPr>
        <w:t>15.1</w:t>
      </w:r>
      <w:r w:rsidRPr="00494635">
        <w:rPr>
          <w:lang w:val="ru-RU"/>
        </w:rPr>
        <w:t xml:space="preserve"> РР. Комитету не следует комментировать свое заключение или результаты своих обсуждений, даже если об этом попросит администрация. В отношении второго вопроса, касающегося дополнительной информации, необходимой для заключения о том, что вредные помехи были преднамеренными, он говорит, что было бы полезно провести измерения напряженности поля в стране, на территории которой наблюдаются помехи.</w:t>
      </w:r>
    </w:p>
    <w:p w14:paraId="29D273F0" w14:textId="77777777" w:rsidR="00A06CB6" w:rsidRPr="00494635" w:rsidRDefault="00A06CB6" w:rsidP="00A06CB6">
      <w:pPr>
        <w:jc w:val="both"/>
        <w:rPr>
          <w:lang w:val="ru-RU"/>
        </w:rPr>
      </w:pPr>
      <w:r w:rsidRPr="00494635">
        <w:rPr>
          <w:lang w:val="ru-RU"/>
        </w:rPr>
        <w:t>6.1.12</w:t>
      </w:r>
      <w:r w:rsidRPr="00494635">
        <w:rPr>
          <w:lang w:val="ru-RU"/>
        </w:rPr>
        <w:tab/>
      </w:r>
      <w:r w:rsidRPr="00494635">
        <w:rPr>
          <w:b/>
          <w:bCs/>
          <w:lang w:val="ru-RU"/>
        </w:rPr>
        <w:t>Г-н Васильев (руководитель TSD)</w:t>
      </w:r>
      <w:r w:rsidRPr="00494635">
        <w:rPr>
          <w:lang w:val="ru-RU"/>
        </w:rPr>
        <w:t xml:space="preserve"> говорит, что Регламент радиосвязи не содержит положений, регулирующих ведение любых передач в пределах национальной территории. Хотя в соответствии с п. </w:t>
      </w:r>
      <w:r w:rsidRPr="00494635">
        <w:rPr>
          <w:b/>
          <w:bCs/>
          <w:lang w:val="ru-RU"/>
        </w:rPr>
        <w:t>15.1</w:t>
      </w:r>
      <w:r w:rsidRPr="00494635">
        <w:rPr>
          <w:lang w:val="ru-RU"/>
        </w:rPr>
        <w:t xml:space="preserve"> РР ненужные передачи запрещены, в нем не указано, к какой именно территории применяются его положения. Более того, поскольку Регламент радиосвязи касался международного аспекта связи, можно утверждать, что п. </w:t>
      </w:r>
      <w:r w:rsidRPr="00494635">
        <w:rPr>
          <w:b/>
          <w:bCs/>
          <w:lang w:val="ru-RU"/>
        </w:rPr>
        <w:t>15.1</w:t>
      </w:r>
      <w:r w:rsidRPr="00494635">
        <w:rPr>
          <w:lang w:val="ru-RU"/>
        </w:rPr>
        <w:t xml:space="preserve"> РР касается связи между странами.</w:t>
      </w:r>
    </w:p>
    <w:p w14:paraId="09B698A1" w14:textId="77777777" w:rsidR="00A06CB6" w:rsidRPr="00494635" w:rsidRDefault="00A06CB6" w:rsidP="00A06CB6">
      <w:pPr>
        <w:jc w:val="both"/>
        <w:rPr>
          <w:lang w:val="ru-RU"/>
        </w:rPr>
      </w:pPr>
      <w:r w:rsidRPr="00494635">
        <w:rPr>
          <w:lang w:val="ru-RU"/>
        </w:rPr>
        <w:t>6.1.13</w:t>
      </w:r>
      <w:r w:rsidRPr="00494635">
        <w:rPr>
          <w:lang w:val="ru-RU"/>
        </w:rPr>
        <w:tab/>
      </w:r>
      <w:r w:rsidRPr="00494635">
        <w:rPr>
          <w:b/>
          <w:bCs/>
          <w:lang w:val="ru-RU"/>
        </w:rPr>
        <w:t>Г-н Хоан</w:t>
      </w:r>
      <w:r w:rsidRPr="00494635">
        <w:rPr>
          <w:lang w:val="ru-RU"/>
        </w:rPr>
        <w:t xml:space="preserve"> отмечает, что к данному собранию ни одной из администраций не была предоставлена информация о ситуации с помехами; вместо этого они сосредоточились на вопросе о том, как следует поступать с помехами. Он напоминает о заключении, сделанном на 90-м собрании Комитета, которое было разумным, правильным и ответственным. В отсутствие такой информации, как передатчик и оператор создающей помехи станции, Комитету очень трудно сделать заключение о том, что вредные помехи в диапазоне ВЧ являются преднамеренными. На данном собрании Комитету следует призвать обе администрации к сотрудничеству с целью решения этого вопроса и обмену информацией. Поскольку было подтверждено, что помехи исходят с территории Китая, эта администрация должна будет выявить и устранить их источник.</w:t>
      </w:r>
    </w:p>
    <w:p w14:paraId="3D0A152E" w14:textId="77777777" w:rsidR="00A06CB6" w:rsidRPr="00494635" w:rsidRDefault="00A06CB6" w:rsidP="00A06CB6">
      <w:pPr>
        <w:jc w:val="both"/>
        <w:rPr>
          <w:lang w:val="ru-RU"/>
        </w:rPr>
      </w:pPr>
      <w:r w:rsidRPr="00494635">
        <w:rPr>
          <w:lang w:val="ru-RU"/>
        </w:rPr>
        <w:t>6.1.14</w:t>
      </w:r>
      <w:r w:rsidRPr="00494635">
        <w:rPr>
          <w:lang w:val="ru-RU"/>
        </w:rPr>
        <w:tab/>
      </w:r>
      <w:r w:rsidRPr="00494635">
        <w:rPr>
          <w:b/>
          <w:bCs/>
          <w:lang w:val="ru-RU"/>
        </w:rPr>
        <w:t>Г-жа Жеанти</w:t>
      </w:r>
      <w:r w:rsidRPr="00494635">
        <w:rPr>
          <w:lang w:val="ru-RU"/>
        </w:rPr>
        <w:t xml:space="preserve"> выражает согласие с тем, что Комитету не следует упоминать "координационное собрание", поскольку этот термин вызвал путаницу, а вопрос был рассмотрен на предыдущем собрании. Проведение измерений напряженности поля затруднено, а их результаты могут быть истолкованы по-разному; Комитету не следует принимать решение об их проведении. В отношении первого вопроса администрации Соединенного Королевства она указывает, что предыдущее заключение Комитета было тщательно сформулировано и завершилось утверждением, что "эксплуатация станций, осуществляющих ненужные передачи, является прямым нарушением п. </w:t>
      </w:r>
      <w:r w:rsidRPr="00494635">
        <w:rPr>
          <w:b/>
          <w:bCs/>
          <w:lang w:val="ru-RU"/>
        </w:rPr>
        <w:t>15.1</w:t>
      </w:r>
      <w:r w:rsidRPr="00494635">
        <w:rPr>
          <w:lang w:val="ru-RU"/>
        </w:rPr>
        <w:t> РР". Это заявление, по ее мнению, относится к конкретному случаю и не является замечанием общего характера. В отношении второго вопроса она говорит, что, по ее мнению, имеется достаточно информации, чтобы сделать заключение о том, что помехи носят преднамеренный характер. На это указывали некоторые члены Комитета и говорилось в четвертом абзаце предыдущего заключения, сделанного на 90-м собрании. Помехи, по-видимому, были приурочены к передачам BBC, что также указывает на преднамеренный характер помех. Поскольку дело касается радиовещательных станций, работающих в диапазоне ВЧ, логично, что не все источники радиовещания расположены непосредственно на территории Соединенного Королевства, и что в нем участвуют другие страны, такие как Оман и Сингапур. Предложение о направлении жалоб на помехи этими странами, а не Соединенным Королевством, не является примером сотрудничества и доброй воли. Основной целью ВЧ-радиовещания является установление связи с другими странами мира. В случае возникновения проблем, связанных с помехами, умышленными или иными, существует хорошо отработанная процедура проведения собраний при содействии Бюро, и стороны призываются к сотрудничеству. Решение предыдущего собрания Комитета остается в силе, и было бы целесообразно провести дополнительные собрания.</w:t>
      </w:r>
    </w:p>
    <w:p w14:paraId="46DB647F" w14:textId="77777777" w:rsidR="00A06CB6" w:rsidRPr="00494635" w:rsidRDefault="00A06CB6" w:rsidP="00A06CB6">
      <w:pPr>
        <w:jc w:val="both"/>
        <w:rPr>
          <w:lang w:val="ru-RU"/>
        </w:rPr>
      </w:pPr>
      <w:r w:rsidRPr="00494635">
        <w:rPr>
          <w:lang w:val="ru-RU"/>
        </w:rPr>
        <w:t>6.1.15</w:t>
      </w:r>
      <w:r w:rsidRPr="00494635">
        <w:rPr>
          <w:lang w:val="ru-RU"/>
        </w:rPr>
        <w:tab/>
      </w:r>
      <w:r w:rsidRPr="00494635">
        <w:rPr>
          <w:b/>
          <w:bCs/>
          <w:lang w:val="ru-RU"/>
        </w:rPr>
        <w:t>Г-жа Бомье</w:t>
      </w:r>
      <w:r w:rsidRPr="00494635">
        <w:rPr>
          <w:lang w:val="ru-RU"/>
        </w:rPr>
        <w:t xml:space="preserve"> заявляет, что если бы у ККВЧ была возможность разрешить этот случай, который рассматривается с 2016 года, на одном из своих полугодовых собраний, это бы уже было сделано. Она полагает, что заявление о том, что "эксплуатация станций, осуществляющих ненужные передачи, является прямым нарушением п. </w:t>
      </w:r>
      <w:r w:rsidRPr="00494635">
        <w:rPr>
          <w:b/>
          <w:bCs/>
          <w:lang w:val="ru-RU"/>
        </w:rPr>
        <w:t>15.1</w:t>
      </w:r>
      <w:r w:rsidRPr="00494635">
        <w:rPr>
          <w:lang w:val="ru-RU"/>
        </w:rPr>
        <w:t xml:space="preserve"> РР", относится к конкретному случаю, особенно с учетом других элементов, изложенных в заключении Комитета. Кроме того, поскольку помехи не были случайными </w:t>
      </w:r>
      <w:r w:rsidRPr="00494635">
        <w:rPr>
          <w:lang w:val="ru-RU"/>
        </w:rPr>
        <w:lastRenderedPageBreak/>
        <w:t>и возникали неоднократно в определенные временные интервалы, они, по-видимому, были преднамеренными. Она по-прежнему считает, что в ходе кампании по международному радиоконтролю</w:t>
      </w:r>
      <w:r w:rsidRPr="00494635">
        <w:rPr>
          <w:sz w:val="24"/>
          <w:szCs w:val="22"/>
          <w:lang w:val="ru-RU"/>
        </w:rPr>
        <w:t xml:space="preserve"> </w:t>
      </w:r>
      <w:r w:rsidRPr="00494635">
        <w:rPr>
          <w:lang w:val="ru-RU"/>
        </w:rPr>
        <w:t>было собрано достаточно информации. К сожалению, стороны не смогли провести собрание при содействии Бюро, и Комитету следует продолжать настоятельно рекомендовать им организовать такое мероприятие, четко указав, что целью собрания будет рассмотрение случаев вредных помех, а не координация. Проведение измерений напряженности поля не является практически осуществимым или особенно полезным и не должно использоваться администрацией Китая в качестве необходимого условия для продолжения обсуждений.</w:t>
      </w:r>
    </w:p>
    <w:p w14:paraId="69AB2D5B" w14:textId="77777777" w:rsidR="00A06CB6" w:rsidRPr="00494635" w:rsidRDefault="00A06CB6" w:rsidP="00A06CB6">
      <w:pPr>
        <w:jc w:val="both"/>
        <w:rPr>
          <w:lang w:val="ru-RU" w:eastAsia="zh-CN"/>
        </w:rPr>
      </w:pPr>
      <w:r w:rsidRPr="00494635">
        <w:rPr>
          <w:lang w:val="ru-RU" w:eastAsia="zh-CN"/>
        </w:rPr>
        <w:t>6.1.16</w:t>
      </w:r>
      <w:r w:rsidRPr="00494635">
        <w:rPr>
          <w:lang w:val="ru-RU"/>
        </w:rPr>
        <w:tab/>
      </w:r>
      <w:r w:rsidRPr="00494635">
        <w:rPr>
          <w:b/>
          <w:bCs/>
          <w:lang w:val="ru-RU" w:eastAsia="zh-CN"/>
        </w:rPr>
        <w:t>Г-н Борхон</w:t>
      </w:r>
      <w:r w:rsidRPr="00494635">
        <w:rPr>
          <w:lang w:val="ru-RU" w:eastAsia="zh-CN"/>
        </w:rPr>
        <w:t xml:space="preserve"> говорит, что очевидно, что источник вредных помех расположен на территории Китая и что они иногда совпадают с передачами ВВС. Поэтому к администрации Китая обращаются с просьбой оказать содействие в решении этого вопроса. Поскольку на собрании будут рассматриваться случаи вредных помех, его не следует называть "координационным собранием".</w:t>
      </w:r>
    </w:p>
    <w:p w14:paraId="66F7F85D" w14:textId="77777777" w:rsidR="00A06CB6" w:rsidRPr="00494635" w:rsidRDefault="00A06CB6" w:rsidP="00A06CB6">
      <w:pPr>
        <w:jc w:val="both"/>
        <w:rPr>
          <w:lang w:val="ru-RU" w:eastAsia="zh-CN"/>
        </w:rPr>
      </w:pPr>
      <w:r w:rsidRPr="00494635">
        <w:rPr>
          <w:lang w:val="ru-RU" w:eastAsia="zh-CN"/>
        </w:rPr>
        <w:t>6.1.17</w:t>
      </w:r>
      <w:r w:rsidRPr="00494635">
        <w:rPr>
          <w:lang w:val="ru-RU"/>
        </w:rPr>
        <w:tab/>
      </w:r>
      <w:r w:rsidRPr="00494635">
        <w:rPr>
          <w:b/>
          <w:bCs/>
          <w:lang w:val="ru-RU" w:eastAsia="zh-CN"/>
        </w:rPr>
        <w:t>Г-н Аззуз</w:t>
      </w:r>
      <w:r w:rsidRPr="00494635">
        <w:rPr>
          <w:lang w:val="ru-RU" w:eastAsia="zh-CN"/>
        </w:rPr>
        <w:t xml:space="preserve"> вновь указывает, что Комитету следует настоятельно рекомендовать администрациям обмениваться информацией, необходимой для разрешения случаев вредных помех.</w:t>
      </w:r>
    </w:p>
    <w:p w14:paraId="51FFEEBC" w14:textId="77777777" w:rsidR="00A06CB6" w:rsidRPr="00494635" w:rsidRDefault="00A06CB6" w:rsidP="00A06CB6">
      <w:pPr>
        <w:jc w:val="both"/>
        <w:rPr>
          <w:lang w:val="ru-RU" w:eastAsia="zh-CN"/>
        </w:rPr>
      </w:pPr>
      <w:r w:rsidRPr="00494635">
        <w:rPr>
          <w:lang w:val="ru-RU" w:eastAsia="zh-CN"/>
        </w:rPr>
        <w:t>6.1.18</w:t>
      </w:r>
      <w:r w:rsidRPr="00494635">
        <w:rPr>
          <w:lang w:val="ru-RU"/>
        </w:rPr>
        <w:tab/>
      </w:r>
      <w:r w:rsidRPr="00494635">
        <w:rPr>
          <w:lang w:val="ru-RU" w:eastAsia="zh-CN"/>
        </w:rPr>
        <w:t xml:space="preserve">Отвечая на вопрос </w:t>
      </w:r>
      <w:r w:rsidRPr="00494635">
        <w:rPr>
          <w:b/>
          <w:bCs/>
          <w:lang w:val="ru-RU" w:eastAsia="zh-CN"/>
        </w:rPr>
        <w:t>Председателя</w:t>
      </w:r>
      <w:r w:rsidRPr="00494635">
        <w:rPr>
          <w:lang w:val="ru-RU" w:eastAsia="zh-CN"/>
        </w:rPr>
        <w:t xml:space="preserve"> относительно вопроса, поднятого администрацией Китая в Документе RRB22-2/3 в отношении п. </w:t>
      </w:r>
      <w:r w:rsidRPr="00494635">
        <w:rPr>
          <w:b/>
          <w:bCs/>
          <w:lang w:val="ru-RU" w:eastAsia="zh-CN"/>
        </w:rPr>
        <w:t>15.34</w:t>
      </w:r>
      <w:r w:rsidRPr="00494635">
        <w:rPr>
          <w:lang w:val="ru-RU" w:eastAsia="zh-CN"/>
        </w:rPr>
        <w:t xml:space="preserve"> РР, </w:t>
      </w:r>
      <w:r w:rsidRPr="00494635">
        <w:rPr>
          <w:b/>
          <w:bCs/>
          <w:lang w:val="ru-RU" w:eastAsia="zh-CN"/>
        </w:rPr>
        <w:t>г-жа Бомье</w:t>
      </w:r>
      <w:r w:rsidRPr="00494635">
        <w:rPr>
          <w:lang w:val="ru-RU" w:eastAsia="zh-CN"/>
        </w:rPr>
        <w:t xml:space="preserve"> говорит, что, поскольку некоторые затронутые станции находятся на территории администраций Омана и Сингапура, донесения о вредных помехах должны быть представлены и этими администрациями. Однако такие донесения не аннулируют случай; насколько она понимает, другие затронутые станции также находятся на территории, находящейся под юрисдикцией администрации Соединенного Королевства. Между администрациями существуют разногласия по поводу необходимости обмена информацией, и, исходя из информации, представленной Комитету на текущем собрании, она может понять, почему администрация Соединенного Королевства может не захотеть предоставить результаты измерений напряженности поля. В своем заключении Комитет должен дать рациональное и логическое объяснение того, как именно он пришел к своему решению, и не должен игнорировать ранее сделанные заключения. Соответственно, необходимо сделать ссылку на кампанию </w:t>
      </w:r>
      <w:r w:rsidRPr="00494635">
        <w:rPr>
          <w:lang w:val="ru-RU"/>
        </w:rPr>
        <w:t>по международному радиоконтролю</w:t>
      </w:r>
      <w:r w:rsidRPr="00494635">
        <w:rPr>
          <w:lang w:val="ru-RU" w:eastAsia="zh-CN"/>
        </w:rPr>
        <w:t xml:space="preserve">, которая подтвердила существование помех, исходящих с территории Китая. </w:t>
      </w:r>
      <w:r w:rsidRPr="00494635">
        <w:rPr>
          <w:b/>
          <w:bCs/>
          <w:lang w:val="ru-RU" w:eastAsia="zh-CN"/>
        </w:rPr>
        <w:t>Г</w:t>
      </w:r>
      <w:r w:rsidRPr="00494635">
        <w:rPr>
          <w:b/>
          <w:bCs/>
          <w:lang w:val="ru-RU" w:eastAsia="zh-CN"/>
        </w:rPr>
        <w:noBreakHyphen/>
        <w:t>жа Гасанова</w:t>
      </w:r>
      <w:r w:rsidRPr="00494635">
        <w:rPr>
          <w:lang w:val="ru-RU" w:eastAsia="zh-CN"/>
        </w:rPr>
        <w:t xml:space="preserve"> выражает согласие с этим предложением.</w:t>
      </w:r>
    </w:p>
    <w:p w14:paraId="6276922A" w14:textId="77777777" w:rsidR="00A06CB6" w:rsidRPr="00494635" w:rsidRDefault="00A06CB6" w:rsidP="00A06CB6">
      <w:pPr>
        <w:jc w:val="both"/>
        <w:rPr>
          <w:lang w:val="ru-RU" w:eastAsia="zh-CN"/>
        </w:rPr>
      </w:pPr>
      <w:r w:rsidRPr="00494635">
        <w:rPr>
          <w:lang w:val="ru-RU" w:eastAsia="zh-CN"/>
        </w:rPr>
        <w:t>6.1.19</w:t>
      </w:r>
      <w:r w:rsidRPr="00494635">
        <w:rPr>
          <w:lang w:val="ru-RU"/>
        </w:rPr>
        <w:tab/>
      </w:r>
      <w:r w:rsidRPr="00494635">
        <w:rPr>
          <w:lang w:val="ru-RU" w:eastAsia="zh-CN"/>
        </w:rPr>
        <w:t xml:space="preserve">Отвечая на просьбу </w:t>
      </w:r>
      <w:r w:rsidRPr="00494635">
        <w:rPr>
          <w:b/>
          <w:bCs/>
          <w:lang w:val="ru-RU" w:eastAsia="zh-CN"/>
        </w:rPr>
        <w:t>г-жи Бомье</w:t>
      </w:r>
      <w:r w:rsidRPr="00494635">
        <w:rPr>
          <w:lang w:val="ru-RU" w:eastAsia="zh-CN"/>
        </w:rPr>
        <w:t xml:space="preserve"> о разъяснении, </w:t>
      </w:r>
      <w:r w:rsidRPr="00494635">
        <w:rPr>
          <w:b/>
          <w:bCs/>
          <w:lang w:val="ru-RU" w:eastAsia="zh-CN"/>
        </w:rPr>
        <w:t>г-н Васильев (руководитель TSD)</w:t>
      </w:r>
      <w:r w:rsidRPr="00494635">
        <w:rPr>
          <w:lang w:val="ru-RU" w:eastAsia="zh-CN"/>
        </w:rPr>
        <w:t xml:space="preserve"> подтверждает, что в ходе кампании </w:t>
      </w:r>
      <w:r w:rsidRPr="00494635">
        <w:rPr>
          <w:lang w:val="ru-RU"/>
        </w:rPr>
        <w:t>по международному радиоконтролю</w:t>
      </w:r>
      <w:r w:rsidRPr="00494635">
        <w:rPr>
          <w:sz w:val="24"/>
          <w:szCs w:val="22"/>
          <w:lang w:val="ru-RU"/>
        </w:rPr>
        <w:t xml:space="preserve"> </w:t>
      </w:r>
      <w:r w:rsidRPr="00494635">
        <w:rPr>
          <w:lang w:val="ru-RU" w:eastAsia="zh-CN"/>
        </w:rPr>
        <w:t>в мае–июне 2021 года было обнаружено и сообщено в Бюро только наличие мешающего сигнала. Данные об уровнях напряженности поля или другая информация технического характера для определения уровня помех и того, могут ли они быть квалифицированы как вредные, не собирались.</w:t>
      </w:r>
    </w:p>
    <w:p w14:paraId="79D2365D" w14:textId="77777777" w:rsidR="00A06CB6" w:rsidRPr="00494635" w:rsidRDefault="00A06CB6" w:rsidP="00A06CB6">
      <w:pPr>
        <w:jc w:val="both"/>
        <w:rPr>
          <w:lang w:val="ru-RU"/>
        </w:rPr>
      </w:pPr>
      <w:r w:rsidRPr="00494635">
        <w:rPr>
          <w:lang w:val="ru-RU"/>
        </w:rPr>
        <w:t>6.1.20</w:t>
      </w:r>
      <w:r w:rsidRPr="00494635">
        <w:rPr>
          <w:lang w:val="ru-RU"/>
        </w:rPr>
        <w:tab/>
        <w:t xml:space="preserve">После неофициального обсуждения </w:t>
      </w:r>
      <w:r w:rsidRPr="00494635">
        <w:rPr>
          <w:b/>
          <w:bCs/>
          <w:lang w:val="ru-RU"/>
        </w:rPr>
        <w:t>Председатель</w:t>
      </w:r>
      <w:r w:rsidRPr="00494635">
        <w:rPr>
          <w:lang w:val="ru-RU"/>
        </w:rPr>
        <w:t xml:space="preserve"> предлагает Комитету сделать по данному вопросу следующее заключение:</w:t>
      </w:r>
    </w:p>
    <w:p w14:paraId="107C7736" w14:textId="77777777" w:rsidR="00A06CB6" w:rsidRPr="00494635" w:rsidRDefault="00A06CB6" w:rsidP="00A06CB6">
      <w:pPr>
        <w:jc w:val="both"/>
        <w:rPr>
          <w:lang w:val="ru-RU"/>
        </w:rPr>
      </w:pPr>
      <w:r w:rsidRPr="00494635">
        <w:rPr>
          <w:lang w:val="ru-RU"/>
        </w:rPr>
        <w:t>"В отношении Документа RRB22-3/3 Комитет рассмотрел представление администрации Китая, а также Документы RRB22-3/DELAYED/1 и RRB22</w:t>
      </w:r>
      <w:r w:rsidRPr="00494635">
        <w:rPr>
          <w:lang w:val="ru-RU"/>
        </w:rPr>
        <w:noBreakHyphen/>
        <w:t>3/DELAYED/2 для информации. Комитет отметил, что:</w:t>
      </w:r>
    </w:p>
    <w:p w14:paraId="11F61BFA" w14:textId="77777777" w:rsidR="00A06CB6" w:rsidRPr="00494635" w:rsidRDefault="00A06CB6" w:rsidP="00A06CB6">
      <w:pPr>
        <w:pStyle w:val="enumlev1"/>
        <w:jc w:val="both"/>
        <w:rPr>
          <w:lang w:val="ru-RU"/>
        </w:rPr>
      </w:pPr>
      <w:r w:rsidRPr="00494635">
        <w:rPr>
          <w:lang w:val="ru-RU"/>
        </w:rPr>
        <w:t>•</w:t>
      </w:r>
      <w:r w:rsidRPr="00494635">
        <w:rPr>
          <w:lang w:val="ru-RU"/>
        </w:rPr>
        <w:tab/>
        <w:t>Бюро снова безуспешно пыталось созвать двустороннее собрание администраций Китая и Соединенного Королевства;</w:t>
      </w:r>
    </w:p>
    <w:p w14:paraId="299BF2A1" w14:textId="77777777" w:rsidR="00A06CB6" w:rsidRPr="00494635" w:rsidRDefault="00A06CB6" w:rsidP="00A06CB6">
      <w:pPr>
        <w:pStyle w:val="enumlev1"/>
        <w:jc w:val="both"/>
        <w:rPr>
          <w:lang w:val="ru-RU"/>
        </w:rPr>
      </w:pPr>
      <w:r w:rsidRPr="00494635">
        <w:rPr>
          <w:lang w:val="ru-RU"/>
        </w:rPr>
        <w:t>•</w:t>
      </w:r>
      <w:r w:rsidRPr="00494635">
        <w:rPr>
          <w:lang w:val="ru-RU"/>
        </w:rPr>
        <w:tab/>
        <w:t>единственной целью собрания было бы решение проблемы вредных помех, причиняемых передачам радиовещания в диапазоне ВЧ Соединенного Королевства и его радиовещательной организации;</w:t>
      </w:r>
    </w:p>
    <w:p w14:paraId="5EB7D5CA" w14:textId="77777777" w:rsidR="00A06CB6" w:rsidRPr="00494635" w:rsidRDefault="00A06CB6" w:rsidP="00A06CB6">
      <w:pPr>
        <w:pStyle w:val="enumlev1"/>
        <w:jc w:val="both"/>
        <w:rPr>
          <w:lang w:val="ru-RU"/>
        </w:rPr>
      </w:pPr>
      <w:r w:rsidRPr="00494635">
        <w:rPr>
          <w:lang w:val="ru-RU"/>
        </w:rPr>
        <w:t>•</w:t>
      </w:r>
      <w:r w:rsidRPr="00494635">
        <w:rPr>
          <w:lang w:val="ru-RU"/>
        </w:rPr>
        <w:tab/>
        <w:t>новых донесений о вредных помехах в Бюро после 90-го собрания Комитета не поступало;</w:t>
      </w:r>
    </w:p>
    <w:p w14:paraId="4D919547" w14:textId="77777777" w:rsidR="00A06CB6" w:rsidRPr="00494635" w:rsidRDefault="00A06CB6" w:rsidP="00A06CB6">
      <w:pPr>
        <w:pStyle w:val="enumlev1"/>
        <w:jc w:val="both"/>
        <w:rPr>
          <w:lang w:val="ru-RU"/>
        </w:rPr>
      </w:pPr>
      <w:r w:rsidRPr="00494635">
        <w:rPr>
          <w:lang w:val="ru-RU"/>
        </w:rPr>
        <w:t>•</w:t>
      </w:r>
      <w:r w:rsidRPr="00494635">
        <w:rPr>
          <w:lang w:val="ru-RU"/>
        </w:rPr>
        <w:tab/>
        <w:t>в ходе кампании по международному радиоконтролю</w:t>
      </w:r>
      <w:r w:rsidRPr="00494635">
        <w:rPr>
          <w:sz w:val="24"/>
          <w:szCs w:val="22"/>
          <w:lang w:val="ru-RU"/>
        </w:rPr>
        <w:t xml:space="preserve"> </w:t>
      </w:r>
      <w:r w:rsidRPr="00494635">
        <w:rPr>
          <w:lang w:val="ru-RU"/>
        </w:rPr>
        <w:t>было собрано достаточно информации для подтверждения наличия помех, источник которых находится на территории Китая;</w:t>
      </w:r>
    </w:p>
    <w:p w14:paraId="65189809" w14:textId="77777777" w:rsidR="00A06CB6" w:rsidRPr="00494635" w:rsidRDefault="00A06CB6" w:rsidP="00A06CB6">
      <w:pPr>
        <w:pStyle w:val="enumlev1"/>
        <w:jc w:val="both"/>
        <w:rPr>
          <w:lang w:val="ru-RU"/>
        </w:rPr>
      </w:pPr>
      <w:r w:rsidRPr="00494635">
        <w:rPr>
          <w:lang w:val="ru-RU"/>
        </w:rPr>
        <w:t>•</w:t>
      </w:r>
      <w:r w:rsidRPr="00494635">
        <w:rPr>
          <w:lang w:val="ru-RU"/>
        </w:rPr>
        <w:tab/>
        <w:t>в ходе кампании по международному радиоконтролю</w:t>
      </w:r>
      <w:r w:rsidRPr="00494635">
        <w:rPr>
          <w:sz w:val="24"/>
          <w:szCs w:val="22"/>
          <w:lang w:val="ru-RU"/>
        </w:rPr>
        <w:t xml:space="preserve"> </w:t>
      </w:r>
      <w:r w:rsidRPr="00494635">
        <w:rPr>
          <w:lang w:val="ru-RU"/>
        </w:rPr>
        <w:t>были обнаружены повторяющиеся помехи (перекрывающиеся со слотами передачи сигналов радиовещательной организации Соединенного Королевства/BBC), а характеристики помеховых сигналов указывают на то, что они исходят не от естественных источников и не соответствуют характеристикам сигналов радиовещания;</w:t>
      </w:r>
    </w:p>
    <w:p w14:paraId="7B8D89E7" w14:textId="77777777" w:rsidR="00A06CB6" w:rsidRPr="00494635" w:rsidRDefault="00A06CB6" w:rsidP="00A06CB6">
      <w:pPr>
        <w:pStyle w:val="enumlev1"/>
        <w:jc w:val="both"/>
        <w:rPr>
          <w:lang w:val="ru-RU"/>
        </w:rPr>
      </w:pPr>
      <w:r w:rsidRPr="00494635">
        <w:rPr>
          <w:lang w:val="ru-RU"/>
        </w:rPr>
        <w:lastRenderedPageBreak/>
        <w:t>•</w:t>
      </w:r>
      <w:r w:rsidRPr="00494635">
        <w:rPr>
          <w:lang w:val="ru-RU"/>
        </w:rPr>
        <w:tab/>
        <w:t>наличие на территории Китая станций, которые производили ненужные передачи, создающие такие помехи, во время кампании по международному радиоконтролю, прямо противоречит п. </w:t>
      </w:r>
      <w:r w:rsidRPr="00494635">
        <w:rPr>
          <w:b/>
          <w:bCs/>
          <w:lang w:val="ru-RU"/>
        </w:rPr>
        <w:t>15.1</w:t>
      </w:r>
      <w:r w:rsidRPr="00494635">
        <w:rPr>
          <w:lang w:val="ru-RU"/>
        </w:rPr>
        <w:t xml:space="preserve"> РР;</w:t>
      </w:r>
    </w:p>
    <w:p w14:paraId="7FF04DB0" w14:textId="77777777" w:rsidR="00A06CB6" w:rsidRPr="00494635" w:rsidRDefault="00A06CB6" w:rsidP="00A06CB6">
      <w:pPr>
        <w:pStyle w:val="enumlev1"/>
        <w:jc w:val="both"/>
        <w:rPr>
          <w:lang w:val="ru-RU"/>
        </w:rPr>
      </w:pPr>
      <w:r w:rsidRPr="00494635">
        <w:rPr>
          <w:lang w:val="ru-RU"/>
        </w:rPr>
        <w:t>•</w:t>
      </w:r>
      <w:r w:rsidRPr="00494635">
        <w:rPr>
          <w:lang w:val="ru-RU"/>
        </w:rPr>
        <w:tab/>
        <w:t>администрация Китая выразила готовность сотрудничать с администрацией Соединенного Королевства для урегулирования случаев вредных помех;</w:t>
      </w:r>
    </w:p>
    <w:p w14:paraId="40E152FF" w14:textId="77777777" w:rsidR="00A06CB6" w:rsidRPr="00494635" w:rsidRDefault="00A06CB6" w:rsidP="00A06CB6">
      <w:pPr>
        <w:pStyle w:val="enumlev1"/>
        <w:jc w:val="both"/>
        <w:rPr>
          <w:lang w:val="ru-RU"/>
        </w:rPr>
      </w:pPr>
      <w:r w:rsidRPr="00494635">
        <w:rPr>
          <w:lang w:val="ru-RU"/>
        </w:rPr>
        <w:t>•</w:t>
      </w:r>
      <w:r w:rsidRPr="00494635">
        <w:rPr>
          <w:lang w:val="ru-RU"/>
        </w:rPr>
        <w:tab/>
        <w:t>измерение напряженности поля невозможно, так как это вызывает технические трудности, а результаты непостоянны;</w:t>
      </w:r>
    </w:p>
    <w:p w14:paraId="1F39D66F" w14:textId="77777777" w:rsidR="00A06CB6" w:rsidRPr="00494635" w:rsidRDefault="00A06CB6" w:rsidP="00A06CB6">
      <w:pPr>
        <w:pStyle w:val="enumlev1"/>
        <w:jc w:val="both"/>
        <w:rPr>
          <w:lang w:val="ru-RU"/>
        </w:rPr>
      </w:pPr>
      <w:r w:rsidRPr="00494635">
        <w:rPr>
          <w:lang w:val="ru-RU"/>
        </w:rPr>
        <w:t>•</w:t>
      </w:r>
      <w:r w:rsidRPr="00494635">
        <w:rPr>
          <w:lang w:val="ru-RU"/>
        </w:rPr>
        <w:tab/>
        <w:t>атмосферный волновод, упоминаемый в Документе RRB22-3/3, не признан и не задокументирован МСЭ как что-то, что оказывает возможное влияние на распространение сигналов в диапазонах ВЧ;</w:t>
      </w:r>
    </w:p>
    <w:p w14:paraId="08E412FB" w14:textId="77777777" w:rsidR="00A06CB6" w:rsidRPr="00494635" w:rsidRDefault="00A06CB6" w:rsidP="00A06CB6">
      <w:pPr>
        <w:pStyle w:val="enumlev1"/>
        <w:jc w:val="both"/>
        <w:rPr>
          <w:lang w:val="ru-RU"/>
        </w:rPr>
      </w:pPr>
      <w:r w:rsidRPr="00494635">
        <w:rPr>
          <w:lang w:val="ru-RU"/>
        </w:rPr>
        <w:t>•</w:t>
      </w:r>
      <w:r w:rsidRPr="00494635">
        <w:rPr>
          <w:lang w:val="ru-RU"/>
        </w:rPr>
        <w:tab/>
        <w:t xml:space="preserve">в соответствии с п. </w:t>
      </w:r>
      <w:r w:rsidRPr="00494635">
        <w:rPr>
          <w:b/>
          <w:bCs/>
          <w:lang w:val="ru-RU"/>
        </w:rPr>
        <w:t>15.34</w:t>
      </w:r>
      <w:r w:rsidRPr="00494635">
        <w:rPr>
          <w:lang w:val="ru-RU"/>
        </w:rPr>
        <w:t>, "определив источник и характеристики вредных помех, администрация, под юрисдикцией которой находится передающая станция, служба которой подвергается помехам, должна информировать администрацию, под юрисдикцией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p>
    <w:p w14:paraId="30B8D291" w14:textId="77777777" w:rsidR="00A06CB6" w:rsidRPr="00494635" w:rsidRDefault="00A06CB6" w:rsidP="00A06CB6">
      <w:pPr>
        <w:pStyle w:val="enumlev1"/>
        <w:jc w:val="both"/>
        <w:rPr>
          <w:lang w:val="ru-RU"/>
        </w:rPr>
      </w:pPr>
      <w:r w:rsidRPr="00494635">
        <w:rPr>
          <w:lang w:val="ru-RU"/>
        </w:rPr>
        <w:t>•</w:t>
      </w:r>
      <w:r w:rsidRPr="00494635">
        <w:rPr>
          <w:lang w:val="ru-RU"/>
        </w:rPr>
        <w:tab/>
        <w:t xml:space="preserve">в соответствии с п. </w:t>
      </w:r>
      <w:r w:rsidRPr="00494635">
        <w:rPr>
          <w:b/>
          <w:bCs/>
          <w:lang w:val="ru-RU"/>
        </w:rPr>
        <w:t>15.41</w:t>
      </w:r>
      <w:r w:rsidRPr="00494635">
        <w:rPr>
          <w:lang w:val="ru-RU"/>
        </w:rPr>
        <w:t xml:space="preserve"> РР "заинтересованной администрации" следует сообщить подробности о данном случае вредных помех в Бюро.</w:t>
      </w:r>
    </w:p>
    <w:p w14:paraId="3D72E509" w14:textId="77777777" w:rsidR="00A06CB6" w:rsidRPr="00494635" w:rsidRDefault="00A06CB6" w:rsidP="00A06CB6">
      <w:pPr>
        <w:jc w:val="both"/>
        <w:rPr>
          <w:lang w:val="ru-RU"/>
        </w:rPr>
      </w:pPr>
      <w:r w:rsidRPr="00494635">
        <w:rPr>
          <w:lang w:val="ru-RU"/>
        </w:rPr>
        <w:t>Комитет вновь настоятельно призвал администрацию Китая незамедлительно принять надлежащие меры для устранения всех вредных помех передачам на ВЧ, о которых сообщило Соединенное Королевство. Кроме того, Комитет настоятельно призвал обе администрации продолжать усилия в духе максимальной доброй воли и сотрудничества с целью урегулирования случаев вредных помех.</w:t>
      </w:r>
    </w:p>
    <w:p w14:paraId="7BC9545F" w14:textId="77777777" w:rsidR="00A06CB6" w:rsidRPr="00494635" w:rsidRDefault="00A06CB6" w:rsidP="00A06CB6">
      <w:pPr>
        <w:jc w:val="both"/>
        <w:rPr>
          <w:lang w:val="ru-RU"/>
        </w:rPr>
      </w:pPr>
      <w:r w:rsidRPr="00494635">
        <w:rPr>
          <w:lang w:val="ru-RU"/>
        </w:rPr>
        <w:t>Комитет поручил Бюро:</w:t>
      </w:r>
    </w:p>
    <w:p w14:paraId="75B6B300" w14:textId="77777777" w:rsidR="00A06CB6" w:rsidRPr="00494635" w:rsidRDefault="00A06CB6" w:rsidP="00A06CB6">
      <w:pPr>
        <w:pStyle w:val="enumlev1"/>
        <w:jc w:val="both"/>
        <w:rPr>
          <w:lang w:val="ru-RU"/>
        </w:rPr>
      </w:pPr>
      <w:r w:rsidRPr="00494635">
        <w:rPr>
          <w:lang w:val="ru-RU"/>
        </w:rPr>
        <w:t>•</w:t>
      </w:r>
      <w:r w:rsidRPr="00494635">
        <w:rPr>
          <w:lang w:val="ru-RU"/>
        </w:rPr>
        <w:tab/>
        <w:t>продолжить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w:t>
      </w:r>
    </w:p>
    <w:p w14:paraId="7CFDF5D1" w14:textId="77777777" w:rsidR="00A06CB6" w:rsidRPr="00494635" w:rsidRDefault="00A06CB6" w:rsidP="00A06CB6">
      <w:pPr>
        <w:pStyle w:val="enumlev1"/>
        <w:jc w:val="both"/>
        <w:rPr>
          <w:lang w:val="ru-RU"/>
        </w:rPr>
      </w:pPr>
      <w:r w:rsidRPr="00494635">
        <w:rPr>
          <w:lang w:val="ru-RU"/>
        </w:rPr>
        <w:t>•</w:t>
      </w:r>
      <w:r w:rsidRPr="00494635">
        <w:rPr>
          <w:lang w:val="ru-RU"/>
        </w:rPr>
        <w:tab/>
        <w:t>продолжить оказывать поддержку обеим администрациям;</w:t>
      </w:r>
    </w:p>
    <w:p w14:paraId="35CC45A4" w14:textId="77777777" w:rsidR="00A06CB6" w:rsidRPr="00494635" w:rsidRDefault="00A06CB6" w:rsidP="00A06CB6">
      <w:pPr>
        <w:pStyle w:val="enumlev1"/>
        <w:jc w:val="both"/>
        <w:rPr>
          <w:lang w:val="ru-RU"/>
        </w:rPr>
      </w:pPr>
      <w:r w:rsidRPr="00494635">
        <w:rPr>
          <w:lang w:val="ru-RU"/>
        </w:rPr>
        <w:t>•</w:t>
      </w:r>
      <w:r w:rsidRPr="00494635">
        <w:rPr>
          <w:lang w:val="ru-RU"/>
        </w:rPr>
        <w:tab/>
        <w:t>представить отчет обо всех достигнутых результатах 92</w:t>
      </w:r>
      <w:r w:rsidRPr="00494635">
        <w:rPr>
          <w:lang w:val="ru-RU"/>
        </w:rPr>
        <w:noBreakHyphen/>
        <w:t>му собранию Комитета."</w:t>
      </w:r>
    </w:p>
    <w:p w14:paraId="78988203" w14:textId="77777777" w:rsidR="00A06CB6" w:rsidRPr="00494635" w:rsidRDefault="00A06CB6" w:rsidP="00A06CB6">
      <w:pPr>
        <w:jc w:val="both"/>
        <w:rPr>
          <w:lang w:val="ru-RU"/>
        </w:rPr>
      </w:pPr>
      <w:r w:rsidRPr="00494635">
        <w:rPr>
          <w:lang w:val="ru-RU"/>
        </w:rPr>
        <w:t>6.1.21</w:t>
      </w:r>
      <w:r w:rsidRPr="00494635">
        <w:rPr>
          <w:lang w:val="ru-RU"/>
        </w:rPr>
        <w:tab/>
        <w:t xml:space="preserve">Предложение </w:t>
      </w:r>
      <w:r w:rsidRPr="00494635">
        <w:rPr>
          <w:b/>
          <w:bCs/>
          <w:lang w:val="ru-RU"/>
        </w:rPr>
        <w:t>принимается</w:t>
      </w:r>
      <w:r w:rsidRPr="00494635">
        <w:rPr>
          <w:lang w:val="ru-RU"/>
        </w:rPr>
        <w:t>.</w:t>
      </w:r>
    </w:p>
    <w:p w14:paraId="0DC09A57" w14:textId="77777777" w:rsidR="00A06CB6" w:rsidRPr="00494635" w:rsidRDefault="00A06CB6" w:rsidP="00A06CB6">
      <w:pPr>
        <w:pStyle w:val="Heading1"/>
        <w:jc w:val="both"/>
        <w:rPr>
          <w:lang w:val="ru-RU"/>
        </w:rPr>
      </w:pPr>
      <w:r w:rsidRPr="00494635">
        <w:rPr>
          <w:lang w:val="ru-RU"/>
        </w:rPr>
        <w:t>7</w:t>
      </w:r>
      <w:r w:rsidRPr="00494635">
        <w:rPr>
          <w:lang w:val="ru-RU"/>
        </w:rPr>
        <w:tab/>
        <w:t>Координация спутниковых сетей ARABSAT и TURKSAT (Дополнительный документ 10 к Документу RRB22-3/5)</w:t>
      </w:r>
    </w:p>
    <w:p w14:paraId="30EDA8CA" w14:textId="77777777" w:rsidR="00A06CB6" w:rsidRPr="00494635" w:rsidRDefault="00A06CB6" w:rsidP="00A06CB6">
      <w:pPr>
        <w:pStyle w:val="Headingb"/>
        <w:ind w:left="794"/>
        <w:jc w:val="both"/>
        <w:rPr>
          <w:lang w:val="ru-RU"/>
        </w:rPr>
      </w:pPr>
      <w:r w:rsidRPr="00494635">
        <w:rPr>
          <w:lang w:val="ru-RU"/>
        </w:rPr>
        <w:t>Представление администрации Турции в ответ на представление администрации Саудовской Аравии (Королевства), касающееся координации спутниковых сетей ARABSAT 5A и 6A в позиции 30,5° в. д. и спутниковой сети TURKSAT-5A в позиции 31° в. д. в диапазоне Ku (10,95–11,2 ГГц, 11,45–11,7 ГГц и 14,0–14,5 ГГц) (Документ RRB22-3/2 (RRB22-2/DELAYED/1))</w:t>
      </w:r>
    </w:p>
    <w:p w14:paraId="2871152A" w14:textId="77777777" w:rsidR="00A06CB6" w:rsidRPr="00494635" w:rsidRDefault="00A06CB6" w:rsidP="00A06CB6">
      <w:pPr>
        <w:pStyle w:val="Headingb"/>
        <w:ind w:left="794"/>
        <w:jc w:val="both"/>
        <w:rPr>
          <w:lang w:val="ru-RU"/>
        </w:rPr>
      </w:pPr>
      <w:r w:rsidRPr="00494635">
        <w:rPr>
          <w:lang w:val="ru-RU"/>
        </w:rPr>
        <w:t>Представление администрации Турции, касающееся вредных помех от спутниковых сетей ARABSAT в позиции 30,5° в. д. спутниковым сетям TURKSAT в позиции 31° в. д. (Документ RRB22-3/13)</w:t>
      </w:r>
    </w:p>
    <w:p w14:paraId="1545C68D" w14:textId="77777777" w:rsidR="00A06CB6" w:rsidRPr="00494635" w:rsidRDefault="00A06CB6" w:rsidP="00A06CB6">
      <w:pPr>
        <w:pStyle w:val="Headingb"/>
        <w:ind w:left="794"/>
        <w:jc w:val="both"/>
        <w:rPr>
          <w:lang w:val="ru-RU"/>
        </w:rPr>
      </w:pPr>
      <w:r w:rsidRPr="00494635">
        <w:rPr>
          <w:lang w:val="ru-RU"/>
        </w:rPr>
        <w:t>Представление администрации Саудовской Аравии (Королевства), касающееся координации спутниковых сетей ARABSAT 5A и 6A в позиции 30,5° в. д. и спутниковых сетей TURKSAT 5A и ARABSAT в позиции 31° в. д. в диапазоне Ku (Документ RRB22</w:t>
      </w:r>
      <w:r w:rsidRPr="00494635">
        <w:rPr>
          <w:lang w:val="ru-RU"/>
        </w:rPr>
        <w:noBreakHyphen/>
        <w:t>3/14)</w:t>
      </w:r>
    </w:p>
    <w:p w14:paraId="30DEBDFB" w14:textId="77777777" w:rsidR="00A06CB6" w:rsidRPr="00494635" w:rsidRDefault="00A06CB6" w:rsidP="00A06CB6">
      <w:pPr>
        <w:jc w:val="both"/>
        <w:rPr>
          <w:lang w:val="ru-RU"/>
        </w:rPr>
      </w:pPr>
      <w:r w:rsidRPr="00494635">
        <w:rPr>
          <w:lang w:val="ru-RU"/>
        </w:rPr>
        <w:t>7.1</w:t>
      </w:r>
      <w:r w:rsidRPr="00494635">
        <w:rPr>
          <w:lang w:val="ru-RU"/>
        </w:rPr>
        <w:tab/>
      </w:r>
      <w:r w:rsidRPr="00494635">
        <w:rPr>
          <w:b/>
          <w:bCs/>
          <w:lang w:val="ru-RU"/>
        </w:rPr>
        <w:t>Заместитель Председателя</w:t>
      </w:r>
      <w:r w:rsidRPr="00494635">
        <w:rPr>
          <w:lang w:val="ru-RU"/>
        </w:rPr>
        <w:t xml:space="preserve"> предлагает Бюро представить документы.</w:t>
      </w:r>
    </w:p>
    <w:p w14:paraId="6C2B06D8" w14:textId="77777777" w:rsidR="00A06CB6" w:rsidRPr="00494635" w:rsidRDefault="00A06CB6" w:rsidP="00A06CB6">
      <w:pPr>
        <w:jc w:val="both"/>
        <w:rPr>
          <w:lang w:val="ru-RU"/>
        </w:rPr>
      </w:pPr>
      <w:r w:rsidRPr="00494635">
        <w:rPr>
          <w:lang w:val="ru-RU"/>
        </w:rPr>
        <w:t>7.2</w:t>
      </w:r>
      <w:r w:rsidRPr="00494635">
        <w:rPr>
          <w:lang w:val="ru-RU"/>
        </w:rPr>
        <w:tab/>
      </w:r>
      <w:r w:rsidRPr="00494635">
        <w:rPr>
          <w:b/>
          <w:bCs/>
          <w:lang w:val="ru-RU"/>
        </w:rPr>
        <w:t>Г-н Валле (руководитель SSD)</w:t>
      </w:r>
      <w:r w:rsidRPr="00494635">
        <w:rPr>
          <w:lang w:val="ru-RU"/>
        </w:rPr>
        <w:t xml:space="preserve"> сообщает, что в Документе RRB22-3/2 (RRB22</w:t>
      </w:r>
      <w:r w:rsidRPr="00494635">
        <w:rPr>
          <w:lang w:val="ru-RU"/>
        </w:rPr>
        <w:noBreakHyphen/>
        <w:t xml:space="preserve">2/DELAYED/1) содержатся мнения администрации Турции по Документу RRB22-2/14, который был представлен администрацией Саудовской Аравии в качестве заявляющей администрации Arabsat. Он предлагает </w:t>
      </w:r>
      <w:r w:rsidRPr="00494635">
        <w:rPr>
          <w:lang w:val="ru-RU"/>
        </w:rPr>
        <w:lastRenderedPageBreak/>
        <w:t>Комитету просто принять этот документ к сведению, поскольку он был заменен представленным администрацией Турции к текущему собранию новым документом (Документ RRB22</w:t>
      </w:r>
      <w:r w:rsidRPr="00494635">
        <w:rPr>
          <w:lang w:val="ru-RU"/>
        </w:rPr>
        <w:noBreakHyphen/>
        <w:t>3/13), в котором содержится информация о последних изменениях в процессе координации между двумя администрациями и подчеркивается, что решение по сегментированию частот, предложенное администрацией Саудовской Аравии, по-прежнему является неприемлемым. В документе также указано, что по результатам обсуждений на высоком уровне между двумя сторонами в октябре 2022 года было достигнуто принципиальное соглашение и в настоящее время прорабатываются подробности возможного координационного соглашения. Документ RRB22-3/14, представленный администрацией Саудовской Аравии от имени Arabsat, был получен в тот же день, что и Документ RRB22-3/13, и не является ответом на него; в нем также кратко излагаются события, связанные с деятельностью по координации.</w:t>
      </w:r>
    </w:p>
    <w:p w14:paraId="49B2834E" w14:textId="77777777" w:rsidR="00A06CB6" w:rsidRPr="00494635" w:rsidRDefault="00A06CB6" w:rsidP="00A06CB6">
      <w:pPr>
        <w:jc w:val="both"/>
        <w:rPr>
          <w:lang w:val="ru-RU"/>
        </w:rPr>
      </w:pPr>
      <w:r w:rsidRPr="00494635">
        <w:rPr>
          <w:lang w:val="ru-RU"/>
        </w:rPr>
        <w:t>7.3</w:t>
      </w:r>
      <w:r w:rsidRPr="00494635">
        <w:rPr>
          <w:lang w:val="ru-RU"/>
        </w:rPr>
        <w:tab/>
        <w:t>В Дополнительном документе 10 к Документу RRB22-3/5 Директор БР сообщает, что после 90</w:t>
      </w:r>
      <w:r w:rsidRPr="00494635">
        <w:rPr>
          <w:lang w:val="ru-RU"/>
        </w:rPr>
        <w:noBreakHyphen/>
        <w:t>го собрания Комитета администрации провели онлайновые собрания при участии Бюро, с тем чтобы завершить подготовку краткого отчета о координационном собрании 24 и 25 мая 2022 года и продолжить обсуждение вопросов координации. Бюро также было проинформировано о том, что между руководством Arabsat и Turksat продолжаются обсуждения на высоком уровне. К сожалению, хотя эти обсуждения показали, что и Arabsat, и Turksat серьезно относятся к этому вопросу, по их результатам также были приостановлены подробные технические обсуждения, поскольку группы, занимающиеся аспектом частот, не могли продвигаться вперед или вести переговоры, пока продолжались эти обсуждения. По его мнению, данный случай вызывает серьезную обеспокоенность, и Комитету следует продолжать рекомендовать обеим сторонам продолжать обсуждения и выработать решение, учитывающее принципиальную договоренность, достигнутую в результате обсуждений на высоком уровне. Роль Бюро в будущем должна заключаться в отслеживании прогресса в реализации результатов обсуждений, поскольку любое решение, вероятно, будет связано с вопросами, выходящими за пределы мандата МСЭ.</w:t>
      </w:r>
    </w:p>
    <w:p w14:paraId="60642478" w14:textId="77777777" w:rsidR="00A06CB6" w:rsidRPr="00494635" w:rsidRDefault="00A06CB6" w:rsidP="00A06CB6">
      <w:pPr>
        <w:jc w:val="both"/>
        <w:rPr>
          <w:lang w:val="ru-RU"/>
        </w:rPr>
      </w:pPr>
      <w:r w:rsidRPr="00494635">
        <w:rPr>
          <w:lang w:val="ru-RU"/>
        </w:rPr>
        <w:t>7.4</w:t>
      </w:r>
      <w:r w:rsidRPr="00494635">
        <w:rPr>
          <w:lang w:val="ru-RU"/>
        </w:rPr>
        <w:tab/>
      </w:r>
      <w:r w:rsidRPr="00494635">
        <w:rPr>
          <w:b/>
          <w:bCs/>
          <w:lang w:val="ru-RU"/>
        </w:rPr>
        <w:t>Г-жа Гасанова</w:t>
      </w:r>
      <w:r w:rsidRPr="00494635">
        <w:rPr>
          <w:lang w:val="ru-RU"/>
        </w:rPr>
        <w:t xml:space="preserve"> задает вопрос, получало ли Бюро в последнее время донесения о помехах от какой-либо из администраций. Обе стороны прорабатывали детали возможного координационного соглашения на высоком уровне</w:t>
      </w:r>
      <w:r w:rsidRPr="00494635">
        <w:rPr>
          <w:rFonts w:ascii="Arial" w:hAnsi="Arial" w:cs="Arial"/>
          <w:szCs w:val="24"/>
          <w:lang w:val="ru-RU"/>
        </w:rPr>
        <w:t xml:space="preserve">. </w:t>
      </w:r>
      <w:r w:rsidRPr="00494635">
        <w:rPr>
          <w:lang w:val="ru-RU"/>
        </w:rPr>
        <w:t>Комитету пришлось ждать завершения переговоров. Как представляется, обе стороны прилагают усилия для проведения двусторонних мероприятий и снижения уровня вредных помех.</w:t>
      </w:r>
    </w:p>
    <w:p w14:paraId="7CD80753" w14:textId="77777777" w:rsidR="00A06CB6" w:rsidRPr="00494635" w:rsidRDefault="00A06CB6" w:rsidP="00A06CB6">
      <w:pPr>
        <w:jc w:val="both"/>
        <w:rPr>
          <w:lang w:val="ru-RU"/>
        </w:rPr>
      </w:pPr>
      <w:r w:rsidRPr="00494635">
        <w:rPr>
          <w:lang w:val="ru-RU"/>
        </w:rPr>
        <w:t>7.5</w:t>
      </w:r>
      <w:r w:rsidRPr="00494635">
        <w:rPr>
          <w:lang w:val="ru-RU"/>
        </w:rPr>
        <w:tab/>
      </w:r>
      <w:r w:rsidRPr="00494635">
        <w:rPr>
          <w:b/>
          <w:bCs/>
          <w:lang w:val="ru-RU"/>
        </w:rPr>
        <w:t>Г-н Валле (руководитель SSD)</w:t>
      </w:r>
      <w:r w:rsidRPr="00494635">
        <w:rPr>
          <w:lang w:val="ru-RU"/>
        </w:rPr>
        <w:t xml:space="preserve"> отвечает, что Бюро не получало донесений о помехах ни от одной из администраций. Тем не менее, помехи по-прежнему существуют, что является следствием отсутствия координационных соглашений. Обе администрации признают этот факт, но пока не достигли соглашения.</w:t>
      </w:r>
    </w:p>
    <w:p w14:paraId="069E0566" w14:textId="77777777" w:rsidR="00A06CB6" w:rsidRPr="00494635" w:rsidRDefault="00A06CB6" w:rsidP="00A06CB6">
      <w:pPr>
        <w:jc w:val="both"/>
        <w:rPr>
          <w:lang w:val="ru-RU"/>
        </w:rPr>
      </w:pPr>
      <w:r w:rsidRPr="00494635">
        <w:rPr>
          <w:lang w:val="ru-RU"/>
        </w:rPr>
        <w:t>7.6</w:t>
      </w:r>
      <w:r w:rsidRPr="00494635">
        <w:rPr>
          <w:lang w:val="ru-RU"/>
        </w:rPr>
        <w:tab/>
      </w:r>
      <w:r w:rsidRPr="00494635">
        <w:rPr>
          <w:b/>
          <w:bCs/>
          <w:lang w:val="ru-RU"/>
        </w:rPr>
        <w:t>Г-жа Бомье</w:t>
      </w:r>
      <w:r w:rsidRPr="00494635">
        <w:rPr>
          <w:lang w:val="ru-RU"/>
        </w:rPr>
        <w:t xml:space="preserve"> ссылается на Документ RRB22-3/13 администрации Турции и спрашивает, не объясняется ли тот факт, что эксплуатационные испытания не проводились, нежеланием Arabsat заключить временное соглашение об эксплуатации.</w:t>
      </w:r>
    </w:p>
    <w:p w14:paraId="7741D279" w14:textId="77777777" w:rsidR="00A06CB6" w:rsidRPr="00494635" w:rsidRDefault="00A06CB6" w:rsidP="00A06CB6">
      <w:pPr>
        <w:jc w:val="both"/>
        <w:rPr>
          <w:lang w:val="ru-RU"/>
        </w:rPr>
      </w:pPr>
      <w:r w:rsidRPr="00494635">
        <w:rPr>
          <w:lang w:val="ru-RU"/>
        </w:rPr>
        <w:t>7.7</w:t>
      </w:r>
      <w:r w:rsidRPr="00494635">
        <w:rPr>
          <w:lang w:val="ru-RU"/>
        </w:rPr>
        <w:tab/>
      </w:r>
      <w:r w:rsidRPr="00494635">
        <w:rPr>
          <w:b/>
          <w:bCs/>
          <w:lang w:val="ru-RU"/>
        </w:rPr>
        <w:t>Г-н Валле (руководитель SSD)</w:t>
      </w:r>
      <w:r w:rsidRPr="00494635">
        <w:rPr>
          <w:lang w:val="ru-RU"/>
        </w:rPr>
        <w:t xml:space="preserve"> отвечает утвердительно и добавляет, что при обсуждении эксплуатационных испытаний не удалось согласовать их объем. Turksat предложила ряд ретрансляторов, а Arabsat предложила провести испытания различных ретрансляторов, а затем группы вновь обсудят этот вопрос, но соглашение о порядке проведения испытаний достигнуто не было. Arabsat изначально предлагала сегментацию частот 50/50, тогда как Turksat последовательно отвергала это решение и вместо этого предлагала совместное использование ретрансляторов с ограничениями в географическом охвате во избежание помех; группы придерживались своих первоначальных предложений, не рассматривая компромиссное решение или третий путь.</w:t>
      </w:r>
    </w:p>
    <w:p w14:paraId="3334638B" w14:textId="77777777" w:rsidR="00A06CB6" w:rsidRPr="00494635" w:rsidRDefault="00A06CB6" w:rsidP="00A06CB6">
      <w:pPr>
        <w:jc w:val="both"/>
        <w:rPr>
          <w:lang w:val="ru-RU"/>
        </w:rPr>
      </w:pPr>
      <w:r w:rsidRPr="00494635">
        <w:rPr>
          <w:lang w:val="ru-RU"/>
        </w:rPr>
        <w:t>7.8</w:t>
      </w:r>
      <w:r w:rsidRPr="00494635">
        <w:rPr>
          <w:lang w:val="ru-RU"/>
        </w:rPr>
        <w:tab/>
        <w:t xml:space="preserve">Он соглашается с </w:t>
      </w:r>
      <w:r w:rsidRPr="00494635">
        <w:rPr>
          <w:b/>
          <w:bCs/>
          <w:lang w:val="ru-RU"/>
        </w:rPr>
        <w:t>заместителем Председателя</w:t>
      </w:r>
      <w:r w:rsidRPr="00494635">
        <w:rPr>
          <w:lang w:val="ru-RU"/>
        </w:rPr>
        <w:t>, что Комитету имеет смысл обратиться к обеим администрациям с просьбой принять временное решение до достижения окончательного результата, но не считает такой шаг осуществимым, поскольку он подразумевает согласие прекратить передачи определенных потребителей и, следовательно, поставит вопросы договорной ответственности: прекращение передач представляет собой нарушение договора. Текущая ситуация является нежелательной, но она зачастую предпочтительнее, чем прекращение контракта.</w:t>
      </w:r>
    </w:p>
    <w:p w14:paraId="7BDBA16F" w14:textId="77777777" w:rsidR="00A06CB6" w:rsidRPr="00494635" w:rsidRDefault="00A06CB6" w:rsidP="00A06CB6">
      <w:pPr>
        <w:jc w:val="both"/>
        <w:rPr>
          <w:lang w:val="ru-RU"/>
        </w:rPr>
      </w:pPr>
      <w:r w:rsidRPr="00494635">
        <w:rPr>
          <w:lang w:val="ru-RU"/>
        </w:rPr>
        <w:lastRenderedPageBreak/>
        <w:t>7.9</w:t>
      </w:r>
      <w:r w:rsidRPr="00494635">
        <w:rPr>
          <w:lang w:val="ru-RU"/>
        </w:rPr>
        <w:tab/>
      </w:r>
      <w:r w:rsidRPr="00494635">
        <w:rPr>
          <w:b/>
          <w:bCs/>
          <w:lang w:val="ru-RU"/>
        </w:rPr>
        <w:t>Г-жа Бомье</w:t>
      </w:r>
      <w:r w:rsidRPr="00494635">
        <w:rPr>
          <w:lang w:val="ru-RU"/>
        </w:rPr>
        <w:t xml:space="preserve"> выражает разочарование в связи с тем, что администрации еще не достигли временного соглашения для обеспечения свободной от помех работы обеих спутниковых систем, по всей видимости, по причинам делового характера. Тем не менее, отрадно отметить, что они признают необходимость проведения обсуждений на высоком уровне и достигли принципиального соглашения. Она соглашается с Бюро в том, что на данном этапе Комитету следует призвать администрации продолжать усилия по заключению координационного соглашения и реализации принципиального соглашения; Комитету также следует поручить Бюро следить за прогрессом и сохранять готовность оказать необходимую помощь для завершения работы над любым соглашением, которое будет следствием принципиального соглашения. Было бы непродуктивно и неконструктивно вносить дальнейшие предложения относительно сегментации частот; решение Комитета должно касаться технических решений только в общих чертах.</w:t>
      </w:r>
    </w:p>
    <w:p w14:paraId="33CD2CA4" w14:textId="77777777" w:rsidR="00A06CB6" w:rsidRPr="00494635" w:rsidRDefault="00A06CB6" w:rsidP="00A06CB6">
      <w:pPr>
        <w:jc w:val="both"/>
        <w:rPr>
          <w:lang w:val="ru-RU"/>
        </w:rPr>
      </w:pPr>
      <w:r w:rsidRPr="00494635">
        <w:rPr>
          <w:lang w:val="ru-RU"/>
        </w:rPr>
        <w:t>7.10</w:t>
      </w:r>
      <w:r w:rsidRPr="00494635">
        <w:rPr>
          <w:lang w:val="ru-RU"/>
        </w:rPr>
        <w:tab/>
      </w:r>
      <w:r w:rsidRPr="00494635">
        <w:rPr>
          <w:b/>
          <w:bCs/>
          <w:lang w:val="ru-RU"/>
        </w:rPr>
        <w:t>Г-н Анри</w:t>
      </w:r>
      <w:r w:rsidRPr="00494635">
        <w:rPr>
          <w:lang w:val="ru-RU"/>
        </w:rPr>
        <w:t xml:space="preserve"> соглашается, что Комитету не следует сосредоточиваться на подробных вопросах помех, хотя следует, тем не менее, осудить неприемлемое поведение, которое может рассматриваться как случай намеренных вредных помех. Он напоминает, что общей целью Комитета является содействие справедливому выполнению Регламента радиосвязи всеми сторонами на основе доброй воли и взаимопомощи. Он с удовлетворением отмечает, что в результате обсуждений на высоком уровне было достигнуто принципиальное соглашение. Роль Бюро теперь заключается в том, чтобы продолжать оказывать поддержку обеим администрациям и следить за деталями, разрабатываемыми в результате принципиального соглашения на высоком уровне. На данном этапе Комитету не требуется углубляться в подробные технические решения, но важно, чтобы администрации и операторы составили дорожную карту для продвижения на основе соглашения высокого уровня.</w:t>
      </w:r>
    </w:p>
    <w:p w14:paraId="6136593B" w14:textId="77777777" w:rsidR="00A06CB6" w:rsidRPr="00494635" w:rsidRDefault="00A06CB6" w:rsidP="00A06CB6">
      <w:pPr>
        <w:jc w:val="both"/>
        <w:rPr>
          <w:lang w:val="ru-RU"/>
        </w:rPr>
      </w:pPr>
      <w:r w:rsidRPr="00494635">
        <w:rPr>
          <w:lang w:val="ru-RU"/>
        </w:rPr>
        <w:t>7.11</w:t>
      </w:r>
      <w:r w:rsidRPr="00494635">
        <w:rPr>
          <w:lang w:val="ru-RU"/>
        </w:rPr>
        <w:tab/>
      </w:r>
      <w:r w:rsidRPr="00494635">
        <w:rPr>
          <w:b/>
          <w:bCs/>
          <w:lang w:val="ru-RU"/>
        </w:rPr>
        <w:t>Г-н Талиб</w:t>
      </w:r>
      <w:r w:rsidRPr="00494635">
        <w:rPr>
          <w:lang w:val="ru-RU"/>
        </w:rPr>
        <w:t xml:space="preserve"> выражает осторожный оптимизм по поводу того, что принципиальное соглашение, достигнутое по результатам обсуждений на высоком уровне, послужит основой для координации. Пока администрации ведут переговоры и выражают добрую волю, они также должны рассмотреть технические решения. Он соглашается с предыдущими ораторами в том, что рекомендации Комитета в этом отношении должны по-прежнему носить общий характер в ожидании результатов ведущихся обсуждений. Комитет направил четкий сигнал на своем предыдущем собрании, когда он призвал администрации "обмениваться технической информацией и пытаться найти все возможные технические решения, включая, в том числе, разделение по поляризации, сегментирование полос частот и ограничения уровня мощности передачи".</w:t>
      </w:r>
    </w:p>
    <w:p w14:paraId="7D0A1B79" w14:textId="77777777" w:rsidR="00A06CB6" w:rsidRPr="00494635" w:rsidRDefault="00A06CB6" w:rsidP="00A06CB6">
      <w:pPr>
        <w:jc w:val="both"/>
        <w:rPr>
          <w:lang w:val="ru-RU"/>
        </w:rPr>
      </w:pPr>
      <w:r w:rsidRPr="00494635">
        <w:rPr>
          <w:lang w:val="ru-RU"/>
        </w:rPr>
        <w:t>7.12</w:t>
      </w:r>
      <w:r w:rsidRPr="00494635">
        <w:rPr>
          <w:lang w:val="ru-RU"/>
        </w:rPr>
        <w:tab/>
      </w:r>
      <w:r w:rsidRPr="00494635">
        <w:rPr>
          <w:b/>
          <w:bCs/>
          <w:lang w:val="ru-RU"/>
        </w:rPr>
        <w:t>Г-н Хасимото</w:t>
      </w:r>
      <w:r w:rsidRPr="00494635">
        <w:rPr>
          <w:lang w:val="ru-RU"/>
        </w:rPr>
        <w:t xml:space="preserve"> отмечает, что администрации в своих представлениях для данного собрания сообщили о наличии медленного прогресса, и говорит, что Комитету следует призвать их к достижению временного соглашения, которое позволит обеспечить техническую эксплуатацию спутников при содействии Бюро.</w:t>
      </w:r>
    </w:p>
    <w:p w14:paraId="07CCF882" w14:textId="77777777" w:rsidR="00A06CB6" w:rsidRPr="00494635" w:rsidRDefault="00A06CB6" w:rsidP="00A06CB6">
      <w:pPr>
        <w:jc w:val="both"/>
        <w:rPr>
          <w:lang w:val="ru-RU"/>
        </w:rPr>
      </w:pPr>
      <w:r w:rsidRPr="00494635">
        <w:rPr>
          <w:lang w:val="ru-RU"/>
        </w:rPr>
        <w:t>7.13</w:t>
      </w:r>
      <w:r w:rsidRPr="00494635">
        <w:rPr>
          <w:lang w:val="ru-RU"/>
        </w:rPr>
        <w:tab/>
      </w:r>
      <w:r w:rsidRPr="00494635">
        <w:rPr>
          <w:b/>
          <w:bCs/>
          <w:lang w:val="ru-RU"/>
        </w:rPr>
        <w:t>Г-н Борхон</w:t>
      </w:r>
      <w:r w:rsidRPr="00494635">
        <w:rPr>
          <w:lang w:val="ru-RU"/>
        </w:rPr>
        <w:t xml:space="preserve"> говорит, что, хотя он и обеспокоен отсутствием прогресса, хорошей новостью можно считать ведение обсуждений на высоком уровне, что может разрешить принципиальные вопросы и установить сроки для технической работы. Комитет не должен ссылаться на какой-либо конкретный вариант технического решения, а просто призвать администрации как можно скорее найти решение на высоком уровне. Бюро могло бы способствовать прогрессу в этом направлении, следя за процессом и содействуя ему, как оно поступало и ранее.</w:t>
      </w:r>
    </w:p>
    <w:p w14:paraId="5D6636F7" w14:textId="77777777" w:rsidR="00A06CB6" w:rsidRPr="00494635" w:rsidRDefault="00A06CB6" w:rsidP="00A06CB6">
      <w:pPr>
        <w:jc w:val="both"/>
        <w:rPr>
          <w:lang w:val="ru-RU"/>
        </w:rPr>
      </w:pPr>
      <w:r w:rsidRPr="00494635">
        <w:rPr>
          <w:lang w:val="ru-RU"/>
        </w:rPr>
        <w:t>7.14</w:t>
      </w:r>
      <w:r w:rsidRPr="00494635">
        <w:rPr>
          <w:lang w:val="ru-RU"/>
        </w:rPr>
        <w:tab/>
      </w:r>
      <w:r w:rsidRPr="00494635">
        <w:rPr>
          <w:b/>
          <w:bCs/>
          <w:lang w:val="ru-RU"/>
        </w:rPr>
        <w:t>Г-жа Жеанти</w:t>
      </w:r>
      <w:r w:rsidRPr="00494635">
        <w:rPr>
          <w:lang w:val="ru-RU"/>
        </w:rPr>
        <w:t xml:space="preserve"> полагает, что продолжение обсуждений – хорошая новость, но со временем они должны воплотиться в координационные соглашения. Комитету следует переформулировать решение, принятое им на 90-м собрании, и поручить Бюро следить за ходом обсуждений и оказывать помощь по мере необходимости. Комитету следует принять стратегию выжидания и, тем не менее, продолжать оказывать определенное давление на соответствующие администрации.</w:t>
      </w:r>
    </w:p>
    <w:p w14:paraId="35579439" w14:textId="77777777" w:rsidR="00A06CB6" w:rsidRPr="00494635" w:rsidRDefault="00A06CB6" w:rsidP="00A06CB6">
      <w:pPr>
        <w:jc w:val="both"/>
        <w:rPr>
          <w:lang w:val="ru-RU"/>
        </w:rPr>
      </w:pPr>
      <w:r w:rsidRPr="00494635">
        <w:rPr>
          <w:lang w:val="ru-RU"/>
        </w:rPr>
        <w:t>7.15</w:t>
      </w:r>
      <w:r w:rsidRPr="00494635">
        <w:rPr>
          <w:lang w:val="ru-RU"/>
        </w:rPr>
        <w:tab/>
      </w:r>
      <w:r w:rsidRPr="00494635">
        <w:rPr>
          <w:b/>
          <w:bCs/>
          <w:lang w:val="ru-RU"/>
        </w:rPr>
        <w:t>Заместитель Председателя</w:t>
      </w:r>
      <w:r w:rsidRPr="00494635">
        <w:rPr>
          <w:lang w:val="ru-RU"/>
        </w:rPr>
        <w:t xml:space="preserve"> предлагает Комитету сделать по данному вопросу следующее заключение:</w:t>
      </w:r>
    </w:p>
    <w:p w14:paraId="7BDE1729" w14:textId="77777777" w:rsidR="00A06CB6" w:rsidRPr="00494635" w:rsidRDefault="00A06CB6" w:rsidP="00A06CB6">
      <w:pPr>
        <w:jc w:val="both"/>
        <w:rPr>
          <w:highlight w:val="lightGray"/>
          <w:lang w:val="ru-RU"/>
        </w:rPr>
      </w:pPr>
      <w:r w:rsidRPr="00494635">
        <w:rPr>
          <w:lang w:val="ru-RU"/>
        </w:rPr>
        <w:t xml:space="preserve">"Комитет подробно рассмотрел Документ RRB22-3/14 от администрации Саудовской Аравии, Документы RRB22-3/2 и RRB22-3/13 от администрации Турции и Дополнительный документ 10 к Документу RRB22-3/5, которые касаются усилий по координации, а также вредных помех между </w:t>
      </w:r>
      <w:r w:rsidRPr="00494635">
        <w:rPr>
          <w:lang w:val="ru-RU"/>
        </w:rPr>
        <w:lastRenderedPageBreak/>
        <w:t>спутниковыми сетями ARABSAT в позиции 30,5° в. д. и спутниковыми сетями TURKSAT в позиции 31° в. д. Комитет поблагодарил Бюро за его усилия по организации и созыву онлайнового координационного собрания администраций Саудовской Аравии и Турции, а также за поддержку, оказанную администрациям в их усилиях по координации. Комитет с признательностью отметил, что в результате обсуждений на высоком уровне два оператора спутниковой связи достигли принципиального согласия и что была начата работа по заключению возможного координационного соглашения.</w:t>
      </w:r>
    </w:p>
    <w:p w14:paraId="122B728A" w14:textId="77777777" w:rsidR="00A06CB6" w:rsidRPr="00494635" w:rsidRDefault="00A06CB6" w:rsidP="00A06CB6">
      <w:pPr>
        <w:jc w:val="both"/>
        <w:rPr>
          <w:highlight w:val="lightGray"/>
          <w:lang w:val="ru-RU"/>
        </w:rPr>
      </w:pPr>
      <w:r w:rsidRPr="00494635">
        <w:rPr>
          <w:lang w:val="ru-RU"/>
        </w:rPr>
        <w:t>Комитет вновь призвал обе администрации прилагать усилия в духе максимальной доброй воли и взаимной помощи в целях обеспечения работы двух спутниковых систем без вредных помех.</w:t>
      </w:r>
    </w:p>
    <w:p w14:paraId="27D5C850" w14:textId="77777777" w:rsidR="00A06CB6" w:rsidRPr="00494635" w:rsidRDefault="00A06CB6" w:rsidP="00A06CB6">
      <w:pPr>
        <w:jc w:val="both"/>
        <w:rPr>
          <w:lang w:val="ru-RU" w:eastAsia="zh-CN"/>
        </w:rPr>
      </w:pPr>
      <w:r w:rsidRPr="00494635">
        <w:rPr>
          <w:lang w:val="ru-RU" w:eastAsia="zh-CN"/>
        </w:rPr>
        <w:t>Комитет поручил Бюро:</w:t>
      </w:r>
    </w:p>
    <w:p w14:paraId="4F727709" w14:textId="77777777" w:rsidR="00A06CB6" w:rsidRPr="00494635" w:rsidRDefault="00A06CB6" w:rsidP="00A06CB6">
      <w:pPr>
        <w:pStyle w:val="enumlev1"/>
        <w:jc w:val="both"/>
        <w:rPr>
          <w:lang w:val="ru-RU"/>
        </w:rPr>
      </w:pPr>
      <w:r w:rsidRPr="00494635">
        <w:rPr>
          <w:lang w:val="ru-RU"/>
        </w:rPr>
        <w:t>•</w:t>
      </w:r>
      <w:r w:rsidRPr="00494635">
        <w:rPr>
          <w:lang w:val="ru-RU"/>
        </w:rPr>
        <w:tab/>
        <w:t>продолжать поддерживать усилия обеих администрации в области координации;</w:t>
      </w:r>
    </w:p>
    <w:p w14:paraId="754D632B" w14:textId="77777777" w:rsidR="00A06CB6" w:rsidRPr="00494635" w:rsidRDefault="00A06CB6" w:rsidP="00A06CB6">
      <w:pPr>
        <w:pStyle w:val="enumlev1"/>
        <w:jc w:val="both"/>
        <w:rPr>
          <w:lang w:val="ru-RU"/>
        </w:rPr>
      </w:pPr>
      <w:r w:rsidRPr="00494635">
        <w:rPr>
          <w:lang w:val="ru-RU"/>
        </w:rPr>
        <w:t>•</w:t>
      </w:r>
      <w:r w:rsidRPr="00494635">
        <w:rPr>
          <w:lang w:val="ru-RU"/>
        </w:rPr>
        <w:tab/>
        <w:t xml:space="preserve">осуществлять мониторинг обсуждений на высоком уровне и отслеживать их результаты; </w:t>
      </w:r>
    </w:p>
    <w:p w14:paraId="34E24CBA" w14:textId="77777777" w:rsidR="00A06CB6" w:rsidRPr="00494635" w:rsidRDefault="00A06CB6" w:rsidP="00A06CB6">
      <w:pPr>
        <w:pStyle w:val="enumlev1"/>
        <w:rPr>
          <w:lang w:val="ru-RU"/>
        </w:rPr>
      </w:pPr>
      <w:r w:rsidRPr="00494635">
        <w:rPr>
          <w:lang w:val="ru-RU"/>
        </w:rPr>
        <w:t>•</w:t>
      </w:r>
      <w:r w:rsidRPr="00494635">
        <w:rPr>
          <w:lang w:val="ru-RU"/>
        </w:rPr>
        <w:tab/>
        <w:t>представить отчет о ходе работы по координации 92-му собранию Комитета."</w:t>
      </w:r>
    </w:p>
    <w:p w14:paraId="68A648D2" w14:textId="77777777" w:rsidR="00A06CB6" w:rsidRPr="00494635" w:rsidRDefault="00A06CB6" w:rsidP="00A06CB6">
      <w:pPr>
        <w:jc w:val="both"/>
        <w:rPr>
          <w:b/>
          <w:lang w:val="ru-RU"/>
        </w:rPr>
      </w:pPr>
      <w:r w:rsidRPr="00494635">
        <w:rPr>
          <w:lang w:val="ru-RU"/>
        </w:rPr>
        <w:t>7.16</w:t>
      </w:r>
      <w:r w:rsidRPr="00494635">
        <w:rPr>
          <w:lang w:val="ru-RU"/>
        </w:rPr>
        <w:tab/>
        <w:t xml:space="preserve">Предложение </w:t>
      </w:r>
      <w:r w:rsidRPr="00494635">
        <w:rPr>
          <w:b/>
          <w:bCs/>
          <w:lang w:val="ru-RU"/>
        </w:rPr>
        <w:t>принимается</w:t>
      </w:r>
      <w:r w:rsidRPr="00494635">
        <w:rPr>
          <w:lang w:val="ru-RU"/>
        </w:rPr>
        <w:t>.</w:t>
      </w:r>
    </w:p>
    <w:p w14:paraId="4E44848B" w14:textId="77777777" w:rsidR="00A06CB6" w:rsidRPr="00494635" w:rsidRDefault="00A06CB6" w:rsidP="00A06CB6">
      <w:pPr>
        <w:pStyle w:val="Heading1"/>
        <w:jc w:val="both"/>
        <w:rPr>
          <w:lang w:val="ru-RU"/>
        </w:rPr>
      </w:pPr>
      <w:r w:rsidRPr="00494635">
        <w:rPr>
          <w:lang w:val="ru-RU"/>
        </w:rPr>
        <w:t>8</w:t>
      </w:r>
      <w:r w:rsidRPr="00494635">
        <w:rPr>
          <w:lang w:val="ru-RU"/>
        </w:rPr>
        <w:tab/>
        <w:t>Отчет Радиорегламентарного комитета по Резолюции 80 (Пересм. ВКР-07) для ВКР-23</w:t>
      </w:r>
    </w:p>
    <w:p w14:paraId="359DA3AF" w14:textId="77777777" w:rsidR="00A06CB6" w:rsidRPr="00494635" w:rsidRDefault="00A06CB6" w:rsidP="00A06CB6">
      <w:pPr>
        <w:pStyle w:val="Heading2"/>
        <w:jc w:val="both"/>
        <w:rPr>
          <w:lang w:val="ru-RU"/>
        </w:rPr>
      </w:pPr>
      <w:r w:rsidRPr="00494635">
        <w:rPr>
          <w:lang w:val="ru-RU"/>
        </w:rPr>
        <w:t>8.1</w:t>
      </w:r>
      <w:r w:rsidRPr="00494635">
        <w:rPr>
          <w:lang w:val="ru-RU"/>
        </w:rPr>
        <w:tab/>
        <w:t>Представление администраций Франции, Германии (Федеративной Республики), Люксембурга, Норвегии, Испании, Швеции, Турции и Соединенного Королевства Великобритании и Северной Ирландии, касающееся положения 4.1.24 Приложений </w:t>
      </w:r>
      <w:r w:rsidRPr="00494635">
        <w:rPr>
          <w:bCs/>
          <w:lang w:val="ru-RU"/>
        </w:rPr>
        <w:t>30</w:t>
      </w:r>
      <w:r w:rsidRPr="00494635">
        <w:rPr>
          <w:lang w:val="ru-RU"/>
        </w:rPr>
        <w:t xml:space="preserve"> и </w:t>
      </w:r>
      <w:r w:rsidRPr="00494635">
        <w:rPr>
          <w:bCs/>
          <w:lang w:val="ru-RU"/>
        </w:rPr>
        <w:t xml:space="preserve">30A </w:t>
      </w:r>
      <w:r w:rsidRPr="00494635">
        <w:rPr>
          <w:lang w:val="ru-RU"/>
        </w:rPr>
        <w:t>к РР (Документ RRB22-3/11)</w:t>
      </w:r>
    </w:p>
    <w:p w14:paraId="7B9D4C95" w14:textId="77777777" w:rsidR="00A06CB6" w:rsidRPr="00494635" w:rsidRDefault="00A06CB6" w:rsidP="00A06CB6">
      <w:pPr>
        <w:jc w:val="both"/>
        <w:rPr>
          <w:spacing w:val="-2"/>
          <w:lang w:val="ru-RU"/>
        </w:rPr>
      </w:pPr>
      <w:r w:rsidRPr="00494635">
        <w:rPr>
          <w:lang w:val="ru-RU"/>
        </w:rPr>
        <w:t>8.1.1</w:t>
      </w:r>
      <w:r w:rsidRPr="00494635">
        <w:rPr>
          <w:lang w:val="ru-RU"/>
        </w:rPr>
        <w:tab/>
      </w:r>
      <w:r w:rsidRPr="00494635">
        <w:rPr>
          <w:b/>
          <w:bCs/>
          <w:spacing w:val="-2"/>
          <w:lang w:val="ru-RU"/>
        </w:rPr>
        <w:t>Г-н Ван (руководитель SSD/SNP)</w:t>
      </w:r>
      <w:r w:rsidRPr="00494635">
        <w:rPr>
          <w:spacing w:val="-2"/>
          <w:lang w:val="ru-RU"/>
        </w:rPr>
        <w:t xml:space="preserve"> представляет Документ RRB22-3/11 и сообщает, что в нем содержатся вклады восьми администраций по п. 4.1.24 Приложений </w:t>
      </w:r>
      <w:r w:rsidRPr="00494635">
        <w:rPr>
          <w:b/>
          <w:bCs/>
          <w:spacing w:val="-2"/>
          <w:lang w:val="ru-RU"/>
        </w:rPr>
        <w:t>30</w:t>
      </w:r>
      <w:r w:rsidRPr="00494635">
        <w:rPr>
          <w:spacing w:val="-2"/>
          <w:lang w:val="ru-RU"/>
        </w:rPr>
        <w:t xml:space="preserve"> и </w:t>
      </w:r>
      <w:r w:rsidRPr="00494635">
        <w:rPr>
          <w:b/>
          <w:bCs/>
          <w:spacing w:val="-2"/>
          <w:lang w:val="ru-RU"/>
        </w:rPr>
        <w:t>30A</w:t>
      </w:r>
      <w:r w:rsidRPr="00494635">
        <w:rPr>
          <w:spacing w:val="-2"/>
          <w:lang w:val="ru-RU"/>
        </w:rPr>
        <w:t xml:space="preserve"> к РР, которые ограничивают срок действия частотных присвоений в Списках РСС и фидерных линий в Районах 1 и 3 15 годами с даты ввода в действие или 2 июня 2000 года, в зависимости от того, какая дата наступит позднее; это ограничение по времени может быть продлено однократно не более чем на 15 лет. По словам администраций, направивших представление, на создание систем РСС могут уходить десятилетия и несколько поколений спутников, что требует значительных затрат от операторов и пользователей спутниковых сетей; в результате большое количество радиовещательных организаций, операторов кабельного телевидения и домохозяйств зависят от предоставляемых услуг. Более того, наземное вещание не имело мощностей, необходимых для распространения всех телеканалов или охвата всех отдаленных районов и необслуживаемых зон. Тем не менее, вследствие ограничений по времени, налагаемых в соответствии с положениями п. 4.1.24, срок действия некоторых частотных присвоений в Списках истекает после 2 июня 2030 года, и поэтому они будут аннулированы. Хотя можно было бы направить новую заявку на то же место и с теми же характеристиками, что и в первоначальной заявке, нет гарантии, что координация может быть успешно завершена с этими характеристиками. Восемь администраций указывают, что аннулирование частотных присвоений, которые использовались и функционировали в соответствии с Регламентом радиосвязи на момент истечения срока их действия, не является рациональным, эффективным и экономным использованием ресурсов радиочастотного спектра, что предусмотрено Статьей 44 Устава МСЭ, а также приведет к утрате услуг для радиовещательных организаций, операторов и миллионов домохозяйств, пользующихся телевидением. Для предотвращения ситуации, в которой частотные присвоения сохраняются в Списке Приложений </w:t>
      </w:r>
      <w:r w:rsidRPr="00494635">
        <w:rPr>
          <w:b/>
          <w:bCs/>
          <w:spacing w:val="-2"/>
          <w:lang w:val="ru-RU"/>
        </w:rPr>
        <w:t>30</w:t>
      </w:r>
      <w:r w:rsidRPr="00494635">
        <w:rPr>
          <w:spacing w:val="-2"/>
          <w:lang w:val="ru-RU"/>
        </w:rPr>
        <w:t xml:space="preserve"> и </w:t>
      </w:r>
      <w:r w:rsidRPr="00494635">
        <w:rPr>
          <w:b/>
          <w:bCs/>
          <w:spacing w:val="-2"/>
          <w:lang w:val="ru-RU"/>
        </w:rPr>
        <w:t>30А</w:t>
      </w:r>
      <w:r w:rsidRPr="00494635">
        <w:rPr>
          <w:spacing w:val="-2"/>
          <w:lang w:val="ru-RU"/>
        </w:rPr>
        <w:t xml:space="preserve"> и в МСРЧ бессрочно в отсутствие действующего спутника, что приведет к блокированию доступа к радиочастотным и орбитальным ресурсам для других, они предлагают периодически запрашивать у заявляющих администраций подтверждение того, что частотные присвоения продолжают использоваться в соответствии с их характеристиками. Восемь администраций предлагают Комитету обсудить трудности, возникающие в связи с аннулированием полностью скоординированных частотных присвоений, связанных с действующими спутниками на орбите, из Списков Приложений </w:t>
      </w:r>
      <w:r w:rsidRPr="00494635">
        <w:rPr>
          <w:b/>
          <w:bCs/>
          <w:spacing w:val="-2"/>
          <w:lang w:val="ru-RU"/>
        </w:rPr>
        <w:t>30</w:t>
      </w:r>
      <w:r w:rsidRPr="00494635">
        <w:rPr>
          <w:spacing w:val="-2"/>
          <w:lang w:val="ru-RU"/>
        </w:rPr>
        <w:t xml:space="preserve"> и </w:t>
      </w:r>
      <w:r w:rsidRPr="00494635">
        <w:rPr>
          <w:b/>
          <w:bCs/>
          <w:spacing w:val="-2"/>
          <w:lang w:val="ru-RU"/>
        </w:rPr>
        <w:t>30А</w:t>
      </w:r>
      <w:r w:rsidRPr="00494635">
        <w:rPr>
          <w:spacing w:val="-2"/>
          <w:lang w:val="ru-RU"/>
        </w:rPr>
        <w:t xml:space="preserve"> в соответствии с п. 4.1.24 и сообщить об обсуждениях ВКР-23.</w:t>
      </w:r>
    </w:p>
    <w:p w14:paraId="5C8FF26E" w14:textId="77777777" w:rsidR="00A06CB6" w:rsidRPr="00494635" w:rsidRDefault="00A06CB6" w:rsidP="00A06CB6">
      <w:pPr>
        <w:jc w:val="both"/>
        <w:rPr>
          <w:lang w:val="ru-RU"/>
        </w:rPr>
      </w:pPr>
      <w:r w:rsidRPr="00494635">
        <w:rPr>
          <w:lang w:val="ru-RU"/>
        </w:rPr>
        <w:lastRenderedPageBreak/>
        <w:t>8.1.2</w:t>
      </w:r>
      <w:r w:rsidRPr="00494635">
        <w:rPr>
          <w:lang w:val="ru-RU"/>
        </w:rPr>
        <w:tab/>
        <w:t xml:space="preserve">Он отмечает, что на частотные присвоения в Районе 2 в соответствии с положениями Приложений </w:t>
      </w:r>
      <w:r w:rsidRPr="00494635">
        <w:rPr>
          <w:b/>
          <w:bCs/>
          <w:lang w:val="ru-RU"/>
        </w:rPr>
        <w:t>30</w:t>
      </w:r>
      <w:r w:rsidRPr="00494635">
        <w:rPr>
          <w:lang w:val="ru-RU"/>
        </w:rPr>
        <w:t xml:space="preserve"> и </w:t>
      </w:r>
      <w:r w:rsidRPr="00494635">
        <w:rPr>
          <w:b/>
          <w:bCs/>
          <w:lang w:val="ru-RU"/>
        </w:rPr>
        <w:t>30А</w:t>
      </w:r>
      <w:r w:rsidRPr="00494635">
        <w:rPr>
          <w:lang w:val="ru-RU"/>
        </w:rPr>
        <w:t xml:space="preserve"> не распространяется аналогичное ограничение по времени, поскольку они включаются в План после завершения рассмотрения Части В и вынесения благоприятного заключения и рассматриваются как исходные частотные присвоения Плана. Более того, аналогичный вклад как минимум дважды представлялся на рассмотрение Рабочей группы 4А МСЭ-R, где он вызвал ожесточенные обсуждения. Некоторые администрации настолько категорически возражали даже против обсуждения этого вопроса, что представить документ оказалось невозможным. Администрации, представившие Документ RRB22-3/11, надеялись довести этот вопрос до сведения ВКР-23 через Комитет.</w:t>
      </w:r>
    </w:p>
    <w:p w14:paraId="19543B02" w14:textId="77777777" w:rsidR="00A06CB6" w:rsidRPr="00494635" w:rsidRDefault="00A06CB6" w:rsidP="00A06CB6">
      <w:pPr>
        <w:jc w:val="both"/>
        <w:rPr>
          <w:lang w:val="ru-RU"/>
        </w:rPr>
      </w:pPr>
      <w:r w:rsidRPr="00494635">
        <w:rPr>
          <w:lang w:val="ru-RU"/>
        </w:rPr>
        <w:t>8.1.3</w:t>
      </w:r>
      <w:r w:rsidRPr="00494635">
        <w:rPr>
          <w:lang w:val="ru-RU"/>
        </w:rPr>
        <w:tab/>
      </w:r>
      <w:r w:rsidRPr="00494635">
        <w:rPr>
          <w:b/>
          <w:bCs/>
          <w:lang w:val="ru-RU"/>
        </w:rPr>
        <w:t>Г-н Мчуну</w:t>
      </w:r>
      <w:r w:rsidRPr="00494635">
        <w:rPr>
          <w:lang w:val="ru-RU"/>
        </w:rPr>
        <w:t xml:space="preserve"> полагает, что этот вопрос должны обсуждать Государства-Члены на ВКР-23 в рамках постоянного пункта 7 повестки дня, который касается вопросов рационального, эффективного и экономного использования радиочастот и любых связанных с ними орбит. В компетенцию Комитета входит рассмотрение случаев, связанных с применением Регламента радиосвязи в период между конференциями.</w:t>
      </w:r>
    </w:p>
    <w:p w14:paraId="4F68756C" w14:textId="77777777" w:rsidR="00A06CB6" w:rsidRPr="00494635" w:rsidRDefault="00A06CB6" w:rsidP="00A06CB6">
      <w:pPr>
        <w:jc w:val="both"/>
        <w:rPr>
          <w:lang w:val="ru-RU"/>
        </w:rPr>
      </w:pPr>
      <w:r w:rsidRPr="00494635">
        <w:rPr>
          <w:lang w:val="ru-RU"/>
        </w:rPr>
        <w:t>8.1.4</w:t>
      </w:r>
      <w:r w:rsidRPr="00494635">
        <w:rPr>
          <w:lang w:val="ru-RU"/>
        </w:rPr>
        <w:tab/>
      </w:r>
      <w:r w:rsidRPr="00494635">
        <w:rPr>
          <w:b/>
          <w:bCs/>
          <w:lang w:val="ru-RU"/>
        </w:rPr>
        <w:t>Г-жа Жеанти</w:t>
      </w:r>
      <w:r w:rsidRPr="00494635">
        <w:rPr>
          <w:lang w:val="ru-RU"/>
        </w:rPr>
        <w:t xml:space="preserve"> считает, что п. 4.1.24 сформулирован ясно и недвусмысленно; ВКР-2000 должна была предвидеть его последствия. Более того, насколько она понимает, п. 4.1.24 был результатом компромисса. Этот пункт не поднимает никаких вопросов с точки зрения применения Регламента радиосвязи, поэтому она не видит, какую роль может играть Комитет в этом вопросе и не считает, что он должен быть включен в отчет Комитета в соответствии с Резолюцией </w:t>
      </w:r>
      <w:r w:rsidRPr="00494635">
        <w:rPr>
          <w:b/>
          <w:bCs/>
          <w:lang w:val="ru-RU"/>
        </w:rPr>
        <w:t>80 (Пересм. ВКР-07)</w:t>
      </w:r>
      <w:r w:rsidRPr="00494635">
        <w:rPr>
          <w:lang w:val="ru-RU"/>
        </w:rPr>
        <w:t>. Тем не менее, этот вопрос может быть рассмотрен на одной из будущих конференций.</w:t>
      </w:r>
    </w:p>
    <w:p w14:paraId="756D84D3" w14:textId="77777777" w:rsidR="00A06CB6" w:rsidRPr="00494635" w:rsidRDefault="00A06CB6" w:rsidP="00A06CB6">
      <w:pPr>
        <w:jc w:val="both"/>
        <w:rPr>
          <w:lang w:val="ru-RU"/>
        </w:rPr>
      </w:pPr>
      <w:r w:rsidRPr="00494635">
        <w:rPr>
          <w:lang w:val="ru-RU"/>
        </w:rPr>
        <w:t>8.1.5</w:t>
      </w:r>
      <w:r w:rsidRPr="00494635">
        <w:rPr>
          <w:lang w:val="ru-RU"/>
        </w:rPr>
        <w:tab/>
      </w:r>
      <w:r w:rsidRPr="00494635">
        <w:rPr>
          <w:b/>
          <w:bCs/>
          <w:lang w:val="ru-RU"/>
        </w:rPr>
        <w:t>Г-жа Бомье</w:t>
      </w:r>
      <w:r w:rsidRPr="00494635">
        <w:rPr>
          <w:lang w:val="ru-RU"/>
        </w:rPr>
        <w:t xml:space="preserve"> присоединяется к мнению, что формулировка п. 4.1.24 ясна. Она понимает трудности, с которыми сталкиваются операторы спутниковых сетей, поставщики услуг и потребители, но п. 4.1.24 был результатом очень взвешенного решения ВКР-2000 и компромисса между двумя региональными группами, одной из которых является CEПT: он был включен в качестве компромисса, с тем чтобы сбалансировать другое положение (п. 4.1.18), включенное другой группой. Это положение ссылается на Статью 44 Устава и принцип рационального, эффективного и экономного использования ресурсов спектра, но не рассматривает принцип справедливого использования. Цель заключалась в обеспечении соответствия процедур этим принципам. Процедуры, предусмотренные Планами, способствуют справедливому доступу, в то время как процедуры в неплановых полосах способствуют рациональному, эффективному и экономному использованию спектра. В заключение, она не видит, какую роль может играть Комитет в этом вопросе, или какого-либо несоответствия между принципами, изложенными в Статье 44 Устава, и планом, который содействует справедливому доступу. Поэтому она не видит оснований для поднятия этого вопроса в отчете Комитета в соответствии с Резолюцией </w:t>
      </w:r>
      <w:r w:rsidRPr="00494635">
        <w:rPr>
          <w:b/>
          <w:bCs/>
          <w:lang w:val="ru-RU"/>
        </w:rPr>
        <w:t>80 (Пересм. ВКР-07)</w:t>
      </w:r>
      <w:r w:rsidRPr="00494635">
        <w:rPr>
          <w:lang w:val="ru-RU"/>
        </w:rPr>
        <w:t>. Она не считает, что Государства-Члены согласятся рассмотреть этот вопрос в рамках пункта 7 повестки дня Конференции, но он может быть рассмотрен в рамках будущего пункта повестки дня. Принимая во внимание, что этот вопрос касается основополагающего аспекта Плана, разработанного в 2000 году, Государства-Члены должны сами принять решение о порядке его рассмотрения.</w:t>
      </w:r>
    </w:p>
    <w:p w14:paraId="058D95A2" w14:textId="77777777" w:rsidR="00A06CB6" w:rsidRPr="00494635" w:rsidRDefault="00A06CB6" w:rsidP="00A06CB6">
      <w:pPr>
        <w:jc w:val="both"/>
        <w:rPr>
          <w:lang w:val="ru-RU"/>
        </w:rPr>
      </w:pPr>
      <w:r w:rsidRPr="00494635">
        <w:rPr>
          <w:lang w:val="ru-RU"/>
        </w:rPr>
        <w:t>8.1.6</w:t>
      </w:r>
      <w:r w:rsidRPr="00494635">
        <w:rPr>
          <w:lang w:val="ru-RU"/>
        </w:rPr>
        <w:tab/>
      </w:r>
      <w:r w:rsidRPr="00494635">
        <w:rPr>
          <w:b/>
          <w:bCs/>
          <w:lang w:val="ru-RU"/>
        </w:rPr>
        <w:t>Г-н Талиб</w:t>
      </w:r>
      <w:r w:rsidRPr="00494635">
        <w:rPr>
          <w:lang w:val="ru-RU"/>
        </w:rPr>
        <w:t xml:space="preserve"> соглашается с г-жой Жеанти и г-жой Бомье в том, что п. 4.1.24 является результатом компромисса, достигнутого на ВКР-2000 в отношении Приложений </w:t>
      </w:r>
      <w:r w:rsidRPr="00494635">
        <w:rPr>
          <w:b/>
          <w:bCs/>
          <w:lang w:val="ru-RU"/>
        </w:rPr>
        <w:t>30</w:t>
      </w:r>
      <w:r w:rsidRPr="00494635">
        <w:rPr>
          <w:lang w:val="ru-RU"/>
        </w:rPr>
        <w:t xml:space="preserve"> и </w:t>
      </w:r>
      <w:r w:rsidRPr="00494635">
        <w:rPr>
          <w:b/>
          <w:bCs/>
          <w:lang w:val="ru-RU"/>
        </w:rPr>
        <w:t>30А</w:t>
      </w:r>
      <w:r w:rsidRPr="00494635">
        <w:rPr>
          <w:lang w:val="ru-RU"/>
        </w:rPr>
        <w:t xml:space="preserve"> и плановых полос; поэтому изменение или толкование этого положения находится в компетенции Конференции. Этот вопрос должен быть представлен заинтересованными администрациями непосредственно на ВКР</w:t>
      </w:r>
      <w:r w:rsidRPr="00494635">
        <w:rPr>
          <w:lang w:val="ru-RU"/>
        </w:rPr>
        <w:noBreakHyphen/>
        <w:t>23 или ВКР-27; Комитет не является подходящим местом для его обсуждения.</w:t>
      </w:r>
    </w:p>
    <w:p w14:paraId="23B20873" w14:textId="77777777" w:rsidR="00A06CB6" w:rsidRPr="00494635" w:rsidRDefault="00A06CB6" w:rsidP="00A06CB6">
      <w:pPr>
        <w:jc w:val="both"/>
        <w:rPr>
          <w:lang w:val="ru-RU"/>
        </w:rPr>
      </w:pPr>
      <w:r w:rsidRPr="00494635">
        <w:rPr>
          <w:lang w:val="ru-RU"/>
        </w:rPr>
        <w:t>8.1.7</w:t>
      </w:r>
      <w:r w:rsidRPr="00494635">
        <w:rPr>
          <w:lang w:val="ru-RU"/>
        </w:rPr>
        <w:tab/>
      </w:r>
      <w:r w:rsidRPr="00494635">
        <w:rPr>
          <w:b/>
          <w:bCs/>
          <w:lang w:val="ru-RU"/>
        </w:rPr>
        <w:t>Г-н Варламов</w:t>
      </w:r>
      <w:r w:rsidRPr="00494635">
        <w:rPr>
          <w:lang w:val="ru-RU"/>
        </w:rPr>
        <w:t xml:space="preserve"> напоминает, что, например, конференция ВАРК-Oрб88 установила ограничения по времени для направления заявок в План по фиксированным спутниковым службам и что ВКР-07 впоследствии приняла решение не аннулировать эти заявки. Таким образом, прецедент для текущей ситуации существует. В данном случае Комитету не следует делать аналогичный вывод, но, как отметила г</w:t>
      </w:r>
      <w:r w:rsidRPr="00494635">
        <w:rPr>
          <w:lang w:val="ru-RU"/>
        </w:rPr>
        <w:noBreakHyphen/>
        <w:t xml:space="preserve">жа Бомье, Комитет может рассмотреть вопрос о балансе между принципами. В Статье 44 Устава говорится о рациональном, экономном и эффективном использовании ресурсов спектра и справедливом доступе к ним; поэтому Комитет может рассмотреть частотные присвоения и сам План с этой точки зрения. Технологии претерпели значительные изменения с 2000 года, что является хорошей причиной для того, чтобы обсудить этот вопрос и включить его в отчет по Резолюции </w:t>
      </w:r>
      <w:r w:rsidRPr="00494635">
        <w:rPr>
          <w:b/>
          <w:bCs/>
          <w:lang w:val="ru-RU"/>
        </w:rPr>
        <w:t xml:space="preserve">80 </w:t>
      </w:r>
      <w:r w:rsidRPr="00494635">
        <w:rPr>
          <w:b/>
          <w:bCs/>
          <w:lang w:val="ru-RU"/>
        </w:rPr>
        <w:lastRenderedPageBreak/>
        <w:t>(Пересм. ВКР-07)</w:t>
      </w:r>
      <w:r w:rsidRPr="00494635">
        <w:rPr>
          <w:lang w:val="ru-RU"/>
        </w:rPr>
        <w:t xml:space="preserve"> или попросить Директора упомянуть его в своем отчете. В Статье 44 также говорится об особых потребностях развивающихся стран и некоторых географических регионов. Его страна, к примеру, имеет большую площадь и имеет особые географические потребности, связанные с количеством часовых поясов и количеством каналов, доступных пользователям. Реструктуризация Плана будет иметь финансовые последствия для всех стран, пользующихся услугами спутникового радиовещания. Он предлагает Комитету пересмотреть представление после того, как Бюро представит информацию о дополнительных видах использования, с целью выработки сбалансированного подхода между администрациями, которые хотят иметь заявки в рамках Плана, и другими странами, которые хотят обеспечить цифровое равенство на своей территории и равные условия для своих граждан. Обсуждение в рамках Комитета следует отразить в отчете по Резолюции </w:t>
      </w:r>
      <w:r w:rsidRPr="00494635">
        <w:rPr>
          <w:b/>
          <w:bCs/>
          <w:lang w:val="ru-RU"/>
        </w:rPr>
        <w:t>80 (Пересм. ВКР-07)</w:t>
      </w:r>
      <w:r w:rsidRPr="00494635">
        <w:rPr>
          <w:lang w:val="ru-RU"/>
        </w:rPr>
        <w:t xml:space="preserve"> для ВКР</w:t>
      </w:r>
      <w:r w:rsidRPr="00494635">
        <w:rPr>
          <w:lang w:val="ru-RU"/>
        </w:rPr>
        <w:noBreakHyphen/>
        <w:t>23.</w:t>
      </w:r>
    </w:p>
    <w:p w14:paraId="7FFAD7C6" w14:textId="77777777" w:rsidR="00A06CB6" w:rsidRPr="00494635" w:rsidRDefault="00A06CB6" w:rsidP="00A06CB6">
      <w:pPr>
        <w:jc w:val="both"/>
        <w:rPr>
          <w:lang w:val="ru-RU"/>
        </w:rPr>
      </w:pPr>
      <w:r w:rsidRPr="00494635">
        <w:rPr>
          <w:lang w:val="ru-RU"/>
        </w:rPr>
        <w:t>8.1.8</w:t>
      </w:r>
      <w:r w:rsidRPr="00494635">
        <w:rPr>
          <w:lang w:val="ru-RU"/>
        </w:rPr>
        <w:tab/>
      </w:r>
      <w:r w:rsidRPr="00494635">
        <w:rPr>
          <w:b/>
          <w:bCs/>
          <w:lang w:val="ru-RU"/>
        </w:rPr>
        <w:t>Г-н Аззуз</w:t>
      </w:r>
      <w:r w:rsidRPr="00494635">
        <w:rPr>
          <w:lang w:val="ru-RU"/>
        </w:rPr>
        <w:t xml:space="preserve"> говорит, что предложение необходимо рассмотреть с точки зрения его преимуществ и недостатков, прежде чем принимать решение о включении или не включении его в отчет Комитета в соответствии с </w:t>
      </w:r>
      <w:r w:rsidRPr="00494635">
        <w:rPr>
          <w:b/>
          <w:bCs/>
          <w:lang w:val="ru-RU"/>
        </w:rPr>
        <w:t>Резолюцией 80 (Пересм. ВКР-07)</w:t>
      </w:r>
      <w:r w:rsidRPr="00494635">
        <w:rPr>
          <w:lang w:val="ru-RU"/>
        </w:rPr>
        <w:t xml:space="preserve">. Предложение равносильно резервированию соответствующих орбит и частот за представившими их администрациями и, следовательно, отрицанию потребностей стран, пытающихся найти орбитальные позиции, что противоречит цели Резолюции </w:t>
      </w:r>
      <w:r w:rsidRPr="00494635">
        <w:rPr>
          <w:b/>
          <w:bCs/>
          <w:lang w:val="ru-RU"/>
        </w:rPr>
        <w:t>559 (ВКР-19)</w:t>
      </w:r>
      <w:r w:rsidRPr="00494635">
        <w:rPr>
          <w:lang w:val="ru-RU"/>
        </w:rPr>
        <w:t>. Даже если это предложение снизит объем работы Бюро по анализу заявок на спутники, оно также сократит объемы сборов по линии возмещения затрат. Если бы Бюро применило жесткий срок действия для спутников на орбите, современную спутниковую экосистему пришлось бы полностью изменить – вряд ли это было бы экономным использованием ресурсов спектра. Также пострадают возможности МСЭ по отслеживанию ресурсов спектра и их контролю.</w:t>
      </w:r>
    </w:p>
    <w:p w14:paraId="5534C961" w14:textId="77777777" w:rsidR="00A06CB6" w:rsidRPr="00494635" w:rsidRDefault="00A06CB6" w:rsidP="00A06CB6">
      <w:pPr>
        <w:jc w:val="both"/>
        <w:rPr>
          <w:lang w:val="ru-RU"/>
        </w:rPr>
      </w:pPr>
      <w:r w:rsidRPr="00494635">
        <w:rPr>
          <w:lang w:val="ru-RU"/>
        </w:rPr>
        <w:t>8.1.9</w:t>
      </w:r>
      <w:r w:rsidRPr="00494635">
        <w:rPr>
          <w:lang w:val="ru-RU"/>
        </w:rPr>
        <w:tab/>
      </w:r>
      <w:r w:rsidRPr="00494635">
        <w:rPr>
          <w:b/>
          <w:bCs/>
          <w:lang w:val="ru-RU"/>
        </w:rPr>
        <w:t>Г-н Хоан</w:t>
      </w:r>
      <w:r w:rsidRPr="00494635">
        <w:rPr>
          <w:lang w:val="ru-RU"/>
        </w:rPr>
        <w:t xml:space="preserve"> отмечает, что Рабочая группа 4А не смогла достичь консенсуса по пункту 7 повестки дня ВКР-23 и порядку рассмотрения п. 4.1.24, и указывает на чувствительный характер этого вопроса. ВКР-2000 утвердила п. 4.1.24 на основании п. 3.3 Статьи 3 Приложений </w:t>
      </w:r>
      <w:r w:rsidRPr="00494635">
        <w:rPr>
          <w:b/>
          <w:bCs/>
          <w:lang w:val="ru-RU"/>
        </w:rPr>
        <w:t>30</w:t>
      </w:r>
      <w:r w:rsidRPr="00494635">
        <w:rPr>
          <w:lang w:val="ru-RU"/>
        </w:rPr>
        <w:t xml:space="preserve"> и </w:t>
      </w:r>
      <w:r w:rsidRPr="00494635">
        <w:rPr>
          <w:b/>
          <w:bCs/>
          <w:lang w:val="ru-RU"/>
        </w:rPr>
        <w:t>30А</w:t>
      </w:r>
      <w:r w:rsidRPr="00494635">
        <w:rPr>
          <w:lang w:val="ru-RU"/>
        </w:rPr>
        <w:t>, в котором четко указано, что соответствующие процедуры, изложенные в Приложениях, призваны способствовать долгосрочной гибкости и предотвратить монополизацию полос частот какой-либо страной или группой стран, тем самым обеспечивая справедливый доступ к частотным и орбитальным ресурсам для всех стран. Согласно п. 4.1.24, у администраций с действующей заявкой было 30 лет для координации нового частотного присвоения. Для сравнения, у новых администраций есть только восемь лет для координации. По его мнению, Комитету следует выразить признательность за этот вклад и попросить администрации, направившие представление, обратиться с этой проблемой непосредственно к ВКР-23, отметив обсуждение в Рабочей группе 4А, или представить их в качестве нового пункта повестки дня на ВКР-27.</w:t>
      </w:r>
    </w:p>
    <w:p w14:paraId="651E7137" w14:textId="77777777" w:rsidR="00A06CB6" w:rsidRPr="00494635" w:rsidRDefault="00A06CB6" w:rsidP="00A06CB6">
      <w:pPr>
        <w:jc w:val="both"/>
        <w:rPr>
          <w:lang w:val="ru-RU"/>
        </w:rPr>
      </w:pPr>
      <w:r w:rsidRPr="00494635">
        <w:rPr>
          <w:lang w:val="ru-RU"/>
        </w:rPr>
        <w:t>8.1.10</w:t>
      </w:r>
      <w:r w:rsidRPr="00494635">
        <w:rPr>
          <w:lang w:val="ru-RU"/>
        </w:rPr>
        <w:tab/>
      </w:r>
      <w:r w:rsidRPr="00494635">
        <w:rPr>
          <w:b/>
          <w:bCs/>
          <w:lang w:val="ru-RU"/>
        </w:rPr>
        <w:t>Г-н Хасимото</w:t>
      </w:r>
      <w:r w:rsidRPr="00494635">
        <w:rPr>
          <w:lang w:val="ru-RU"/>
        </w:rPr>
        <w:t xml:space="preserve"> соглашается с мнением г-на Хоана. Комитету следует обратить внимание на деликатный исторический контекст принятия п. 4.1.24. Комитет должен внимательно следить за тем, чтобы вклад не привел к пересмотру этого положения, если оно не будет поддержано широким кругом Государств-Членов, чего, очевидно, не произошло. Поэтому на данный момент Комитет не может предпринять никаких существенных действий, кроме как предложить представить материалы непосредственно для ВКР-23.</w:t>
      </w:r>
    </w:p>
    <w:p w14:paraId="5BEA4929" w14:textId="77777777" w:rsidR="00A06CB6" w:rsidRPr="00494635" w:rsidRDefault="00A06CB6" w:rsidP="00A06CB6">
      <w:pPr>
        <w:jc w:val="both"/>
        <w:rPr>
          <w:lang w:val="ru-RU"/>
        </w:rPr>
      </w:pPr>
      <w:r w:rsidRPr="00494635">
        <w:rPr>
          <w:lang w:val="ru-RU"/>
        </w:rPr>
        <w:t>8.1.11</w:t>
      </w:r>
      <w:r w:rsidRPr="00494635">
        <w:rPr>
          <w:lang w:val="ru-RU"/>
        </w:rPr>
        <w:tab/>
      </w:r>
      <w:r w:rsidRPr="00494635">
        <w:rPr>
          <w:b/>
          <w:bCs/>
          <w:lang w:val="ru-RU"/>
        </w:rPr>
        <w:t>Г-жа Гасанова</w:t>
      </w:r>
      <w:r w:rsidRPr="00494635">
        <w:rPr>
          <w:lang w:val="ru-RU"/>
        </w:rPr>
        <w:t xml:space="preserve"> говорит, что, хотя она понимает трудности, с которыми сталкиваются восемь администраций, направивших представление, она также соглашается с предыдущими ораторами в том, что все Государства-Члены имеют право на справедливый доступ к ресурсам спектра. Она не соглашается с тем, что этот вопрос следует рассматривать в отчете Комитета по Резолюции </w:t>
      </w:r>
      <w:r w:rsidRPr="00494635">
        <w:rPr>
          <w:b/>
          <w:bCs/>
          <w:lang w:val="ru-RU"/>
        </w:rPr>
        <w:t>80 (Пересм. ВКР-07)</w:t>
      </w:r>
      <w:r w:rsidRPr="00494635">
        <w:rPr>
          <w:lang w:val="ru-RU"/>
        </w:rPr>
        <w:t xml:space="preserve"> и предлагает, чтобы эти администрации, если они того пожелают, представили свои вклады непосредственно на ВКР-23.</w:t>
      </w:r>
    </w:p>
    <w:p w14:paraId="46057F3D" w14:textId="77777777" w:rsidR="00A06CB6" w:rsidRPr="00494635" w:rsidRDefault="00A06CB6" w:rsidP="00A06CB6">
      <w:pPr>
        <w:jc w:val="both"/>
        <w:rPr>
          <w:lang w:val="ru-RU"/>
        </w:rPr>
      </w:pPr>
      <w:r w:rsidRPr="00494635">
        <w:rPr>
          <w:lang w:val="ru-RU"/>
        </w:rPr>
        <w:t>8.1.12</w:t>
      </w:r>
      <w:r w:rsidRPr="00494635">
        <w:rPr>
          <w:lang w:val="ru-RU"/>
        </w:rPr>
        <w:tab/>
      </w:r>
      <w:r w:rsidRPr="00494635">
        <w:rPr>
          <w:b/>
          <w:bCs/>
          <w:lang w:val="ru-RU"/>
        </w:rPr>
        <w:t>Г-н Варламов</w:t>
      </w:r>
      <w:r w:rsidRPr="00494635">
        <w:rPr>
          <w:lang w:val="ru-RU"/>
        </w:rPr>
        <w:t xml:space="preserve"> указывает, что Комитету предлагается не изменять Регламент радиосвязи, а просто рассмотреть этот вопрос и представить отчет о нем для ВКР-23. Он не понимает, почему Комитет не может этого сделать.</w:t>
      </w:r>
    </w:p>
    <w:p w14:paraId="5BEF1CBA" w14:textId="77777777" w:rsidR="00A06CB6" w:rsidRPr="00494635" w:rsidRDefault="00A06CB6" w:rsidP="00A06CB6">
      <w:pPr>
        <w:jc w:val="both"/>
        <w:rPr>
          <w:lang w:val="ru-RU"/>
        </w:rPr>
      </w:pPr>
      <w:r w:rsidRPr="00494635">
        <w:rPr>
          <w:lang w:val="ru-RU"/>
        </w:rPr>
        <w:t>8.1.13</w:t>
      </w:r>
      <w:r w:rsidRPr="00494635">
        <w:rPr>
          <w:lang w:val="ru-RU"/>
        </w:rPr>
        <w:tab/>
      </w:r>
      <w:r w:rsidRPr="00494635">
        <w:rPr>
          <w:b/>
          <w:bCs/>
          <w:lang w:val="ru-RU"/>
        </w:rPr>
        <w:t>Г-жа Бомье</w:t>
      </w:r>
      <w:r w:rsidRPr="00494635">
        <w:rPr>
          <w:lang w:val="ru-RU"/>
        </w:rPr>
        <w:t xml:space="preserve"> соглашается, что в представлении не содержится просьбы об изменении Регламента радиосвязи. Однако Комитет не может рассматривать этот вопрос для включения в свой отчет для ВКР-23, поскольку он не касается проблем связи между принципами, изложенными в </w:t>
      </w:r>
      <w:r w:rsidRPr="00494635">
        <w:rPr>
          <w:lang w:val="ru-RU"/>
        </w:rPr>
        <w:lastRenderedPageBreak/>
        <w:t xml:space="preserve">Регламенте радиосвязи и Уставе, с одной стороны, и процедурами их применения, с другой. План предназначен для обеспечения равного доступа, и поэтому связь была правильной. Вопрос будет решаться по-другому, если будущая конференция примет иное решение. Она не считает целесообразным поднимать этот вопрос в отчете Комитета по </w:t>
      </w:r>
      <w:r w:rsidRPr="00494635">
        <w:rPr>
          <w:b/>
          <w:bCs/>
          <w:lang w:val="ru-RU"/>
        </w:rPr>
        <w:t>Резолюции 80 (Пересм. ВКР-07)</w:t>
      </w:r>
      <w:r w:rsidRPr="00494635">
        <w:rPr>
          <w:lang w:val="ru-RU"/>
        </w:rPr>
        <w:t>, поскольку не видит конфликта между принципами, которые должны применяться, и процедурами их применения.</w:t>
      </w:r>
    </w:p>
    <w:p w14:paraId="7F2DF60A" w14:textId="77777777" w:rsidR="00A06CB6" w:rsidRPr="00494635" w:rsidRDefault="00A06CB6" w:rsidP="00A06CB6">
      <w:pPr>
        <w:jc w:val="both"/>
        <w:rPr>
          <w:lang w:val="ru-RU"/>
        </w:rPr>
      </w:pPr>
      <w:r w:rsidRPr="00494635">
        <w:rPr>
          <w:lang w:val="ru-RU"/>
        </w:rPr>
        <w:t>8.1.14</w:t>
      </w:r>
      <w:r w:rsidRPr="00494635">
        <w:rPr>
          <w:lang w:val="ru-RU"/>
        </w:rPr>
        <w:tab/>
        <w:t xml:space="preserve">Отвечая на вопросы </w:t>
      </w:r>
      <w:r w:rsidRPr="00494635">
        <w:rPr>
          <w:b/>
          <w:bCs/>
          <w:lang w:val="ru-RU"/>
        </w:rPr>
        <w:t>г-на Хоана</w:t>
      </w:r>
      <w:r w:rsidRPr="00494635">
        <w:rPr>
          <w:lang w:val="ru-RU"/>
        </w:rPr>
        <w:t xml:space="preserve"> и </w:t>
      </w:r>
      <w:r w:rsidRPr="00494635">
        <w:rPr>
          <w:b/>
          <w:bCs/>
          <w:lang w:val="ru-RU"/>
        </w:rPr>
        <w:t>г-на Анри</w:t>
      </w:r>
      <w:r w:rsidRPr="00494635">
        <w:rPr>
          <w:lang w:val="ru-RU"/>
        </w:rPr>
        <w:t xml:space="preserve"> </w:t>
      </w:r>
      <w:r w:rsidRPr="00494635">
        <w:rPr>
          <w:b/>
          <w:bCs/>
          <w:lang w:val="ru-RU"/>
        </w:rPr>
        <w:t>г-н Ван</w:t>
      </w:r>
      <w:r w:rsidRPr="00494635">
        <w:rPr>
          <w:lang w:val="ru-RU"/>
        </w:rPr>
        <w:t xml:space="preserve"> </w:t>
      </w:r>
      <w:r w:rsidRPr="00494635">
        <w:rPr>
          <w:b/>
          <w:bCs/>
          <w:lang w:val="ru-RU"/>
        </w:rPr>
        <w:t>(руководитель SSD/SNP)</w:t>
      </w:r>
      <w:r w:rsidRPr="00494635">
        <w:rPr>
          <w:lang w:val="ru-RU"/>
        </w:rPr>
        <w:t xml:space="preserve"> сообщает, что, согласно записям в базе данных Бюро, только одна администрация подала заявку на аннулирование сети в соответствии с п. 4.1.24. В Списке линий вниз РСС было 122 сети, а в Списке фидерных линий – 97. Самая ранняя дата истечения срока действия – 2 июня 2030 года.</w:t>
      </w:r>
    </w:p>
    <w:p w14:paraId="2144E21C" w14:textId="77777777" w:rsidR="00A06CB6" w:rsidRPr="00494635" w:rsidRDefault="00A06CB6" w:rsidP="00A06CB6">
      <w:pPr>
        <w:jc w:val="both"/>
        <w:rPr>
          <w:lang w:val="ru-RU"/>
        </w:rPr>
      </w:pPr>
      <w:r w:rsidRPr="00494635">
        <w:rPr>
          <w:lang w:val="ru-RU"/>
        </w:rPr>
        <w:t>8.1.15</w:t>
      </w:r>
      <w:r w:rsidRPr="00494635">
        <w:rPr>
          <w:lang w:val="ru-RU"/>
        </w:rPr>
        <w:tab/>
        <w:t xml:space="preserve">В ответ на вопрос </w:t>
      </w:r>
      <w:r w:rsidRPr="00494635">
        <w:rPr>
          <w:b/>
          <w:bCs/>
          <w:lang w:val="ru-RU"/>
        </w:rPr>
        <w:t>г-на Варламова</w:t>
      </w:r>
      <w:r w:rsidRPr="00494635">
        <w:rPr>
          <w:lang w:val="ru-RU"/>
        </w:rPr>
        <w:t xml:space="preserve"> о количестве частотных присвоений, осуществленных в соответствии с характеристиками, изложенными в Планах Приложений </w:t>
      </w:r>
      <w:r w:rsidRPr="00494635">
        <w:rPr>
          <w:b/>
          <w:bCs/>
          <w:lang w:val="ru-RU"/>
        </w:rPr>
        <w:t>30</w:t>
      </w:r>
      <w:r w:rsidRPr="00494635">
        <w:rPr>
          <w:lang w:val="ru-RU"/>
        </w:rPr>
        <w:t xml:space="preserve"> и </w:t>
      </w:r>
      <w:r w:rsidRPr="00494635">
        <w:rPr>
          <w:b/>
          <w:bCs/>
          <w:lang w:val="ru-RU"/>
        </w:rPr>
        <w:t>30А</w:t>
      </w:r>
      <w:r w:rsidRPr="00494635">
        <w:rPr>
          <w:lang w:val="ru-RU"/>
        </w:rPr>
        <w:t>, он сообщает, что Бюро получило 87 просьб о продлении на 15 лет для сетей РСС и 65 для сетей фидерных линий. Что касается использования частотных присвоений в Плане, 12 сетей РСС и 13 сетей фидерных линий работали в пределах характеристик Плана, что в общей сложности составляет 25 сетей от четырех администраций, которые использовали частотные присвоения в соответствии с Планом.</w:t>
      </w:r>
    </w:p>
    <w:p w14:paraId="6AA3050A" w14:textId="77777777" w:rsidR="00A06CB6" w:rsidRPr="00494635" w:rsidRDefault="00A06CB6" w:rsidP="00A06CB6">
      <w:pPr>
        <w:jc w:val="both"/>
        <w:rPr>
          <w:lang w:val="ru-RU"/>
        </w:rPr>
      </w:pPr>
      <w:r w:rsidRPr="00494635">
        <w:rPr>
          <w:lang w:val="ru-RU"/>
        </w:rPr>
        <w:t>8.1.16</w:t>
      </w:r>
      <w:r w:rsidRPr="00494635">
        <w:rPr>
          <w:lang w:val="ru-RU"/>
        </w:rPr>
        <w:tab/>
      </w:r>
      <w:r w:rsidRPr="00494635">
        <w:rPr>
          <w:b/>
          <w:bCs/>
          <w:lang w:val="ru-RU"/>
        </w:rPr>
        <w:t>Г-н Анри</w:t>
      </w:r>
      <w:r w:rsidRPr="00494635">
        <w:rPr>
          <w:lang w:val="ru-RU"/>
        </w:rPr>
        <w:t xml:space="preserve"> считает, что просьба, которую представили администрации, выходит за рамки полномочий Комитета. Вывод Комитета, таким образом, должен быть как можно более кратким и понятным, указывающим на то, что Комитет не может удовлетворить просьбу.</w:t>
      </w:r>
    </w:p>
    <w:p w14:paraId="0B054BAB" w14:textId="77777777" w:rsidR="00A06CB6" w:rsidRPr="00494635" w:rsidRDefault="00A06CB6" w:rsidP="00A06CB6">
      <w:pPr>
        <w:jc w:val="both"/>
        <w:rPr>
          <w:lang w:val="ru-RU"/>
        </w:rPr>
      </w:pPr>
      <w:r w:rsidRPr="00494635">
        <w:rPr>
          <w:lang w:val="ru-RU"/>
        </w:rPr>
        <w:t>8.1.17</w:t>
      </w:r>
      <w:r w:rsidRPr="00494635">
        <w:rPr>
          <w:lang w:val="ru-RU"/>
        </w:rPr>
        <w:tab/>
      </w:r>
      <w:r w:rsidRPr="00494635">
        <w:rPr>
          <w:b/>
          <w:bCs/>
          <w:lang w:val="ru-RU"/>
        </w:rPr>
        <w:t>Г-н Варламов</w:t>
      </w:r>
      <w:r w:rsidRPr="00494635">
        <w:rPr>
          <w:lang w:val="ru-RU"/>
        </w:rPr>
        <w:t xml:space="preserve"> отмечает, что информация, предоставленная Бюро, будет отражена в протоколе собрания, который содержит мнения членов и ход обсуждения. В интересах ясности он предлагает, чтобы в своем заключении Комитет отметил компромиссное решение, принятое на ВКР-2000, сослался на п. 3.3 и указал количество сетей, ожидающих продления, и количество реализованных. Затем Комитету следует изложить свое решение о том, что данный случай не касается справедливого использования спектра и что нет необходимости включать его в отчет Комитета в соответствии с Резолюцией </w:t>
      </w:r>
      <w:r w:rsidRPr="00494635">
        <w:rPr>
          <w:b/>
          <w:bCs/>
          <w:lang w:val="ru-RU"/>
        </w:rPr>
        <w:t>80 (Пересм. ВКР-07)</w:t>
      </w:r>
      <w:r w:rsidRPr="00494635">
        <w:rPr>
          <w:lang w:val="ru-RU"/>
        </w:rPr>
        <w:t>.</w:t>
      </w:r>
    </w:p>
    <w:p w14:paraId="65349C56" w14:textId="77777777" w:rsidR="00A06CB6" w:rsidRPr="00494635" w:rsidRDefault="00A06CB6" w:rsidP="00A06CB6">
      <w:pPr>
        <w:jc w:val="both"/>
        <w:rPr>
          <w:lang w:val="ru-RU"/>
        </w:rPr>
      </w:pPr>
      <w:r w:rsidRPr="00494635">
        <w:rPr>
          <w:lang w:val="ru-RU"/>
        </w:rPr>
        <w:t>8.1.18</w:t>
      </w:r>
      <w:r w:rsidRPr="00494635">
        <w:rPr>
          <w:lang w:val="ru-RU"/>
        </w:rPr>
        <w:tab/>
      </w:r>
      <w:r w:rsidRPr="00494635">
        <w:rPr>
          <w:b/>
          <w:bCs/>
          <w:lang w:val="ru-RU"/>
        </w:rPr>
        <w:t>Председатель</w:t>
      </w:r>
      <w:r w:rsidRPr="00494635">
        <w:rPr>
          <w:lang w:val="ru-RU"/>
        </w:rPr>
        <w:t xml:space="preserve"> предлагает Комитету сделать по данному вопросу следующее заключение:</w:t>
      </w:r>
    </w:p>
    <w:p w14:paraId="2E5E7871" w14:textId="77777777" w:rsidR="00A06CB6" w:rsidRPr="00494635" w:rsidRDefault="00A06CB6" w:rsidP="00A06CB6">
      <w:pPr>
        <w:jc w:val="both"/>
        <w:rPr>
          <w:highlight w:val="lightGray"/>
          <w:lang w:val="ru-RU"/>
        </w:rPr>
      </w:pPr>
      <w:r w:rsidRPr="00494635">
        <w:rPr>
          <w:lang w:val="ru-RU"/>
        </w:rPr>
        <w:t xml:space="preserve">"В отношении Документа RRB22-3/11 от администраций Франции, Германии, Люксембурга, Норвегии, Испании, Швеции, Турции и Соединенного Королевства, касающегося применения п. 4.1.24 Приложений </w:t>
      </w:r>
      <w:r w:rsidRPr="00494635">
        <w:rPr>
          <w:b/>
          <w:bCs/>
          <w:lang w:val="ru-RU"/>
        </w:rPr>
        <w:t xml:space="preserve">30 </w:t>
      </w:r>
      <w:r w:rsidRPr="00494635">
        <w:rPr>
          <w:lang w:val="ru-RU"/>
        </w:rPr>
        <w:t xml:space="preserve">и </w:t>
      </w:r>
      <w:r w:rsidRPr="00494635">
        <w:rPr>
          <w:b/>
          <w:bCs/>
          <w:lang w:val="ru-RU"/>
        </w:rPr>
        <w:t>30A</w:t>
      </w:r>
      <w:r w:rsidRPr="00494635">
        <w:rPr>
          <w:lang w:val="ru-RU"/>
        </w:rPr>
        <w:t xml:space="preserve"> к РР, Комитет отметил, что:</w:t>
      </w:r>
      <w:r w:rsidRPr="00494635">
        <w:rPr>
          <w:highlight w:val="lightGray"/>
          <w:lang w:val="ru-RU"/>
        </w:rPr>
        <w:t xml:space="preserve"> </w:t>
      </w:r>
    </w:p>
    <w:p w14:paraId="793F61C9" w14:textId="77777777" w:rsidR="00A06CB6" w:rsidRPr="00494635" w:rsidRDefault="00A06CB6" w:rsidP="00A06CB6">
      <w:pPr>
        <w:pStyle w:val="enumlev1"/>
        <w:jc w:val="both"/>
        <w:rPr>
          <w:lang w:val="ru-RU"/>
        </w:rPr>
      </w:pPr>
      <w:r w:rsidRPr="00494635">
        <w:rPr>
          <w:lang w:val="ru-RU"/>
        </w:rPr>
        <w:t>•</w:t>
      </w:r>
      <w:r w:rsidRPr="00494635">
        <w:rPr>
          <w:lang w:val="ru-RU"/>
        </w:rPr>
        <w:tab/>
        <w:t>был составлен План для Районов 1 и 3 с целью гарантировать справедливый доступ к геостационарной спутниковой орбите всем Государствам – Членам Союза в определенных полосах частот;</w:t>
      </w:r>
    </w:p>
    <w:p w14:paraId="0F975AF4" w14:textId="77777777" w:rsidR="00A06CB6" w:rsidRPr="00494635" w:rsidRDefault="00A06CB6" w:rsidP="00A06CB6">
      <w:pPr>
        <w:pStyle w:val="enumlev1"/>
        <w:jc w:val="both"/>
        <w:rPr>
          <w:lang w:val="ru-RU"/>
        </w:rPr>
      </w:pPr>
      <w:r w:rsidRPr="00494635">
        <w:rPr>
          <w:lang w:val="ru-RU"/>
        </w:rPr>
        <w:t>•</w:t>
      </w:r>
      <w:r w:rsidRPr="00494635">
        <w:rPr>
          <w:lang w:val="ru-RU"/>
        </w:rPr>
        <w:tab/>
        <w:t>пункт 4.1.24 представляет собой результат хрупкого компромисса, достигнутого во время ВКР-2000;</w:t>
      </w:r>
    </w:p>
    <w:p w14:paraId="3C88EABA" w14:textId="77777777" w:rsidR="00A06CB6" w:rsidRPr="00494635" w:rsidRDefault="00A06CB6" w:rsidP="00A06CB6">
      <w:pPr>
        <w:pStyle w:val="enumlev1"/>
        <w:jc w:val="both"/>
        <w:rPr>
          <w:lang w:val="ru-RU"/>
        </w:rPr>
      </w:pPr>
      <w:r w:rsidRPr="00494635">
        <w:rPr>
          <w:lang w:val="ru-RU"/>
        </w:rPr>
        <w:t>•</w:t>
      </w:r>
      <w:r w:rsidRPr="00494635">
        <w:rPr>
          <w:lang w:val="ru-RU"/>
        </w:rPr>
        <w:tab/>
        <w:t xml:space="preserve">согласно пп. 3.3 и 3.4 Статьи 3 Приложений </w:t>
      </w:r>
      <w:r w:rsidRPr="00494635">
        <w:rPr>
          <w:b/>
          <w:bCs/>
          <w:lang w:val="ru-RU"/>
        </w:rPr>
        <w:t>30</w:t>
      </w:r>
      <w:r w:rsidRPr="00494635">
        <w:rPr>
          <w:lang w:val="ru-RU"/>
        </w:rPr>
        <w:t xml:space="preserve"> и </w:t>
      </w:r>
      <w:r w:rsidRPr="00494635">
        <w:rPr>
          <w:b/>
          <w:bCs/>
          <w:lang w:val="ru-RU"/>
        </w:rPr>
        <w:t>30A</w:t>
      </w:r>
      <w:r w:rsidRPr="00494635">
        <w:rPr>
          <w:lang w:val="ru-RU"/>
        </w:rPr>
        <w:t>, "План для Районов 1 и 3/План для фидерных линий основан на покрытии национальной территории с орбиты геостационарного спутника. Связанные с ним процедуры, приведенные в настоящем Приложении, должны способствовать гибкости Плана на долгосрочную перспективу и не допускать монополизации планируемых полос и орбиты одной страной или группой стран";</w:t>
      </w:r>
    </w:p>
    <w:p w14:paraId="6BA1C23A" w14:textId="77777777" w:rsidR="00A06CB6" w:rsidRPr="00494635" w:rsidRDefault="00A06CB6" w:rsidP="00A06CB6">
      <w:pPr>
        <w:pStyle w:val="enumlev1"/>
        <w:jc w:val="both"/>
        <w:rPr>
          <w:lang w:val="ru-RU"/>
        </w:rPr>
      </w:pPr>
      <w:r w:rsidRPr="00494635">
        <w:rPr>
          <w:lang w:val="ru-RU"/>
        </w:rPr>
        <w:t>•</w:t>
      </w:r>
      <w:r w:rsidRPr="00494635">
        <w:rPr>
          <w:lang w:val="ru-RU"/>
        </w:rPr>
        <w:tab/>
        <w:t xml:space="preserve">учитывая акцент на справедливом доступе в Плане РСС и очевидность намерений ВКР-2000 при составлении Списка, не было найдено никаких оснований для включения этого вопроса в Отчет по Резолюции </w:t>
      </w:r>
      <w:r w:rsidRPr="00494635">
        <w:rPr>
          <w:b/>
          <w:bCs/>
          <w:lang w:val="ru-RU"/>
        </w:rPr>
        <w:t>80 (Пересм. ВКР-07)</w:t>
      </w:r>
      <w:r w:rsidRPr="00494635">
        <w:rPr>
          <w:lang w:val="ru-RU"/>
        </w:rPr>
        <w:t xml:space="preserve"> для ВКР-23. </w:t>
      </w:r>
    </w:p>
    <w:p w14:paraId="37A5110C" w14:textId="77777777" w:rsidR="00A06CB6" w:rsidRPr="00494635" w:rsidRDefault="00A06CB6" w:rsidP="00A06CB6">
      <w:pPr>
        <w:jc w:val="both"/>
        <w:rPr>
          <w:lang w:val="ru-RU"/>
        </w:rPr>
      </w:pPr>
      <w:r w:rsidRPr="00494635">
        <w:rPr>
          <w:lang w:val="ru-RU"/>
        </w:rPr>
        <w:t>Вследствие этого Комитет пришел к выводу, что он не вправе удовлетворить просьбу администраций, изложенную в Документе RRB22-3/11."</w:t>
      </w:r>
    </w:p>
    <w:p w14:paraId="528BDB71" w14:textId="77777777" w:rsidR="00A06CB6" w:rsidRPr="00494635" w:rsidRDefault="00A06CB6" w:rsidP="00A06CB6">
      <w:pPr>
        <w:jc w:val="both"/>
        <w:rPr>
          <w:lang w:val="ru-RU"/>
        </w:rPr>
      </w:pPr>
      <w:r w:rsidRPr="00494635">
        <w:rPr>
          <w:lang w:val="ru-RU"/>
        </w:rPr>
        <w:t>8.1.19</w:t>
      </w:r>
      <w:r w:rsidRPr="00494635">
        <w:rPr>
          <w:lang w:val="ru-RU"/>
        </w:rPr>
        <w:tab/>
        <w:t xml:space="preserve">Предложение </w:t>
      </w:r>
      <w:r w:rsidRPr="00494635">
        <w:rPr>
          <w:b/>
          <w:bCs/>
          <w:lang w:val="ru-RU"/>
        </w:rPr>
        <w:t>принимается</w:t>
      </w:r>
      <w:r w:rsidRPr="00494635">
        <w:rPr>
          <w:lang w:val="ru-RU"/>
        </w:rPr>
        <w:t>.</w:t>
      </w:r>
    </w:p>
    <w:p w14:paraId="5A6E4EF9" w14:textId="77777777" w:rsidR="00A06CB6" w:rsidRPr="00494635" w:rsidRDefault="00A06CB6" w:rsidP="00A06CB6">
      <w:pPr>
        <w:pStyle w:val="Heading2"/>
        <w:jc w:val="both"/>
        <w:rPr>
          <w:lang w:val="ru-RU"/>
        </w:rPr>
      </w:pPr>
      <w:r w:rsidRPr="00494635">
        <w:rPr>
          <w:lang w:val="ru-RU"/>
        </w:rPr>
        <w:lastRenderedPageBreak/>
        <w:t>8.2</w:t>
      </w:r>
      <w:r w:rsidRPr="00494635">
        <w:rPr>
          <w:lang w:val="ru-RU"/>
        </w:rPr>
        <w:tab/>
        <w:t>Рассмотрение вопросов, относящихся к Резолюции 80 (Пересм. ВКР-07)</w:t>
      </w:r>
    </w:p>
    <w:p w14:paraId="54D886E4" w14:textId="77777777" w:rsidR="00A06CB6" w:rsidRPr="00494635" w:rsidRDefault="00A06CB6" w:rsidP="00A06CB6">
      <w:pPr>
        <w:jc w:val="both"/>
        <w:rPr>
          <w:b/>
          <w:bCs/>
          <w:lang w:val="ru-RU"/>
        </w:rPr>
      </w:pPr>
      <w:r w:rsidRPr="00494635">
        <w:rPr>
          <w:lang w:val="ru-RU"/>
        </w:rPr>
        <w:t>8.2.1</w:t>
      </w:r>
      <w:r w:rsidRPr="00494635">
        <w:rPr>
          <w:lang w:val="ru-RU"/>
        </w:rPr>
        <w:tab/>
        <w:t xml:space="preserve">Комитет организует работу в формате рабочей группы по отчету по Резолюции </w:t>
      </w:r>
      <w:r w:rsidRPr="00494635">
        <w:rPr>
          <w:b/>
          <w:bCs/>
          <w:lang w:val="ru-RU"/>
        </w:rPr>
        <w:t>80 (Пересм. ВКР 07)</w:t>
      </w:r>
      <w:r w:rsidRPr="00494635">
        <w:rPr>
          <w:lang w:val="ru-RU"/>
        </w:rPr>
        <w:t xml:space="preserve"> для ВКР-23 под председательством г-жи Бомье, продолжает рассмотрение проекта отчета по Резолюции </w:t>
      </w:r>
      <w:r w:rsidRPr="00494635">
        <w:rPr>
          <w:b/>
          <w:bCs/>
          <w:lang w:val="ru-RU"/>
        </w:rPr>
        <w:t>80 (Пересм. ВКР-07)</w:t>
      </w:r>
      <w:r w:rsidRPr="00494635">
        <w:rPr>
          <w:lang w:val="ru-RU"/>
        </w:rPr>
        <w:t xml:space="preserve"> для ВКР-23 и определяет дополнительные элементы для включения по некоторым вопросам, следующим из рассмотренных случаев и решений, принятых на собраниях. Комитет также решает включить в свой отчет новый вопрос: заявление частотных присвоений в соответствии с п. </w:t>
      </w:r>
      <w:r w:rsidRPr="00494635">
        <w:rPr>
          <w:b/>
          <w:bCs/>
          <w:lang w:val="ru-RU"/>
        </w:rPr>
        <w:t>4.4</w:t>
      </w:r>
      <w:r w:rsidRPr="00494635">
        <w:rPr>
          <w:lang w:val="ru-RU"/>
        </w:rPr>
        <w:t xml:space="preserve"> РР.</w:t>
      </w:r>
    </w:p>
    <w:p w14:paraId="11BBA9E7" w14:textId="77777777" w:rsidR="00A06CB6" w:rsidRPr="00494635" w:rsidRDefault="00A06CB6" w:rsidP="00A06CB6">
      <w:pPr>
        <w:jc w:val="both"/>
        <w:rPr>
          <w:lang w:val="ru-RU"/>
        </w:rPr>
      </w:pPr>
      <w:r w:rsidRPr="00494635">
        <w:rPr>
          <w:lang w:val="ru-RU"/>
        </w:rPr>
        <w:t>8.2.2</w:t>
      </w:r>
      <w:r w:rsidRPr="00494635">
        <w:rPr>
          <w:lang w:val="ru-RU"/>
        </w:rPr>
        <w:tab/>
        <w:t xml:space="preserve">Комитет </w:t>
      </w:r>
      <w:r w:rsidRPr="00494635">
        <w:rPr>
          <w:b/>
          <w:bCs/>
          <w:lang w:val="ru-RU"/>
        </w:rPr>
        <w:t>поручает</w:t>
      </w:r>
      <w:r w:rsidRPr="00494635">
        <w:rPr>
          <w:lang w:val="ru-RU"/>
        </w:rPr>
        <w:t xml:space="preserve"> Бюро представить на 92-м собрании РРК статистические данные о спутниковых системах, которые были заявлены в соответствии с п. </w:t>
      </w:r>
      <w:r w:rsidRPr="00494635">
        <w:rPr>
          <w:b/>
          <w:bCs/>
          <w:lang w:val="ru-RU"/>
        </w:rPr>
        <w:t>4.4</w:t>
      </w:r>
      <w:r w:rsidRPr="00494635">
        <w:rPr>
          <w:lang w:val="ru-RU"/>
        </w:rPr>
        <w:t xml:space="preserve"> РР, включая информацию о полосах частот, характере нарушения и типе использования, с тем чтобы Комитет мог включить информацию о трудностях, возникших в связи с такими заявлениями, в своем отчете по Резолюции </w:t>
      </w:r>
      <w:r w:rsidRPr="00494635">
        <w:rPr>
          <w:b/>
          <w:bCs/>
          <w:lang w:val="ru-RU"/>
        </w:rPr>
        <w:t>80 (Пересм. ВКР-07)</w:t>
      </w:r>
      <w:r w:rsidRPr="00494635">
        <w:rPr>
          <w:lang w:val="ru-RU"/>
        </w:rPr>
        <w:t xml:space="preserve"> для ВКР-23.</w:t>
      </w:r>
    </w:p>
    <w:p w14:paraId="6771CAEC" w14:textId="77777777" w:rsidR="00A06CB6" w:rsidRPr="00494635" w:rsidRDefault="00A06CB6" w:rsidP="00A06CB6">
      <w:pPr>
        <w:jc w:val="both"/>
        <w:rPr>
          <w:lang w:val="ru-RU"/>
        </w:rPr>
      </w:pPr>
      <w:r w:rsidRPr="00494635">
        <w:rPr>
          <w:lang w:val="ru-RU"/>
        </w:rPr>
        <w:t>8.2.3</w:t>
      </w:r>
      <w:r w:rsidRPr="00494635">
        <w:rPr>
          <w:lang w:val="ru-RU"/>
        </w:rPr>
        <w:tab/>
        <w:t xml:space="preserve">Принимая во внимание, что срок полномочий ряда членов РРК истекает в конце 2022 года, Комитет также поручает Бюро представить по электронной почте заблаговременно до конца 2022 года обновленные статистические данные по спутниковым системам, заявленным в соответствии с п. </w:t>
      </w:r>
      <w:r w:rsidRPr="00494635">
        <w:rPr>
          <w:b/>
          <w:bCs/>
          <w:lang w:val="ru-RU"/>
        </w:rPr>
        <w:t>4.4</w:t>
      </w:r>
      <w:r w:rsidRPr="00494635">
        <w:rPr>
          <w:lang w:val="ru-RU"/>
        </w:rPr>
        <w:t xml:space="preserve"> РР, и по системам, связанным с Резолюцией </w:t>
      </w:r>
      <w:r w:rsidRPr="00494635">
        <w:rPr>
          <w:b/>
          <w:bCs/>
          <w:lang w:val="ru-RU"/>
        </w:rPr>
        <w:t>40 (Пересм. ВКР-19)</w:t>
      </w:r>
      <w:r w:rsidRPr="00494635">
        <w:rPr>
          <w:lang w:val="ru-RU"/>
        </w:rPr>
        <w:t>.</w:t>
      </w:r>
    </w:p>
    <w:p w14:paraId="1382AEEE" w14:textId="77777777" w:rsidR="00A06CB6" w:rsidRPr="00494635" w:rsidRDefault="00A06CB6" w:rsidP="00A06CB6">
      <w:pPr>
        <w:pStyle w:val="Heading1"/>
        <w:jc w:val="both"/>
        <w:rPr>
          <w:lang w:val="ru-RU"/>
        </w:rPr>
      </w:pPr>
      <w:r w:rsidRPr="00494635">
        <w:rPr>
          <w:lang w:val="ru-RU"/>
        </w:rPr>
        <w:t>9</w:t>
      </w:r>
      <w:r w:rsidRPr="00494635">
        <w:rPr>
          <w:lang w:val="ru-RU"/>
        </w:rPr>
        <w:tab/>
        <w:t>Обсуждение относительно Председателя и заместителя Председателя на 2023 год</w:t>
      </w:r>
    </w:p>
    <w:p w14:paraId="177DA938" w14:textId="77777777" w:rsidR="00A06CB6" w:rsidRPr="00494635" w:rsidRDefault="00A06CB6" w:rsidP="00A06CB6">
      <w:pPr>
        <w:jc w:val="both"/>
        <w:rPr>
          <w:b/>
          <w:bCs/>
          <w:lang w:val="ru-RU"/>
        </w:rPr>
      </w:pPr>
      <w:r w:rsidRPr="00494635">
        <w:rPr>
          <w:lang w:val="ru-RU"/>
        </w:rPr>
        <w:t>9.1</w:t>
      </w:r>
      <w:r w:rsidRPr="00494635">
        <w:rPr>
          <w:lang w:val="ru-RU"/>
        </w:rPr>
        <w:tab/>
        <w:t xml:space="preserve">Различные </w:t>
      </w:r>
      <w:r w:rsidRPr="00494635">
        <w:rPr>
          <w:b/>
          <w:bCs/>
          <w:lang w:val="ru-RU"/>
        </w:rPr>
        <w:t>члены Комитета</w:t>
      </w:r>
      <w:r w:rsidRPr="00494635">
        <w:rPr>
          <w:lang w:val="ru-RU"/>
        </w:rPr>
        <w:t xml:space="preserve"> указывают на необходимость назначения временного председателя для подготовки к 92-му собранию РРК, на котором новый состав Комитета назначит своего председателя и заместителя председателя на 2023 год.</w:t>
      </w:r>
    </w:p>
    <w:p w14:paraId="4AD18B21" w14:textId="77777777" w:rsidR="00A06CB6" w:rsidRPr="00494635" w:rsidRDefault="00A06CB6" w:rsidP="00A06CB6">
      <w:pPr>
        <w:jc w:val="both"/>
        <w:rPr>
          <w:szCs w:val="24"/>
          <w:lang w:val="ru-RU"/>
        </w:rPr>
      </w:pPr>
      <w:r w:rsidRPr="00494635">
        <w:rPr>
          <w:szCs w:val="24"/>
          <w:lang w:val="ru-RU"/>
        </w:rPr>
        <w:t>9.2</w:t>
      </w:r>
      <w:r w:rsidRPr="00494635">
        <w:rPr>
          <w:szCs w:val="24"/>
          <w:lang w:val="ru-RU"/>
        </w:rPr>
        <w:tab/>
        <w:t xml:space="preserve">Комитет </w:t>
      </w:r>
      <w:r w:rsidRPr="00494635">
        <w:rPr>
          <w:b/>
          <w:bCs/>
          <w:szCs w:val="24"/>
          <w:lang w:val="ru-RU"/>
        </w:rPr>
        <w:t>принимает решение</w:t>
      </w:r>
      <w:r w:rsidRPr="00494635">
        <w:rPr>
          <w:szCs w:val="24"/>
          <w:lang w:val="ru-RU"/>
        </w:rPr>
        <w:t xml:space="preserve"> избрать г-на Аззуза временным Председателем до 92-го собрания Комитета в соответствии с п. 144 Конвенции МСЭ и предложить следующему Комитету утвердить его в качестве Председателя на 2023 год в соответствии с установленной практикой избрания заместителя Председателя Председателем на следующий год.</w:t>
      </w:r>
    </w:p>
    <w:p w14:paraId="63D35D42" w14:textId="77777777" w:rsidR="00A06CB6" w:rsidRPr="00494635" w:rsidRDefault="00A06CB6" w:rsidP="00A06CB6">
      <w:pPr>
        <w:jc w:val="both"/>
        <w:rPr>
          <w:lang w:val="ru-RU"/>
        </w:rPr>
      </w:pPr>
      <w:r w:rsidRPr="00494635">
        <w:rPr>
          <w:lang w:val="ru-RU"/>
        </w:rPr>
        <w:t>9.3</w:t>
      </w:r>
      <w:r w:rsidRPr="00494635">
        <w:rPr>
          <w:lang w:val="ru-RU"/>
        </w:rPr>
        <w:tab/>
      </w:r>
      <w:r w:rsidRPr="00494635">
        <w:rPr>
          <w:b/>
          <w:bCs/>
          <w:lang w:val="ru-RU"/>
        </w:rPr>
        <w:t>Г-жа Бомье</w:t>
      </w:r>
      <w:r w:rsidRPr="00494635">
        <w:rPr>
          <w:lang w:val="ru-RU"/>
        </w:rPr>
        <w:t xml:space="preserve"> поздравляет г-на Аззуза с выдвижением на пост Председателя на 2023 год; к ее словам присоединяется </w:t>
      </w:r>
      <w:r w:rsidRPr="00494635">
        <w:rPr>
          <w:b/>
          <w:bCs/>
          <w:lang w:val="ru-RU"/>
        </w:rPr>
        <w:t>Директор</w:t>
      </w:r>
      <w:r w:rsidRPr="00494635">
        <w:rPr>
          <w:lang w:val="ru-RU"/>
        </w:rPr>
        <w:t>, который заверяет его в полной поддержке со стороны Бюро.</w:t>
      </w:r>
    </w:p>
    <w:p w14:paraId="3EAD98E0" w14:textId="77777777" w:rsidR="00A06CB6" w:rsidRPr="00494635" w:rsidRDefault="00A06CB6" w:rsidP="00A06CB6">
      <w:pPr>
        <w:jc w:val="both"/>
        <w:rPr>
          <w:lang w:val="ru-RU"/>
        </w:rPr>
      </w:pPr>
      <w:r w:rsidRPr="00494635">
        <w:rPr>
          <w:lang w:val="ru-RU"/>
        </w:rPr>
        <w:t>9.4</w:t>
      </w:r>
      <w:r w:rsidRPr="00494635">
        <w:rPr>
          <w:lang w:val="ru-RU"/>
        </w:rPr>
        <w:tab/>
      </w:r>
      <w:r w:rsidRPr="00494635">
        <w:rPr>
          <w:b/>
          <w:bCs/>
          <w:lang w:val="ru-RU"/>
        </w:rPr>
        <w:t>Г-н Аззуз</w:t>
      </w:r>
      <w:r w:rsidRPr="00494635">
        <w:rPr>
          <w:lang w:val="ru-RU"/>
        </w:rPr>
        <w:t xml:space="preserve"> выражает надежду на сотрудничество с членами Комитета в духе доброй воли.</w:t>
      </w:r>
    </w:p>
    <w:p w14:paraId="24CE926F" w14:textId="77777777" w:rsidR="00A06CB6" w:rsidRPr="00494635" w:rsidRDefault="00A06CB6" w:rsidP="00A06CB6">
      <w:pPr>
        <w:pStyle w:val="Heading1"/>
        <w:jc w:val="both"/>
        <w:rPr>
          <w:lang w:val="ru-RU"/>
        </w:rPr>
      </w:pPr>
      <w:r w:rsidRPr="00494635">
        <w:rPr>
          <w:lang w:val="ru-RU"/>
        </w:rPr>
        <w:t>10</w:t>
      </w:r>
      <w:r w:rsidRPr="00494635">
        <w:rPr>
          <w:lang w:val="ru-RU"/>
        </w:rPr>
        <w:tab/>
        <w:t>Подтверждение следующего собрания и ориентировочных дат будущих собраний</w:t>
      </w:r>
    </w:p>
    <w:p w14:paraId="23D463A0" w14:textId="77777777" w:rsidR="00A06CB6" w:rsidRPr="00494635" w:rsidRDefault="00A06CB6" w:rsidP="00A06CB6">
      <w:pPr>
        <w:jc w:val="both"/>
        <w:rPr>
          <w:lang w:val="ru-RU"/>
        </w:rPr>
      </w:pPr>
      <w:r w:rsidRPr="00494635">
        <w:rPr>
          <w:lang w:val="ru-RU"/>
        </w:rPr>
        <w:t>10.1</w:t>
      </w:r>
      <w:r w:rsidRPr="00494635">
        <w:rPr>
          <w:lang w:val="ru-RU"/>
        </w:rPr>
        <w:tab/>
        <w:t xml:space="preserve">Комитет </w:t>
      </w:r>
      <w:r w:rsidRPr="00494635">
        <w:rPr>
          <w:b/>
          <w:bCs/>
          <w:lang w:val="ru-RU"/>
        </w:rPr>
        <w:t>принимает решение</w:t>
      </w:r>
      <w:r w:rsidRPr="00494635">
        <w:rPr>
          <w:lang w:val="ru-RU"/>
        </w:rPr>
        <w:t xml:space="preserve"> </w:t>
      </w:r>
      <w:r w:rsidRPr="00494635">
        <w:rPr>
          <w:bCs/>
          <w:lang w:val="ru-RU"/>
        </w:rPr>
        <w:t>подтвердить</w:t>
      </w:r>
      <w:r w:rsidRPr="00494635">
        <w:rPr>
          <w:lang w:val="ru-RU"/>
        </w:rPr>
        <w:t xml:space="preserve"> даты проведения 92-го собрания: 20–24 марта 2023 года, зал L.</w:t>
      </w:r>
    </w:p>
    <w:p w14:paraId="25FEA68D" w14:textId="77777777" w:rsidR="00A06CB6" w:rsidRPr="00494635" w:rsidRDefault="00A06CB6" w:rsidP="00A06CB6">
      <w:pPr>
        <w:jc w:val="both"/>
        <w:rPr>
          <w:lang w:val="ru-RU"/>
        </w:rPr>
      </w:pPr>
      <w:r w:rsidRPr="00494635">
        <w:rPr>
          <w:lang w:val="ru-RU"/>
        </w:rPr>
        <w:t>10.2</w:t>
      </w:r>
      <w:r w:rsidRPr="00494635">
        <w:rPr>
          <w:lang w:val="ru-RU"/>
        </w:rPr>
        <w:tab/>
        <w:t>Комитет далее подтверждает в предварительном порядке следующие даты проведения будущих собраний в 2023 году:</w:t>
      </w:r>
    </w:p>
    <w:p w14:paraId="35483641" w14:textId="77777777" w:rsidR="00A06CB6" w:rsidRPr="00494635" w:rsidRDefault="00A06CB6" w:rsidP="00A06CB6">
      <w:pPr>
        <w:pStyle w:val="enumlev1"/>
        <w:tabs>
          <w:tab w:val="clear" w:pos="1985"/>
          <w:tab w:val="left" w:pos="2268"/>
        </w:tabs>
        <w:jc w:val="both"/>
        <w:rPr>
          <w:lang w:val="ru-RU"/>
        </w:rPr>
      </w:pPr>
      <w:r w:rsidRPr="00494635">
        <w:rPr>
          <w:lang w:val="ru-RU"/>
        </w:rPr>
        <w:t>•</w:t>
      </w:r>
      <w:r w:rsidRPr="00494635">
        <w:rPr>
          <w:lang w:val="ru-RU"/>
        </w:rPr>
        <w:tab/>
        <w:t>93-е собрание:</w:t>
      </w:r>
      <w:r w:rsidRPr="00494635">
        <w:rPr>
          <w:lang w:val="ru-RU"/>
        </w:rPr>
        <w:tab/>
        <w:t>26 июня – 4 июля 2023 года (зал ЦКВ, Женева);</w:t>
      </w:r>
    </w:p>
    <w:p w14:paraId="2E563CF2" w14:textId="77777777" w:rsidR="00A06CB6" w:rsidRPr="00494635" w:rsidRDefault="00A06CB6" w:rsidP="00A06CB6">
      <w:pPr>
        <w:pStyle w:val="enumlev1"/>
        <w:tabs>
          <w:tab w:val="clear" w:pos="1985"/>
          <w:tab w:val="left" w:pos="2268"/>
        </w:tabs>
        <w:jc w:val="both"/>
        <w:rPr>
          <w:lang w:val="ru-RU"/>
        </w:rPr>
      </w:pPr>
      <w:r w:rsidRPr="00494635">
        <w:rPr>
          <w:lang w:val="ru-RU"/>
        </w:rPr>
        <w:t>•</w:t>
      </w:r>
      <w:r w:rsidRPr="00494635">
        <w:rPr>
          <w:lang w:val="ru-RU"/>
        </w:rPr>
        <w:tab/>
        <w:t>94-е собрание:</w:t>
      </w:r>
      <w:r w:rsidRPr="00494635">
        <w:rPr>
          <w:lang w:val="ru-RU"/>
        </w:rPr>
        <w:tab/>
        <w:t>23–27 октября 2023 года (зал L).</w:t>
      </w:r>
    </w:p>
    <w:p w14:paraId="3D6CE7E1" w14:textId="77777777" w:rsidR="00A06CB6" w:rsidRPr="00494635" w:rsidRDefault="00A06CB6" w:rsidP="00A06CB6">
      <w:pPr>
        <w:pStyle w:val="Heading1"/>
        <w:spacing w:before="240"/>
        <w:jc w:val="both"/>
        <w:rPr>
          <w:lang w:val="ru-RU"/>
        </w:rPr>
      </w:pPr>
      <w:r w:rsidRPr="00494635">
        <w:rPr>
          <w:lang w:val="ru-RU"/>
        </w:rPr>
        <w:t>11</w:t>
      </w:r>
      <w:r w:rsidRPr="00494635">
        <w:rPr>
          <w:lang w:val="ru-RU"/>
        </w:rPr>
        <w:tab/>
        <w:t>Вопросы, связанные с ПК-22</w:t>
      </w:r>
    </w:p>
    <w:p w14:paraId="16088605" w14:textId="77777777" w:rsidR="00A06CB6" w:rsidRPr="00494635" w:rsidRDefault="00A06CB6" w:rsidP="00A06CB6">
      <w:pPr>
        <w:pStyle w:val="Heading2"/>
        <w:jc w:val="both"/>
        <w:rPr>
          <w:lang w:val="ru-RU"/>
        </w:rPr>
      </w:pPr>
      <w:r w:rsidRPr="00494635">
        <w:rPr>
          <w:lang w:val="ru-RU"/>
        </w:rPr>
        <w:t>11.1</w:t>
      </w:r>
      <w:r w:rsidRPr="00494635">
        <w:rPr>
          <w:lang w:val="ru-RU"/>
        </w:rPr>
        <w:tab/>
        <w:t>Устный отчет представителей РРК о ПК-22</w:t>
      </w:r>
    </w:p>
    <w:p w14:paraId="600A3B24" w14:textId="77777777" w:rsidR="00A06CB6" w:rsidRPr="00494635" w:rsidRDefault="00A06CB6" w:rsidP="00A06CB6">
      <w:pPr>
        <w:jc w:val="both"/>
        <w:rPr>
          <w:lang w:val="ru-RU"/>
        </w:rPr>
      </w:pPr>
      <w:r w:rsidRPr="00494635">
        <w:rPr>
          <w:lang w:val="ru-RU" w:eastAsia="zh-CN"/>
        </w:rPr>
        <w:t>11.1.1</w:t>
      </w:r>
      <w:r w:rsidRPr="00494635">
        <w:rPr>
          <w:lang w:val="ru-RU"/>
        </w:rPr>
        <w:tab/>
      </w:r>
      <w:r w:rsidRPr="00494635">
        <w:rPr>
          <w:b/>
          <w:bCs/>
          <w:lang w:val="ru-RU" w:eastAsia="zh-CN"/>
        </w:rPr>
        <w:t>Г-жа Жеанти</w:t>
      </w:r>
      <w:r w:rsidRPr="00494635">
        <w:rPr>
          <w:lang w:val="ru-RU" w:eastAsia="zh-CN"/>
        </w:rPr>
        <w:t xml:space="preserve"> сообщает, что она и Председатель представляли Комитет на ПК-22, где обсуждался ряд вопросов, представляющих интерес для будущей работы РРК. Были приняты три новые Резолюции, имеющие особое значение для Комитета. Первая (Резолюция 216 (Бухарест, 2022 г.)) об использовании частотных присвоений военным радиооборудованием для служб национальной обороны была разработана в ответ на просьбу ВКР-19 рассмотреть вопрос о применении Статьи 48 Устава и принять необходимые меры. Генеральному секретарю было предложено довести Резолюцию до сведения ВКР-23 и доложить на следующей Полномочной </w:t>
      </w:r>
      <w:r w:rsidRPr="00494635">
        <w:rPr>
          <w:lang w:val="ru-RU" w:eastAsia="zh-CN"/>
        </w:rPr>
        <w:lastRenderedPageBreak/>
        <w:t xml:space="preserve">конференции о ее выполнении, но поскольку Резолюция является самодостаточной, ВКР-23 нет необходимости предпринимать дополнительные действия. Говоря об основных положениях Резолюции, изложенных в разделе </w:t>
      </w:r>
      <w:r w:rsidRPr="00494635">
        <w:rPr>
          <w:i/>
          <w:iCs/>
          <w:lang w:val="ru-RU" w:eastAsia="zh-CN"/>
        </w:rPr>
        <w:t>решает</w:t>
      </w:r>
      <w:r w:rsidRPr="00494635">
        <w:rPr>
          <w:lang w:val="ru-RU" w:eastAsia="zh-CN"/>
        </w:rPr>
        <w:t>, она обращает особое внимание на положения, включенные по просьбе Комитета, а именно: что Бюро может просить соответствующее Государство-Член представить разъяснения относительно возможного несоответствующего использования частотных присвоений в соответствии со Статьей 48 Устава МСЭ; что если Государство-Член не согласится с оценкой Бюро, то вопрос будет передан на рассмотрение Комитета; что если Государство-Член не согласится с решением Комитета, оно может подать апелляцию на следующей ВКР, и что решение Комитета будет оставаться в силе до тех пор, пока ВКР не примет решение по данному вопросу; и что при предоставлении разъяснения Государства-Члены не обязаны предоставлять информацию, которая может нанести ущерб их оборудованию для служб национальной обороны. Таким образом, данная Резолюция может иметь определенные последствия для работы Комитета, а в связи с необходимостью обращения с чувствительной и конфиденциальной предоставляемой информацией, как это признается в Резолюции, возможно, потребуется пересмотреть методы работы Комитета, изложенные в Части С Правил процедуры.</w:t>
      </w:r>
    </w:p>
    <w:p w14:paraId="038BBF4E" w14:textId="77777777" w:rsidR="00A06CB6" w:rsidRPr="00494635" w:rsidRDefault="00A06CB6" w:rsidP="00A06CB6">
      <w:pPr>
        <w:jc w:val="both"/>
        <w:rPr>
          <w:lang w:val="ru-RU" w:eastAsia="zh-CN"/>
        </w:rPr>
      </w:pPr>
      <w:r w:rsidRPr="00494635">
        <w:rPr>
          <w:lang w:val="ru-RU"/>
        </w:rPr>
        <w:t>11.1.2</w:t>
      </w:r>
      <w:r w:rsidRPr="00494635">
        <w:rPr>
          <w:lang w:val="ru-RU"/>
        </w:rPr>
        <w:tab/>
        <w:t xml:space="preserve">Вторая новая Резолюция, представляющая интерес для Комитета, это Резолюция 219 (Бухарест, 2022 г.), посвященная устойчивости ресурсов радиочастотного спектра и связанных с ним спутниковых орбит, используемых космическими службами. Обращая внимание на раздел </w:t>
      </w:r>
      <w:r w:rsidRPr="00494635">
        <w:rPr>
          <w:i/>
          <w:iCs/>
          <w:lang w:val="ru-RU"/>
        </w:rPr>
        <w:t>решает</w:t>
      </w:r>
      <w:r w:rsidRPr="00494635">
        <w:rPr>
          <w:lang w:val="ru-RU"/>
        </w:rPr>
        <w:t xml:space="preserve"> и на исследования, которые необходимо провести, выступающая говорит, что Комитет уже принял решение включить в свой отчет по Резолюции </w:t>
      </w:r>
      <w:r w:rsidRPr="00494635">
        <w:rPr>
          <w:b/>
          <w:bCs/>
          <w:lang w:val="ru-RU"/>
        </w:rPr>
        <w:t>80</w:t>
      </w:r>
      <w:r w:rsidRPr="00494635">
        <w:rPr>
          <w:lang w:val="ru-RU"/>
        </w:rPr>
        <w:t xml:space="preserve"> </w:t>
      </w:r>
      <w:r w:rsidRPr="00494635">
        <w:rPr>
          <w:b/>
          <w:bCs/>
          <w:lang w:val="ru-RU"/>
        </w:rPr>
        <w:t>(Пересм. ВКР-07)</w:t>
      </w:r>
      <w:r w:rsidRPr="00494635">
        <w:rPr>
          <w:lang w:val="ru-RU"/>
        </w:rPr>
        <w:t xml:space="preserve"> пункт по этой теме и таким образом может внести свой вклад в решение поднятых вопросов.</w:t>
      </w:r>
    </w:p>
    <w:p w14:paraId="2336C40B" w14:textId="77777777" w:rsidR="00A06CB6" w:rsidRPr="00494635" w:rsidRDefault="00A06CB6" w:rsidP="00A06CB6">
      <w:pPr>
        <w:jc w:val="both"/>
        <w:rPr>
          <w:lang w:val="ru-RU" w:eastAsia="zh-CN"/>
        </w:rPr>
      </w:pPr>
      <w:r w:rsidRPr="00494635">
        <w:rPr>
          <w:lang w:val="ru-RU" w:eastAsia="zh-CN"/>
        </w:rPr>
        <w:t>11.1.3</w:t>
      </w:r>
      <w:r w:rsidRPr="00494635">
        <w:rPr>
          <w:lang w:val="ru-RU"/>
        </w:rPr>
        <w:tab/>
      </w:r>
      <w:r w:rsidRPr="00494635">
        <w:rPr>
          <w:lang w:val="ru-RU" w:eastAsia="zh-CN"/>
        </w:rPr>
        <w:t xml:space="preserve">Третьей является новая Резолюция 218 (Бухарест, 2022 г.) о </w:t>
      </w:r>
      <w:r w:rsidRPr="00494635">
        <w:rPr>
          <w:lang w:val="ru-RU"/>
        </w:rPr>
        <w:t xml:space="preserve">роли МСЭ в осуществлении </w:t>
      </w:r>
      <w:r w:rsidRPr="00494635">
        <w:rPr>
          <w:lang w:val="ru-RU" w:eastAsia="zh-CN"/>
        </w:rPr>
        <w:t>"</w:t>
      </w:r>
      <w:r w:rsidRPr="00494635">
        <w:rPr>
          <w:lang w:val="ru-RU"/>
        </w:rPr>
        <w:t xml:space="preserve">Повестки дня </w:t>
      </w:r>
      <w:r w:rsidRPr="00494635">
        <w:rPr>
          <w:lang w:val="ru-RU" w:eastAsia="zh-CN"/>
        </w:rPr>
        <w:t>"</w:t>
      </w:r>
      <w:r w:rsidRPr="00494635">
        <w:rPr>
          <w:lang w:val="ru-RU"/>
        </w:rPr>
        <w:t>Космос-2030</w:t>
      </w:r>
      <w:r w:rsidRPr="00494635">
        <w:rPr>
          <w:lang w:val="ru-RU" w:eastAsia="zh-CN"/>
        </w:rPr>
        <w:t>"</w:t>
      </w:r>
      <w:r w:rsidRPr="00494635">
        <w:rPr>
          <w:lang w:val="ru-RU"/>
        </w:rPr>
        <w:t>: космос как двигатель устойчивого развития</w:t>
      </w:r>
      <w:r w:rsidRPr="00494635">
        <w:rPr>
          <w:b/>
          <w:bCs/>
          <w:lang w:val="ru-RU"/>
        </w:rPr>
        <w:t>"</w:t>
      </w:r>
      <w:r w:rsidRPr="00494635">
        <w:rPr>
          <w:lang w:val="ru-RU"/>
        </w:rPr>
        <w:t>, а также в процессе последующей деятельности и анализа</w:t>
      </w:r>
      <w:r w:rsidRPr="00494635">
        <w:rPr>
          <w:lang w:val="ru-RU" w:eastAsia="zh-CN"/>
        </w:rPr>
        <w:t>.</w:t>
      </w:r>
    </w:p>
    <w:p w14:paraId="070B9006" w14:textId="77777777" w:rsidR="00A06CB6" w:rsidRPr="00494635" w:rsidRDefault="00A06CB6" w:rsidP="00A06CB6">
      <w:pPr>
        <w:jc w:val="both"/>
        <w:rPr>
          <w:lang w:val="ru-RU" w:eastAsia="zh-CN"/>
        </w:rPr>
      </w:pPr>
      <w:r w:rsidRPr="00494635">
        <w:rPr>
          <w:lang w:val="ru-RU"/>
        </w:rPr>
        <w:t>11.1.4</w:t>
      </w:r>
      <w:r w:rsidRPr="00494635">
        <w:rPr>
          <w:lang w:val="ru-RU"/>
        </w:rPr>
        <w:tab/>
      </w:r>
      <w:r w:rsidRPr="00494635">
        <w:rPr>
          <w:lang w:val="ru-RU" w:eastAsia="zh-CN"/>
        </w:rPr>
        <w:t>Также значительную важность для Комитета представляет пересмотр Резолюции 119 (Пересм. Бухарест, 2022 г.) о методах, направленных на повышение эффективности и результативности Радиорегламентарного комитета. Чрезвычайно интенсивно обсуждалась предложенная одной из региональных организаций поправка, гласящая, что в случае, если Комитетом делается заключение, что имеет место нарушение п. </w:t>
      </w:r>
      <w:r w:rsidRPr="00494635">
        <w:rPr>
          <w:b/>
          <w:bCs/>
          <w:lang w:val="ru-RU" w:eastAsia="zh-CN"/>
        </w:rPr>
        <w:t>15.1</w:t>
      </w:r>
      <w:r w:rsidRPr="00494635">
        <w:rPr>
          <w:lang w:val="ru-RU" w:eastAsia="zh-CN"/>
        </w:rPr>
        <w:t xml:space="preserve"> РР, должен быть выпущен пресс-релиз. Конференция приняла решила добавить в конце п. 2 раздела </w:t>
      </w:r>
      <w:r w:rsidRPr="00494635">
        <w:rPr>
          <w:i/>
          <w:iCs/>
          <w:lang w:val="ru-RU" w:eastAsia="zh-CN"/>
        </w:rPr>
        <w:t>решает поручить Радиорегламентарному комитету</w:t>
      </w:r>
      <w:r w:rsidRPr="00494635">
        <w:rPr>
          <w:lang w:val="ru-RU" w:eastAsia="zh-CN"/>
        </w:rPr>
        <w:t xml:space="preserve"> следующую формулировку: "РРК по просьбе администрации может также рассмотреть, в надлежащем случае, вопрос о публикации соответствующей информации по этой просьбе на веб-сайтах РРК и БР". Также был согласован следующий текст для включения в протокол пленарного заседания: "При принятии поправок к Резолюции 119 было сочтено, что решения РРК, в особенности касающиеся помех согласно определению в Регламенте радиосвязи, могут представлять общественный интерес". Комитет должен будет реагировать на просьбы администраций в этом отношении и должен принять к сведению текст в протоколе. Возможно, ему также потребуется рассмотреть вопрос о необходимости внесения каких-либо изменений в методы работы.</w:t>
      </w:r>
    </w:p>
    <w:p w14:paraId="61A0E83B" w14:textId="77777777" w:rsidR="00A06CB6" w:rsidRPr="00494635" w:rsidRDefault="00A06CB6" w:rsidP="00A06CB6">
      <w:pPr>
        <w:jc w:val="both"/>
        <w:rPr>
          <w:lang w:val="ru-RU"/>
        </w:rPr>
      </w:pPr>
      <w:r w:rsidRPr="00494635">
        <w:rPr>
          <w:lang w:val="ru-RU" w:eastAsia="zh-CN"/>
        </w:rPr>
        <w:t>11.1.5</w:t>
      </w:r>
      <w:r w:rsidRPr="00494635">
        <w:rPr>
          <w:lang w:val="ru-RU" w:eastAsia="zh-CN"/>
        </w:rPr>
        <w:tab/>
        <w:t>Наконец, интерес для Комитета представляет пересмотр Резолюция 186 (Пересм. Бухарест, 2022 г.) об усилении роли МСЭ в отношении мер по обеспечению прозрачности и укреплению доверия в космической деятельности.</w:t>
      </w:r>
    </w:p>
    <w:p w14:paraId="74FA0628" w14:textId="77777777" w:rsidR="00A06CB6" w:rsidRPr="00494635" w:rsidRDefault="00A06CB6" w:rsidP="00A06CB6">
      <w:pPr>
        <w:jc w:val="both"/>
        <w:rPr>
          <w:lang w:val="ru-RU" w:eastAsia="zh-CN"/>
        </w:rPr>
      </w:pPr>
      <w:r w:rsidRPr="00494635">
        <w:rPr>
          <w:lang w:val="ru-RU" w:eastAsia="zh-CN"/>
        </w:rPr>
        <w:t>11.1.6</w:t>
      </w:r>
      <w:r w:rsidRPr="00494635">
        <w:rPr>
          <w:lang w:val="ru-RU"/>
        </w:rPr>
        <w:tab/>
      </w:r>
      <w:r w:rsidRPr="00494635">
        <w:rPr>
          <w:b/>
          <w:bCs/>
          <w:lang w:val="ru-RU" w:eastAsia="zh-CN"/>
        </w:rPr>
        <w:t>Директор</w:t>
      </w:r>
      <w:r w:rsidRPr="00494635">
        <w:rPr>
          <w:lang w:val="ru-RU" w:eastAsia="zh-CN"/>
        </w:rPr>
        <w:t xml:space="preserve"> благодарит г-жу Жеанти и Председателя за их усердную работу на ПК-22 и подчеркивает ключевую роль, которую они сыграли в обсуждениях и поиске решений. Входной документ Комитета о применении Статьи 48 Устава был очень важным элементом, и новая Резолюция приблизительно соответствует запросной позиции РРК. Важно, что Резолюция является самодостаточной, и вследствие этого не будет вопросов, перенесенных на ВКР-23.</w:t>
      </w:r>
    </w:p>
    <w:p w14:paraId="36CB2DDC" w14:textId="77777777" w:rsidR="00A06CB6" w:rsidRPr="00494635" w:rsidRDefault="00A06CB6" w:rsidP="00A06CB6">
      <w:pPr>
        <w:jc w:val="both"/>
        <w:rPr>
          <w:lang w:val="ru-RU" w:eastAsia="zh-CN"/>
        </w:rPr>
      </w:pPr>
      <w:r w:rsidRPr="00494635">
        <w:rPr>
          <w:lang w:val="ru-RU" w:eastAsia="zh-CN"/>
        </w:rPr>
        <w:t>11.1.7</w:t>
      </w:r>
      <w:r w:rsidRPr="00494635">
        <w:rPr>
          <w:lang w:val="ru-RU"/>
        </w:rPr>
        <w:tab/>
      </w:r>
      <w:r w:rsidRPr="00494635">
        <w:rPr>
          <w:b/>
          <w:bCs/>
          <w:lang w:val="ru-RU" w:eastAsia="zh-CN"/>
        </w:rPr>
        <w:t>Г-н Талиб</w:t>
      </w:r>
      <w:r w:rsidRPr="00494635">
        <w:rPr>
          <w:lang w:val="ru-RU" w:eastAsia="zh-CN"/>
        </w:rPr>
        <w:t xml:space="preserve"> напоминает, что он представлял Комитет на Всемирном семинаре по радиосвязи 2022 года, который проводился в виртуальном формате. С его презентацией можно ознакомиться на веб-сайте МСЭ.</w:t>
      </w:r>
    </w:p>
    <w:p w14:paraId="2BAB182E" w14:textId="77777777" w:rsidR="00A06CB6" w:rsidRPr="00494635" w:rsidRDefault="00A06CB6" w:rsidP="00A06CB6">
      <w:pPr>
        <w:jc w:val="both"/>
        <w:rPr>
          <w:lang w:val="ru-RU" w:eastAsia="zh-CN"/>
        </w:rPr>
      </w:pPr>
      <w:r w:rsidRPr="00494635">
        <w:rPr>
          <w:lang w:val="ru-RU" w:eastAsia="zh-CN"/>
        </w:rPr>
        <w:t>11.1.8</w:t>
      </w:r>
      <w:r w:rsidRPr="00494635">
        <w:rPr>
          <w:lang w:val="ru-RU"/>
        </w:rPr>
        <w:tab/>
      </w:r>
      <w:r w:rsidRPr="00494635">
        <w:rPr>
          <w:b/>
          <w:bCs/>
          <w:lang w:val="ru-RU" w:eastAsia="zh-CN"/>
        </w:rPr>
        <w:t>Г-н Васильев (руководитель TSD)</w:t>
      </w:r>
      <w:r w:rsidRPr="00494635">
        <w:rPr>
          <w:lang w:val="ru-RU" w:eastAsia="zh-CN"/>
        </w:rPr>
        <w:t xml:space="preserve"> напоминает, что некоторые случаи, например, представление Литвы на 89-м собрании Комитета, остались нерешенными до рассмотрения вопроса </w:t>
      </w:r>
      <w:r w:rsidRPr="00494635">
        <w:rPr>
          <w:lang w:val="ru-RU" w:eastAsia="zh-CN"/>
        </w:rPr>
        <w:lastRenderedPageBreak/>
        <w:t xml:space="preserve">о применении Статьи 48 Устава МСЭ на ПК-22. Возможно, Бюро придется представить такие случаи на следующем собрании Комитета, поскольку администрации настаивают на предоставлении руководящих указаний, и было бы желательно получить позицию Комитета. </w:t>
      </w:r>
      <w:r w:rsidRPr="00494635">
        <w:rPr>
          <w:b/>
          <w:bCs/>
          <w:lang w:val="ru-RU" w:eastAsia="zh-CN"/>
        </w:rPr>
        <w:t>Г-жа Жеанти</w:t>
      </w:r>
      <w:r w:rsidRPr="00494635">
        <w:rPr>
          <w:lang w:val="ru-RU" w:eastAsia="zh-CN"/>
        </w:rPr>
        <w:t xml:space="preserve"> соглашается, что ряд нерешенных случаев должен быть рассмотрен в рамках Комитета.</w:t>
      </w:r>
    </w:p>
    <w:p w14:paraId="5DCB6C95" w14:textId="77777777" w:rsidR="00A06CB6" w:rsidRPr="00494635" w:rsidRDefault="00A06CB6" w:rsidP="00A06CB6">
      <w:pPr>
        <w:jc w:val="both"/>
        <w:rPr>
          <w:lang w:val="ru-RU" w:eastAsia="zh-CN"/>
        </w:rPr>
      </w:pPr>
      <w:r w:rsidRPr="00494635">
        <w:rPr>
          <w:lang w:val="ru-RU" w:eastAsia="zh-CN"/>
        </w:rPr>
        <w:t>11.1.9</w:t>
      </w:r>
      <w:r w:rsidRPr="00494635">
        <w:rPr>
          <w:lang w:val="ru-RU"/>
        </w:rPr>
        <w:tab/>
      </w:r>
      <w:r w:rsidRPr="00494635">
        <w:rPr>
          <w:b/>
          <w:bCs/>
          <w:lang w:val="ru-RU" w:eastAsia="zh-CN"/>
        </w:rPr>
        <w:t>Председатель</w:t>
      </w:r>
      <w:r w:rsidRPr="00494635">
        <w:rPr>
          <w:lang w:val="ru-RU" w:eastAsia="zh-CN"/>
        </w:rPr>
        <w:t xml:space="preserve"> отмечает, что принятие этой новой Резолюции, которая, как он понимает, относится как к наземным, так и к космическим службам, является важным достижением и поможет разрешить многие сложные вопросы.</w:t>
      </w:r>
    </w:p>
    <w:p w14:paraId="60118218" w14:textId="77777777" w:rsidR="00A06CB6" w:rsidRPr="00494635" w:rsidRDefault="00A06CB6" w:rsidP="00A06CB6">
      <w:pPr>
        <w:jc w:val="both"/>
        <w:rPr>
          <w:lang w:val="ru-RU" w:eastAsia="zh-CN"/>
        </w:rPr>
      </w:pPr>
      <w:r w:rsidRPr="00494635">
        <w:rPr>
          <w:lang w:val="ru-RU" w:eastAsia="zh-CN"/>
        </w:rPr>
        <w:t>11.1.10</w:t>
      </w:r>
      <w:r w:rsidRPr="00494635">
        <w:rPr>
          <w:lang w:val="ru-RU"/>
        </w:rPr>
        <w:tab/>
      </w:r>
      <w:r w:rsidRPr="00494635">
        <w:rPr>
          <w:b/>
          <w:bCs/>
          <w:lang w:val="ru-RU" w:eastAsia="zh-CN"/>
        </w:rPr>
        <w:t>Г-н Мчуну</w:t>
      </w:r>
      <w:r w:rsidRPr="00494635">
        <w:rPr>
          <w:lang w:val="ru-RU" w:eastAsia="zh-CN"/>
        </w:rPr>
        <w:t xml:space="preserve"> благодарит г-жу Жеанти и Председателя за хорошее представление Комитета на ПК-22; к его замечаниям присоединяются также </w:t>
      </w:r>
      <w:r w:rsidRPr="00494635">
        <w:rPr>
          <w:b/>
          <w:bCs/>
          <w:lang w:val="ru-RU" w:eastAsia="zh-CN"/>
        </w:rPr>
        <w:t>г-н Варламов</w:t>
      </w:r>
      <w:r w:rsidRPr="00494635">
        <w:rPr>
          <w:lang w:val="ru-RU" w:eastAsia="zh-CN"/>
        </w:rPr>
        <w:t xml:space="preserve"> и </w:t>
      </w:r>
      <w:r w:rsidRPr="00494635">
        <w:rPr>
          <w:b/>
          <w:bCs/>
          <w:lang w:val="ru-RU" w:eastAsia="zh-CN"/>
        </w:rPr>
        <w:t>г-жа Бомье</w:t>
      </w:r>
      <w:r w:rsidRPr="00494635">
        <w:rPr>
          <w:lang w:val="ru-RU" w:eastAsia="zh-CN"/>
        </w:rPr>
        <w:t xml:space="preserve">, которые обращают особое внимание на п. </w:t>
      </w:r>
      <w:r w:rsidRPr="00494635">
        <w:rPr>
          <w:i/>
          <w:iCs/>
          <w:lang w:val="ru-RU" w:eastAsia="zh-CN"/>
        </w:rPr>
        <w:t>e)</w:t>
      </w:r>
      <w:r w:rsidRPr="00494635">
        <w:rPr>
          <w:lang w:val="ru-RU" w:eastAsia="zh-CN"/>
        </w:rPr>
        <w:t xml:space="preserve"> раздела </w:t>
      </w:r>
      <w:r w:rsidRPr="00494635">
        <w:rPr>
          <w:i/>
          <w:iCs/>
          <w:lang w:val="ru-RU" w:eastAsia="zh-CN"/>
        </w:rPr>
        <w:t>признавая</w:t>
      </w:r>
      <w:r w:rsidRPr="00494635">
        <w:rPr>
          <w:lang w:val="ru-RU" w:eastAsia="zh-CN"/>
        </w:rPr>
        <w:t xml:space="preserve"> проекта новой Резолюции COM5/1, который может иметь особое значение для будущего рассмотрения Комитетом определенных случаев. Конференция обсуждала возможность включения другой формулировки о том, что ссылка на Статью 48 в отношении зарегистрированных частотных присвоений не освобождает эти частотные присвоения от обязательств по координации на постоянной основе, но приняла решение не делать этого, поскольку это требование должно быть очевидным.</w:t>
      </w:r>
    </w:p>
    <w:p w14:paraId="1AB8B720" w14:textId="77777777" w:rsidR="00A06CB6" w:rsidRPr="00494635" w:rsidRDefault="00A06CB6" w:rsidP="00A06CB6">
      <w:pPr>
        <w:jc w:val="both"/>
        <w:rPr>
          <w:lang w:val="ru-RU" w:eastAsia="zh-CN"/>
        </w:rPr>
      </w:pPr>
      <w:r w:rsidRPr="00494635">
        <w:rPr>
          <w:lang w:val="ru-RU" w:eastAsia="zh-CN"/>
        </w:rPr>
        <w:t>11.1.11</w:t>
      </w:r>
      <w:r w:rsidRPr="00494635">
        <w:rPr>
          <w:lang w:val="ru-RU"/>
        </w:rPr>
        <w:tab/>
      </w:r>
      <w:r w:rsidRPr="00494635">
        <w:rPr>
          <w:lang w:val="ru-RU" w:eastAsia="zh-CN"/>
        </w:rPr>
        <w:t xml:space="preserve">Комитет </w:t>
      </w:r>
      <w:r w:rsidRPr="00494635">
        <w:rPr>
          <w:b/>
          <w:bCs/>
          <w:lang w:val="ru-RU" w:eastAsia="zh-CN"/>
        </w:rPr>
        <w:t>благодарит</w:t>
      </w:r>
      <w:r w:rsidRPr="00494635">
        <w:rPr>
          <w:lang w:val="ru-RU" w:eastAsia="zh-CN"/>
        </w:rPr>
        <w:t xml:space="preserve"> представителей РРК за их усилия в ходе работы ПК-22, </w:t>
      </w:r>
      <w:r w:rsidRPr="00494635">
        <w:rPr>
          <w:b/>
          <w:bCs/>
          <w:lang w:val="ru-RU" w:eastAsia="zh-CN"/>
        </w:rPr>
        <w:t>принимает к сведению</w:t>
      </w:r>
      <w:r w:rsidRPr="00494635">
        <w:rPr>
          <w:lang w:val="ru-RU" w:eastAsia="zh-CN"/>
        </w:rPr>
        <w:t xml:space="preserve"> устный отчет г-жи Жеанти и дает отчету высокую оценку.</w:t>
      </w:r>
    </w:p>
    <w:p w14:paraId="3B560963" w14:textId="77777777" w:rsidR="00A06CB6" w:rsidRPr="00494635" w:rsidRDefault="00A06CB6" w:rsidP="00A06CB6">
      <w:pPr>
        <w:pStyle w:val="Heading2"/>
        <w:jc w:val="both"/>
        <w:rPr>
          <w:lang w:val="ru-RU"/>
        </w:rPr>
      </w:pPr>
      <w:r w:rsidRPr="00494635">
        <w:rPr>
          <w:lang w:val="ru-RU"/>
        </w:rPr>
        <w:t>11.2</w:t>
      </w:r>
      <w:r w:rsidRPr="00494635">
        <w:rPr>
          <w:lang w:val="ru-RU"/>
        </w:rPr>
        <w:tab/>
        <w:t>Вручение почетных грамот</w:t>
      </w:r>
    </w:p>
    <w:p w14:paraId="6EB2EEBB" w14:textId="77777777" w:rsidR="00A06CB6" w:rsidRPr="00494635" w:rsidRDefault="00A06CB6" w:rsidP="00A06CB6">
      <w:pPr>
        <w:jc w:val="both"/>
        <w:rPr>
          <w:lang w:val="ru-RU"/>
        </w:rPr>
      </w:pPr>
      <w:r w:rsidRPr="00494635">
        <w:rPr>
          <w:lang w:val="ru-RU"/>
        </w:rPr>
        <w:t>11.2.1</w:t>
      </w:r>
      <w:r w:rsidRPr="00494635">
        <w:rPr>
          <w:lang w:val="ru-RU"/>
        </w:rPr>
        <w:tab/>
      </w:r>
      <w:r w:rsidRPr="00494635">
        <w:rPr>
          <w:b/>
          <w:bCs/>
          <w:lang w:val="ru-RU"/>
        </w:rPr>
        <w:t>Директор</w:t>
      </w:r>
      <w:r w:rsidRPr="00494635">
        <w:rPr>
          <w:lang w:val="ru-RU"/>
        </w:rPr>
        <w:t xml:space="preserve"> от имени Генерального секретаря вручает грамоты и медали МСЭ г-ну Борхону, г</w:t>
      </w:r>
      <w:r w:rsidRPr="00494635">
        <w:rPr>
          <w:lang w:val="ru-RU"/>
        </w:rPr>
        <w:noBreakHyphen/>
        <w:t>ну Хасимото и г-ну Хоану, которые не присутствовали на ПК-22 и поэтому не смогли получить их одновременно с другими членами Комитета.</w:t>
      </w:r>
    </w:p>
    <w:p w14:paraId="617D7EFB" w14:textId="77777777" w:rsidR="00A06CB6" w:rsidRPr="00494635" w:rsidRDefault="00A06CB6" w:rsidP="00A06CB6">
      <w:pPr>
        <w:pStyle w:val="Heading1"/>
        <w:spacing w:before="240"/>
        <w:jc w:val="both"/>
        <w:rPr>
          <w:lang w:val="ru-RU"/>
        </w:rPr>
      </w:pPr>
      <w:r w:rsidRPr="00494635">
        <w:rPr>
          <w:lang w:val="ru-RU"/>
        </w:rPr>
        <w:t>12</w:t>
      </w:r>
      <w:r w:rsidRPr="00494635">
        <w:rPr>
          <w:lang w:val="ru-RU"/>
        </w:rPr>
        <w:tab/>
        <w:t>Утверждение краткого обзора решений (Документ RRB22-3/17)</w:t>
      </w:r>
    </w:p>
    <w:p w14:paraId="267D578D" w14:textId="77777777" w:rsidR="00A06CB6" w:rsidRPr="00494635" w:rsidRDefault="00A06CB6" w:rsidP="00A06CB6">
      <w:pPr>
        <w:jc w:val="both"/>
        <w:rPr>
          <w:lang w:val="ru-RU"/>
        </w:rPr>
      </w:pPr>
      <w:r w:rsidRPr="00494635">
        <w:rPr>
          <w:lang w:val="ru-RU"/>
        </w:rPr>
        <w:t>12.1</w:t>
      </w:r>
      <w:r w:rsidRPr="00494635">
        <w:rPr>
          <w:lang w:val="ru-RU"/>
        </w:rPr>
        <w:tab/>
        <w:t xml:space="preserve">Комитет </w:t>
      </w:r>
      <w:r w:rsidRPr="00494635">
        <w:rPr>
          <w:b/>
          <w:bCs/>
          <w:lang w:val="ru-RU"/>
        </w:rPr>
        <w:t>утверждает</w:t>
      </w:r>
      <w:r w:rsidRPr="00494635">
        <w:rPr>
          <w:lang w:val="ru-RU"/>
        </w:rPr>
        <w:t xml:space="preserve"> краткий обзор решений, содержащийся в Документе RRB22-3/17.</w:t>
      </w:r>
    </w:p>
    <w:p w14:paraId="31947312" w14:textId="77777777" w:rsidR="00A06CB6" w:rsidRPr="00494635" w:rsidRDefault="00A06CB6" w:rsidP="00A06CB6">
      <w:pPr>
        <w:pStyle w:val="Heading1"/>
        <w:spacing w:before="240"/>
        <w:jc w:val="both"/>
        <w:rPr>
          <w:lang w:val="ru-RU"/>
        </w:rPr>
      </w:pPr>
      <w:r w:rsidRPr="00494635">
        <w:rPr>
          <w:lang w:val="ru-RU"/>
        </w:rPr>
        <w:t>13</w:t>
      </w:r>
      <w:r w:rsidRPr="00494635">
        <w:rPr>
          <w:lang w:val="ru-RU"/>
        </w:rPr>
        <w:tab/>
        <w:t>Закрытие собрания</w:t>
      </w:r>
    </w:p>
    <w:p w14:paraId="270F51E2" w14:textId="77777777" w:rsidR="00A06CB6" w:rsidRPr="00494635" w:rsidRDefault="00A06CB6" w:rsidP="00A06CB6">
      <w:pPr>
        <w:jc w:val="both"/>
        <w:rPr>
          <w:lang w:val="ru-RU" w:eastAsia="zh-CN"/>
        </w:rPr>
      </w:pPr>
      <w:r w:rsidRPr="00494635">
        <w:rPr>
          <w:lang w:val="ru-RU"/>
        </w:rPr>
        <w:t>13.1</w:t>
      </w:r>
      <w:r w:rsidRPr="00494635">
        <w:rPr>
          <w:lang w:val="ru-RU"/>
        </w:rPr>
        <w:tab/>
      </w:r>
      <w:r w:rsidRPr="00494635">
        <w:rPr>
          <w:b/>
          <w:bCs/>
          <w:lang w:val="ru-RU" w:eastAsia="zh-CN"/>
        </w:rPr>
        <w:t>Председатель</w:t>
      </w:r>
      <w:r w:rsidRPr="00494635">
        <w:rPr>
          <w:lang w:val="ru-RU" w:eastAsia="zh-CN"/>
        </w:rPr>
        <w:t xml:space="preserve"> говорит, что для него было честью руководить работой Комитета в течение прошедшего года; он гордится достижениями Комитета и духом сотрудничества, который царил во время его пребывания на посту Председателя. Он благодарит заместителя Председателя за оказанную помощь, председателей рабочих групп за их усилия, Директора за его ценные советы и сотрудников Бюро, включая г-на Боту и г-жу Гозаль, за их поддержку. Он желает новому составу Комитета всяческих успехов в работе.</w:t>
      </w:r>
    </w:p>
    <w:p w14:paraId="11C50480" w14:textId="77777777" w:rsidR="00A06CB6" w:rsidRPr="00494635" w:rsidRDefault="00A06CB6" w:rsidP="00A06CB6">
      <w:pPr>
        <w:jc w:val="both"/>
        <w:rPr>
          <w:lang w:val="ru-RU" w:eastAsia="zh-CN"/>
        </w:rPr>
      </w:pPr>
      <w:r w:rsidRPr="00494635">
        <w:rPr>
          <w:lang w:val="ru-RU" w:eastAsia="zh-CN"/>
        </w:rPr>
        <w:t>13.2</w:t>
      </w:r>
      <w:r w:rsidRPr="00494635">
        <w:rPr>
          <w:lang w:val="ru-RU"/>
        </w:rPr>
        <w:tab/>
      </w:r>
      <w:r w:rsidRPr="00494635">
        <w:rPr>
          <w:b/>
          <w:bCs/>
          <w:lang w:val="ru-RU" w:eastAsia="zh-CN"/>
        </w:rPr>
        <w:t>Г-н Борхон</w:t>
      </w:r>
      <w:r w:rsidRPr="00494635">
        <w:rPr>
          <w:lang w:val="ru-RU" w:eastAsia="zh-CN"/>
        </w:rPr>
        <w:t xml:space="preserve">, </w:t>
      </w:r>
      <w:r w:rsidRPr="00494635">
        <w:rPr>
          <w:b/>
          <w:bCs/>
          <w:lang w:val="ru-RU" w:eastAsia="zh-CN"/>
        </w:rPr>
        <w:t>г-н Варламов</w:t>
      </w:r>
      <w:r w:rsidRPr="00494635">
        <w:rPr>
          <w:lang w:val="ru-RU" w:eastAsia="zh-CN"/>
        </w:rPr>
        <w:t xml:space="preserve">, </w:t>
      </w:r>
      <w:r w:rsidRPr="00494635">
        <w:rPr>
          <w:b/>
          <w:bCs/>
          <w:lang w:val="ru-RU" w:eastAsia="zh-CN"/>
        </w:rPr>
        <w:t>г-н Хасимото</w:t>
      </w:r>
      <w:r w:rsidRPr="00494635">
        <w:rPr>
          <w:lang w:val="ru-RU" w:eastAsia="zh-CN"/>
        </w:rPr>
        <w:t xml:space="preserve">, </w:t>
      </w:r>
      <w:r w:rsidRPr="00494635">
        <w:rPr>
          <w:b/>
          <w:bCs/>
          <w:lang w:val="ru-RU" w:eastAsia="zh-CN"/>
        </w:rPr>
        <w:t>г-жа Жеанти</w:t>
      </w:r>
      <w:r w:rsidRPr="00494635">
        <w:rPr>
          <w:lang w:val="ru-RU" w:eastAsia="zh-CN"/>
        </w:rPr>
        <w:t xml:space="preserve"> и </w:t>
      </w:r>
      <w:r w:rsidRPr="00494635">
        <w:rPr>
          <w:b/>
          <w:bCs/>
          <w:lang w:val="ru-RU" w:eastAsia="zh-CN"/>
        </w:rPr>
        <w:t>г-н Хоан</w:t>
      </w:r>
      <w:r w:rsidRPr="00494635">
        <w:rPr>
          <w:lang w:val="ru-RU" w:eastAsia="zh-CN"/>
        </w:rPr>
        <w:t xml:space="preserve"> берут слово, чтобы выразить свою признательность за то, что в период работы в Комитете они были частью такой компетентной команды. Они выражают благодарность всем членам Комитета за сотрудничество и добрую волю, а также сотрудникам Бюро, которые способствовали бесперебойному проведению собраний и позволили Комитету добиться столь высоких результатов за последние четыре года. Они желают новому составу Комитета всяческих успехов и выражают надежду, что он продолжит работать в такой же дружеской атмосфере. </w:t>
      </w:r>
      <w:r w:rsidRPr="00494635">
        <w:rPr>
          <w:b/>
          <w:bCs/>
          <w:lang w:val="ru-RU" w:eastAsia="zh-CN"/>
        </w:rPr>
        <w:t>Г-н Мчуну</w:t>
      </w:r>
      <w:r w:rsidRPr="00494635">
        <w:rPr>
          <w:lang w:val="ru-RU" w:eastAsia="zh-CN"/>
        </w:rPr>
        <w:t xml:space="preserve"> присоединяется к этим замечаниям и от имени Сообщества по вопросам развития стран юга Африки благодарит Комитет и Бюро за их усилия по обеспечению успешного выполнения Резолюции 559 (ВКР-19), которая имеет столь важное значение для субрегиона.</w:t>
      </w:r>
    </w:p>
    <w:p w14:paraId="4E4A5B38" w14:textId="77777777" w:rsidR="00A06CB6" w:rsidRPr="00494635" w:rsidRDefault="00A06CB6" w:rsidP="00A06CB6">
      <w:pPr>
        <w:jc w:val="both"/>
        <w:rPr>
          <w:lang w:val="ru-RU" w:eastAsia="zh-CN"/>
        </w:rPr>
      </w:pPr>
      <w:bookmarkStart w:id="14" w:name="_Hlk120008532"/>
      <w:r w:rsidRPr="00494635">
        <w:rPr>
          <w:lang w:val="ru-RU" w:eastAsia="zh-CN"/>
        </w:rPr>
        <w:t>13.3</w:t>
      </w:r>
      <w:r w:rsidRPr="00494635">
        <w:rPr>
          <w:lang w:val="ru-RU"/>
        </w:rPr>
        <w:tab/>
        <w:t xml:space="preserve">Другие </w:t>
      </w:r>
      <w:r w:rsidRPr="00494635">
        <w:rPr>
          <w:lang w:val="ru-RU" w:eastAsia="zh-CN"/>
        </w:rPr>
        <w:t>члены Комитета берут слово, для того чтобы поблагодарить Председателя за блестящее руководство и высоко оценивают результаты, достигнутые за время его работы на посту.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 Они желают покидающим свои посты членам Комитета всяческих успехов в их дальнейшей деятельности.</w:t>
      </w:r>
    </w:p>
    <w:bookmarkEnd w:id="14"/>
    <w:p w14:paraId="159A6071" w14:textId="77777777" w:rsidR="00A06CB6" w:rsidRPr="00494635" w:rsidRDefault="00A06CB6" w:rsidP="00A06CB6">
      <w:pPr>
        <w:jc w:val="both"/>
        <w:rPr>
          <w:lang w:val="ru-RU" w:eastAsia="zh-CN"/>
        </w:rPr>
      </w:pPr>
      <w:r w:rsidRPr="00494635">
        <w:rPr>
          <w:lang w:val="ru-RU" w:eastAsia="zh-CN"/>
        </w:rPr>
        <w:lastRenderedPageBreak/>
        <w:t>13.4</w:t>
      </w:r>
      <w:r w:rsidRPr="00494635">
        <w:rPr>
          <w:lang w:val="ru-RU"/>
        </w:rPr>
        <w:tab/>
      </w:r>
      <w:r w:rsidRPr="00494635">
        <w:rPr>
          <w:b/>
          <w:bCs/>
          <w:lang w:val="ru-RU" w:eastAsia="zh-CN"/>
        </w:rPr>
        <w:t>Директор</w:t>
      </w:r>
      <w:r w:rsidRPr="00494635">
        <w:rPr>
          <w:lang w:val="ru-RU" w:eastAsia="zh-CN"/>
        </w:rPr>
        <w:t xml:space="preserve"> отмечает, что члены МСЭ ясно дали понять, какое значение они придают работе МСЭ-R, включив в Решение 5 (Пересм. Бухарест, 2022 г.) положение о том, не следует допускать сокращения расходов, которое затрагивало бы доходы по линии возмещения затрат, и финансирования деятельности, непосредственно связанной с выполнением Регламента радиосвязи и соответствующими исследованиями. Комитет внес существенный вклад в достижение этого результата и имеет полное право гордиться результатами своей работы. Бюро было приятно поддерживать Комитет, который работал в такой коллегиальной атмосфере в течение предыдущих четырех лет. Он желает покидающим свои посты членам Комитета всяческих успехов в их дальнейшей деятельности.</w:t>
      </w:r>
    </w:p>
    <w:p w14:paraId="5E729482" w14:textId="77777777" w:rsidR="00A06CB6" w:rsidRPr="00494635" w:rsidRDefault="00A06CB6" w:rsidP="00A06CB6">
      <w:pPr>
        <w:jc w:val="both"/>
        <w:rPr>
          <w:rFonts w:cstheme="minorBidi"/>
          <w:lang w:val="ru-RU" w:eastAsia="zh-CN"/>
        </w:rPr>
      </w:pPr>
      <w:r w:rsidRPr="00494635">
        <w:rPr>
          <w:lang w:val="ru-RU" w:eastAsia="zh-CN"/>
        </w:rPr>
        <w:t>13.5</w:t>
      </w:r>
      <w:r w:rsidRPr="00494635">
        <w:rPr>
          <w:lang w:val="ru-RU"/>
        </w:rPr>
        <w:tab/>
      </w:r>
      <w:r w:rsidRPr="00494635">
        <w:rPr>
          <w:b/>
          <w:bCs/>
          <w:lang w:val="ru-RU"/>
        </w:rPr>
        <w:t>Председатель</w:t>
      </w:r>
      <w:r w:rsidRPr="00494635">
        <w:rPr>
          <w:bCs/>
          <w:lang w:val="ru-RU"/>
        </w:rPr>
        <w:t xml:space="preserve"> благодарит выступивших за теплые слова </w:t>
      </w:r>
      <w:r w:rsidRPr="00494635">
        <w:rPr>
          <w:lang w:val="ru-RU" w:eastAsia="zh-CN"/>
        </w:rPr>
        <w:t xml:space="preserve">и </w:t>
      </w:r>
      <w:r w:rsidRPr="00494635">
        <w:rPr>
          <w:color w:val="000000"/>
          <w:lang w:val="ru-RU"/>
        </w:rPr>
        <w:t>закрывает собрание в</w:t>
      </w:r>
      <w:r w:rsidRPr="00494635">
        <w:rPr>
          <w:lang w:val="ru-RU" w:eastAsia="zh-CN"/>
        </w:rPr>
        <w:t xml:space="preserve"> 16 час. 50 мин</w:t>
      </w:r>
      <w:r w:rsidRPr="00494635">
        <w:rPr>
          <w:rFonts w:cstheme="minorBidi"/>
          <w:lang w:val="ru-RU" w:eastAsia="zh-CN"/>
        </w:rPr>
        <w:t>.</w:t>
      </w:r>
    </w:p>
    <w:p w14:paraId="791178ED" w14:textId="2EF896BA" w:rsidR="00A04203" w:rsidRPr="00494635" w:rsidRDefault="00A06CB6" w:rsidP="00494635">
      <w:pPr>
        <w:tabs>
          <w:tab w:val="clear" w:pos="794"/>
          <w:tab w:val="clear" w:pos="1191"/>
          <w:tab w:val="clear" w:pos="1588"/>
          <w:tab w:val="clear" w:pos="1985"/>
          <w:tab w:val="left" w:pos="6804"/>
        </w:tabs>
        <w:spacing w:before="840"/>
        <w:rPr>
          <w:lang w:val="ru-RU"/>
        </w:rPr>
      </w:pPr>
      <w:r w:rsidRPr="00494635">
        <w:rPr>
          <w:lang w:val="ru-RU"/>
        </w:rPr>
        <w:t>Исполнительный секретарь:</w:t>
      </w:r>
      <w:r w:rsidRPr="00494635">
        <w:rPr>
          <w:szCs w:val="24"/>
          <w:lang w:val="ru-RU"/>
        </w:rPr>
        <w:tab/>
      </w:r>
      <w:r w:rsidRPr="00494635">
        <w:rPr>
          <w:lang w:val="ru-RU"/>
        </w:rPr>
        <w:t>Председатель:</w:t>
      </w:r>
      <w:r w:rsidRPr="00494635">
        <w:rPr>
          <w:szCs w:val="24"/>
          <w:lang w:val="ru-RU"/>
        </w:rPr>
        <w:br/>
      </w:r>
      <w:r w:rsidRPr="00494635">
        <w:rPr>
          <w:lang w:val="ru-RU"/>
        </w:rPr>
        <w:t>M. МАНЕВИЧ</w:t>
      </w:r>
      <w:r w:rsidRPr="00494635">
        <w:rPr>
          <w:lang w:val="ru-RU"/>
        </w:rPr>
        <w:tab/>
        <w:t>Т. АЛАМРИ</w:t>
      </w:r>
    </w:p>
    <w:sectPr w:rsidR="00A04203" w:rsidRPr="00494635" w:rsidSect="000E7671">
      <w:headerReference w:type="even" r:id="rId51"/>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E878" w14:textId="77777777" w:rsidR="00A06CB6" w:rsidRDefault="00A06CB6">
      <w:r>
        <w:separator/>
      </w:r>
    </w:p>
  </w:endnote>
  <w:endnote w:type="continuationSeparator" w:id="0">
    <w:p w14:paraId="1FF688C9" w14:textId="77777777" w:rsidR="00A06CB6" w:rsidRDefault="00A0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276" w14:textId="4A0D3F98" w:rsidR="00A06CB6" w:rsidRDefault="008D3EC0" w:rsidP="00DD45BD">
    <w:pPr>
      <w:pStyle w:val="Footer"/>
    </w:pPr>
    <w:fldSimple w:instr=" FILENAME \p  \* MERGEFORMAT ">
      <w:r w:rsidR="00A06CB6">
        <w:t>P:\RUS\ITU-R\BR\DIR\CR\400\494R.docx</w:t>
      </w:r>
    </w:fldSimple>
    <w:r w:rsidR="00A06CB6">
      <w:t xml:space="preserve"> (</w:t>
    </w:r>
    <w:r w:rsidR="00A06CB6" w:rsidRPr="00E1584B">
      <w:t>517634</w:t>
    </w:r>
    <w:r w:rsidR="00A06C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BEC" w14:textId="0FF1066D" w:rsidR="00A06CB6" w:rsidRPr="007E6643" w:rsidRDefault="00A06CB6" w:rsidP="007E6643">
    <w:pPr>
      <w:pStyle w:val="FirstFooter"/>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r>
    <w:r w:rsidRPr="00E1584B">
      <w:rPr>
        <w:color w:val="4F81BD" w:themeColor="accent1"/>
        <w:sz w:val="19"/>
        <w:szCs w:val="19"/>
        <w:lang w:val="ru-RU"/>
      </w:rPr>
      <w:t>Тел</w:t>
    </w:r>
    <w:r w:rsidRPr="00E1584B">
      <w:rPr>
        <w:color w:val="4F81BD" w:themeColor="accent1"/>
        <w:sz w:val="19"/>
        <w:szCs w:val="19"/>
      </w:rPr>
      <w:t xml:space="preserve">.: +41 22 730 5111 • </w:t>
    </w:r>
    <w:r w:rsidRPr="00E1584B">
      <w:rPr>
        <w:color w:val="4F81BD" w:themeColor="accent1"/>
        <w:sz w:val="19"/>
        <w:szCs w:val="19"/>
        <w:lang w:val="ru-RU"/>
      </w:rPr>
      <w:t>Эл</w:t>
    </w:r>
    <w:r w:rsidRPr="00E1584B">
      <w:rPr>
        <w:color w:val="4F81BD" w:themeColor="accent1"/>
        <w:sz w:val="19"/>
        <w:szCs w:val="19"/>
        <w:lang w:val="en-US"/>
      </w:rPr>
      <w:t xml:space="preserve">. </w:t>
    </w:r>
    <w:r w:rsidRPr="00E1584B">
      <w:rPr>
        <w:color w:val="4F81BD" w:themeColor="accent1"/>
        <w:sz w:val="19"/>
        <w:szCs w:val="19"/>
        <w:lang w:val="ru-RU"/>
      </w:rPr>
      <w:t>почта</w:t>
    </w:r>
    <w:r w:rsidRPr="00E1584B">
      <w:rPr>
        <w:color w:val="4F81BD" w:themeColor="accent1"/>
        <w:sz w:val="19"/>
        <w:szCs w:val="19"/>
      </w:rPr>
      <w:t xml:space="preserve">: </w:t>
    </w:r>
    <w:hyperlink r:id="rId1" w:history="1">
      <w:r w:rsidRPr="00E1584B">
        <w:rPr>
          <w:rStyle w:val="Hyperlink"/>
          <w:sz w:val="19"/>
          <w:szCs w:val="19"/>
        </w:rPr>
        <w:t>itumail@itu.int</w:t>
      </w:r>
    </w:hyperlink>
    <w:r w:rsidRPr="00E1584B">
      <w:rPr>
        <w:color w:val="4F81BD" w:themeColor="accent1"/>
        <w:sz w:val="19"/>
        <w:szCs w:val="19"/>
      </w:rPr>
      <w:t xml:space="preserve"> </w:t>
    </w:r>
    <w:r w:rsidRPr="00E1584B">
      <w:rPr>
        <w:color w:val="4F81BD"/>
        <w:sz w:val="19"/>
        <w:szCs w:val="19"/>
      </w:rPr>
      <w:t xml:space="preserve">• </w:t>
    </w:r>
    <w:r w:rsidRPr="00E1584B">
      <w:rPr>
        <w:color w:val="4F81BD"/>
        <w:sz w:val="19"/>
        <w:szCs w:val="19"/>
        <w:lang w:val="ru-RU"/>
      </w:rPr>
      <w:t>Факс</w:t>
    </w:r>
    <w:r w:rsidRPr="00E1584B">
      <w:rPr>
        <w:color w:val="4F81BD"/>
        <w:sz w:val="19"/>
        <w:szCs w:val="19"/>
      </w:rPr>
      <w:t>: +41</w:t>
    </w:r>
    <w:r w:rsidRPr="00011018">
      <w:rPr>
        <w:color w:val="4F81BD"/>
        <w:sz w:val="19"/>
        <w:szCs w:val="19"/>
      </w:rPr>
      <w:t xml:space="preserve"> 22 733 7256 • </w:t>
    </w:r>
    <w:hyperlink r:id="rId2" w:history="1">
      <w:r w:rsidRPr="00011018">
        <w:rPr>
          <w:rStyle w:val="Hyperlink"/>
          <w:sz w:val="19"/>
          <w:szCs w:val="19"/>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08F4" w14:textId="7C4F3EE6" w:rsidR="00A06CB6" w:rsidRPr="008D3EC0" w:rsidRDefault="00A06CB6" w:rsidP="008D3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4F87" w14:textId="77777777" w:rsidR="00A06CB6" w:rsidRPr="007A4AA3" w:rsidRDefault="00A06CB6" w:rsidP="00A06CB6">
    <w:pPr>
      <w:pStyle w:val="Footer"/>
      <w:rPr>
        <w:lang w:val="pt-BR"/>
      </w:rPr>
    </w:pPr>
    <w:r w:rsidRPr="00755F19">
      <w:rPr>
        <w:lang w:val="de-DE"/>
      </w:rPr>
      <w:t>(517586)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1D28" w14:textId="77777777" w:rsidR="00A06CB6" w:rsidRDefault="00A06CB6">
      <w:r>
        <w:t>____________________</w:t>
      </w:r>
    </w:p>
  </w:footnote>
  <w:footnote w:type="continuationSeparator" w:id="0">
    <w:p w14:paraId="5E7A40C8" w14:textId="77777777" w:rsidR="00A06CB6" w:rsidRDefault="00A06CB6">
      <w:r>
        <w:continuationSeparator/>
      </w:r>
    </w:p>
  </w:footnote>
  <w:footnote w:id="1">
    <w:p w14:paraId="4181F86B" w14:textId="77777777" w:rsidR="00A06CB6" w:rsidRPr="0074372F" w:rsidRDefault="00A06CB6" w:rsidP="008D3EC0">
      <w:pPr>
        <w:pStyle w:val="FootnoteText"/>
        <w:tabs>
          <w:tab w:val="clear" w:pos="255"/>
        </w:tabs>
        <w:jc w:val="both"/>
        <w:rPr>
          <w:lang w:val="ru-RU"/>
        </w:rPr>
      </w:pPr>
      <w:r w:rsidRPr="0074372F">
        <w:rPr>
          <w:rStyle w:val="FootnoteReference"/>
          <w:lang w:val="ru-RU"/>
        </w:rPr>
        <w:t>*</w:t>
      </w:r>
      <w:r w:rsidRPr="0074372F">
        <w:rPr>
          <w:lang w:val="ru-RU"/>
        </w:rPr>
        <w:tab/>
      </w:r>
      <w:r w:rsidRPr="00D3424F">
        <w:rPr>
          <w:sz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w:t>
      </w:r>
      <w:r>
        <w:rPr>
          <w:sz w:val="22"/>
          <w:lang w:val="ru-RU"/>
        </w:rPr>
        <w:t>1</w:t>
      </w:r>
      <w:r w:rsidRPr="00D3424F">
        <w:rPr>
          <w:sz w:val="22"/>
          <w:lang w:val="ru-RU"/>
        </w:rPr>
        <w:t xml:space="preserve">-го собрания </w:t>
      </w:r>
      <w:r>
        <w:rPr>
          <w:sz w:val="22"/>
          <w:lang w:val="ru-RU"/>
        </w:rPr>
        <w:t>Комитета. Официальные решения 91</w:t>
      </w:r>
      <w:r w:rsidRPr="00D3424F">
        <w:rPr>
          <w:sz w:val="22"/>
          <w:lang w:val="ru-RU"/>
        </w:rPr>
        <w:noBreakHyphen/>
        <w:t>го собрания Радиорегламентарного комитета представлены в Документ</w:t>
      </w:r>
      <w:r>
        <w:rPr>
          <w:sz w:val="22"/>
          <w:lang w:val="ru-RU"/>
        </w:rPr>
        <w:t>ах</w:t>
      </w:r>
      <w:r w:rsidRPr="00D3424F">
        <w:rPr>
          <w:sz w:val="22"/>
          <w:lang w:val="ru-RU"/>
        </w:rPr>
        <w:t> </w:t>
      </w:r>
      <w:r w:rsidRPr="00D3424F">
        <w:rPr>
          <w:sz w:val="22"/>
        </w:rPr>
        <w:t>RRB</w:t>
      </w:r>
      <w:r>
        <w:rPr>
          <w:sz w:val="22"/>
          <w:lang w:val="ru-RU"/>
        </w:rPr>
        <w:t>22-3</w:t>
      </w:r>
      <w:r w:rsidRPr="00D3424F">
        <w:rPr>
          <w:sz w:val="22"/>
          <w:lang w:val="ru-RU"/>
        </w:rPr>
        <w:t>/1</w:t>
      </w:r>
      <w:r>
        <w:rPr>
          <w:sz w:val="22"/>
          <w:lang w:val="ru-RU"/>
        </w:rPr>
        <w:t xml:space="preserve">7 и </w:t>
      </w:r>
      <w:r w:rsidRPr="00D3424F">
        <w:rPr>
          <w:sz w:val="22"/>
        </w:rPr>
        <w:t>RRB</w:t>
      </w:r>
      <w:r>
        <w:rPr>
          <w:sz w:val="22"/>
          <w:lang w:val="ru-RU"/>
        </w:rPr>
        <w:t>22-3</w:t>
      </w:r>
      <w:r w:rsidRPr="00D3424F">
        <w:rPr>
          <w:sz w:val="22"/>
          <w:lang w:val="ru-RU"/>
        </w:rPr>
        <w:t>/1</w:t>
      </w:r>
      <w:r>
        <w:rPr>
          <w:sz w:val="22"/>
          <w:lang w:val="ru-RU"/>
        </w:rPr>
        <w:t>7(</w:t>
      </w:r>
      <w:r>
        <w:rPr>
          <w:sz w:val="22"/>
          <w:lang w:val="en-US"/>
        </w:rPr>
        <w:t>Corr</w:t>
      </w:r>
      <w:r w:rsidRPr="006463B5">
        <w:rPr>
          <w:sz w:val="22"/>
          <w:lang w:val="ru-RU"/>
        </w:rPr>
        <w:t>.1)</w:t>
      </w:r>
      <w:r w:rsidRPr="00D3424F">
        <w:rPr>
          <w:sz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1CDF" w14:textId="110E3467" w:rsidR="00A06CB6" w:rsidRPr="00675C14" w:rsidRDefault="00A06CB6" w:rsidP="008D43F5">
    <w:pPr>
      <w:pStyle w:val="Header"/>
      <w:rPr>
        <w:szCs w:val="18"/>
      </w:rPr>
    </w:pPr>
    <w:r>
      <w:rPr>
        <w:szCs w:val="18"/>
      </w:rPr>
      <w:t xml:space="preserve">- </w:t>
    </w:r>
    <w:r w:rsidRPr="00675C14">
      <w:rPr>
        <w:rStyle w:val="PageNumber"/>
        <w:szCs w:val="18"/>
      </w:rPr>
      <w:fldChar w:fldCharType="begin"/>
    </w:r>
    <w:r w:rsidRPr="00675C14">
      <w:rPr>
        <w:rStyle w:val="PageNumber"/>
        <w:szCs w:val="18"/>
      </w:rPr>
      <w:instrText xml:space="preserve"> PAGE </w:instrText>
    </w:r>
    <w:r w:rsidRPr="00675C14">
      <w:rPr>
        <w:rStyle w:val="PageNumber"/>
        <w:szCs w:val="18"/>
      </w:rPr>
      <w:fldChar w:fldCharType="separate"/>
    </w:r>
    <w:r>
      <w:rPr>
        <w:rStyle w:val="PageNumber"/>
        <w:noProof/>
        <w:szCs w:val="18"/>
      </w:rPr>
      <w:t>2</w:t>
    </w:r>
    <w:r w:rsidRPr="00675C14">
      <w:rPr>
        <w:rStyle w:val="PageNumber"/>
        <w:szCs w:val="18"/>
      </w:rPr>
      <w:fldChar w:fldCharType="end"/>
    </w:r>
    <w:r>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E438" w14:textId="177E6C28" w:rsidR="00A06CB6" w:rsidRPr="00AF3325" w:rsidRDefault="00A06CB6">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5000"/>
    </w:tblGrid>
    <w:tr w:rsidR="00A06CB6" w14:paraId="7D32AADD" w14:textId="77777777" w:rsidTr="007E6643">
      <w:trPr>
        <w:jc w:val="center"/>
      </w:trPr>
      <w:tc>
        <w:tcPr>
          <w:tcW w:w="5000" w:type="dxa"/>
        </w:tcPr>
        <w:p w14:paraId="5CA7C5A4" w14:textId="14ED16E6" w:rsidR="00A06CB6" w:rsidRDefault="00A06CB6" w:rsidP="00C110B0">
          <w:pPr>
            <w:pStyle w:val="Header"/>
            <w:tabs>
              <w:tab w:val="center" w:pos="4503"/>
            </w:tabs>
            <w:spacing w:before="120" w:line="360" w:lineRule="auto"/>
            <w:jc w:val="left"/>
          </w:pPr>
          <w:r>
            <w:rPr>
              <w:noProof/>
              <w:lang w:val="en-US"/>
            </w:rPr>
            <w:drawing>
              <wp:inline distT="0" distB="0" distL="0" distR="0" wp14:anchorId="0C703E43" wp14:editId="4911558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Pr>
        <w:p w14:paraId="2B561486" w14:textId="3909DC14" w:rsidR="00A06CB6" w:rsidRDefault="00A06CB6" w:rsidP="002E5D0D">
          <w:pPr>
            <w:pStyle w:val="Header"/>
            <w:spacing w:before="240" w:line="360" w:lineRule="auto"/>
            <w:jc w:val="right"/>
          </w:pPr>
          <w:r>
            <w:rPr>
              <w:noProof/>
              <w:lang w:val="en-US"/>
            </w:rPr>
            <w:drawing>
              <wp:inline distT="0" distB="0" distL="0" distR="0" wp14:anchorId="4A4CB72B" wp14:editId="7C1BC688">
                <wp:extent cx="2667821" cy="64377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R-02.png"/>
                        <pic:cNvPicPr/>
                      </pic:nvPicPr>
                      <pic:blipFill>
                        <a:blip r:embed="rId2">
                          <a:extLst>
                            <a:ext uri="{28A0092B-C50C-407E-A947-70E740481C1C}">
                              <a14:useLocalDpi xmlns:a14="http://schemas.microsoft.com/office/drawing/2010/main" val="0"/>
                            </a:ext>
                          </a:extLst>
                        </a:blip>
                        <a:stretch>
                          <a:fillRect/>
                        </a:stretch>
                      </pic:blipFill>
                      <pic:spPr>
                        <a:xfrm>
                          <a:off x="0" y="0"/>
                          <a:ext cx="2752664" cy="664249"/>
                        </a:xfrm>
                        <a:prstGeom prst="rect">
                          <a:avLst/>
                        </a:prstGeom>
                      </pic:spPr>
                    </pic:pic>
                  </a:graphicData>
                </a:graphic>
              </wp:inline>
            </w:drawing>
          </w:r>
        </w:p>
      </w:tc>
    </w:tr>
  </w:tbl>
  <w:p w14:paraId="47A66D45" w14:textId="77777777" w:rsidR="00A06CB6" w:rsidRDefault="00A06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F34B" w14:textId="77777777" w:rsidR="00A06CB6" w:rsidRDefault="00A06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7C2" w14:textId="5786A571" w:rsidR="00A06CB6" w:rsidRPr="00D9733B" w:rsidRDefault="00A06CB6" w:rsidP="00A06CB6">
    <w:pPr>
      <w:pStyle w:val="Header"/>
    </w:pPr>
    <w:r>
      <w:fldChar w:fldCharType="begin"/>
    </w:r>
    <w:r>
      <w:instrText xml:space="preserve"> PAGE </w:instrText>
    </w:r>
    <w:r>
      <w:fldChar w:fldCharType="separate"/>
    </w:r>
    <w:r w:rsidR="007A370D">
      <w:rPr>
        <w:noProof/>
      </w:rPr>
      <w:t>29</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15041"/>
      <w:docPartObj>
        <w:docPartGallery w:val="Page Numbers (Top of Page)"/>
        <w:docPartUnique/>
      </w:docPartObj>
    </w:sdtPr>
    <w:sdtEndPr>
      <w:rPr>
        <w:noProof/>
      </w:rPr>
    </w:sdtEndPr>
    <w:sdtContent>
      <w:p w14:paraId="7CE09C58" w14:textId="77777777" w:rsidR="00A06CB6" w:rsidRDefault="002C00DA">
        <w:pPr>
          <w:pStyle w:val="Header"/>
          <w:rPr>
            <w:noProof/>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9B5" w14:textId="77777777" w:rsidR="000E7671" w:rsidRDefault="000E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380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EF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00A4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203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506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6A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23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4F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C1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58C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83870B9"/>
    <w:multiLevelType w:val="hybridMultilevel"/>
    <w:tmpl w:val="C3725DE6"/>
    <w:lvl w:ilvl="0" w:tplc="0E529AA8">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66355C"/>
    <w:multiLevelType w:val="hybridMultilevel"/>
    <w:tmpl w:val="E424D8BC"/>
    <w:lvl w:ilvl="0" w:tplc="BE5EBB24">
      <w:start w:val="1"/>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C5D0512"/>
    <w:multiLevelType w:val="hybridMultilevel"/>
    <w:tmpl w:val="48F0AD16"/>
    <w:lvl w:ilvl="0" w:tplc="D8E2161E">
      <w:start w:val="1"/>
      <w:numFmt w:val="decimal"/>
      <w:lvlText w:val="%1."/>
      <w:lvlJc w:val="left"/>
      <w:pPr>
        <w:ind w:left="479" w:hanging="284"/>
      </w:pPr>
      <w:rPr>
        <w:rFonts w:ascii="Times New Roman" w:eastAsia="Times New Roman" w:hAnsi="Times New Roman" w:hint="default"/>
        <w:sz w:val="22"/>
        <w:szCs w:val="22"/>
      </w:rPr>
    </w:lvl>
    <w:lvl w:ilvl="1" w:tplc="E3B2A832">
      <w:start w:val="1"/>
      <w:numFmt w:val="bullet"/>
      <w:lvlText w:val="•"/>
      <w:lvlJc w:val="left"/>
      <w:pPr>
        <w:ind w:left="1409" w:hanging="284"/>
      </w:pPr>
      <w:rPr>
        <w:rFonts w:hint="default"/>
      </w:rPr>
    </w:lvl>
    <w:lvl w:ilvl="2" w:tplc="F378FD60">
      <w:start w:val="1"/>
      <w:numFmt w:val="bullet"/>
      <w:lvlText w:val="•"/>
      <w:lvlJc w:val="left"/>
      <w:pPr>
        <w:ind w:left="2339" w:hanging="284"/>
      </w:pPr>
      <w:rPr>
        <w:rFonts w:hint="default"/>
      </w:rPr>
    </w:lvl>
    <w:lvl w:ilvl="3" w:tplc="E1806F2A">
      <w:start w:val="1"/>
      <w:numFmt w:val="bullet"/>
      <w:lvlText w:val="•"/>
      <w:lvlJc w:val="left"/>
      <w:pPr>
        <w:ind w:left="3269" w:hanging="284"/>
      </w:pPr>
      <w:rPr>
        <w:rFonts w:hint="default"/>
      </w:rPr>
    </w:lvl>
    <w:lvl w:ilvl="4" w:tplc="2A8EE578">
      <w:start w:val="1"/>
      <w:numFmt w:val="bullet"/>
      <w:lvlText w:val="•"/>
      <w:lvlJc w:val="left"/>
      <w:pPr>
        <w:ind w:left="4199" w:hanging="284"/>
      </w:pPr>
      <w:rPr>
        <w:rFonts w:hint="default"/>
      </w:rPr>
    </w:lvl>
    <w:lvl w:ilvl="5" w:tplc="F11E97F6">
      <w:start w:val="1"/>
      <w:numFmt w:val="bullet"/>
      <w:lvlText w:val="•"/>
      <w:lvlJc w:val="left"/>
      <w:pPr>
        <w:ind w:left="5129" w:hanging="284"/>
      </w:pPr>
      <w:rPr>
        <w:rFonts w:hint="default"/>
      </w:rPr>
    </w:lvl>
    <w:lvl w:ilvl="6" w:tplc="6434A878">
      <w:start w:val="1"/>
      <w:numFmt w:val="bullet"/>
      <w:lvlText w:val="•"/>
      <w:lvlJc w:val="left"/>
      <w:pPr>
        <w:ind w:left="6059" w:hanging="284"/>
      </w:pPr>
      <w:rPr>
        <w:rFonts w:hint="default"/>
      </w:rPr>
    </w:lvl>
    <w:lvl w:ilvl="7" w:tplc="72208EE4">
      <w:start w:val="1"/>
      <w:numFmt w:val="bullet"/>
      <w:lvlText w:val="•"/>
      <w:lvlJc w:val="left"/>
      <w:pPr>
        <w:ind w:left="6989" w:hanging="284"/>
      </w:pPr>
      <w:rPr>
        <w:rFonts w:hint="default"/>
      </w:rPr>
    </w:lvl>
    <w:lvl w:ilvl="8" w:tplc="66C0318C">
      <w:start w:val="1"/>
      <w:numFmt w:val="bullet"/>
      <w:lvlText w:val="•"/>
      <w:lvlJc w:val="left"/>
      <w:pPr>
        <w:ind w:left="7920" w:hanging="284"/>
      </w:pPr>
      <w:rPr>
        <w:rFonts w:hint="default"/>
      </w:rPr>
    </w:lvl>
  </w:abstractNum>
  <w:abstractNum w:abstractNumId="17" w15:restartNumberingAfterBreak="0">
    <w:nsid w:val="0FBC3FCD"/>
    <w:multiLevelType w:val="hybridMultilevel"/>
    <w:tmpl w:val="CA3C029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28105EF"/>
    <w:multiLevelType w:val="hybridMultilevel"/>
    <w:tmpl w:val="DA86C19A"/>
    <w:lvl w:ilvl="0" w:tplc="E19823C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469B1"/>
    <w:multiLevelType w:val="hybridMultilevel"/>
    <w:tmpl w:val="8B1C260C"/>
    <w:lvl w:ilvl="0" w:tplc="A9FA6EF8">
      <w:start w:val="1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59784C"/>
    <w:multiLevelType w:val="hybridMultilevel"/>
    <w:tmpl w:val="3FA4E254"/>
    <w:lvl w:ilvl="0" w:tplc="8E18C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B019CD"/>
    <w:multiLevelType w:val="hybridMultilevel"/>
    <w:tmpl w:val="66380022"/>
    <w:lvl w:ilvl="0" w:tplc="77DA7BE4">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DA02AB7"/>
    <w:multiLevelType w:val="hybridMultilevel"/>
    <w:tmpl w:val="C2446598"/>
    <w:lvl w:ilvl="0" w:tplc="F446D7C6">
      <w:start w:val="1"/>
      <w:numFmt w:val="bullet"/>
      <w:lvlText w:val="-"/>
      <w:lvlJc w:val="left"/>
      <w:pPr>
        <w:ind w:left="479" w:hanging="360"/>
      </w:pPr>
      <w:rPr>
        <w:rFonts w:ascii="Calibri" w:eastAsia="Calibri" w:hAnsi="Calibri" w:hint="default"/>
        <w:sz w:val="22"/>
        <w:szCs w:val="22"/>
      </w:rPr>
    </w:lvl>
    <w:lvl w:ilvl="1" w:tplc="7CD43904">
      <w:start w:val="1"/>
      <w:numFmt w:val="bullet"/>
      <w:lvlText w:val="•"/>
      <w:lvlJc w:val="left"/>
      <w:pPr>
        <w:ind w:left="1409" w:hanging="360"/>
      </w:pPr>
      <w:rPr>
        <w:rFonts w:hint="default"/>
      </w:rPr>
    </w:lvl>
    <w:lvl w:ilvl="2" w:tplc="B720CCBE">
      <w:start w:val="1"/>
      <w:numFmt w:val="bullet"/>
      <w:lvlText w:val="•"/>
      <w:lvlJc w:val="left"/>
      <w:pPr>
        <w:ind w:left="2339" w:hanging="360"/>
      </w:pPr>
      <w:rPr>
        <w:rFonts w:hint="default"/>
      </w:rPr>
    </w:lvl>
    <w:lvl w:ilvl="3" w:tplc="4394E1EC">
      <w:start w:val="1"/>
      <w:numFmt w:val="bullet"/>
      <w:lvlText w:val="•"/>
      <w:lvlJc w:val="left"/>
      <w:pPr>
        <w:ind w:left="3269" w:hanging="360"/>
      </w:pPr>
      <w:rPr>
        <w:rFonts w:hint="default"/>
      </w:rPr>
    </w:lvl>
    <w:lvl w:ilvl="4" w:tplc="ADECCE20">
      <w:start w:val="1"/>
      <w:numFmt w:val="bullet"/>
      <w:lvlText w:val="•"/>
      <w:lvlJc w:val="left"/>
      <w:pPr>
        <w:ind w:left="4199" w:hanging="360"/>
      </w:pPr>
      <w:rPr>
        <w:rFonts w:hint="default"/>
      </w:rPr>
    </w:lvl>
    <w:lvl w:ilvl="5" w:tplc="164CDBA4">
      <w:start w:val="1"/>
      <w:numFmt w:val="bullet"/>
      <w:lvlText w:val="•"/>
      <w:lvlJc w:val="left"/>
      <w:pPr>
        <w:ind w:left="5129" w:hanging="360"/>
      </w:pPr>
      <w:rPr>
        <w:rFonts w:hint="default"/>
      </w:rPr>
    </w:lvl>
    <w:lvl w:ilvl="6" w:tplc="DC1A7130">
      <w:start w:val="1"/>
      <w:numFmt w:val="bullet"/>
      <w:lvlText w:val="•"/>
      <w:lvlJc w:val="left"/>
      <w:pPr>
        <w:ind w:left="6059" w:hanging="360"/>
      </w:pPr>
      <w:rPr>
        <w:rFonts w:hint="default"/>
      </w:rPr>
    </w:lvl>
    <w:lvl w:ilvl="7" w:tplc="E154EA0E">
      <w:start w:val="1"/>
      <w:numFmt w:val="bullet"/>
      <w:lvlText w:val="•"/>
      <w:lvlJc w:val="left"/>
      <w:pPr>
        <w:ind w:left="6989" w:hanging="360"/>
      </w:pPr>
      <w:rPr>
        <w:rFonts w:hint="default"/>
      </w:rPr>
    </w:lvl>
    <w:lvl w:ilvl="8" w:tplc="C114C822">
      <w:start w:val="1"/>
      <w:numFmt w:val="bullet"/>
      <w:lvlText w:val="•"/>
      <w:lvlJc w:val="left"/>
      <w:pPr>
        <w:ind w:left="7919" w:hanging="360"/>
      </w:pPr>
      <w:rPr>
        <w:rFonts w:hint="default"/>
      </w:rPr>
    </w:lvl>
  </w:abstractNum>
  <w:abstractNum w:abstractNumId="26"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2B84335D"/>
    <w:multiLevelType w:val="hybridMultilevel"/>
    <w:tmpl w:val="5E3469AE"/>
    <w:lvl w:ilvl="0" w:tplc="AE0A3ED6">
      <w:start w:val="1"/>
      <w:numFmt w:val="bullet"/>
      <w:lvlText w:val=""/>
      <w:lvlJc w:val="left"/>
      <w:pPr>
        <w:ind w:left="600" w:hanging="361"/>
      </w:pPr>
      <w:rPr>
        <w:rFonts w:ascii="Symbol" w:eastAsia="Symbol" w:hAnsi="Symbol" w:hint="default"/>
        <w:sz w:val="22"/>
        <w:szCs w:val="22"/>
      </w:rPr>
    </w:lvl>
    <w:lvl w:ilvl="1" w:tplc="EE6AEC0A">
      <w:start w:val="1"/>
      <w:numFmt w:val="bullet"/>
      <w:lvlText w:val="•"/>
      <w:lvlJc w:val="left"/>
      <w:pPr>
        <w:ind w:left="1552" w:hanging="361"/>
      </w:pPr>
      <w:rPr>
        <w:rFonts w:hint="default"/>
      </w:rPr>
    </w:lvl>
    <w:lvl w:ilvl="2" w:tplc="CEAE6014">
      <w:start w:val="1"/>
      <w:numFmt w:val="bullet"/>
      <w:lvlText w:val="•"/>
      <w:lvlJc w:val="left"/>
      <w:pPr>
        <w:ind w:left="2504" w:hanging="361"/>
      </w:pPr>
      <w:rPr>
        <w:rFonts w:hint="default"/>
      </w:rPr>
    </w:lvl>
    <w:lvl w:ilvl="3" w:tplc="614E68BE">
      <w:start w:val="1"/>
      <w:numFmt w:val="bullet"/>
      <w:lvlText w:val="•"/>
      <w:lvlJc w:val="left"/>
      <w:pPr>
        <w:ind w:left="3456" w:hanging="361"/>
      </w:pPr>
      <w:rPr>
        <w:rFonts w:hint="default"/>
      </w:rPr>
    </w:lvl>
    <w:lvl w:ilvl="4" w:tplc="9DD09F72">
      <w:start w:val="1"/>
      <w:numFmt w:val="bullet"/>
      <w:lvlText w:val="•"/>
      <w:lvlJc w:val="left"/>
      <w:pPr>
        <w:ind w:left="4408" w:hanging="361"/>
      </w:pPr>
      <w:rPr>
        <w:rFonts w:hint="default"/>
      </w:rPr>
    </w:lvl>
    <w:lvl w:ilvl="5" w:tplc="686681F4">
      <w:start w:val="1"/>
      <w:numFmt w:val="bullet"/>
      <w:lvlText w:val="•"/>
      <w:lvlJc w:val="left"/>
      <w:pPr>
        <w:ind w:left="5360" w:hanging="361"/>
      </w:pPr>
      <w:rPr>
        <w:rFonts w:hint="default"/>
      </w:rPr>
    </w:lvl>
    <w:lvl w:ilvl="6" w:tplc="0A78E3E4">
      <w:start w:val="1"/>
      <w:numFmt w:val="bullet"/>
      <w:lvlText w:val="•"/>
      <w:lvlJc w:val="left"/>
      <w:pPr>
        <w:ind w:left="6312" w:hanging="361"/>
      </w:pPr>
      <w:rPr>
        <w:rFonts w:hint="default"/>
      </w:rPr>
    </w:lvl>
    <w:lvl w:ilvl="7" w:tplc="4BDA47F2">
      <w:start w:val="1"/>
      <w:numFmt w:val="bullet"/>
      <w:lvlText w:val="•"/>
      <w:lvlJc w:val="left"/>
      <w:pPr>
        <w:ind w:left="7264" w:hanging="361"/>
      </w:pPr>
      <w:rPr>
        <w:rFonts w:hint="default"/>
      </w:rPr>
    </w:lvl>
    <w:lvl w:ilvl="8" w:tplc="6D84F8E6">
      <w:start w:val="1"/>
      <w:numFmt w:val="bullet"/>
      <w:lvlText w:val="•"/>
      <w:lvlJc w:val="left"/>
      <w:pPr>
        <w:ind w:left="8216" w:hanging="361"/>
      </w:pPr>
      <w:rPr>
        <w:rFonts w:hint="default"/>
      </w:rPr>
    </w:lvl>
  </w:abstractNum>
  <w:abstractNum w:abstractNumId="28" w15:restartNumberingAfterBreak="0">
    <w:nsid w:val="2CDA5F99"/>
    <w:multiLevelType w:val="hybridMultilevel"/>
    <w:tmpl w:val="A2203704"/>
    <w:lvl w:ilvl="0" w:tplc="1788373E">
      <w:start w:val="1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8A4430"/>
    <w:multiLevelType w:val="hybridMultilevel"/>
    <w:tmpl w:val="43B4CF2E"/>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227252"/>
    <w:multiLevelType w:val="hybridMultilevel"/>
    <w:tmpl w:val="164A63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6446EE"/>
    <w:multiLevelType w:val="hybridMultilevel"/>
    <w:tmpl w:val="B7CCA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205FF1"/>
    <w:multiLevelType w:val="hybridMultilevel"/>
    <w:tmpl w:val="CE2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1419C8"/>
    <w:multiLevelType w:val="hybridMultilevel"/>
    <w:tmpl w:val="E5E66AF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AD7B49"/>
    <w:multiLevelType w:val="hybridMultilevel"/>
    <w:tmpl w:val="E54AFA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FCC48DC"/>
    <w:multiLevelType w:val="hybridMultilevel"/>
    <w:tmpl w:val="C6068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7" w15:restartNumberingAfterBreak="0">
    <w:nsid w:val="4697570E"/>
    <w:multiLevelType w:val="hybridMultilevel"/>
    <w:tmpl w:val="082CE9FE"/>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E46816"/>
    <w:multiLevelType w:val="hybridMultilevel"/>
    <w:tmpl w:val="E4B20842"/>
    <w:lvl w:ilvl="0" w:tplc="747ACEE0">
      <w:start w:val="1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410B7"/>
    <w:multiLevelType w:val="hybridMultilevel"/>
    <w:tmpl w:val="F31AB718"/>
    <w:lvl w:ilvl="0" w:tplc="E19823C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2" w15:restartNumberingAfterBreak="0">
    <w:nsid w:val="536923E1"/>
    <w:multiLevelType w:val="hybridMultilevel"/>
    <w:tmpl w:val="98D49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DB471D"/>
    <w:multiLevelType w:val="hybridMultilevel"/>
    <w:tmpl w:val="5B4E3A30"/>
    <w:lvl w:ilvl="0" w:tplc="E1F651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B17DCA"/>
    <w:multiLevelType w:val="hybridMultilevel"/>
    <w:tmpl w:val="14EC14E4"/>
    <w:lvl w:ilvl="0" w:tplc="7CB80578">
      <w:start w:val="4"/>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3A72AA"/>
    <w:multiLevelType w:val="hybridMultilevel"/>
    <w:tmpl w:val="AF829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DE37645"/>
    <w:multiLevelType w:val="hybridMultilevel"/>
    <w:tmpl w:val="1EC0280C"/>
    <w:lvl w:ilvl="0" w:tplc="CA8ABB54">
      <w:start w:val="1"/>
      <w:numFmt w:val="decimal"/>
      <w:lvlText w:val="%1"/>
      <w:lvlJc w:val="left"/>
      <w:pPr>
        <w:ind w:left="1140" w:hanging="11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0331FE5"/>
    <w:multiLevelType w:val="hybridMultilevel"/>
    <w:tmpl w:val="A7143820"/>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24D39"/>
    <w:multiLevelType w:val="hybridMultilevel"/>
    <w:tmpl w:val="A6687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E42623"/>
    <w:multiLevelType w:val="hybridMultilevel"/>
    <w:tmpl w:val="695C8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126824"/>
    <w:multiLevelType w:val="hybridMultilevel"/>
    <w:tmpl w:val="F614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42A03"/>
    <w:multiLevelType w:val="hybridMultilevel"/>
    <w:tmpl w:val="2E56FD64"/>
    <w:lvl w:ilvl="0" w:tplc="90DCDA1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472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323740">
    <w:abstractNumId w:val="40"/>
  </w:num>
  <w:num w:numId="3" w16cid:durableId="2125079470">
    <w:abstractNumId w:val="9"/>
  </w:num>
  <w:num w:numId="4" w16cid:durableId="1175917819">
    <w:abstractNumId w:val="7"/>
  </w:num>
  <w:num w:numId="5" w16cid:durableId="128211395">
    <w:abstractNumId w:val="6"/>
  </w:num>
  <w:num w:numId="6" w16cid:durableId="1304696922">
    <w:abstractNumId w:val="5"/>
  </w:num>
  <w:num w:numId="7" w16cid:durableId="245113201">
    <w:abstractNumId w:val="4"/>
  </w:num>
  <w:num w:numId="8" w16cid:durableId="787167418">
    <w:abstractNumId w:val="8"/>
  </w:num>
  <w:num w:numId="9" w16cid:durableId="401636342">
    <w:abstractNumId w:val="3"/>
  </w:num>
  <w:num w:numId="10" w16cid:durableId="1651443243">
    <w:abstractNumId w:val="2"/>
  </w:num>
  <w:num w:numId="11" w16cid:durableId="1035889245">
    <w:abstractNumId w:val="1"/>
  </w:num>
  <w:num w:numId="12" w16cid:durableId="66611673">
    <w:abstractNumId w:val="0"/>
  </w:num>
  <w:num w:numId="13" w16cid:durableId="2078552804">
    <w:abstractNumId w:val="42"/>
  </w:num>
  <w:num w:numId="14" w16cid:durableId="41249886">
    <w:abstractNumId w:val="17"/>
  </w:num>
  <w:num w:numId="15" w16cid:durableId="62141242">
    <w:abstractNumId w:val="21"/>
  </w:num>
  <w:num w:numId="16" w16cid:durableId="2038310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3625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7615">
    <w:abstractNumId w:val="18"/>
  </w:num>
  <w:num w:numId="19" w16cid:durableId="834801089">
    <w:abstractNumId w:val="26"/>
  </w:num>
  <w:num w:numId="20" w16cid:durableId="1202128630">
    <w:abstractNumId w:val="24"/>
  </w:num>
  <w:num w:numId="21" w16cid:durableId="2027172156">
    <w:abstractNumId w:val="41"/>
  </w:num>
  <w:num w:numId="22" w16cid:durableId="229194859">
    <w:abstractNumId w:val="23"/>
  </w:num>
  <w:num w:numId="23" w16cid:durableId="1871913317">
    <w:abstractNumId w:val="35"/>
  </w:num>
  <w:num w:numId="24" w16cid:durableId="1458378386">
    <w:abstractNumId w:val="34"/>
  </w:num>
  <w:num w:numId="25" w16cid:durableId="621961429">
    <w:abstractNumId w:val="19"/>
  </w:num>
  <w:num w:numId="26" w16cid:durableId="1432314470">
    <w:abstractNumId w:val="33"/>
  </w:num>
  <w:num w:numId="27" w16cid:durableId="1159349294">
    <w:abstractNumId w:val="46"/>
  </w:num>
  <w:num w:numId="28" w16cid:durableId="97338777">
    <w:abstractNumId w:val="39"/>
  </w:num>
  <w:num w:numId="29" w16cid:durableId="1063408427">
    <w:abstractNumId w:val="43"/>
  </w:num>
  <w:num w:numId="30" w16cid:durableId="410932480">
    <w:abstractNumId w:val="22"/>
  </w:num>
  <w:num w:numId="31" w16cid:durableId="456997850">
    <w:abstractNumId w:val="47"/>
  </w:num>
  <w:num w:numId="32" w16cid:durableId="1118795785">
    <w:abstractNumId w:val="15"/>
  </w:num>
  <w:num w:numId="33" w16cid:durableId="1598170123">
    <w:abstractNumId w:val="28"/>
  </w:num>
  <w:num w:numId="34" w16cid:durableId="1139493273">
    <w:abstractNumId w:val="38"/>
  </w:num>
  <w:num w:numId="35" w16cid:durableId="392049565">
    <w:abstractNumId w:val="20"/>
  </w:num>
  <w:num w:numId="36" w16cid:durableId="1837647587">
    <w:abstractNumId w:val="52"/>
  </w:num>
  <w:num w:numId="37" w16cid:durableId="850069459">
    <w:abstractNumId w:val="30"/>
  </w:num>
  <w:num w:numId="38" w16cid:durableId="1534072365">
    <w:abstractNumId w:val="14"/>
  </w:num>
  <w:num w:numId="39" w16cid:durableId="1044912606">
    <w:abstractNumId w:val="16"/>
  </w:num>
  <w:num w:numId="40" w16cid:durableId="450976715">
    <w:abstractNumId w:val="25"/>
  </w:num>
  <w:num w:numId="41" w16cid:durableId="110711532">
    <w:abstractNumId w:val="27"/>
  </w:num>
  <w:num w:numId="42" w16cid:durableId="338194598">
    <w:abstractNumId w:val="32"/>
  </w:num>
  <w:num w:numId="43" w16cid:durableId="1416705639">
    <w:abstractNumId w:val="51"/>
  </w:num>
  <w:num w:numId="44" w16cid:durableId="128472957">
    <w:abstractNumId w:val="37"/>
  </w:num>
  <w:num w:numId="45" w16cid:durableId="1057625915">
    <w:abstractNumId w:val="48"/>
  </w:num>
  <w:num w:numId="46" w16cid:durableId="962734844">
    <w:abstractNumId w:val="31"/>
  </w:num>
  <w:num w:numId="47" w16cid:durableId="299460116">
    <w:abstractNumId w:val="50"/>
  </w:num>
  <w:num w:numId="48" w16cid:durableId="1805851175">
    <w:abstractNumId w:val="49"/>
  </w:num>
  <w:num w:numId="49" w16cid:durableId="254752455">
    <w:abstractNumId w:val="29"/>
  </w:num>
  <w:num w:numId="50" w16cid:durableId="76908077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5D0D"/>
    <w:rsid w:val="00006A31"/>
    <w:rsid w:val="00006C82"/>
    <w:rsid w:val="00010E30"/>
    <w:rsid w:val="00015C76"/>
    <w:rsid w:val="00026CF8"/>
    <w:rsid w:val="00030BD7"/>
    <w:rsid w:val="000314A2"/>
    <w:rsid w:val="00031E64"/>
    <w:rsid w:val="00034340"/>
    <w:rsid w:val="00035CB3"/>
    <w:rsid w:val="00045A8D"/>
    <w:rsid w:val="0005167A"/>
    <w:rsid w:val="00054E5D"/>
    <w:rsid w:val="00070258"/>
    <w:rsid w:val="0007323C"/>
    <w:rsid w:val="00086D03"/>
    <w:rsid w:val="000903FD"/>
    <w:rsid w:val="000A096A"/>
    <w:rsid w:val="000A375E"/>
    <w:rsid w:val="000A7051"/>
    <w:rsid w:val="000B0AF6"/>
    <w:rsid w:val="000B0E9B"/>
    <w:rsid w:val="000B2CAE"/>
    <w:rsid w:val="000C03C7"/>
    <w:rsid w:val="000C2AD0"/>
    <w:rsid w:val="000E3DEE"/>
    <w:rsid w:val="000E7671"/>
    <w:rsid w:val="00100B72"/>
    <w:rsid w:val="00101F7D"/>
    <w:rsid w:val="00103C76"/>
    <w:rsid w:val="0011265F"/>
    <w:rsid w:val="001152EF"/>
    <w:rsid w:val="00117282"/>
    <w:rsid w:val="00117389"/>
    <w:rsid w:val="00121C2D"/>
    <w:rsid w:val="00134404"/>
    <w:rsid w:val="00144DFB"/>
    <w:rsid w:val="001514BF"/>
    <w:rsid w:val="001642B7"/>
    <w:rsid w:val="001670DE"/>
    <w:rsid w:val="001849D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B30"/>
    <w:rsid w:val="002302B3"/>
    <w:rsid w:val="00230C66"/>
    <w:rsid w:val="00235A29"/>
    <w:rsid w:val="00241526"/>
    <w:rsid w:val="002443A2"/>
    <w:rsid w:val="002565BE"/>
    <w:rsid w:val="00266E74"/>
    <w:rsid w:val="00280FC1"/>
    <w:rsid w:val="00283C3B"/>
    <w:rsid w:val="002861E6"/>
    <w:rsid w:val="00287D18"/>
    <w:rsid w:val="00290B1C"/>
    <w:rsid w:val="002A2618"/>
    <w:rsid w:val="002A5DD7"/>
    <w:rsid w:val="002B0CAC"/>
    <w:rsid w:val="002C00DA"/>
    <w:rsid w:val="002D5A15"/>
    <w:rsid w:val="002D5BDD"/>
    <w:rsid w:val="002D63CA"/>
    <w:rsid w:val="002E3D27"/>
    <w:rsid w:val="002E5D0D"/>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1366"/>
    <w:rsid w:val="00400573"/>
    <w:rsid w:val="004007A3"/>
    <w:rsid w:val="00406D71"/>
    <w:rsid w:val="00423F0E"/>
    <w:rsid w:val="004326DB"/>
    <w:rsid w:val="0043682E"/>
    <w:rsid w:val="00447ECB"/>
    <w:rsid w:val="004623F7"/>
    <w:rsid w:val="0047140C"/>
    <w:rsid w:val="00480F51"/>
    <w:rsid w:val="00481124"/>
    <w:rsid w:val="004815EB"/>
    <w:rsid w:val="00487569"/>
    <w:rsid w:val="00493F90"/>
    <w:rsid w:val="00494635"/>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947"/>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3DC7"/>
    <w:rsid w:val="006550F8"/>
    <w:rsid w:val="00675C14"/>
    <w:rsid w:val="006829F3"/>
    <w:rsid w:val="006A518B"/>
    <w:rsid w:val="006B0590"/>
    <w:rsid w:val="006B49DA"/>
    <w:rsid w:val="006C53F8"/>
    <w:rsid w:val="006C7CDE"/>
    <w:rsid w:val="00710D90"/>
    <w:rsid w:val="007234B1"/>
    <w:rsid w:val="00723D08"/>
    <w:rsid w:val="00725FDA"/>
    <w:rsid w:val="00727816"/>
    <w:rsid w:val="00730B9A"/>
    <w:rsid w:val="00750CFA"/>
    <w:rsid w:val="007553DA"/>
    <w:rsid w:val="00775DB8"/>
    <w:rsid w:val="00782354"/>
    <w:rsid w:val="007921A7"/>
    <w:rsid w:val="007A370D"/>
    <w:rsid w:val="007B3DB1"/>
    <w:rsid w:val="007D183E"/>
    <w:rsid w:val="007D43D0"/>
    <w:rsid w:val="007E1833"/>
    <w:rsid w:val="007E3F13"/>
    <w:rsid w:val="007E6643"/>
    <w:rsid w:val="007F751A"/>
    <w:rsid w:val="00800012"/>
    <w:rsid w:val="0080261F"/>
    <w:rsid w:val="00806160"/>
    <w:rsid w:val="008143A4"/>
    <w:rsid w:val="0081513E"/>
    <w:rsid w:val="00854131"/>
    <w:rsid w:val="00854227"/>
    <w:rsid w:val="0085652D"/>
    <w:rsid w:val="0087694B"/>
    <w:rsid w:val="00880F4D"/>
    <w:rsid w:val="008B23D5"/>
    <w:rsid w:val="008B35A3"/>
    <w:rsid w:val="008B37E1"/>
    <w:rsid w:val="008B45F8"/>
    <w:rsid w:val="008C2E74"/>
    <w:rsid w:val="008D3EC0"/>
    <w:rsid w:val="008D43F5"/>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499C"/>
    <w:rsid w:val="009D51A2"/>
    <w:rsid w:val="009E04A8"/>
    <w:rsid w:val="009E3710"/>
    <w:rsid w:val="009E4AEC"/>
    <w:rsid w:val="009E5BD8"/>
    <w:rsid w:val="009E681E"/>
    <w:rsid w:val="00A04203"/>
    <w:rsid w:val="00A06CB6"/>
    <w:rsid w:val="00A119E6"/>
    <w:rsid w:val="00A20FBC"/>
    <w:rsid w:val="00A31370"/>
    <w:rsid w:val="00A32C5A"/>
    <w:rsid w:val="00A34D6F"/>
    <w:rsid w:val="00A41F91"/>
    <w:rsid w:val="00A63355"/>
    <w:rsid w:val="00A7596D"/>
    <w:rsid w:val="00A963DF"/>
    <w:rsid w:val="00A975D8"/>
    <w:rsid w:val="00AB4035"/>
    <w:rsid w:val="00AC0C22"/>
    <w:rsid w:val="00AC3896"/>
    <w:rsid w:val="00AC748B"/>
    <w:rsid w:val="00AD2CF2"/>
    <w:rsid w:val="00AE2D88"/>
    <w:rsid w:val="00AE6F6F"/>
    <w:rsid w:val="00AF3325"/>
    <w:rsid w:val="00AF34D9"/>
    <w:rsid w:val="00AF70DA"/>
    <w:rsid w:val="00B019D3"/>
    <w:rsid w:val="00B34A79"/>
    <w:rsid w:val="00B34CF9"/>
    <w:rsid w:val="00B37559"/>
    <w:rsid w:val="00B4054B"/>
    <w:rsid w:val="00B579B0"/>
    <w:rsid w:val="00B57D11"/>
    <w:rsid w:val="00B649D7"/>
    <w:rsid w:val="00B81C2F"/>
    <w:rsid w:val="00B83ACA"/>
    <w:rsid w:val="00B90743"/>
    <w:rsid w:val="00B90C45"/>
    <w:rsid w:val="00B933BE"/>
    <w:rsid w:val="00BD1315"/>
    <w:rsid w:val="00BD6738"/>
    <w:rsid w:val="00BD7E5E"/>
    <w:rsid w:val="00BE63DB"/>
    <w:rsid w:val="00BE6574"/>
    <w:rsid w:val="00C07319"/>
    <w:rsid w:val="00C110B0"/>
    <w:rsid w:val="00C157B4"/>
    <w:rsid w:val="00C16FD2"/>
    <w:rsid w:val="00C4395E"/>
    <w:rsid w:val="00C47FFD"/>
    <w:rsid w:val="00C51E92"/>
    <w:rsid w:val="00C57E2C"/>
    <w:rsid w:val="00C608B7"/>
    <w:rsid w:val="00C66F24"/>
    <w:rsid w:val="00C76D7F"/>
    <w:rsid w:val="00C813AA"/>
    <w:rsid w:val="00C82365"/>
    <w:rsid w:val="00C9291E"/>
    <w:rsid w:val="00C95844"/>
    <w:rsid w:val="00CA3F44"/>
    <w:rsid w:val="00CA4E58"/>
    <w:rsid w:val="00CB1AF3"/>
    <w:rsid w:val="00CB3771"/>
    <w:rsid w:val="00CB44BF"/>
    <w:rsid w:val="00CB5153"/>
    <w:rsid w:val="00CD6FE4"/>
    <w:rsid w:val="00CE076A"/>
    <w:rsid w:val="00CE463D"/>
    <w:rsid w:val="00D10BA0"/>
    <w:rsid w:val="00D21694"/>
    <w:rsid w:val="00D24EB5"/>
    <w:rsid w:val="00D35AB9"/>
    <w:rsid w:val="00D365BA"/>
    <w:rsid w:val="00D41571"/>
    <w:rsid w:val="00D416A0"/>
    <w:rsid w:val="00D47672"/>
    <w:rsid w:val="00D5123C"/>
    <w:rsid w:val="00D55560"/>
    <w:rsid w:val="00D61C5A"/>
    <w:rsid w:val="00D6790C"/>
    <w:rsid w:val="00D73277"/>
    <w:rsid w:val="00D76586"/>
    <w:rsid w:val="00D82657"/>
    <w:rsid w:val="00D87E20"/>
    <w:rsid w:val="00DA4037"/>
    <w:rsid w:val="00DB5516"/>
    <w:rsid w:val="00DD45BD"/>
    <w:rsid w:val="00DE66A5"/>
    <w:rsid w:val="00DF2B50"/>
    <w:rsid w:val="00E01059"/>
    <w:rsid w:val="00E04C86"/>
    <w:rsid w:val="00E1584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2DE5"/>
    <w:rsid w:val="00F26672"/>
    <w:rsid w:val="00F424BF"/>
    <w:rsid w:val="00F44FC3"/>
    <w:rsid w:val="00F46107"/>
    <w:rsid w:val="00F468C5"/>
    <w:rsid w:val="00F52F39"/>
    <w:rsid w:val="00F6184F"/>
    <w:rsid w:val="00F8310E"/>
    <w:rsid w:val="00F843D9"/>
    <w:rsid w:val="00F914DD"/>
    <w:rsid w:val="00FA2358"/>
    <w:rsid w:val="00FB2592"/>
    <w:rsid w:val="00FB2810"/>
    <w:rsid w:val="00FB7A2C"/>
    <w:rsid w:val="00FC2947"/>
    <w:rsid w:val="00FD344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3481"/>
  <w15:docId w15:val="{AC6447DC-8390-4DEC-B5A0-5184CA65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FE4"/>
    <w:pPr>
      <w:tabs>
        <w:tab w:val="left" w:pos="794"/>
        <w:tab w:val="left" w:pos="1191"/>
        <w:tab w:val="left" w:pos="1588"/>
        <w:tab w:val="left" w:pos="1985"/>
      </w:tabs>
      <w:overflowPunct w:val="0"/>
      <w:autoSpaceDE w:val="0"/>
      <w:autoSpaceDN w:val="0"/>
      <w:adjustRightInd w:val="0"/>
      <w:spacing w:before="120"/>
      <w:textAlignment w:val="baseline"/>
    </w:pPr>
    <w:rPr>
      <w:rFonts w:cs="Times New Roman"/>
      <w:sz w:val="22"/>
      <w:lang w:val="en-GB" w:eastAsia="en-US"/>
    </w:rPr>
  </w:style>
  <w:style w:type="paragraph" w:styleId="Heading1">
    <w:name w:val="heading 1"/>
    <w:basedOn w:val="Normal"/>
    <w:next w:val="Normal"/>
    <w:link w:val="Heading1Char"/>
    <w:uiPriority w:val="9"/>
    <w:qFormat/>
    <w:rsid w:val="000E7671"/>
    <w:pPr>
      <w:keepNext/>
      <w:keepLines/>
      <w:spacing w:before="480"/>
      <w:ind w:left="794" w:hanging="794"/>
      <w:outlineLvl w:val="0"/>
    </w:pPr>
    <w:rPr>
      <w:b/>
    </w:rPr>
  </w:style>
  <w:style w:type="paragraph" w:styleId="Heading2">
    <w:name w:val="heading 2"/>
    <w:basedOn w:val="Heading1"/>
    <w:next w:val="Normal"/>
    <w:link w:val="Heading2Char"/>
    <w:qFormat/>
    <w:rsid w:val="00CD6FE4"/>
    <w:pPr>
      <w:spacing w:before="320"/>
      <w:outlineLvl w:val="1"/>
    </w:pPr>
  </w:style>
  <w:style w:type="paragraph" w:styleId="Heading3">
    <w:name w:val="heading 3"/>
    <w:basedOn w:val="Heading1"/>
    <w:next w:val="Normal"/>
    <w:link w:val="Heading3Char"/>
    <w:qFormat/>
    <w:rsid w:val="00CD6FE4"/>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D6FE4"/>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D6FE4"/>
    <w:pPr>
      <w:outlineLvl w:val="4"/>
    </w:pPr>
  </w:style>
  <w:style w:type="paragraph" w:styleId="Heading6">
    <w:name w:val="heading 6"/>
    <w:basedOn w:val="Heading4"/>
    <w:next w:val="Normal"/>
    <w:link w:val="Heading6Char"/>
    <w:qFormat/>
    <w:rsid w:val="00CD6FE4"/>
    <w:pPr>
      <w:outlineLvl w:val="5"/>
    </w:pPr>
  </w:style>
  <w:style w:type="paragraph" w:styleId="Heading7">
    <w:name w:val="heading 7"/>
    <w:basedOn w:val="Heading6"/>
    <w:next w:val="Normal"/>
    <w:link w:val="Heading7Char"/>
    <w:qFormat/>
    <w:rsid w:val="00CD6FE4"/>
    <w:pPr>
      <w:outlineLvl w:val="6"/>
    </w:pPr>
  </w:style>
  <w:style w:type="paragraph" w:styleId="Heading8">
    <w:name w:val="heading 8"/>
    <w:basedOn w:val="Heading6"/>
    <w:next w:val="Normal"/>
    <w:link w:val="Heading8Char"/>
    <w:qFormat/>
    <w:rsid w:val="00CD6FE4"/>
    <w:pPr>
      <w:outlineLvl w:val="7"/>
    </w:pPr>
  </w:style>
  <w:style w:type="paragraph" w:styleId="Heading9">
    <w:name w:val="heading 9"/>
    <w:basedOn w:val="Heading6"/>
    <w:next w:val="Normal"/>
    <w:link w:val="Heading9Char"/>
    <w:qFormat/>
    <w:rsid w:val="00CD6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D6FE4"/>
  </w:style>
  <w:style w:type="paragraph" w:styleId="TOC4">
    <w:name w:val="toc 4"/>
    <w:basedOn w:val="TOC3"/>
    <w:rsid w:val="00CD6FE4"/>
    <w:pPr>
      <w:spacing w:before="80"/>
    </w:pPr>
  </w:style>
  <w:style w:type="paragraph" w:styleId="TOC3">
    <w:name w:val="toc 3"/>
    <w:basedOn w:val="TOC2"/>
    <w:rsid w:val="00CD6FE4"/>
  </w:style>
  <w:style w:type="paragraph" w:styleId="TOC2">
    <w:name w:val="toc 2"/>
    <w:basedOn w:val="TOC1"/>
    <w:rsid w:val="00CD6FE4"/>
    <w:pPr>
      <w:spacing w:before="160"/>
    </w:pPr>
  </w:style>
  <w:style w:type="paragraph" w:styleId="TOC1">
    <w:name w:val="toc 1"/>
    <w:basedOn w:val="Normal"/>
    <w:rsid w:val="00CD6FE4"/>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D6FE4"/>
  </w:style>
  <w:style w:type="paragraph" w:styleId="TOC6">
    <w:name w:val="toc 6"/>
    <w:basedOn w:val="TOC4"/>
    <w:rsid w:val="00CD6FE4"/>
  </w:style>
  <w:style w:type="paragraph" w:styleId="TOC5">
    <w:name w:val="toc 5"/>
    <w:basedOn w:val="TOC4"/>
    <w:rsid w:val="00CD6FE4"/>
  </w:style>
  <w:style w:type="paragraph" w:styleId="Footer">
    <w:name w:val="footer"/>
    <w:basedOn w:val="Normal"/>
    <w:link w:val="FooterChar"/>
    <w:rsid w:val="00CD6FE4"/>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CD6FE4"/>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CD6FE4"/>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CD6FE4"/>
    <w:pPr>
      <w:keepLines/>
      <w:tabs>
        <w:tab w:val="left" w:pos="255"/>
      </w:tabs>
      <w:spacing w:before="60"/>
      <w:ind w:left="284" w:hanging="284"/>
    </w:pPr>
    <w:rPr>
      <w:sz w:val="20"/>
    </w:rPr>
  </w:style>
  <w:style w:type="paragraph" w:customStyle="1" w:styleId="Note">
    <w:name w:val="Note"/>
    <w:basedOn w:val="Normal"/>
    <w:link w:val="NoteChar"/>
    <w:rsid w:val="00CD6FE4"/>
    <w:pPr>
      <w:tabs>
        <w:tab w:val="clear" w:pos="794"/>
        <w:tab w:val="clear" w:pos="1191"/>
        <w:tab w:val="clear" w:pos="1588"/>
        <w:tab w:val="clear" w:pos="1985"/>
      </w:tabs>
      <w:spacing w:before="80"/>
    </w:pPr>
  </w:style>
  <w:style w:type="paragraph" w:customStyle="1" w:styleId="enumlev1">
    <w:name w:val="enumlev1"/>
    <w:basedOn w:val="Normal"/>
    <w:link w:val="enumlev1Char"/>
    <w:qFormat/>
    <w:rsid w:val="00CD6FE4"/>
    <w:pPr>
      <w:tabs>
        <w:tab w:val="left" w:pos="2608"/>
        <w:tab w:val="left" w:pos="3345"/>
      </w:tabs>
      <w:spacing w:before="80"/>
      <w:ind w:left="794" w:hanging="794"/>
    </w:pPr>
  </w:style>
  <w:style w:type="paragraph" w:customStyle="1" w:styleId="enumlev2">
    <w:name w:val="enumlev2"/>
    <w:basedOn w:val="enumlev1"/>
    <w:link w:val="enumlev2Char"/>
    <w:rsid w:val="00CD6FE4"/>
    <w:pPr>
      <w:ind w:left="1191" w:hanging="397"/>
    </w:pPr>
  </w:style>
  <w:style w:type="paragraph" w:customStyle="1" w:styleId="enumlev3">
    <w:name w:val="enumlev3"/>
    <w:basedOn w:val="enumlev2"/>
    <w:rsid w:val="00CD6FE4"/>
    <w:pPr>
      <w:ind w:left="1588"/>
    </w:pPr>
  </w:style>
  <w:style w:type="paragraph" w:customStyle="1" w:styleId="Equation">
    <w:name w:val="Equation"/>
    <w:basedOn w:val="Normal"/>
    <w:link w:val="EquationChar"/>
    <w:rsid w:val="00CD6FE4"/>
    <w:pPr>
      <w:tabs>
        <w:tab w:val="clear" w:pos="1191"/>
        <w:tab w:val="clear" w:pos="1588"/>
        <w:tab w:val="clear" w:pos="1985"/>
        <w:tab w:val="center" w:pos="4820"/>
        <w:tab w:val="right" w:pos="9639"/>
      </w:tabs>
    </w:pPr>
  </w:style>
  <w:style w:type="paragraph" w:customStyle="1" w:styleId="toc0">
    <w:name w:val="toc 0"/>
    <w:basedOn w:val="Normal"/>
    <w:next w:val="TOC1"/>
    <w:rsid w:val="00CD6FE4"/>
    <w:pPr>
      <w:tabs>
        <w:tab w:val="clear" w:pos="1191"/>
        <w:tab w:val="clear" w:pos="1588"/>
        <w:tab w:val="clear" w:pos="1985"/>
        <w:tab w:val="center" w:pos="8789"/>
      </w:tabs>
    </w:pPr>
    <w:rPr>
      <w:b/>
    </w:rPr>
  </w:style>
  <w:style w:type="paragraph" w:customStyle="1" w:styleId="ASN1">
    <w:name w:val="ASN.1"/>
    <w:basedOn w:val="Normal"/>
    <w:rsid w:val="00CD6FE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4"/>
    <w:rsid w:val="00CD6FE4"/>
  </w:style>
  <w:style w:type="paragraph" w:customStyle="1" w:styleId="Chaptitle">
    <w:name w:val="Chap_title"/>
    <w:basedOn w:val="Arttitle"/>
    <w:next w:val="Normalaftertitle"/>
    <w:link w:val="ChaptitleChar"/>
    <w:rsid w:val="00CD6FE4"/>
  </w:style>
  <w:style w:type="paragraph" w:customStyle="1" w:styleId="Normalaftertitle0">
    <w:name w:val="Normal_after_title"/>
    <w:basedOn w:val="Normal"/>
    <w:next w:val="Normal"/>
    <w:link w:val="NormalaftertitleChar"/>
    <w:rsid w:val="00CD6FE4"/>
    <w:pPr>
      <w:spacing w:before="360"/>
    </w:pPr>
  </w:style>
  <w:style w:type="character" w:styleId="PageNumber">
    <w:name w:val="page number"/>
    <w:basedOn w:val="DefaultParagraphFont"/>
    <w:rsid w:val="00CD6FE4"/>
    <w:rPr>
      <w:rFonts w:ascii="Calibri" w:hAnsi="Calibri"/>
    </w:rPr>
  </w:style>
  <w:style w:type="paragraph" w:customStyle="1" w:styleId="Reftitle">
    <w:name w:val="Ref_title"/>
    <w:basedOn w:val="Normal"/>
    <w:next w:val="Reftext"/>
    <w:rsid w:val="00CD6FE4"/>
    <w:pPr>
      <w:spacing w:before="480"/>
      <w:jc w:val="center"/>
    </w:pPr>
    <w:rPr>
      <w:caps/>
    </w:rPr>
  </w:style>
  <w:style w:type="paragraph" w:customStyle="1" w:styleId="Reftext">
    <w:name w:val="Ref_text"/>
    <w:basedOn w:val="Normal"/>
    <w:rsid w:val="00CD6FE4"/>
    <w:pPr>
      <w:ind w:left="794" w:hanging="794"/>
    </w:pPr>
  </w:style>
  <w:style w:type="paragraph" w:styleId="Index1">
    <w:name w:val="index 1"/>
    <w:basedOn w:val="Normal"/>
    <w:next w:val="Normal"/>
    <w:rsid w:val="00CD6FE4"/>
  </w:style>
  <w:style w:type="paragraph" w:customStyle="1" w:styleId="Formal">
    <w:name w:val="Formal"/>
    <w:basedOn w:val="ASN1"/>
    <w:rsid w:val="00CD6FE4"/>
    <w:rPr>
      <w:b w:val="0"/>
    </w:rPr>
  </w:style>
  <w:style w:type="paragraph" w:customStyle="1" w:styleId="AnnexNoTitle">
    <w:name w:val="Annex_NoTitle"/>
    <w:basedOn w:val="Normal"/>
    <w:next w:val="Normalaftertitle0"/>
    <w:rsid w:val="004326DB"/>
    <w:pPr>
      <w:keepNext/>
      <w:keepLines/>
      <w:spacing w:before="720" w:after="120"/>
      <w:jc w:val="center"/>
    </w:pPr>
    <w:rPr>
      <w:b/>
      <w:sz w:val="24"/>
    </w:rPr>
  </w:style>
  <w:style w:type="paragraph" w:customStyle="1" w:styleId="AppendixNoTitle">
    <w:name w:val="Appendix_NoTitle"/>
    <w:basedOn w:val="AnnexNoTitle"/>
    <w:next w:val="Normalaftertitle0"/>
    <w:rsid w:val="004326DB"/>
  </w:style>
  <w:style w:type="paragraph" w:customStyle="1" w:styleId="Artheading">
    <w:name w:val="Art_heading"/>
    <w:basedOn w:val="Normal"/>
    <w:next w:val="Normalaftertitle"/>
    <w:rsid w:val="00CD6FE4"/>
    <w:pPr>
      <w:spacing w:before="480"/>
      <w:jc w:val="center"/>
    </w:pPr>
    <w:rPr>
      <w:rFonts w:ascii="Times New Roman Bold" w:hAnsi="Times New Roman Bold"/>
      <w:b/>
      <w:sz w:val="26"/>
    </w:rPr>
  </w:style>
  <w:style w:type="paragraph" w:customStyle="1" w:styleId="ArtNo">
    <w:name w:val="Art_No"/>
    <w:basedOn w:val="Normal"/>
    <w:next w:val="Normal"/>
    <w:link w:val="ArtNoChar"/>
    <w:rsid w:val="00CD6FE4"/>
    <w:pPr>
      <w:keepNext/>
      <w:keepLines/>
      <w:spacing w:before="480"/>
      <w:jc w:val="center"/>
    </w:pPr>
    <w:rPr>
      <w:caps/>
      <w:sz w:val="26"/>
    </w:rPr>
  </w:style>
  <w:style w:type="paragraph" w:customStyle="1" w:styleId="Arttitle">
    <w:name w:val="Art_title"/>
    <w:basedOn w:val="Normal"/>
    <w:next w:val="Normalaftertitle"/>
    <w:link w:val="ArttitleCar"/>
    <w:rsid w:val="00CD6FE4"/>
    <w:pPr>
      <w:keepNext/>
      <w:keepLines/>
      <w:spacing w:before="240"/>
      <w:jc w:val="center"/>
    </w:pPr>
    <w:rPr>
      <w:b/>
      <w:sz w:val="26"/>
    </w:rPr>
  </w:style>
  <w:style w:type="paragraph" w:customStyle="1" w:styleId="Call">
    <w:name w:val="Call"/>
    <w:basedOn w:val="Normal"/>
    <w:next w:val="Normal"/>
    <w:link w:val="CallChar"/>
    <w:rsid w:val="00CD6FE4"/>
    <w:pPr>
      <w:keepNext/>
      <w:keepLines/>
      <w:spacing w:before="160"/>
      <w:ind w:left="794"/>
    </w:pPr>
    <w:rPr>
      <w:i/>
    </w:rPr>
  </w:style>
  <w:style w:type="paragraph" w:customStyle="1" w:styleId="ChapNo">
    <w:name w:val="Chap_No"/>
    <w:basedOn w:val="ArtNo"/>
    <w:next w:val="Chaptitle"/>
    <w:rsid w:val="00CD6FE4"/>
    <w:rPr>
      <w:b/>
    </w:rPr>
  </w:style>
  <w:style w:type="paragraph" w:customStyle="1" w:styleId="Equationlegend">
    <w:name w:val="Equation_legend"/>
    <w:basedOn w:val="Normal"/>
    <w:rsid w:val="00CD6FE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CD6FE4"/>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title"/>
    <w:rsid w:val="00CD6FE4"/>
    <w:pPr>
      <w:keepNext/>
      <w:keepLines/>
      <w:spacing w:after="120"/>
      <w:jc w:val="center"/>
    </w:pPr>
  </w:style>
  <w:style w:type="paragraph" w:customStyle="1" w:styleId="FigureNoTitle">
    <w:name w:val="Figure_NoTitle"/>
    <w:basedOn w:val="Normal"/>
    <w:next w:val="Normalaftertitle0"/>
    <w:rsid w:val="004326DB"/>
    <w:pPr>
      <w:keepLines/>
      <w:spacing w:before="240" w:after="120"/>
      <w:jc w:val="center"/>
    </w:pPr>
    <w:rPr>
      <w:b/>
    </w:rPr>
  </w:style>
  <w:style w:type="paragraph" w:customStyle="1" w:styleId="Figurewithouttitle">
    <w:name w:val="Figure_without_title"/>
    <w:basedOn w:val="Figure"/>
    <w:next w:val="Normalaftertitle"/>
    <w:rsid w:val="00CD6FE4"/>
    <w:pPr>
      <w:keepNext w:val="0"/>
      <w:spacing w:after="240"/>
    </w:pPr>
  </w:style>
  <w:style w:type="paragraph" w:customStyle="1" w:styleId="FirstFooter">
    <w:name w:val="FirstFooter"/>
    <w:basedOn w:val="Footer"/>
    <w:rsid w:val="00CD6FE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6FE4"/>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Heading3"/>
    <w:next w:val="Normal"/>
    <w:link w:val="HeadingbChar"/>
    <w:qFormat/>
    <w:rsid w:val="00CD6FE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qFormat/>
    <w:rsid w:val="00CD6FE4"/>
    <w:pPr>
      <w:spacing w:before="160"/>
    </w:pPr>
    <w:rPr>
      <w:b w:val="0"/>
    </w:rPr>
  </w:style>
  <w:style w:type="paragraph" w:styleId="Index2">
    <w:name w:val="index 2"/>
    <w:basedOn w:val="Normal"/>
    <w:next w:val="Normal"/>
    <w:rsid w:val="00CD6FE4"/>
    <w:pPr>
      <w:ind w:left="283"/>
    </w:pPr>
  </w:style>
  <w:style w:type="paragraph" w:styleId="Index3">
    <w:name w:val="index 3"/>
    <w:basedOn w:val="Normal"/>
    <w:next w:val="Normal"/>
    <w:rsid w:val="00CD6FE4"/>
    <w:pPr>
      <w:ind w:left="566"/>
    </w:pPr>
  </w:style>
  <w:style w:type="paragraph" w:customStyle="1" w:styleId="PartNo">
    <w:name w:val="Part_No"/>
    <w:basedOn w:val="AnnexNo"/>
    <w:next w:val="Parttitle"/>
    <w:rsid w:val="00CD6FE4"/>
  </w:style>
  <w:style w:type="paragraph" w:customStyle="1" w:styleId="Partref">
    <w:name w:val="Part_ref"/>
    <w:basedOn w:val="Annexref"/>
    <w:next w:val="Normalaftertitle"/>
    <w:rsid w:val="00CD6FE4"/>
  </w:style>
  <w:style w:type="paragraph" w:customStyle="1" w:styleId="Parttitle">
    <w:name w:val="Part_title"/>
    <w:basedOn w:val="Annextitle"/>
    <w:next w:val="Partref"/>
    <w:rsid w:val="00CD6FE4"/>
  </w:style>
  <w:style w:type="paragraph" w:customStyle="1" w:styleId="Recdate">
    <w:name w:val="Rec_date"/>
    <w:basedOn w:val="Recref"/>
    <w:next w:val="Normalaftertitle"/>
    <w:rsid w:val="00CD6FE4"/>
    <w:pPr>
      <w:jc w:val="right"/>
    </w:pPr>
    <w:rPr>
      <w:sz w:val="22"/>
    </w:rPr>
  </w:style>
  <w:style w:type="paragraph" w:customStyle="1" w:styleId="Questiondate">
    <w:name w:val="Question_date"/>
    <w:basedOn w:val="Recdate"/>
    <w:next w:val="Normalaftertitle"/>
    <w:rsid w:val="00CD6FE4"/>
  </w:style>
  <w:style w:type="paragraph" w:customStyle="1" w:styleId="RecNo">
    <w:name w:val="Rec_No"/>
    <w:basedOn w:val="Normal"/>
    <w:next w:val="Rectitle"/>
    <w:link w:val="RecNoChar"/>
    <w:rsid w:val="00CD6FE4"/>
    <w:pPr>
      <w:keepNext/>
      <w:keepLines/>
      <w:spacing w:before="480"/>
      <w:jc w:val="center"/>
    </w:pPr>
    <w:rPr>
      <w:caps/>
      <w:sz w:val="26"/>
    </w:rPr>
  </w:style>
  <w:style w:type="paragraph" w:customStyle="1" w:styleId="Rectitle">
    <w:name w:val="Rec_title"/>
    <w:basedOn w:val="RecNo"/>
    <w:next w:val="Recref"/>
    <w:rsid w:val="00CD6FE4"/>
    <w:pPr>
      <w:spacing w:before="240"/>
    </w:pPr>
    <w:rPr>
      <w:b/>
      <w:caps w:val="0"/>
    </w:rPr>
  </w:style>
  <w:style w:type="paragraph" w:customStyle="1" w:styleId="QuestionNo">
    <w:name w:val="Question_No"/>
    <w:basedOn w:val="RecNo"/>
    <w:next w:val="Questiontitle"/>
    <w:rsid w:val="00CD6FE4"/>
  </w:style>
  <w:style w:type="paragraph" w:customStyle="1" w:styleId="Questiontitle">
    <w:name w:val="Question_title"/>
    <w:basedOn w:val="Rectitle"/>
    <w:next w:val="Questionref"/>
    <w:rsid w:val="00CD6FE4"/>
  </w:style>
  <w:style w:type="paragraph" w:customStyle="1" w:styleId="Questionref">
    <w:name w:val="Question_ref"/>
    <w:basedOn w:val="Recref"/>
    <w:next w:val="Questiondate"/>
    <w:rsid w:val="00CD6FE4"/>
  </w:style>
  <w:style w:type="paragraph" w:customStyle="1" w:styleId="Recref">
    <w:name w:val="Rec_ref"/>
    <w:basedOn w:val="Rectitle"/>
    <w:next w:val="Recdate"/>
    <w:rsid w:val="00CD6FE4"/>
    <w:pPr>
      <w:tabs>
        <w:tab w:val="clear" w:pos="794"/>
        <w:tab w:val="clear" w:pos="1191"/>
        <w:tab w:val="clear" w:pos="1588"/>
        <w:tab w:val="clear" w:pos="1985"/>
      </w:tabs>
      <w:spacing w:before="120"/>
    </w:pPr>
    <w:rPr>
      <w:rFonts w:ascii="Times New Roman" w:hAnsi="Times New Roman"/>
      <w:b w:val="0"/>
      <w:sz w:val="24"/>
    </w:rPr>
  </w:style>
  <w:style w:type="paragraph" w:customStyle="1" w:styleId="Repdate">
    <w:name w:val="Rep_date"/>
    <w:basedOn w:val="Recdate"/>
    <w:next w:val="Normalaftertitle"/>
    <w:rsid w:val="00CD6FE4"/>
  </w:style>
  <w:style w:type="paragraph" w:customStyle="1" w:styleId="RepNo">
    <w:name w:val="Rep_No"/>
    <w:basedOn w:val="RecNo"/>
    <w:next w:val="Reptitle"/>
    <w:rsid w:val="00CD6FE4"/>
  </w:style>
  <w:style w:type="paragraph" w:customStyle="1" w:styleId="Reptitle">
    <w:name w:val="Rep_title"/>
    <w:basedOn w:val="Rectitle"/>
    <w:next w:val="Repref"/>
    <w:rsid w:val="00CD6FE4"/>
  </w:style>
  <w:style w:type="paragraph" w:customStyle="1" w:styleId="Repref">
    <w:name w:val="Rep_ref"/>
    <w:basedOn w:val="Recref"/>
    <w:next w:val="Repdate"/>
    <w:rsid w:val="00CD6FE4"/>
  </w:style>
  <w:style w:type="paragraph" w:customStyle="1" w:styleId="Resdate">
    <w:name w:val="Res_date"/>
    <w:basedOn w:val="Recdate"/>
    <w:next w:val="Normalaftertitle"/>
    <w:rsid w:val="00CD6FE4"/>
  </w:style>
  <w:style w:type="paragraph" w:customStyle="1" w:styleId="ResNo">
    <w:name w:val="Res_No"/>
    <w:basedOn w:val="RecNo"/>
    <w:next w:val="Restitle"/>
    <w:link w:val="ResNoChar"/>
    <w:rsid w:val="00CD6FE4"/>
  </w:style>
  <w:style w:type="paragraph" w:customStyle="1" w:styleId="Restitle">
    <w:name w:val="Res_title"/>
    <w:basedOn w:val="Rectitle"/>
    <w:next w:val="Resref"/>
    <w:link w:val="RestitleChar"/>
    <w:rsid w:val="00CD6FE4"/>
  </w:style>
  <w:style w:type="paragraph" w:customStyle="1" w:styleId="Resref">
    <w:name w:val="Res_ref"/>
    <w:basedOn w:val="Recref"/>
    <w:next w:val="Resdate"/>
    <w:rsid w:val="00CD6FE4"/>
  </w:style>
  <w:style w:type="paragraph" w:customStyle="1" w:styleId="SectionNo">
    <w:name w:val="Section_No"/>
    <w:basedOn w:val="AnnexNo"/>
    <w:next w:val="Sectiontitle"/>
    <w:rsid w:val="00CD6FE4"/>
  </w:style>
  <w:style w:type="paragraph" w:customStyle="1" w:styleId="Sectiontitle">
    <w:name w:val="Section_title"/>
    <w:basedOn w:val="Normal"/>
    <w:next w:val="Normalaftertitle"/>
    <w:rsid w:val="00CD6FE4"/>
    <w:rPr>
      <w:sz w:val="26"/>
    </w:rPr>
  </w:style>
  <w:style w:type="paragraph" w:customStyle="1" w:styleId="Source">
    <w:name w:val="Source"/>
    <w:basedOn w:val="Normal"/>
    <w:next w:val="Normal"/>
    <w:link w:val="SourceChar"/>
    <w:rsid w:val="00CD6FE4"/>
    <w:pPr>
      <w:spacing w:before="480"/>
      <w:jc w:val="center"/>
    </w:pPr>
    <w:rPr>
      <w:b/>
      <w:sz w:val="26"/>
    </w:rPr>
  </w:style>
  <w:style w:type="paragraph" w:customStyle="1" w:styleId="SpecialFooter">
    <w:name w:val="Special Footer"/>
    <w:basedOn w:val="Footer"/>
    <w:rsid w:val="00CD6FE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CD6FE4"/>
    <w:pPr>
      <w:keepNext/>
      <w:spacing w:before="80" w:after="80"/>
      <w:jc w:val="center"/>
    </w:pPr>
    <w:rPr>
      <w:b/>
    </w:rPr>
  </w:style>
  <w:style w:type="paragraph" w:customStyle="1" w:styleId="Tabletext">
    <w:name w:val="Table_text"/>
    <w:basedOn w:val="Normal"/>
    <w:link w:val="TabletextChar"/>
    <w:rsid w:val="00CD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CD6FE4"/>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CD6FE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D6FE4"/>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D6FE4"/>
    <w:pPr>
      <w:spacing w:before="240"/>
    </w:pPr>
    <w:rPr>
      <w:caps w:val="0"/>
    </w:rPr>
  </w:style>
  <w:style w:type="paragraph" w:customStyle="1" w:styleId="Title4">
    <w:name w:val="Title 4"/>
    <w:basedOn w:val="Title3"/>
    <w:next w:val="Heading1"/>
    <w:rsid w:val="00CD6FE4"/>
    <w:rPr>
      <w:b/>
    </w:rPr>
  </w:style>
  <w:style w:type="paragraph" w:customStyle="1" w:styleId="Section1">
    <w:name w:val="Section_1"/>
    <w:basedOn w:val="Normal"/>
    <w:next w:val="Normal"/>
    <w:link w:val="Section1Char"/>
    <w:rsid w:val="00CD6FE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CD6FE4"/>
    <w:pPr>
      <w:tabs>
        <w:tab w:val="clear" w:pos="794"/>
        <w:tab w:val="clear" w:pos="1191"/>
        <w:tab w:val="clear" w:pos="1588"/>
        <w:tab w:val="clear" w:pos="1985"/>
      </w:tabs>
      <w:spacing w:before="240"/>
      <w:jc w:val="center"/>
    </w:pPr>
    <w:rPr>
      <w:i/>
    </w:rPr>
  </w:style>
  <w:style w:type="character" w:styleId="Hyperlink">
    <w:name w:val="Hyperlink"/>
    <w:basedOn w:val="DefaultParagraphFont"/>
    <w:qFormat/>
    <w:rsid w:val="00CD6FE4"/>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Item"/>
    <w:rsid w:val="00CD6FE4"/>
    <w:pPr>
      <w:spacing w:before="30"/>
    </w:pPr>
    <w:rPr>
      <w:rFonts w:ascii="Arial" w:hAnsi="Arial"/>
      <w:b w:val="0"/>
      <w:sz w:val="20"/>
    </w:rPr>
  </w:style>
  <w:style w:type="paragraph" w:customStyle="1" w:styleId="Object">
    <w:name w:val="Object"/>
    <w:basedOn w:val="Subject"/>
    <w:next w:val="Subject"/>
    <w:rsid w:val="00CD6FE4"/>
  </w:style>
  <w:style w:type="character" w:styleId="Strong">
    <w:name w:val="Strong"/>
    <w:basedOn w:val="DefaultParagraphFont"/>
    <w:qFormat/>
    <w:rsid w:val="009518B3"/>
    <w:rPr>
      <w:b/>
      <w:bCs/>
    </w:rPr>
  </w:style>
  <w:style w:type="table" w:styleId="TableGrid">
    <w:name w:val="Table Grid"/>
    <w:basedOn w:val="TableNormal"/>
    <w:rsid w:val="00CD6F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E3710"/>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lang w:eastAsia="zh-CN"/>
    </w:rPr>
  </w:style>
  <w:style w:type="character" w:customStyle="1" w:styleId="HeaderChar">
    <w:name w:val="Header Char"/>
    <w:basedOn w:val="DefaultParagraphFont"/>
    <w:link w:val="Header"/>
    <w:rsid w:val="00CD6FE4"/>
    <w:rPr>
      <w:rFonts w:cs="Times New Roman"/>
      <w:sz w:val="18"/>
      <w:lang w:val="fr-FR" w:eastAsia="en-US"/>
    </w:rPr>
  </w:style>
  <w:style w:type="character" w:customStyle="1" w:styleId="CommentTextChar">
    <w:name w:val="Comment Text Char"/>
    <w:basedOn w:val="DefaultParagraphFont"/>
    <w:link w:val="CommentText"/>
    <w:rsid w:val="007E6643"/>
    <w:rPr>
      <w:szCs w:val="22"/>
      <w:lang w:val="en-US" w:eastAsia="en-US"/>
    </w:rPr>
  </w:style>
  <w:style w:type="paragraph" w:customStyle="1" w:styleId="AnnexNo">
    <w:name w:val="Annex_No"/>
    <w:basedOn w:val="Normal"/>
    <w:next w:val="Annextitle"/>
    <w:link w:val="AnnexNoChar"/>
    <w:rsid w:val="00CD6FE4"/>
    <w:pPr>
      <w:keepNext/>
      <w:keepLines/>
      <w:spacing w:before="480" w:after="80"/>
      <w:jc w:val="center"/>
    </w:pPr>
    <w:rPr>
      <w:caps/>
      <w:sz w:val="26"/>
    </w:rPr>
  </w:style>
  <w:style w:type="paragraph" w:customStyle="1" w:styleId="Annexref">
    <w:name w:val="Annex_ref"/>
    <w:basedOn w:val="Normal"/>
    <w:next w:val="Normalaftertitle"/>
    <w:rsid w:val="00CD6FE4"/>
    <w:pPr>
      <w:keepNext/>
      <w:keepLines/>
      <w:spacing w:after="280"/>
      <w:jc w:val="center"/>
    </w:pPr>
  </w:style>
  <w:style w:type="paragraph" w:customStyle="1" w:styleId="Annextitle">
    <w:name w:val="Annex_title"/>
    <w:basedOn w:val="Normal"/>
    <w:next w:val="Annexref"/>
    <w:link w:val="AnnextitleChar1"/>
    <w:rsid w:val="00CD6FE4"/>
    <w:pPr>
      <w:keepNext/>
      <w:keepLines/>
      <w:spacing w:before="240" w:after="280"/>
      <w:jc w:val="center"/>
    </w:pPr>
    <w:rPr>
      <w:b/>
      <w:sz w:val="26"/>
    </w:rPr>
  </w:style>
  <w:style w:type="paragraph" w:customStyle="1" w:styleId="AppendixNo">
    <w:name w:val="Appendix_No"/>
    <w:basedOn w:val="AnnexNo"/>
    <w:next w:val="Appendixtitle"/>
    <w:link w:val="AppendixNoCar"/>
    <w:rsid w:val="00CD6FE4"/>
  </w:style>
  <w:style w:type="paragraph" w:customStyle="1" w:styleId="Appendixref">
    <w:name w:val="Appendix_ref"/>
    <w:basedOn w:val="Annexref"/>
    <w:next w:val="Normalaftertitle"/>
    <w:rsid w:val="00CD6FE4"/>
  </w:style>
  <w:style w:type="paragraph" w:customStyle="1" w:styleId="Appendixtitle">
    <w:name w:val="Appendix_title"/>
    <w:basedOn w:val="Annextitle"/>
    <w:next w:val="Appendixref"/>
    <w:link w:val="AppendixtitleChar"/>
    <w:rsid w:val="00CD6FE4"/>
  </w:style>
  <w:style w:type="paragraph" w:customStyle="1" w:styleId="Subject">
    <w:name w:val="Subject"/>
    <w:basedOn w:val="Normal"/>
    <w:next w:val="Source"/>
    <w:rsid w:val="00CD6FE4"/>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CD6FE4"/>
  </w:style>
  <w:style w:type="paragraph" w:customStyle="1" w:styleId="ddate">
    <w:name w:val="ddate"/>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CD6FE4"/>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CD6FE4"/>
    <w:rPr>
      <w:vertAlign w:val="superscript"/>
    </w:rPr>
  </w:style>
  <w:style w:type="paragraph" w:customStyle="1" w:styleId="FigureNo">
    <w:name w:val="Figure_No"/>
    <w:basedOn w:val="Normal"/>
    <w:next w:val="Figuretitle"/>
    <w:link w:val="FigureNoChar"/>
    <w:rsid w:val="00CD6FE4"/>
    <w:pPr>
      <w:keepNext/>
      <w:keepLines/>
      <w:spacing w:before="240" w:after="120"/>
      <w:jc w:val="center"/>
    </w:pPr>
    <w:rPr>
      <w:caps/>
    </w:rPr>
  </w:style>
  <w:style w:type="paragraph" w:customStyle="1" w:styleId="TableNo">
    <w:name w:val="Table_No"/>
    <w:basedOn w:val="Normal"/>
    <w:next w:val="Tabletitle"/>
    <w:link w:val="TableNoChar"/>
    <w:rsid w:val="00CD6FE4"/>
    <w:pPr>
      <w:keepNext/>
      <w:spacing w:before="360" w:after="120"/>
      <w:jc w:val="center"/>
    </w:pPr>
    <w:rPr>
      <w:caps/>
    </w:rPr>
  </w:style>
  <w:style w:type="paragraph" w:customStyle="1" w:styleId="Tabletitle">
    <w:name w:val="Table_title"/>
    <w:basedOn w:val="TableNo"/>
    <w:next w:val="Tabletext"/>
    <w:link w:val="TabletitleChar"/>
    <w:rsid w:val="00CD6FE4"/>
    <w:pPr>
      <w:spacing w:before="0"/>
    </w:pPr>
    <w:rPr>
      <w:b/>
      <w:caps w:val="0"/>
    </w:rPr>
  </w:style>
  <w:style w:type="paragraph" w:customStyle="1" w:styleId="Figuretitle">
    <w:name w:val="Figure_title"/>
    <w:basedOn w:val="Tabletitle"/>
    <w:next w:val="Normalaftertitle"/>
    <w:link w:val="FiguretitleChar"/>
    <w:rsid w:val="00CD6FE4"/>
    <w:pPr>
      <w:spacing w:before="240" w:after="480"/>
    </w:pPr>
  </w:style>
  <w:style w:type="character" w:styleId="FollowedHyperlink">
    <w:name w:val="FollowedHyperlink"/>
    <w:basedOn w:val="DefaultParagraphFont"/>
    <w:rsid w:val="00CD6FE4"/>
    <w:rPr>
      <w:color w:val="800080"/>
      <w:u w:val="single"/>
    </w:rPr>
  </w:style>
  <w:style w:type="paragraph" w:customStyle="1" w:styleId="Head">
    <w:name w:val="Head"/>
    <w:basedOn w:val="Normal"/>
    <w:rsid w:val="00CD6FE4"/>
    <w:pPr>
      <w:tabs>
        <w:tab w:val="left" w:pos="6663"/>
      </w:tabs>
      <w:overflowPunct/>
      <w:autoSpaceDE/>
      <w:autoSpaceDN/>
      <w:adjustRightInd/>
      <w:spacing w:before="0"/>
      <w:textAlignment w:val="auto"/>
    </w:pPr>
  </w:style>
  <w:style w:type="paragraph" w:styleId="Index4">
    <w:name w:val="index 4"/>
    <w:basedOn w:val="Normal"/>
    <w:next w:val="Normal"/>
    <w:rsid w:val="00CD6FE4"/>
    <w:pPr>
      <w:ind w:left="849"/>
    </w:pPr>
  </w:style>
  <w:style w:type="paragraph" w:styleId="Index5">
    <w:name w:val="index 5"/>
    <w:basedOn w:val="Normal"/>
    <w:next w:val="Normal"/>
    <w:rsid w:val="00CD6FE4"/>
    <w:pPr>
      <w:ind w:left="1132"/>
    </w:pPr>
  </w:style>
  <w:style w:type="paragraph" w:styleId="Index6">
    <w:name w:val="index 6"/>
    <w:basedOn w:val="Normal"/>
    <w:next w:val="Normal"/>
    <w:rsid w:val="00CD6FE4"/>
    <w:pPr>
      <w:ind w:left="1415"/>
    </w:pPr>
  </w:style>
  <w:style w:type="paragraph" w:styleId="Index7">
    <w:name w:val="index 7"/>
    <w:basedOn w:val="Normal"/>
    <w:next w:val="Normal"/>
    <w:rsid w:val="00CD6FE4"/>
    <w:pPr>
      <w:ind w:left="1698"/>
    </w:pPr>
  </w:style>
  <w:style w:type="paragraph" w:styleId="IndexHeading">
    <w:name w:val="index heading"/>
    <w:basedOn w:val="Normal"/>
    <w:next w:val="Index1"/>
    <w:rsid w:val="00CD6FE4"/>
  </w:style>
  <w:style w:type="character" w:styleId="LineNumber">
    <w:name w:val="line number"/>
    <w:basedOn w:val="DefaultParagraphFont"/>
    <w:rsid w:val="00CD6FE4"/>
  </w:style>
  <w:style w:type="paragraph" w:styleId="List">
    <w:name w:val="List"/>
    <w:basedOn w:val="Normal"/>
    <w:rsid w:val="00CD6FE4"/>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CD6FE4"/>
    <w:pPr>
      <w:tabs>
        <w:tab w:val="left" w:pos="7371"/>
      </w:tabs>
      <w:spacing w:after="567"/>
    </w:pPr>
  </w:style>
  <w:style w:type="paragraph" w:customStyle="1" w:styleId="Normalaftertitle">
    <w:name w:val="Normal after title"/>
    <w:basedOn w:val="Normal"/>
    <w:next w:val="Normal"/>
    <w:link w:val="NormalaftertitleChar0"/>
    <w:rsid w:val="00CD6FE4"/>
    <w:pPr>
      <w:spacing w:before="320"/>
    </w:pPr>
  </w:style>
  <w:style w:type="paragraph" w:styleId="NormalIndent0">
    <w:name w:val="Normal Indent"/>
    <w:basedOn w:val="Normal"/>
    <w:rsid w:val="00CD6FE4"/>
    <w:pPr>
      <w:ind w:left="794"/>
    </w:pPr>
  </w:style>
  <w:style w:type="paragraph" w:customStyle="1" w:styleId="Part">
    <w:name w:val="Part"/>
    <w:basedOn w:val="Normal"/>
    <w:rsid w:val="00CD6FE4"/>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qFormat/>
    <w:rsid w:val="00CD6FE4"/>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Tableref">
    <w:name w:val="Table_ref"/>
    <w:basedOn w:val="Normal"/>
    <w:next w:val="Tabletitle"/>
    <w:rsid w:val="00CD6FE4"/>
    <w:pPr>
      <w:keepNext/>
      <w:spacing w:before="567"/>
      <w:jc w:val="center"/>
    </w:pPr>
  </w:style>
  <w:style w:type="character" w:customStyle="1" w:styleId="SourceChar">
    <w:name w:val="Source Char"/>
    <w:basedOn w:val="DefaultParagraphFont"/>
    <w:link w:val="Source"/>
    <w:locked/>
    <w:rsid w:val="00CD6FE4"/>
    <w:rPr>
      <w:rFonts w:cs="Times New Roman"/>
      <w:b/>
      <w:sz w:val="26"/>
      <w:lang w:val="en-GB" w:eastAsia="en-US"/>
    </w:rPr>
  </w:style>
  <w:style w:type="paragraph" w:customStyle="1" w:styleId="Agendaitem">
    <w:name w:val="Agenda_item"/>
    <w:basedOn w:val="Title3"/>
    <w:next w:val="Normal"/>
    <w:qFormat/>
    <w:rsid w:val="00CD6FE4"/>
    <w:rPr>
      <w:szCs w:val="22"/>
      <w:lang w:val="en-US"/>
    </w:rPr>
  </w:style>
  <w:style w:type="character" w:customStyle="1" w:styleId="AnnexNoChar">
    <w:name w:val="Annex_No Char"/>
    <w:basedOn w:val="DefaultParagraphFont"/>
    <w:link w:val="AnnexNo"/>
    <w:locked/>
    <w:rsid w:val="00CD6FE4"/>
    <w:rPr>
      <w:rFonts w:cs="Times New Roman"/>
      <w:caps/>
      <w:sz w:val="26"/>
      <w:lang w:val="en-GB" w:eastAsia="en-US"/>
    </w:rPr>
  </w:style>
  <w:style w:type="character" w:customStyle="1" w:styleId="AnnextitleChar1">
    <w:name w:val="Annex_title Char1"/>
    <w:basedOn w:val="DefaultParagraphFont"/>
    <w:link w:val="Annextitle"/>
    <w:locked/>
    <w:rsid w:val="00CD6FE4"/>
    <w:rPr>
      <w:rFonts w:cs="Times New Roman"/>
      <w:b/>
      <w:sz w:val="26"/>
      <w:lang w:val="en-GB" w:eastAsia="en-US"/>
    </w:rPr>
  </w:style>
  <w:style w:type="character" w:customStyle="1" w:styleId="ArtNoChar">
    <w:name w:val="Art_No Char"/>
    <w:basedOn w:val="DefaultParagraphFont"/>
    <w:link w:val="ArtNo"/>
    <w:locked/>
    <w:rsid w:val="00CD6FE4"/>
    <w:rPr>
      <w:rFonts w:cs="Times New Roman"/>
      <w:caps/>
      <w:sz w:val="26"/>
      <w:lang w:val="en-GB" w:eastAsia="en-US"/>
    </w:rPr>
  </w:style>
  <w:style w:type="paragraph" w:customStyle="1" w:styleId="AppArtNo">
    <w:name w:val="App_Art_No"/>
    <w:basedOn w:val="ArtNo"/>
    <w:next w:val="Normal"/>
    <w:qFormat/>
    <w:rsid w:val="00CD6FE4"/>
  </w:style>
  <w:style w:type="character" w:customStyle="1" w:styleId="ArttitleCar">
    <w:name w:val="Art_title Car"/>
    <w:basedOn w:val="DefaultParagraphFont"/>
    <w:link w:val="Arttitle"/>
    <w:locked/>
    <w:rsid w:val="00CD6FE4"/>
    <w:rPr>
      <w:rFonts w:cs="Times New Roman"/>
      <w:b/>
      <w:sz w:val="26"/>
      <w:lang w:val="en-GB" w:eastAsia="en-US"/>
    </w:rPr>
  </w:style>
  <w:style w:type="paragraph" w:customStyle="1" w:styleId="AppArttitle">
    <w:name w:val="App_Art_title"/>
    <w:basedOn w:val="Arttitle"/>
    <w:next w:val="Normalaftertitle"/>
    <w:qFormat/>
    <w:rsid w:val="00CD6FE4"/>
  </w:style>
  <w:style w:type="character" w:customStyle="1" w:styleId="Appdef">
    <w:name w:val="App_def"/>
    <w:basedOn w:val="DefaultParagraphFont"/>
    <w:rsid w:val="00CD6FE4"/>
    <w:rPr>
      <w:rFonts w:ascii="Times New Roman" w:hAnsi="Times New Roman"/>
      <w:b/>
    </w:rPr>
  </w:style>
  <w:style w:type="character" w:customStyle="1" w:styleId="Appref">
    <w:name w:val="App_ref"/>
    <w:basedOn w:val="DefaultParagraphFont"/>
    <w:rsid w:val="00CD6FE4"/>
  </w:style>
  <w:style w:type="character" w:customStyle="1" w:styleId="AppendixNoCar">
    <w:name w:val="Appendix_No Car"/>
    <w:basedOn w:val="DefaultParagraphFont"/>
    <w:link w:val="AppendixNo"/>
    <w:locked/>
    <w:rsid w:val="00CD6FE4"/>
    <w:rPr>
      <w:rFonts w:cs="Times New Roman"/>
      <w:caps/>
      <w:sz w:val="26"/>
      <w:lang w:val="en-GB" w:eastAsia="en-US"/>
    </w:rPr>
  </w:style>
  <w:style w:type="paragraph" w:customStyle="1" w:styleId="ApptoAnnex">
    <w:name w:val="App_to_Annex"/>
    <w:basedOn w:val="AppendixNo"/>
    <w:qFormat/>
    <w:rsid w:val="00CD6FE4"/>
  </w:style>
  <w:style w:type="character" w:customStyle="1" w:styleId="AppendixtitleChar">
    <w:name w:val="Appendix_title Char"/>
    <w:basedOn w:val="AnnextitleChar1"/>
    <w:link w:val="Appendixtitle"/>
    <w:locked/>
    <w:rsid w:val="00CD6FE4"/>
    <w:rPr>
      <w:rFonts w:cs="Times New Roman"/>
      <w:b/>
      <w:sz w:val="26"/>
      <w:lang w:val="en-GB" w:eastAsia="en-US"/>
    </w:rPr>
  </w:style>
  <w:style w:type="character" w:customStyle="1" w:styleId="Artdef">
    <w:name w:val="Art_def"/>
    <w:basedOn w:val="DefaultParagraphFont"/>
    <w:rsid w:val="00CD6FE4"/>
    <w:rPr>
      <w:rFonts w:ascii="Times New Roman" w:hAnsi="Times New Roman"/>
      <w:b/>
    </w:rPr>
  </w:style>
  <w:style w:type="character" w:customStyle="1" w:styleId="Artref">
    <w:name w:val="Art_ref"/>
    <w:basedOn w:val="DefaultParagraphFont"/>
    <w:rsid w:val="00CD6FE4"/>
  </w:style>
  <w:style w:type="paragraph" w:customStyle="1" w:styleId="Booktitle">
    <w:name w:val="Book_title"/>
    <w:basedOn w:val="Normal"/>
    <w:qFormat/>
    <w:rsid w:val="00CD6FE4"/>
    <w:pPr>
      <w:jc w:val="center"/>
    </w:pPr>
    <w:rPr>
      <w:b/>
      <w:bCs/>
      <w:sz w:val="26"/>
      <w:szCs w:val="28"/>
    </w:rPr>
  </w:style>
  <w:style w:type="character" w:customStyle="1" w:styleId="TabletextChar">
    <w:name w:val="Table_text Char"/>
    <w:basedOn w:val="DefaultParagraphFont"/>
    <w:link w:val="Tabletext"/>
    <w:locked/>
    <w:rsid w:val="00CD6FE4"/>
    <w:rPr>
      <w:rFonts w:cs="Times New Roman"/>
      <w:lang w:val="en-GB" w:eastAsia="en-US"/>
    </w:rPr>
  </w:style>
  <w:style w:type="paragraph" w:customStyle="1" w:styleId="Border">
    <w:name w:val="Border"/>
    <w:basedOn w:val="Tabletext"/>
    <w:rsid w:val="00CD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CD6FE4"/>
    <w:rPr>
      <w:rFonts w:cs="Times New Roman"/>
      <w:i/>
      <w:sz w:val="22"/>
      <w:lang w:val="en-GB" w:eastAsia="en-US"/>
    </w:rPr>
  </w:style>
  <w:style w:type="character" w:customStyle="1" w:styleId="ChaptitleChar">
    <w:name w:val="Chap_title Char"/>
    <w:basedOn w:val="DefaultParagraphFont"/>
    <w:link w:val="Chaptitle"/>
    <w:locked/>
    <w:rsid w:val="00CD6FE4"/>
    <w:rPr>
      <w:rFonts w:cs="Times New Roman"/>
      <w:b/>
      <w:sz w:val="26"/>
      <w:lang w:val="en-GB" w:eastAsia="en-US"/>
    </w:rPr>
  </w:style>
  <w:style w:type="paragraph" w:customStyle="1" w:styleId="Committee">
    <w:name w:val="Committee"/>
    <w:basedOn w:val="Normal"/>
    <w:qFormat/>
    <w:rsid w:val="00CD6FE4"/>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D6FE4"/>
    <w:rPr>
      <w:rFonts w:cs="Times New Roman"/>
      <w:sz w:val="22"/>
      <w:lang w:val="en-GB" w:eastAsia="en-US"/>
    </w:rPr>
  </w:style>
  <w:style w:type="character" w:customStyle="1" w:styleId="enumlev2Char">
    <w:name w:val="enumlev2 Char"/>
    <w:basedOn w:val="DefaultParagraphFont"/>
    <w:link w:val="enumlev2"/>
    <w:locked/>
    <w:rsid w:val="00CD6FE4"/>
    <w:rPr>
      <w:rFonts w:cs="Times New Roman"/>
      <w:sz w:val="22"/>
      <w:lang w:val="en-GB" w:eastAsia="en-US"/>
    </w:rPr>
  </w:style>
  <w:style w:type="character" w:customStyle="1" w:styleId="EquationChar">
    <w:name w:val="Equation Char"/>
    <w:basedOn w:val="DefaultParagraphFont"/>
    <w:link w:val="Equation"/>
    <w:locked/>
    <w:rsid w:val="00CD6FE4"/>
    <w:rPr>
      <w:rFonts w:cs="Times New Roman"/>
      <w:sz w:val="22"/>
      <w:lang w:val="en-GB" w:eastAsia="en-US"/>
    </w:rPr>
  </w:style>
  <w:style w:type="character" w:customStyle="1" w:styleId="FigureNoChar">
    <w:name w:val="Figure_No Char"/>
    <w:basedOn w:val="DefaultParagraphFont"/>
    <w:link w:val="FigureNo"/>
    <w:locked/>
    <w:rsid w:val="00CD6FE4"/>
    <w:rPr>
      <w:rFonts w:cs="Times New Roman"/>
      <w:caps/>
      <w:sz w:val="22"/>
      <w:lang w:val="en-GB" w:eastAsia="en-US"/>
    </w:rPr>
  </w:style>
  <w:style w:type="character" w:customStyle="1" w:styleId="TabletitleChar">
    <w:name w:val="Table_title Char"/>
    <w:basedOn w:val="DefaultParagraphFont"/>
    <w:link w:val="Tabletitle"/>
    <w:locked/>
    <w:rsid w:val="00CD6FE4"/>
    <w:rPr>
      <w:rFonts w:cs="Times New Roman"/>
      <w:b/>
      <w:sz w:val="22"/>
      <w:lang w:val="en-GB" w:eastAsia="en-US"/>
    </w:rPr>
  </w:style>
  <w:style w:type="character" w:customStyle="1" w:styleId="FiguretitleChar">
    <w:name w:val="Figure_title Char"/>
    <w:basedOn w:val="DefaultParagraphFont"/>
    <w:link w:val="Figuretitle"/>
    <w:locked/>
    <w:rsid w:val="00CD6FE4"/>
    <w:rPr>
      <w:rFonts w:cs="Times New Roman"/>
      <w:b/>
      <w:sz w:val="22"/>
      <w:lang w:val="en-GB" w:eastAsia="en-US"/>
    </w:rPr>
  </w:style>
  <w:style w:type="character" w:customStyle="1" w:styleId="FooterChar">
    <w:name w:val="Footer Char"/>
    <w:basedOn w:val="DefaultParagraphFont"/>
    <w:link w:val="Footer"/>
    <w:rsid w:val="00CD6FE4"/>
    <w:rPr>
      <w:rFonts w:cs="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CD6FE4"/>
    <w:rPr>
      <w:rFonts w:cs="Times New Roman"/>
      <w:lang w:val="en-GB" w:eastAsia="en-US"/>
    </w:rPr>
  </w:style>
  <w:style w:type="character" w:customStyle="1" w:styleId="Heading1Char">
    <w:name w:val="Heading 1 Char"/>
    <w:basedOn w:val="DefaultParagraphFont"/>
    <w:link w:val="Heading1"/>
    <w:uiPriority w:val="9"/>
    <w:locked/>
    <w:rsid w:val="000E7671"/>
    <w:rPr>
      <w:rFonts w:cs="Times New Roman"/>
      <w:b/>
      <w:sz w:val="22"/>
      <w:lang w:val="en-GB" w:eastAsia="en-US"/>
    </w:rPr>
  </w:style>
  <w:style w:type="character" w:customStyle="1" w:styleId="Heading2Char">
    <w:name w:val="Heading 2 Char"/>
    <w:basedOn w:val="DefaultParagraphFont"/>
    <w:link w:val="Heading2"/>
    <w:locked/>
    <w:rsid w:val="00CD6FE4"/>
    <w:rPr>
      <w:rFonts w:cs="Times New Roman"/>
      <w:b/>
      <w:sz w:val="22"/>
      <w:lang w:val="en-GB" w:eastAsia="en-US"/>
    </w:rPr>
  </w:style>
  <w:style w:type="character" w:customStyle="1" w:styleId="Heading3Char">
    <w:name w:val="Heading 3 Char"/>
    <w:basedOn w:val="DefaultParagraphFont"/>
    <w:link w:val="Heading3"/>
    <w:locked/>
    <w:rsid w:val="00CD6FE4"/>
    <w:rPr>
      <w:rFonts w:ascii="Times New Roman Bold" w:hAnsi="Times New Roman Bold" w:cs="Times New Roman"/>
      <w:b/>
      <w:i/>
      <w:sz w:val="22"/>
      <w:lang w:val="en-GB" w:eastAsia="en-US"/>
    </w:rPr>
  </w:style>
  <w:style w:type="character" w:customStyle="1" w:styleId="Heading4Char">
    <w:name w:val="Heading 4 Char"/>
    <w:basedOn w:val="DefaultParagraphFont"/>
    <w:link w:val="Heading4"/>
    <w:locked/>
    <w:rsid w:val="00CD6FE4"/>
    <w:rPr>
      <w:rFonts w:ascii="Times New Roman Bold" w:hAnsi="Times New Roman Bold" w:cs="Times New Roman"/>
      <w:i/>
      <w:sz w:val="22"/>
      <w:lang w:val="en-GB" w:eastAsia="en-US"/>
    </w:rPr>
  </w:style>
  <w:style w:type="character" w:customStyle="1" w:styleId="Heading5Char">
    <w:name w:val="Heading 5 Char"/>
    <w:basedOn w:val="DefaultParagraphFont"/>
    <w:link w:val="Heading5"/>
    <w:locked/>
    <w:rsid w:val="00CD6FE4"/>
    <w:rPr>
      <w:rFonts w:ascii="Times New Roman Bold" w:hAnsi="Times New Roman Bold" w:cs="Times New Roman"/>
      <w:i/>
      <w:sz w:val="22"/>
      <w:lang w:val="en-GB" w:eastAsia="en-US"/>
    </w:rPr>
  </w:style>
  <w:style w:type="character" w:customStyle="1" w:styleId="Heading6Char">
    <w:name w:val="Heading 6 Char"/>
    <w:basedOn w:val="DefaultParagraphFont"/>
    <w:link w:val="Heading6"/>
    <w:locked/>
    <w:rsid w:val="00CD6FE4"/>
    <w:rPr>
      <w:rFonts w:ascii="Times New Roman Bold" w:hAnsi="Times New Roman Bold" w:cs="Times New Roman"/>
      <w:i/>
      <w:sz w:val="22"/>
      <w:lang w:val="en-GB" w:eastAsia="en-US"/>
    </w:rPr>
  </w:style>
  <w:style w:type="character" w:customStyle="1" w:styleId="Heading7Char">
    <w:name w:val="Heading 7 Char"/>
    <w:basedOn w:val="DefaultParagraphFont"/>
    <w:link w:val="Heading7"/>
    <w:locked/>
    <w:rsid w:val="00CD6FE4"/>
    <w:rPr>
      <w:rFonts w:ascii="Times New Roman Bold" w:hAnsi="Times New Roman Bold" w:cs="Times New Roman"/>
      <w:i/>
      <w:sz w:val="22"/>
      <w:lang w:val="en-GB" w:eastAsia="en-US"/>
    </w:rPr>
  </w:style>
  <w:style w:type="character" w:customStyle="1" w:styleId="Heading8Char">
    <w:name w:val="Heading 8 Char"/>
    <w:basedOn w:val="DefaultParagraphFont"/>
    <w:link w:val="Heading8"/>
    <w:locked/>
    <w:rsid w:val="00CD6FE4"/>
    <w:rPr>
      <w:rFonts w:ascii="Times New Roman Bold" w:hAnsi="Times New Roman Bold" w:cs="Times New Roman"/>
      <w:i/>
      <w:sz w:val="22"/>
      <w:lang w:val="en-GB" w:eastAsia="en-US"/>
    </w:rPr>
  </w:style>
  <w:style w:type="character" w:customStyle="1" w:styleId="Heading9Char">
    <w:name w:val="Heading 9 Char"/>
    <w:basedOn w:val="DefaultParagraphFont"/>
    <w:link w:val="Heading9"/>
    <w:locked/>
    <w:rsid w:val="00CD6FE4"/>
    <w:rPr>
      <w:rFonts w:ascii="Times New Roman Bold" w:hAnsi="Times New Roman Bold" w:cs="Times New Roman"/>
      <w:i/>
      <w:sz w:val="22"/>
      <w:lang w:val="en-GB" w:eastAsia="en-US"/>
    </w:rPr>
  </w:style>
  <w:style w:type="character" w:customStyle="1" w:styleId="HeadingbChar">
    <w:name w:val="Heading_b Char"/>
    <w:basedOn w:val="DefaultParagraphFont"/>
    <w:link w:val="Headingb"/>
    <w:locked/>
    <w:rsid w:val="00CD6FE4"/>
    <w:rPr>
      <w:rFonts w:cs="Times New Roman"/>
      <w:b/>
      <w:sz w:val="22"/>
      <w:lang w:val="en-GB" w:eastAsia="en-US"/>
    </w:rPr>
  </w:style>
  <w:style w:type="paragraph" w:customStyle="1" w:styleId="Headingsplit">
    <w:name w:val="Heading_split"/>
    <w:basedOn w:val="Headingi"/>
    <w:qFormat/>
    <w:rsid w:val="00CD6FE4"/>
    <w:pPr>
      <w:keepNext w:val="0"/>
    </w:pPr>
    <w:rPr>
      <w:rFonts w:ascii="Times New Roman" w:hAnsi="Times New Roman"/>
      <w:lang w:val="en-US"/>
    </w:rPr>
  </w:style>
  <w:style w:type="paragraph" w:customStyle="1" w:styleId="Methodheading1">
    <w:name w:val="Method_heading1"/>
    <w:basedOn w:val="Heading1"/>
    <w:next w:val="Normal"/>
    <w:qFormat/>
    <w:rsid w:val="00CD6FE4"/>
  </w:style>
  <w:style w:type="paragraph" w:customStyle="1" w:styleId="Methodheading2">
    <w:name w:val="Method_heading2"/>
    <w:basedOn w:val="Heading2"/>
    <w:next w:val="Normal"/>
    <w:qFormat/>
    <w:rsid w:val="00CD6FE4"/>
  </w:style>
  <w:style w:type="paragraph" w:customStyle="1" w:styleId="Methodheading3">
    <w:name w:val="Method_heading3"/>
    <w:basedOn w:val="Heading3"/>
    <w:next w:val="Normal"/>
    <w:qFormat/>
    <w:rsid w:val="00CD6FE4"/>
  </w:style>
  <w:style w:type="paragraph" w:customStyle="1" w:styleId="Methodheading4">
    <w:name w:val="Method_heading4"/>
    <w:basedOn w:val="Heading4"/>
    <w:next w:val="Normal"/>
    <w:qFormat/>
    <w:rsid w:val="00CD6FE4"/>
  </w:style>
  <w:style w:type="paragraph" w:customStyle="1" w:styleId="MethodHeadingb">
    <w:name w:val="Method_Headingb"/>
    <w:basedOn w:val="Headingb"/>
    <w:qFormat/>
    <w:rsid w:val="00CD6FE4"/>
  </w:style>
  <w:style w:type="character" w:customStyle="1" w:styleId="NormalaftertitleChar0">
    <w:name w:val="Normal after title Char"/>
    <w:basedOn w:val="DefaultParagraphFont"/>
    <w:link w:val="Normalaftertitle"/>
    <w:locked/>
    <w:rsid w:val="00CD6FE4"/>
    <w:rPr>
      <w:rFonts w:cs="Times New Roman"/>
      <w:sz w:val="22"/>
      <w:lang w:val="en-GB" w:eastAsia="en-US"/>
    </w:rPr>
  </w:style>
  <w:style w:type="paragraph" w:customStyle="1" w:styleId="Normalend">
    <w:name w:val="Normal_end"/>
    <w:basedOn w:val="Normal"/>
    <w:next w:val="Normal"/>
    <w:qFormat/>
    <w:rsid w:val="00CD6FE4"/>
    <w:rPr>
      <w:lang w:val="en-US"/>
    </w:rPr>
  </w:style>
  <w:style w:type="paragraph" w:customStyle="1" w:styleId="Normalsplit">
    <w:name w:val="Normal_split"/>
    <w:basedOn w:val="Normal"/>
    <w:qFormat/>
    <w:rsid w:val="00CD6FE4"/>
    <w:rPr>
      <w:sz w:val="24"/>
    </w:rPr>
  </w:style>
  <w:style w:type="character" w:customStyle="1" w:styleId="NoteChar">
    <w:name w:val="Note Char"/>
    <w:basedOn w:val="DefaultParagraphFont"/>
    <w:link w:val="Note"/>
    <w:locked/>
    <w:rsid w:val="00CD6FE4"/>
    <w:rPr>
      <w:rFonts w:cs="Times New Roman"/>
      <w:sz w:val="22"/>
      <w:lang w:val="en-GB" w:eastAsia="en-US"/>
    </w:rPr>
  </w:style>
  <w:style w:type="character" w:customStyle="1" w:styleId="Section1Char">
    <w:name w:val="Section_1 Char"/>
    <w:basedOn w:val="DefaultParagraphFont"/>
    <w:link w:val="Section1"/>
    <w:locked/>
    <w:rsid w:val="00CD6FE4"/>
    <w:rPr>
      <w:rFonts w:ascii="Times New Roman" w:hAnsi="Times New Roman" w:cs="Times New Roman"/>
      <w:b/>
      <w:sz w:val="22"/>
      <w:lang w:val="en-GB" w:eastAsia="en-US"/>
    </w:rPr>
  </w:style>
  <w:style w:type="paragraph" w:customStyle="1" w:styleId="Subsection1">
    <w:name w:val="Subsection_1"/>
    <w:basedOn w:val="Section1"/>
    <w:next w:val="Section1"/>
    <w:qFormat/>
    <w:rsid w:val="00CD6FE4"/>
  </w:style>
  <w:style w:type="paragraph" w:customStyle="1" w:styleId="Part1">
    <w:name w:val="Part_1"/>
    <w:basedOn w:val="Subsection1"/>
    <w:next w:val="Section1"/>
    <w:qFormat/>
    <w:rsid w:val="00CD6FE4"/>
  </w:style>
  <w:style w:type="paragraph" w:customStyle="1" w:styleId="Proposal">
    <w:name w:val="Proposal"/>
    <w:basedOn w:val="Normal"/>
    <w:next w:val="Normal"/>
    <w:link w:val="ProposalChar"/>
    <w:rsid w:val="00CD6FE4"/>
    <w:pPr>
      <w:keepNext/>
      <w:spacing w:before="240"/>
    </w:pPr>
    <w:rPr>
      <w:b/>
    </w:rPr>
  </w:style>
  <w:style w:type="character" w:customStyle="1" w:styleId="ProposalChar">
    <w:name w:val="Proposal Char"/>
    <w:basedOn w:val="DefaultParagraphFont"/>
    <w:link w:val="Proposal"/>
    <w:locked/>
    <w:rsid w:val="00CD6FE4"/>
    <w:rPr>
      <w:rFonts w:ascii="Times New Roman" w:hAnsi="Times New Roman" w:cs="Times New Roman"/>
      <w:b/>
      <w:sz w:val="22"/>
      <w:lang w:val="ru-RU" w:eastAsia="en-US"/>
    </w:rPr>
  </w:style>
  <w:style w:type="character" w:customStyle="1" w:styleId="Provsplit">
    <w:name w:val="Prov_split"/>
    <w:basedOn w:val="DefaultParagraphFont"/>
    <w:qFormat/>
    <w:rsid w:val="00CD6FE4"/>
    <w:rPr>
      <w:rFonts w:ascii="Times New Roman" w:hAnsi="Times New Roman"/>
      <w:b w:val="0"/>
    </w:rPr>
  </w:style>
  <w:style w:type="character" w:customStyle="1" w:styleId="RecNoChar">
    <w:name w:val="Rec_No Char"/>
    <w:basedOn w:val="DefaultParagraphFont"/>
    <w:link w:val="RecNo"/>
    <w:locked/>
    <w:rsid w:val="00CD6FE4"/>
    <w:rPr>
      <w:rFonts w:cs="Times New Roman"/>
      <w:caps/>
      <w:sz w:val="26"/>
      <w:lang w:val="en-GB" w:eastAsia="en-US"/>
    </w:rPr>
  </w:style>
  <w:style w:type="character" w:customStyle="1" w:styleId="ReasonsChar">
    <w:name w:val="Reasons Char"/>
    <w:basedOn w:val="DefaultParagraphFont"/>
    <w:link w:val="Reasons"/>
    <w:locked/>
    <w:rsid w:val="00CD6FE4"/>
    <w:rPr>
      <w:rFonts w:cs="Times New Roman"/>
      <w:sz w:val="22"/>
      <w:lang w:val="en-GB" w:eastAsia="en-US"/>
    </w:rPr>
  </w:style>
  <w:style w:type="character" w:customStyle="1" w:styleId="Recdef">
    <w:name w:val="Rec_def"/>
    <w:basedOn w:val="DefaultParagraphFont"/>
    <w:rsid w:val="00CD6FE4"/>
    <w:rPr>
      <w:b/>
    </w:rPr>
  </w:style>
  <w:style w:type="character" w:customStyle="1" w:styleId="Resdef">
    <w:name w:val="Res_def"/>
    <w:basedOn w:val="DefaultParagraphFont"/>
    <w:rsid w:val="00CD6FE4"/>
    <w:rPr>
      <w:rFonts w:ascii="Times New Roman" w:hAnsi="Times New Roman"/>
      <w:b/>
    </w:rPr>
  </w:style>
  <w:style w:type="character" w:customStyle="1" w:styleId="ResNoChar">
    <w:name w:val="Res_No Char"/>
    <w:basedOn w:val="DefaultParagraphFont"/>
    <w:link w:val="ResNo"/>
    <w:locked/>
    <w:rsid w:val="00CD6FE4"/>
    <w:rPr>
      <w:rFonts w:cs="Times New Roman"/>
      <w:caps/>
      <w:sz w:val="26"/>
      <w:lang w:val="en-GB" w:eastAsia="en-US"/>
    </w:rPr>
  </w:style>
  <w:style w:type="character" w:customStyle="1" w:styleId="RestitleChar">
    <w:name w:val="Res_title Char"/>
    <w:basedOn w:val="DefaultParagraphFont"/>
    <w:link w:val="Restitle"/>
    <w:locked/>
    <w:rsid w:val="00CD6FE4"/>
    <w:rPr>
      <w:rFonts w:cs="Times New Roman"/>
      <w:b/>
      <w:sz w:val="26"/>
      <w:lang w:val="en-GB" w:eastAsia="en-US"/>
    </w:rPr>
  </w:style>
  <w:style w:type="character" w:customStyle="1" w:styleId="Section2Char">
    <w:name w:val="Section_2 Char"/>
    <w:basedOn w:val="Section1Char"/>
    <w:link w:val="Section2"/>
    <w:locked/>
    <w:rsid w:val="00CD6FE4"/>
    <w:rPr>
      <w:rFonts w:ascii="Times New Roman" w:hAnsi="Times New Roman" w:cs="Times New Roman"/>
      <w:b w:val="0"/>
      <w:i/>
      <w:sz w:val="22"/>
      <w:lang w:val="en-GB" w:eastAsia="en-US"/>
    </w:rPr>
  </w:style>
  <w:style w:type="paragraph" w:customStyle="1" w:styleId="Section3">
    <w:name w:val="Section_3"/>
    <w:basedOn w:val="Section1"/>
    <w:link w:val="Section3Char"/>
    <w:rsid w:val="00CD6FE4"/>
    <w:pPr>
      <w:jc w:val="both"/>
    </w:pPr>
    <w:rPr>
      <w:rFonts w:eastAsia="SimSun"/>
      <w:b w:val="0"/>
    </w:rPr>
  </w:style>
  <w:style w:type="character" w:customStyle="1" w:styleId="Section3Char">
    <w:name w:val="Section_3 Char"/>
    <w:basedOn w:val="Section1Char"/>
    <w:link w:val="Section3"/>
    <w:locked/>
    <w:rsid w:val="00CD6FE4"/>
    <w:rPr>
      <w:rFonts w:ascii="Times New Roman" w:eastAsia="SimSun" w:hAnsi="Times New Roman" w:cs="Times New Roman"/>
      <w:b w:val="0"/>
      <w:sz w:val="22"/>
      <w:lang w:val="en-GB" w:eastAsia="en-US"/>
    </w:rPr>
  </w:style>
  <w:style w:type="paragraph" w:customStyle="1" w:styleId="Tablefin">
    <w:name w:val="Table_fin"/>
    <w:basedOn w:val="Normal"/>
    <w:rsid w:val="00CD6FE4"/>
    <w:pPr>
      <w:spacing w:before="0"/>
    </w:pPr>
    <w:rPr>
      <w:sz w:val="12"/>
      <w:lang w:val="fr-FR"/>
    </w:rPr>
  </w:style>
  <w:style w:type="character" w:customStyle="1" w:styleId="Tablefreq">
    <w:name w:val="Table_freq"/>
    <w:basedOn w:val="DefaultParagraphFont"/>
    <w:rsid w:val="00CD6FE4"/>
    <w:rPr>
      <w:b/>
      <w:color w:val="auto"/>
    </w:rPr>
  </w:style>
  <w:style w:type="character" w:customStyle="1" w:styleId="TableheadChar">
    <w:name w:val="Table_head Char"/>
    <w:basedOn w:val="DefaultParagraphFont"/>
    <w:link w:val="Tablehead"/>
    <w:locked/>
    <w:rsid w:val="00CD6FE4"/>
    <w:rPr>
      <w:rFonts w:cs="Times New Roman"/>
      <w:b/>
      <w:lang w:val="en-GB" w:eastAsia="en-US"/>
    </w:rPr>
  </w:style>
  <w:style w:type="character" w:customStyle="1" w:styleId="TableNoChar">
    <w:name w:val="Table_No Char"/>
    <w:basedOn w:val="DefaultParagraphFont"/>
    <w:link w:val="TableNo"/>
    <w:locked/>
    <w:rsid w:val="00CD6FE4"/>
    <w:rPr>
      <w:rFonts w:cs="Times New Roman"/>
      <w:caps/>
      <w:sz w:val="22"/>
      <w:lang w:val="en-GB" w:eastAsia="en-US"/>
    </w:rPr>
  </w:style>
  <w:style w:type="paragraph" w:customStyle="1" w:styleId="TableTextS5">
    <w:name w:val="Table_TextS5"/>
    <w:basedOn w:val="Normal"/>
    <w:link w:val="TableTextS5Char"/>
    <w:rsid w:val="00CD6FE4"/>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CD6FE4"/>
    <w:rPr>
      <w:rFonts w:ascii="Times New Roman" w:hAnsi="Times New Roman" w:cs="Times New Roman"/>
      <w:sz w:val="18"/>
      <w:lang w:val="en-GB" w:eastAsia="en-US"/>
    </w:rPr>
  </w:style>
  <w:style w:type="paragraph" w:customStyle="1" w:styleId="TableNote">
    <w:name w:val="TableNote"/>
    <w:basedOn w:val="Tabletext"/>
    <w:rsid w:val="00CD6F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CD6FE4"/>
    <w:rPr>
      <w:rFonts w:cs="Times New Roman"/>
      <w:caps/>
      <w:sz w:val="26"/>
      <w:lang w:val="en-GB" w:eastAsia="en-US"/>
    </w:rPr>
  </w:style>
  <w:style w:type="paragraph" w:customStyle="1" w:styleId="Volumetitle">
    <w:name w:val="Volume_title"/>
    <w:basedOn w:val="ArtNo"/>
    <w:qFormat/>
    <w:rsid w:val="00CD6FE4"/>
    <w:rPr>
      <w:lang w:val="en-US"/>
    </w:rPr>
  </w:style>
  <w:style w:type="paragraph" w:customStyle="1" w:styleId="AnnexNotitle0">
    <w:name w:val="Annex_No &amp; title"/>
    <w:basedOn w:val="Normal"/>
    <w:next w:val="Normalaftertitle0"/>
    <w:link w:val="AnnexNotitleChar"/>
    <w:rsid w:val="00CD6FE4"/>
    <w:pPr>
      <w:keepNext/>
      <w:keepLines/>
      <w:spacing w:before="480"/>
      <w:jc w:val="center"/>
    </w:pPr>
    <w:rPr>
      <w:b/>
      <w:sz w:val="26"/>
    </w:rPr>
  </w:style>
  <w:style w:type="paragraph" w:customStyle="1" w:styleId="AppendixNotitle0">
    <w:name w:val="Appendix_No &amp; title"/>
    <w:basedOn w:val="AnnexNotitle0"/>
    <w:next w:val="Normalaftertitle0"/>
    <w:rsid w:val="00CD6FE4"/>
  </w:style>
  <w:style w:type="paragraph" w:customStyle="1" w:styleId="Bureau">
    <w:name w:val="Bureau"/>
    <w:basedOn w:val="Normal"/>
    <w:rsid w:val="00CD6FE4"/>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FigureNotitle0">
    <w:name w:val="Figure_No &amp; title"/>
    <w:basedOn w:val="Normal"/>
    <w:next w:val="Normalaftertitle0"/>
    <w:rsid w:val="00CD6FE4"/>
    <w:pPr>
      <w:keepLines/>
      <w:spacing w:before="240" w:after="120"/>
      <w:jc w:val="center"/>
    </w:pPr>
    <w:rPr>
      <w:b/>
    </w:rPr>
  </w:style>
  <w:style w:type="paragraph" w:customStyle="1" w:styleId="FigureNoBR">
    <w:name w:val="Figure_No_BR"/>
    <w:basedOn w:val="Normal"/>
    <w:next w:val="Normal"/>
    <w:rsid w:val="00CD6FE4"/>
    <w:pPr>
      <w:keepNext/>
      <w:keepLines/>
      <w:spacing w:before="480" w:after="120"/>
      <w:jc w:val="center"/>
    </w:pPr>
    <w:rPr>
      <w:caps/>
    </w:rPr>
  </w:style>
  <w:style w:type="paragraph" w:customStyle="1" w:styleId="TabletitleBR">
    <w:name w:val="Table_title_BR"/>
    <w:basedOn w:val="Normal"/>
    <w:next w:val="Tablehead"/>
    <w:link w:val="TabletitleBRChar"/>
    <w:rsid w:val="00CD6FE4"/>
    <w:pPr>
      <w:keepNext/>
      <w:keepLines/>
      <w:spacing w:before="0" w:after="120"/>
      <w:jc w:val="center"/>
    </w:pPr>
    <w:rPr>
      <w:b/>
    </w:rPr>
  </w:style>
  <w:style w:type="paragraph" w:customStyle="1" w:styleId="FiguretitleBR">
    <w:name w:val="Figure_title_BR"/>
    <w:basedOn w:val="TabletitleBR"/>
    <w:next w:val="Figurewithouttitle"/>
    <w:rsid w:val="00CD6FE4"/>
    <w:pPr>
      <w:keepNext w:val="0"/>
      <w:spacing w:after="480"/>
    </w:pPr>
  </w:style>
  <w:style w:type="paragraph" w:customStyle="1" w:styleId="Item">
    <w:name w:val="Item"/>
    <w:basedOn w:val="Normal"/>
    <w:rsid w:val="00CD6FE4"/>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D6FE4"/>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D6FE4"/>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D6FE4"/>
    <w:pPr>
      <w:spacing w:before="240" w:line="300" w:lineRule="exact"/>
      <w:ind w:left="794" w:right="794"/>
    </w:pPr>
    <w:rPr>
      <w:rFonts w:ascii="Arial" w:hAnsi="Arial" w:cs="Times New Roman"/>
      <w:sz w:val="22"/>
      <w:lang w:val="en-US" w:eastAsia="en-US" w:bidi="he-IL"/>
    </w:rPr>
  </w:style>
  <w:style w:type="paragraph" w:customStyle="1" w:styleId="RecNoBR">
    <w:name w:val="Rec_No_BR"/>
    <w:basedOn w:val="Normal"/>
    <w:next w:val="Rectitle"/>
    <w:rsid w:val="00CD6FE4"/>
    <w:pPr>
      <w:keepNext/>
      <w:keepLines/>
      <w:spacing w:before="480"/>
      <w:jc w:val="center"/>
    </w:pPr>
    <w:rPr>
      <w:caps/>
      <w:sz w:val="28"/>
    </w:rPr>
  </w:style>
  <w:style w:type="paragraph" w:customStyle="1" w:styleId="QuestionNoBR">
    <w:name w:val="Question_No_BR"/>
    <w:basedOn w:val="RecNoBR"/>
    <w:next w:val="Questiontitle"/>
    <w:rsid w:val="00CD6FE4"/>
  </w:style>
  <w:style w:type="paragraph" w:customStyle="1" w:styleId="RepNoBR">
    <w:name w:val="Rep_No_BR"/>
    <w:basedOn w:val="RecNoBR"/>
    <w:next w:val="Reptitle"/>
    <w:rsid w:val="00CD6FE4"/>
  </w:style>
  <w:style w:type="paragraph" w:customStyle="1" w:styleId="ResNoBR">
    <w:name w:val="Res_No_BR"/>
    <w:basedOn w:val="RecNoBR"/>
    <w:next w:val="Restitle"/>
    <w:rsid w:val="00CD6FE4"/>
  </w:style>
  <w:style w:type="paragraph" w:customStyle="1" w:styleId="TableNotitle0">
    <w:name w:val="Table_No &amp; title"/>
    <w:basedOn w:val="Normal"/>
    <w:next w:val="Tablehead"/>
    <w:rsid w:val="00CD6FE4"/>
    <w:pPr>
      <w:keepNext/>
      <w:keepLines/>
      <w:spacing w:before="360" w:after="120"/>
      <w:jc w:val="center"/>
    </w:pPr>
    <w:rPr>
      <w:b/>
    </w:rPr>
  </w:style>
  <w:style w:type="paragraph" w:customStyle="1" w:styleId="TableNoBR">
    <w:name w:val="Table_No_BR"/>
    <w:basedOn w:val="Normal"/>
    <w:next w:val="TabletitleBR"/>
    <w:link w:val="TableNoBRChar"/>
    <w:rsid w:val="00CD6FE4"/>
    <w:pPr>
      <w:keepNext/>
      <w:spacing w:before="560" w:after="120"/>
      <w:jc w:val="center"/>
    </w:pPr>
    <w:rPr>
      <w:caps/>
    </w:rPr>
  </w:style>
  <w:style w:type="paragraph" w:styleId="Revision">
    <w:name w:val="Revision"/>
    <w:hidden/>
    <w:uiPriority w:val="99"/>
    <w:semiHidden/>
    <w:rsid w:val="00E1584B"/>
    <w:rPr>
      <w:rFonts w:ascii="Times New Roman" w:eastAsiaTheme="minorEastAsia" w:hAnsi="Times New Roman" w:cs="Times New Roman"/>
      <w:sz w:val="24"/>
      <w:lang w:val="en-GB" w:eastAsia="en-US"/>
    </w:rPr>
  </w:style>
  <w:style w:type="table" w:customStyle="1" w:styleId="PlainTable41">
    <w:name w:val="Plain Table 41"/>
    <w:basedOn w:val="TableNormal"/>
    <w:uiPriority w:val="44"/>
    <w:rsid w:val="00E1584B"/>
    <w:rPr>
      <w:rFonts w:ascii="CG Times" w:eastAsiaTheme="minorEastAsia" w:hAnsi="CG Times"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semiHidden/>
    <w:unhideWhenUsed/>
    <w:rsid w:val="00E1584B"/>
    <w:pPr>
      <w:snapToGrid w:val="0"/>
    </w:pPr>
    <w:rPr>
      <w:rFonts w:ascii="Times New Roman" w:eastAsiaTheme="minorEastAsia" w:hAnsi="Times New Roman"/>
      <w:b/>
      <w:bCs/>
    </w:rPr>
  </w:style>
  <w:style w:type="character" w:customStyle="1" w:styleId="CommentSubjectChar">
    <w:name w:val="Comment Subject Char"/>
    <w:basedOn w:val="CommentTextChar"/>
    <w:link w:val="CommentSubject"/>
    <w:semiHidden/>
    <w:rsid w:val="00E1584B"/>
    <w:rPr>
      <w:rFonts w:ascii="Times New Roman" w:eastAsiaTheme="minorEastAsia" w:hAnsi="Times New Roman" w:cs="Times New Roman"/>
      <w:b/>
      <w:bCs/>
      <w:szCs w:val="22"/>
      <w:lang w:val="en-GB" w:eastAsia="en-US"/>
    </w:rPr>
  </w:style>
  <w:style w:type="table" w:customStyle="1" w:styleId="GridTable6Colorful-Accent51">
    <w:name w:val="Grid Table 6 Colorful - Accent 51"/>
    <w:basedOn w:val="TableNormal"/>
    <w:uiPriority w:val="51"/>
    <w:rsid w:val="00E1584B"/>
    <w:rPr>
      <w:rFonts w:ascii="CG Times" w:eastAsiaTheme="minorEastAsia" w:hAnsi="CG Times" w:cs="Times New Roman"/>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character" w:customStyle="1" w:styleId="Appref0">
    <w:name w:val="App#_ref"/>
    <w:rsid w:val="00E1584B"/>
    <w:rPr>
      <w:rFonts w:cs="Times New Roman"/>
    </w:rPr>
  </w:style>
  <w:style w:type="character" w:customStyle="1" w:styleId="Picturecaption2Exact">
    <w:name w:val="Picture caption (2) Exact"/>
    <w:basedOn w:val="DefaultParagraphFont"/>
    <w:link w:val="Picturecaption2"/>
    <w:rsid w:val="00E1584B"/>
    <w:rPr>
      <w:rFonts w:ascii="Arial" w:eastAsia="Arial" w:hAnsi="Arial" w:cs="Arial"/>
      <w:spacing w:val="12"/>
      <w:sz w:val="11"/>
      <w:szCs w:val="11"/>
      <w:shd w:val="clear" w:color="auto" w:fill="FFFFFF"/>
    </w:rPr>
  </w:style>
  <w:style w:type="character" w:customStyle="1" w:styleId="PicturecaptionExact">
    <w:name w:val="Picture caption Exact"/>
    <w:basedOn w:val="DefaultParagraphFont"/>
    <w:link w:val="Picturecaption"/>
    <w:rsid w:val="00E1584B"/>
    <w:rPr>
      <w:rFonts w:ascii="Tahoma" w:eastAsia="Tahoma" w:hAnsi="Tahoma" w:cs="Tahoma"/>
      <w:spacing w:val="-1"/>
      <w:sz w:val="13"/>
      <w:szCs w:val="13"/>
      <w:shd w:val="clear" w:color="auto" w:fill="FFFFFF"/>
    </w:rPr>
  </w:style>
  <w:style w:type="character" w:customStyle="1" w:styleId="Picturecaption4ptSpacing0ptExact">
    <w:name w:val="Picture caption + 4 pt;Spacing 0 pt Exact"/>
    <w:basedOn w:val="PicturecaptionExact"/>
    <w:rsid w:val="00E1584B"/>
    <w:rPr>
      <w:rFonts w:ascii="Tahoma" w:eastAsia="Tahoma" w:hAnsi="Tahoma" w:cs="Tahoma"/>
      <w:color w:val="000000"/>
      <w:spacing w:val="13"/>
      <w:w w:val="100"/>
      <w:position w:val="0"/>
      <w:sz w:val="8"/>
      <w:szCs w:val="8"/>
      <w:shd w:val="clear" w:color="auto" w:fill="FFFFFF"/>
      <w:lang w:val="ru-RU"/>
    </w:rPr>
  </w:style>
  <w:style w:type="paragraph" w:customStyle="1" w:styleId="Picturecaption2">
    <w:name w:val="Picture caption (2)"/>
    <w:basedOn w:val="Normal"/>
    <w:link w:val="Picturecaption2Exact"/>
    <w:rsid w:val="00E1584B"/>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Arial" w:eastAsia="Arial" w:hAnsi="Arial" w:cs="Arial"/>
      <w:spacing w:val="12"/>
      <w:sz w:val="11"/>
      <w:szCs w:val="11"/>
      <w:lang w:val="fr-CH" w:eastAsia="zh-CN"/>
    </w:rPr>
  </w:style>
  <w:style w:type="paragraph" w:customStyle="1" w:styleId="Picturecaption">
    <w:name w:val="Picture caption"/>
    <w:basedOn w:val="Normal"/>
    <w:link w:val="PicturecaptionExact"/>
    <w:rsid w:val="00E1584B"/>
    <w:pPr>
      <w:widowControl w:val="0"/>
      <w:shd w:val="clear" w:color="auto" w:fill="FFFFFF"/>
      <w:tabs>
        <w:tab w:val="clear" w:pos="794"/>
        <w:tab w:val="clear" w:pos="1191"/>
        <w:tab w:val="clear" w:pos="1588"/>
        <w:tab w:val="clear" w:pos="1985"/>
      </w:tabs>
      <w:overflowPunct/>
      <w:autoSpaceDE/>
      <w:autoSpaceDN/>
      <w:adjustRightInd/>
      <w:spacing w:before="0" w:line="197" w:lineRule="exact"/>
      <w:textAlignment w:val="auto"/>
    </w:pPr>
    <w:rPr>
      <w:rFonts w:ascii="Tahoma" w:eastAsia="Tahoma" w:hAnsi="Tahoma" w:cs="Tahoma"/>
      <w:spacing w:val="-1"/>
      <w:sz w:val="13"/>
      <w:szCs w:val="13"/>
      <w:lang w:val="fr-CH" w:eastAsia="zh-CN"/>
    </w:rPr>
  </w:style>
  <w:style w:type="table" w:customStyle="1" w:styleId="TableGrid1">
    <w:name w:val="Table Grid1"/>
    <w:basedOn w:val="TableNormal"/>
    <w:next w:val="TableGrid"/>
    <w:rsid w:val="00E158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1584B"/>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584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basedOn w:val="DefaultParagraphFont"/>
    <w:rsid w:val="00E1584B"/>
  </w:style>
  <w:style w:type="paragraph" w:customStyle="1" w:styleId="TableTitle0">
    <w:name w:val="Table_Title"/>
    <w:basedOn w:val="Normal"/>
    <w:next w:val="Tabletext"/>
    <w:rsid w:val="00E1584B"/>
    <w:pPr>
      <w:keepNext/>
      <w:tabs>
        <w:tab w:val="clear" w:pos="794"/>
        <w:tab w:val="clear" w:pos="1191"/>
        <w:tab w:val="clear" w:pos="1588"/>
        <w:tab w:val="clear" w:pos="1985"/>
      </w:tabs>
      <w:spacing w:before="0" w:after="120"/>
      <w:jc w:val="center"/>
    </w:pPr>
    <w:rPr>
      <w:rFonts w:ascii="Times New Roman" w:eastAsiaTheme="minorEastAsia" w:hAnsi="Times New Roman"/>
      <w:b/>
      <w:bCs/>
      <w:sz w:val="20"/>
    </w:rPr>
  </w:style>
  <w:style w:type="character" w:customStyle="1" w:styleId="href2">
    <w:name w:val="href2"/>
    <w:basedOn w:val="DefaultParagraphFont"/>
    <w:rsid w:val="00E1584B"/>
  </w:style>
  <w:style w:type="table" w:customStyle="1" w:styleId="GridTable5Dark-Accent11">
    <w:name w:val="Grid Table 5 Dark - Accent 11"/>
    <w:basedOn w:val="TableNormal"/>
    <w:next w:val="GridTable5Dark-Accent12"/>
    <w:uiPriority w:val="50"/>
    <w:rsid w:val="00E1584B"/>
    <w:rPr>
      <w:rFonts w:ascii="CG Times" w:eastAsiaTheme="minorEastAsia"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uiPriority w:val="50"/>
    <w:rsid w:val="00E1584B"/>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Text0">
    <w:name w:val="Table_Text"/>
    <w:basedOn w:val="Normal"/>
    <w:rsid w:val="00E158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lang w:val="en-US"/>
    </w:rPr>
  </w:style>
  <w:style w:type="character" w:customStyle="1" w:styleId="TabletitleBRChar">
    <w:name w:val="Table_title_BR Char"/>
    <w:link w:val="TabletitleBR"/>
    <w:locked/>
    <w:rsid w:val="00E1584B"/>
    <w:rPr>
      <w:rFonts w:cs="Times New Roman"/>
      <w:b/>
      <w:sz w:val="22"/>
      <w:lang w:val="en-GB" w:eastAsia="en-US"/>
    </w:rPr>
  </w:style>
  <w:style w:type="character" w:customStyle="1" w:styleId="TableNoBRChar">
    <w:name w:val="Table_No_BR Char"/>
    <w:link w:val="TableNoBR"/>
    <w:locked/>
    <w:rsid w:val="00E1584B"/>
    <w:rPr>
      <w:rFonts w:cs="Times New Roman"/>
      <w:caps/>
      <w:sz w:val="22"/>
      <w:lang w:val="en-GB" w:eastAsia="en-US"/>
    </w:rPr>
  </w:style>
  <w:style w:type="character" w:customStyle="1" w:styleId="AnnexNotitleChar">
    <w:name w:val="Annex_No &amp; title Char"/>
    <w:link w:val="AnnexNotitle0"/>
    <w:locked/>
    <w:rsid w:val="00E1584B"/>
    <w:rPr>
      <w:rFonts w:cs="Times New Roman"/>
      <w:b/>
      <w:sz w:val="26"/>
      <w:lang w:val="en-GB" w:eastAsia="en-US"/>
    </w:rPr>
  </w:style>
  <w:style w:type="numbering" w:customStyle="1" w:styleId="NoList1">
    <w:name w:val="No List1"/>
    <w:next w:val="NoList"/>
    <w:uiPriority w:val="99"/>
    <w:semiHidden/>
    <w:unhideWhenUsed/>
    <w:rsid w:val="00E1584B"/>
  </w:style>
  <w:style w:type="paragraph" w:styleId="BodyText">
    <w:name w:val="Body Text"/>
    <w:basedOn w:val="Normal"/>
    <w:link w:val="BodyTextChar"/>
    <w:uiPriority w:val="1"/>
    <w:qFormat/>
    <w:rsid w:val="00E1584B"/>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eastAsiaTheme="minorEastAsia" w:hAnsi="Arial"/>
      <w:b/>
      <w:color w:val="000000"/>
      <w:lang w:val="en-US"/>
    </w:rPr>
  </w:style>
  <w:style w:type="character" w:customStyle="1" w:styleId="BodyTextChar">
    <w:name w:val="Body Text Char"/>
    <w:basedOn w:val="DefaultParagraphFont"/>
    <w:link w:val="BodyText"/>
    <w:uiPriority w:val="1"/>
    <w:rsid w:val="00E1584B"/>
    <w:rPr>
      <w:rFonts w:ascii="Arial" w:eastAsiaTheme="minorEastAsia" w:hAnsi="Arial" w:cs="Times New Roman"/>
      <w:b/>
      <w:color w:val="000000"/>
      <w:sz w:val="22"/>
      <w:lang w:val="en-US" w:eastAsia="en-US"/>
    </w:rPr>
  </w:style>
  <w:style w:type="paragraph" w:customStyle="1" w:styleId="Table">
    <w:name w:val="Table_#"/>
    <w:basedOn w:val="Normal"/>
    <w:next w:val="Normal"/>
    <w:rsid w:val="00E1584B"/>
    <w:pPr>
      <w:keepNext/>
      <w:overflowPunct/>
      <w:autoSpaceDE/>
      <w:autoSpaceDN/>
      <w:adjustRightInd/>
      <w:spacing w:before="560" w:after="120"/>
      <w:jc w:val="center"/>
      <w:textAlignment w:val="auto"/>
    </w:pPr>
    <w:rPr>
      <w:rFonts w:ascii="Times New Roman" w:eastAsiaTheme="minorEastAsia" w:hAnsi="Times New Roman"/>
      <w:caps/>
      <w:sz w:val="24"/>
    </w:rPr>
  </w:style>
  <w:style w:type="paragraph" w:styleId="ListBullet2">
    <w:name w:val="List Bullet 2"/>
    <w:basedOn w:val="Normal"/>
    <w:autoRedefine/>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Bullet3">
    <w:name w:val="List Bullet 3"/>
    <w:basedOn w:val="Normal"/>
    <w:autoRedefine/>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Bullet4">
    <w:name w:val="List Bullet 4"/>
    <w:basedOn w:val="Normal"/>
    <w:autoRedefine/>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Bullet5">
    <w:name w:val="List Bullet 5"/>
    <w:basedOn w:val="Normal"/>
    <w:autoRedefine/>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paragraph" w:styleId="ListNumber2">
    <w:name w:val="List Number 2"/>
    <w:basedOn w:val="Normal"/>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Number3">
    <w:name w:val="List Number 3"/>
    <w:basedOn w:val="Normal"/>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Number4">
    <w:name w:val="List Number 4"/>
    <w:basedOn w:val="Normal"/>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Number5">
    <w:name w:val="List Number 5"/>
    <w:basedOn w:val="Normal"/>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character" w:customStyle="1" w:styleId="HTMLMarkup">
    <w:name w:val="HTML Markup"/>
    <w:rsid w:val="00E1584B"/>
    <w:rPr>
      <w:vanish/>
      <w:color w:val="FF0000"/>
    </w:rPr>
  </w:style>
  <w:style w:type="character" w:customStyle="1" w:styleId="Definition">
    <w:name w:val="Definition"/>
    <w:rsid w:val="00E1584B"/>
    <w:rPr>
      <w:i/>
    </w:rPr>
  </w:style>
  <w:style w:type="paragraph" w:styleId="DocumentMap">
    <w:name w:val="Document Map"/>
    <w:basedOn w:val="Normal"/>
    <w:link w:val="DocumentMapChar"/>
    <w:semiHidden/>
    <w:rsid w:val="00E1584B"/>
    <w:pPr>
      <w:shd w:val="clear" w:color="auto" w:fill="000080"/>
    </w:pPr>
    <w:rPr>
      <w:rFonts w:ascii="Tahoma" w:eastAsiaTheme="minorEastAsia" w:hAnsi="Tahoma" w:cs="Tahoma"/>
      <w:sz w:val="24"/>
    </w:rPr>
  </w:style>
  <w:style w:type="character" w:customStyle="1" w:styleId="DocumentMapChar">
    <w:name w:val="Document Map Char"/>
    <w:basedOn w:val="DefaultParagraphFont"/>
    <w:link w:val="DocumentMap"/>
    <w:semiHidden/>
    <w:rsid w:val="00E1584B"/>
    <w:rPr>
      <w:rFonts w:ascii="Tahoma" w:eastAsiaTheme="minorEastAsia" w:hAnsi="Tahoma" w:cs="Tahoma"/>
      <w:sz w:val="24"/>
      <w:shd w:val="clear" w:color="auto" w:fill="000080"/>
      <w:lang w:val="en-GB" w:eastAsia="en-US"/>
    </w:rPr>
  </w:style>
  <w:style w:type="paragraph" w:styleId="BodyText2">
    <w:name w:val="Body Text 2"/>
    <w:basedOn w:val="Normal"/>
    <w:link w:val="BodyText2Char"/>
    <w:rsid w:val="00E1584B"/>
    <w:pPr>
      <w:jc w:val="both"/>
    </w:pPr>
    <w:rPr>
      <w:rFonts w:ascii="Times New Roman" w:eastAsiaTheme="minorEastAsia" w:hAnsi="Times New Roman"/>
    </w:rPr>
  </w:style>
  <w:style w:type="character" w:customStyle="1" w:styleId="BodyText2Char">
    <w:name w:val="Body Text 2 Char"/>
    <w:basedOn w:val="DefaultParagraphFont"/>
    <w:link w:val="BodyText2"/>
    <w:rsid w:val="00E1584B"/>
    <w:rPr>
      <w:rFonts w:ascii="Times New Roman" w:eastAsiaTheme="minorEastAsia" w:hAnsi="Times New Roman" w:cs="Times New Roman"/>
      <w:sz w:val="22"/>
      <w:lang w:val="en-GB" w:eastAsia="en-US"/>
    </w:rPr>
  </w:style>
  <w:style w:type="paragraph" w:customStyle="1" w:styleId="Address">
    <w:name w:val="Address"/>
    <w:basedOn w:val="Normal"/>
    <w:next w:val="Normal"/>
    <w:rsid w:val="00E1584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snapToGrid w:val="0"/>
      <w:sz w:val="24"/>
      <w:lang w:val="en-US"/>
    </w:rPr>
  </w:style>
  <w:style w:type="character" w:customStyle="1" w:styleId="CITE">
    <w:name w:val="CITE"/>
    <w:rsid w:val="00E1584B"/>
    <w:rPr>
      <w:i/>
    </w:rPr>
  </w:style>
  <w:style w:type="character" w:customStyle="1" w:styleId="CODE">
    <w:name w:val="CODE"/>
    <w:rsid w:val="00E1584B"/>
    <w:rPr>
      <w:rFonts w:ascii="Courier New" w:hAnsi="Courier New"/>
      <w:sz w:val="20"/>
    </w:rPr>
  </w:style>
  <w:style w:type="character" w:customStyle="1" w:styleId="Keyboard">
    <w:name w:val="Keyboard"/>
    <w:rsid w:val="00E1584B"/>
    <w:rPr>
      <w:rFonts w:ascii="Courier New" w:hAnsi="Courier New"/>
      <w:b/>
      <w:sz w:val="20"/>
    </w:rPr>
  </w:style>
  <w:style w:type="paragraph" w:customStyle="1" w:styleId="Preformatted">
    <w:name w:val="Preformatted"/>
    <w:basedOn w:val="Normal"/>
    <w:rsid w:val="00E1584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heme="minorEastAsia" w:hAnsi="Courier New"/>
      <w:snapToGrid w:val="0"/>
      <w:sz w:val="20"/>
      <w:lang w:val="en-US"/>
    </w:rPr>
  </w:style>
  <w:style w:type="character" w:customStyle="1" w:styleId="Sample">
    <w:name w:val="Sample"/>
    <w:rsid w:val="00E1584B"/>
    <w:rPr>
      <w:rFonts w:ascii="Courier New" w:hAnsi="Courier New"/>
    </w:rPr>
  </w:style>
  <w:style w:type="character" w:customStyle="1" w:styleId="Typewriter">
    <w:name w:val="Typewriter"/>
    <w:rsid w:val="00E1584B"/>
    <w:rPr>
      <w:rFonts w:ascii="Courier New" w:hAnsi="Courier New"/>
      <w:sz w:val="20"/>
    </w:rPr>
  </w:style>
  <w:style w:type="character" w:customStyle="1" w:styleId="Variable">
    <w:name w:val="Variable"/>
    <w:rsid w:val="00E1584B"/>
    <w:rPr>
      <w:i/>
    </w:rPr>
  </w:style>
  <w:style w:type="character" w:customStyle="1" w:styleId="Comment">
    <w:name w:val="Comment"/>
    <w:rsid w:val="00E1584B"/>
    <w:rPr>
      <w:vanish/>
    </w:rPr>
  </w:style>
  <w:style w:type="table" w:customStyle="1" w:styleId="GridTable4-Accent11">
    <w:name w:val="Grid Table 4 - Accent 11"/>
    <w:basedOn w:val="TableNormal"/>
    <w:uiPriority w:val="49"/>
    <w:rsid w:val="00E1584B"/>
    <w:rPr>
      <w:rFonts w:asciiTheme="minorHAnsi" w:eastAsiaTheme="minorEastAsia"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1584B"/>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heme="minorEastAsia" w:hAnsi="Times New Roman"/>
      <w:snapToGrid w:val="0"/>
      <w:sz w:val="24"/>
      <w:lang w:val="en-US"/>
    </w:rPr>
  </w:style>
  <w:style w:type="character" w:customStyle="1" w:styleId="DateChar">
    <w:name w:val="Date Char"/>
    <w:basedOn w:val="DefaultParagraphFont"/>
    <w:link w:val="Date"/>
    <w:rsid w:val="00E1584B"/>
    <w:rPr>
      <w:rFonts w:ascii="Times New Roman" w:eastAsiaTheme="minorEastAsia" w:hAnsi="Times New Roman" w:cs="Times New Roman"/>
      <w:snapToGrid w:val="0"/>
      <w:sz w:val="24"/>
      <w:lang w:val="en-US" w:eastAsia="en-US"/>
    </w:rPr>
  </w:style>
  <w:style w:type="character" w:customStyle="1" w:styleId="AnnextitleChar">
    <w:name w:val="Annex_title Char"/>
    <w:basedOn w:val="DefaultParagraphFont"/>
    <w:locked/>
    <w:rsid w:val="00E1584B"/>
    <w:rPr>
      <w:rFonts w:ascii="Times New Roman Bold" w:hAnsi="Times New Roman Bold"/>
      <w:b/>
      <w:sz w:val="26"/>
      <w:lang w:val="en-GB" w:eastAsia="en-US"/>
    </w:rPr>
  </w:style>
  <w:style w:type="numbering" w:customStyle="1" w:styleId="NoList2">
    <w:name w:val="No List2"/>
    <w:next w:val="NoList"/>
    <w:uiPriority w:val="99"/>
    <w:semiHidden/>
    <w:unhideWhenUsed/>
    <w:rsid w:val="00E1584B"/>
  </w:style>
  <w:style w:type="numbering" w:customStyle="1" w:styleId="NoList3">
    <w:name w:val="No List3"/>
    <w:next w:val="NoList"/>
    <w:uiPriority w:val="99"/>
    <w:semiHidden/>
    <w:unhideWhenUsed/>
    <w:rsid w:val="00E1584B"/>
  </w:style>
  <w:style w:type="table" w:customStyle="1" w:styleId="TableGrid3">
    <w:name w:val="Table Grid3"/>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584B"/>
  </w:style>
  <w:style w:type="table" w:customStyle="1" w:styleId="TableGrid4">
    <w:name w:val="Table Grid4"/>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584B"/>
  </w:style>
  <w:style w:type="table" w:customStyle="1" w:styleId="TableGrid5">
    <w:name w:val="Table Grid5"/>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1584B"/>
  </w:style>
  <w:style w:type="table" w:customStyle="1" w:styleId="TableGrid6">
    <w:name w:val="Table Grid6"/>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1584B"/>
  </w:style>
  <w:style w:type="numbering" w:customStyle="1" w:styleId="NoList21">
    <w:name w:val="No List21"/>
    <w:next w:val="NoList"/>
    <w:uiPriority w:val="99"/>
    <w:semiHidden/>
    <w:unhideWhenUsed/>
    <w:rsid w:val="00E1584B"/>
  </w:style>
  <w:style w:type="table" w:customStyle="1" w:styleId="TableGrid21">
    <w:name w:val="Table Grid2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1584B"/>
  </w:style>
  <w:style w:type="table" w:customStyle="1" w:styleId="TableGrid31">
    <w:name w:val="Table Grid3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1584B"/>
  </w:style>
  <w:style w:type="table" w:customStyle="1" w:styleId="TableGrid41">
    <w:name w:val="Table Grid4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1584B"/>
  </w:style>
  <w:style w:type="table" w:customStyle="1" w:styleId="TableGrid51">
    <w:name w:val="Table Grid5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1584B"/>
  </w:style>
  <w:style w:type="table" w:customStyle="1" w:styleId="TableGrid61">
    <w:name w:val="Table Grid6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1584B"/>
  </w:style>
  <w:style w:type="table" w:customStyle="1" w:styleId="TableGrid7">
    <w:name w:val="Table Grid7"/>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584B"/>
  </w:style>
  <w:style w:type="table" w:customStyle="1" w:styleId="TableGrid12">
    <w:name w:val="Table Grid1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1584B"/>
  </w:style>
  <w:style w:type="table" w:customStyle="1" w:styleId="TableGrid22">
    <w:name w:val="Table Grid2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1584B"/>
  </w:style>
  <w:style w:type="table" w:customStyle="1" w:styleId="TableGrid32">
    <w:name w:val="Table Grid3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1584B"/>
  </w:style>
  <w:style w:type="table" w:customStyle="1" w:styleId="TableGrid42">
    <w:name w:val="Table Grid4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1584B"/>
  </w:style>
  <w:style w:type="table" w:customStyle="1" w:styleId="TableGrid52">
    <w:name w:val="Table Grid5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1584B"/>
  </w:style>
  <w:style w:type="table" w:customStyle="1" w:styleId="TableGrid62">
    <w:name w:val="Table Grid62"/>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1584B"/>
  </w:style>
  <w:style w:type="table" w:customStyle="1" w:styleId="TableGrid111">
    <w:name w:val="Table Grid1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1584B"/>
  </w:style>
  <w:style w:type="table" w:customStyle="1" w:styleId="TableGrid211">
    <w:name w:val="Table Grid2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1584B"/>
  </w:style>
  <w:style w:type="table" w:customStyle="1" w:styleId="TableGrid311">
    <w:name w:val="Table Grid3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1584B"/>
  </w:style>
  <w:style w:type="table" w:customStyle="1" w:styleId="TableGrid411">
    <w:name w:val="Table Grid4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1584B"/>
  </w:style>
  <w:style w:type="table" w:customStyle="1" w:styleId="TableGrid511">
    <w:name w:val="Table Grid5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1584B"/>
  </w:style>
  <w:style w:type="table" w:customStyle="1" w:styleId="TableGrid611">
    <w:name w:val="Table Grid6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1584B"/>
  </w:style>
  <w:style w:type="table" w:customStyle="1" w:styleId="TableGrid71">
    <w:name w:val="Table Grid7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84B"/>
    <w:pPr>
      <w:autoSpaceDE w:val="0"/>
      <w:autoSpaceDN w:val="0"/>
      <w:adjustRightInd w:val="0"/>
    </w:pPr>
    <w:rPr>
      <w:rFonts w:ascii="Times New Roman" w:eastAsiaTheme="minorEastAsia" w:hAnsi="Times New Roman" w:cs="Times New Roman"/>
      <w:color w:val="000000"/>
      <w:sz w:val="24"/>
      <w:szCs w:val="24"/>
      <w:lang w:val="en-US"/>
    </w:rPr>
  </w:style>
  <w:style w:type="numbering" w:customStyle="1" w:styleId="NoList8">
    <w:name w:val="No List8"/>
    <w:next w:val="NoList"/>
    <w:uiPriority w:val="99"/>
    <w:semiHidden/>
    <w:unhideWhenUsed/>
    <w:rsid w:val="00E1584B"/>
  </w:style>
  <w:style w:type="table" w:customStyle="1" w:styleId="TableGrid8">
    <w:name w:val="Table Grid8"/>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584B"/>
    <w:rPr>
      <w:i/>
      <w:iCs/>
      <w:color w:val="4F81BD" w:themeColor="accent1"/>
    </w:rPr>
  </w:style>
  <w:style w:type="numbering" w:customStyle="1" w:styleId="NoList9">
    <w:name w:val="No List9"/>
    <w:next w:val="NoList"/>
    <w:uiPriority w:val="99"/>
    <w:semiHidden/>
    <w:unhideWhenUsed/>
    <w:rsid w:val="00E1584B"/>
  </w:style>
  <w:style w:type="table" w:customStyle="1" w:styleId="TableGrid9">
    <w:name w:val="Table Grid9"/>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0">
    <w:name w:val="Book Title"/>
    <w:basedOn w:val="DefaultParagraphFont"/>
    <w:uiPriority w:val="33"/>
    <w:qFormat/>
    <w:rsid w:val="00E1584B"/>
    <w:rPr>
      <w:b/>
      <w:bCs/>
      <w:i/>
      <w:iCs/>
      <w:spacing w:val="5"/>
    </w:rPr>
  </w:style>
  <w:style w:type="table" w:customStyle="1" w:styleId="GridTable7Colorful-Accent11">
    <w:name w:val="Grid Table 7 Colorful - Accent 11"/>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0"/>
    <w:locked/>
    <w:rsid w:val="00E1584B"/>
    <w:rPr>
      <w:rFonts w:cs="Times New Roman"/>
      <w:sz w:val="22"/>
      <w:lang w:val="en-GB" w:eastAsia="en-US"/>
    </w:rPr>
  </w:style>
  <w:style w:type="table" w:customStyle="1" w:styleId="GridTable6Colorful1">
    <w:name w:val="Grid Table 6 Colorful1"/>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sref0">
    <w:name w:val="Res#_ref"/>
    <w:basedOn w:val="DefaultParagraphFont"/>
    <w:rsid w:val="00E1584B"/>
  </w:style>
  <w:style w:type="table" w:customStyle="1" w:styleId="GridTable2-Accent51">
    <w:name w:val="Grid Table 2 - Accent 51"/>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E1584B"/>
    <w:rPr>
      <w:color w:val="605E5C"/>
      <w:shd w:val="clear" w:color="auto" w:fill="E1DFDD"/>
    </w:rPr>
  </w:style>
  <w:style w:type="paragraph" w:styleId="NoSpacing">
    <w:name w:val="No Spacing"/>
    <w:uiPriority w:val="1"/>
    <w:qFormat/>
    <w:rsid w:val="00E1584B"/>
    <w:pPr>
      <w:tabs>
        <w:tab w:val="left" w:pos="794"/>
        <w:tab w:val="left" w:pos="1191"/>
        <w:tab w:val="left" w:pos="1588"/>
        <w:tab w:val="left" w:pos="1985"/>
      </w:tabs>
      <w:overflowPunct w:val="0"/>
      <w:autoSpaceDE w:val="0"/>
      <w:autoSpaceDN w:val="0"/>
      <w:adjustRightInd w:val="0"/>
      <w:textAlignment w:val="baseline"/>
    </w:pPr>
    <w:rPr>
      <w:rFonts w:ascii="Times New Roman" w:eastAsiaTheme="minorEastAsia" w:hAnsi="Times New Roman" w:cs="Times New Roman"/>
      <w:sz w:val="24"/>
      <w:lang w:val="en-GB" w:eastAsia="en-US"/>
    </w:rPr>
  </w:style>
  <w:style w:type="paragraph" w:styleId="Title">
    <w:name w:val="Title"/>
    <w:basedOn w:val="Normal"/>
    <w:link w:val="TitleChar"/>
    <w:uiPriority w:val="10"/>
    <w:qFormat/>
    <w:rsid w:val="00E1584B"/>
    <w:pPr>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b/>
      <w:bCs/>
      <w:szCs w:val="24"/>
      <w:lang w:val="en-US"/>
    </w:rPr>
  </w:style>
  <w:style w:type="character" w:customStyle="1" w:styleId="TitleChar">
    <w:name w:val="Title Char"/>
    <w:basedOn w:val="DefaultParagraphFont"/>
    <w:link w:val="Title"/>
    <w:uiPriority w:val="10"/>
    <w:rsid w:val="00E1584B"/>
    <w:rPr>
      <w:rFonts w:ascii="Arial" w:eastAsiaTheme="minorEastAsia" w:hAnsi="Arial" w:cs="Times New Roman"/>
      <w:b/>
      <w:bCs/>
      <w:sz w:val="22"/>
      <w:szCs w:val="24"/>
      <w:lang w:val="en-US" w:eastAsia="en-US"/>
    </w:rPr>
  </w:style>
  <w:style w:type="character" w:customStyle="1" w:styleId="UnresolvedMention2">
    <w:name w:val="Unresolved Mention2"/>
    <w:basedOn w:val="DefaultParagraphFont"/>
    <w:uiPriority w:val="99"/>
    <w:semiHidden/>
    <w:unhideWhenUsed/>
    <w:rsid w:val="00E1584B"/>
    <w:rPr>
      <w:color w:val="605E5C"/>
      <w:shd w:val="clear" w:color="auto" w:fill="E1DFDD"/>
    </w:rPr>
  </w:style>
  <w:style w:type="paragraph" w:styleId="EndnoteText">
    <w:name w:val="endnote text"/>
    <w:basedOn w:val="Normal"/>
    <w:link w:val="EndnoteTextChar"/>
    <w:uiPriority w:val="99"/>
    <w:semiHidden/>
    <w:unhideWhenUsed/>
    <w:rsid w:val="00E1584B"/>
    <w:pPr>
      <w:spacing w:before="0"/>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E1584B"/>
    <w:rPr>
      <w:rFonts w:ascii="Times New Roman" w:eastAsiaTheme="minorEastAsia" w:hAnsi="Times New Roman" w:cs="Times New Roman"/>
      <w:lang w:val="en-GB" w:eastAsia="en-US"/>
    </w:rPr>
  </w:style>
  <w:style w:type="table" w:customStyle="1" w:styleId="GridTable7Colorful-Accent12">
    <w:name w:val="Grid Table 7 Colorful - Accent 12"/>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2">
    <w:name w:val="Grid Table 5 Dark - Accent 22"/>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2">
    <w:name w:val="Grid Table 1 Light - Accent 12"/>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2">
    <w:name w:val="Grid Table 2 - Accent 52"/>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2">
    <w:name w:val="Grid Table 6 Colorful - Accent 12"/>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0">
    <w:name w:val="Unresolved Mention10"/>
    <w:basedOn w:val="DefaultParagraphFont"/>
    <w:uiPriority w:val="99"/>
    <w:semiHidden/>
    <w:unhideWhenUsed/>
    <w:rsid w:val="00E1584B"/>
    <w:rPr>
      <w:color w:val="605E5C"/>
      <w:shd w:val="clear" w:color="auto" w:fill="E1DFDD"/>
    </w:rPr>
  </w:style>
  <w:style w:type="character" w:customStyle="1" w:styleId="UnresolvedMention3">
    <w:name w:val="Unresolved Mention3"/>
    <w:basedOn w:val="DefaultParagraphFont"/>
    <w:uiPriority w:val="99"/>
    <w:semiHidden/>
    <w:unhideWhenUsed/>
    <w:rsid w:val="00E1584B"/>
    <w:rPr>
      <w:color w:val="605E5C"/>
      <w:shd w:val="clear" w:color="auto" w:fill="E1DFDD"/>
    </w:rPr>
  </w:style>
  <w:style w:type="character" w:customStyle="1" w:styleId="UnresolvedMention100">
    <w:name w:val="Unresolved Mention100"/>
    <w:basedOn w:val="DefaultParagraphFont"/>
    <w:uiPriority w:val="99"/>
    <w:semiHidden/>
    <w:unhideWhenUsed/>
    <w:rsid w:val="00E1584B"/>
    <w:rPr>
      <w:color w:val="605E5C"/>
      <w:shd w:val="clear" w:color="auto" w:fill="E1DFDD"/>
    </w:rPr>
  </w:style>
  <w:style w:type="character" w:customStyle="1" w:styleId="UnresolvedMention1000">
    <w:name w:val="Unresolved Mention1000"/>
    <w:basedOn w:val="DefaultParagraphFont"/>
    <w:uiPriority w:val="99"/>
    <w:semiHidden/>
    <w:unhideWhenUsed/>
    <w:rsid w:val="00E1584B"/>
    <w:rPr>
      <w:color w:val="605E5C"/>
      <w:shd w:val="clear" w:color="auto" w:fill="E1DFDD"/>
    </w:rPr>
  </w:style>
  <w:style w:type="character" w:customStyle="1" w:styleId="UnresolvedMention10000">
    <w:name w:val="Unresolved Mention10000"/>
    <w:basedOn w:val="DefaultParagraphFont"/>
    <w:uiPriority w:val="99"/>
    <w:semiHidden/>
    <w:unhideWhenUsed/>
    <w:rsid w:val="00E1584B"/>
    <w:rPr>
      <w:color w:val="605E5C"/>
      <w:shd w:val="clear" w:color="auto" w:fill="E1DFDD"/>
    </w:rPr>
  </w:style>
  <w:style w:type="character" w:customStyle="1" w:styleId="UnresolvedMention100000">
    <w:name w:val="Unresolved Mention100000"/>
    <w:basedOn w:val="DefaultParagraphFont"/>
    <w:uiPriority w:val="99"/>
    <w:semiHidden/>
    <w:unhideWhenUsed/>
    <w:rsid w:val="00E1584B"/>
    <w:rPr>
      <w:color w:val="605E5C"/>
      <w:shd w:val="clear" w:color="auto" w:fill="E1DFDD"/>
    </w:rPr>
  </w:style>
  <w:style w:type="character" w:customStyle="1" w:styleId="UnresolvedMention1000000">
    <w:name w:val="Unresolved Mention1000000"/>
    <w:basedOn w:val="DefaultParagraphFont"/>
    <w:uiPriority w:val="99"/>
    <w:semiHidden/>
    <w:unhideWhenUsed/>
    <w:rsid w:val="00E1584B"/>
    <w:rPr>
      <w:color w:val="605E5C"/>
      <w:shd w:val="clear" w:color="auto" w:fill="E1DFDD"/>
    </w:rPr>
  </w:style>
  <w:style w:type="character" w:customStyle="1" w:styleId="UnresolvedMention10000000">
    <w:name w:val="Unresolved Mention10000000"/>
    <w:basedOn w:val="DefaultParagraphFont"/>
    <w:uiPriority w:val="99"/>
    <w:semiHidden/>
    <w:unhideWhenUsed/>
    <w:rsid w:val="00E1584B"/>
    <w:rPr>
      <w:color w:val="605E5C"/>
      <w:shd w:val="clear" w:color="auto" w:fill="E1DFDD"/>
    </w:rPr>
  </w:style>
  <w:style w:type="character" w:customStyle="1" w:styleId="UnresolvedMention100000000">
    <w:name w:val="Unresolved Mention100000000"/>
    <w:basedOn w:val="DefaultParagraphFont"/>
    <w:uiPriority w:val="99"/>
    <w:semiHidden/>
    <w:unhideWhenUsed/>
    <w:rsid w:val="00E1584B"/>
    <w:rPr>
      <w:color w:val="605E5C"/>
      <w:shd w:val="clear" w:color="auto" w:fill="E1DFDD"/>
    </w:rPr>
  </w:style>
  <w:style w:type="character" w:customStyle="1" w:styleId="UnresolvedMention4">
    <w:name w:val="Unresolved Mention4"/>
    <w:basedOn w:val="DefaultParagraphFont"/>
    <w:uiPriority w:val="99"/>
    <w:semiHidden/>
    <w:unhideWhenUsed/>
    <w:rsid w:val="00E1584B"/>
    <w:rPr>
      <w:color w:val="605E5C"/>
      <w:shd w:val="clear" w:color="auto" w:fill="E1DFDD"/>
    </w:rPr>
  </w:style>
  <w:style w:type="character" w:customStyle="1" w:styleId="UnresolvedMention5">
    <w:name w:val="Unresolved Mention5"/>
    <w:basedOn w:val="DefaultParagraphFont"/>
    <w:uiPriority w:val="99"/>
    <w:semiHidden/>
    <w:unhideWhenUsed/>
    <w:rsid w:val="00E1584B"/>
    <w:rPr>
      <w:color w:val="605E5C"/>
      <w:shd w:val="clear" w:color="auto" w:fill="E1DFDD"/>
    </w:rPr>
  </w:style>
  <w:style w:type="character" w:styleId="IntenseReference">
    <w:name w:val="Intense Reference"/>
    <w:basedOn w:val="DefaultParagraphFont"/>
    <w:uiPriority w:val="32"/>
    <w:qFormat/>
    <w:rsid w:val="00E1584B"/>
    <w:rPr>
      <w:b/>
      <w:bCs/>
      <w:smallCaps/>
      <w:color w:val="4F81BD" w:themeColor="accent1"/>
      <w:spacing w:val="5"/>
    </w:rPr>
  </w:style>
  <w:style w:type="paragraph" w:customStyle="1" w:styleId="TableHead0">
    <w:name w:val="Table_Head"/>
    <w:basedOn w:val="Normal"/>
    <w:next w:val="Normal"/>
    <w:rsid w:val="00E1584B"/>
    <w:pPr>
      <w:tabs>
        <w:tab w:val="clear" w:pos="794"/>
        <w:tab w:val="clear" w:pos="1191"/>
        <w:tab w:val="clear" w:pos="1588"/>
        <w:tab w:val="clear" w:pos="1985"/>
      </w:tabs>
      <w:spacing w:before="80" w:after="80"/>
      <w:jc w:val="center"/>
    </w:pPr>
    <w:rPr>
      <w:rFonts w:ascii="Times New Roman" w:eastAsiaTheme="minorEastAsia" w:hAnsi="Times New Roman"/>
      <w:b/>
      <w:sz w:val="20"/>
    </w:rPr>
  </w:style>
  <w:style w:type="paragraph" w:styleId="TableofFigures">
    <w:name w:val="table of figures"/>
    <w:basedOn w:val="Normal"/>
    <w:next w:val="Normal"/>
    <w:semiHidden/>
    <w:rsid w:val="00E1584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character" w:customStyle="1" w:styleId="UnresolvedMention6">
    <w:name w:val="Unresolved Mention6"/>
    <w:basedOn w:val="DefaultParagraphFont"/>
    <w:uiPriority w:val="99"/>
    <w:semiHidden/>
    <w:unhideWhenUsed/>
    <w:rsid w:val="00E1584B"/>
    <w:rPr>
      <w:color w:val="605E5C"/>
      <w:shd w:val="clear" w:color="auto" w:fill="E1DFDD"/>
    </w:rPr>
  </w:style>
  <w:style w:type="character" w:customStyle="1" w:styleId="ListParagraphChar">
    <w:name w:val="List Paragraph Char"/>
    <w:basedOn w:val="DefaultParagraphFont"/>
    <w:link w:val="ListParagraph"/>
    <w:uiPriority w:val="1"/>
    <w:locked/>
    <w:rsid w:val="00E1584B"/>
    <w:rPr>
      <w:rFonts w:eastAsia="SimSun" w:cs="Times New Roman"/>
      <w:sz w:val="22"/>
      <w:lang w:val="en-GB"/>
    </w:rPr>
  </w:style>
  <w:style w:type="table" w:styleId="GridTable4-Accent1">
    <w:name w:val="Grid Table 4 Accent 1"/>
    <w:basedOn w:val="TableNormal"/>
    <w:uiPriority w:val="49"/>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Неразрешенное упоминание1"/>
    <w:basedOn w:val="DefaultParagraphFont"/>
    <w:uiPriority w:val="99"/>
    <w:semiHidden/>
    <w:unhideWhenUsed/>
    <w:rsid w:val="00E1584B"/>
    <w:rPr>
      <w:color w:val="605E5C"/>
      <w:shd w:val="clear" w:color="auto" w:fill="E1DFDD"/>
    </w:rPr>
  </w:style>
  <w:style w:type="character" w:styleId="SubtleReference">
    <w:name w:val="Subtle Reference"/>
    <w:basedOn w:val="DefaultParagraphFont"/>
    <w:uiPriority w:val="31"/>
    <w:qFormat/>
    <w:rsid w:val="00E1584B"/>
    <w:rPr>
      <w:smallCaps/>
      <w:color w:val="5A5A5A" w:themeColor="text1" w:themeTint="A5"/>
    </w:rPr>
  </w:style>
  <w:style w:type="character" w:customStyle="1" w:styleId="Picturecaption3">
    <w:name w:val="Picture caption (3)"/>
    <w:basedOn w:val="DefaultParagraphFont"/>
    <w:rsid w:val="00E1584B"/>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Picturecaption4">
    <w:name w:val="Picture caption (4)"/>
    <w:basedOn w:val="DefaultParagraphFont"/>
    <w:rsid w:val="00E1584B"/>
    <w:rPr>
      <w:rFonts w:ascii="Arial" w:eastAsia="Arial" w:hAnsi="Arial" w:cs="Arial"/>
      <w:b w:val="0"/>
      <w:bCs w:val="0"/>
      <w:i w:val="0"/>
      <w:iCs w:val="0"/>
      <w:smallCaps w:val="0"/>
      <w:strike w:val="0"/>
      <w:color w:val="000000"/>
      <w:spacing w:val="-1"/>
      <w:w w:val="100"/>
      <w:position w:val="0"/>
      <w:sz w:val="20"/>
      <w:szCs w:val="20"/>
      <w:u w:val="none"/>
      <w:lang w:val="en-GB" w:eastAsia="en-GB" w:bidi="en-GB"/>
    </w:rPr>
  </w:style>
  <w:style w:type="character" w:customStyle="1" w:styleId="Bodytext20">
    <w:name w:val="Body text (2)"/>
    <w:basedOn w:val="DefaultParagraphFont"/>
    <w:rsid w:val="00E1584B"/>
    <w:rPr>
      <w:rFonts w:ascii="Times New Roman" w:eastAsia="Times New Roman" w:hAnsi="Times New Roman" w:cs="Times New Roman"/>
      <w:b/>
      <w:bCs/>
      <w:i w:val="0"/>
      <w:iCs w:val="0"/>
      <w:smallCaps w:val="0"/>
      <w:strike w:val="0"/>
      <w:color w:val="000000"/>
      <w:spacing w:val="6"/>
      <w:w w:val="100"/>
      <w:position w:val="0"/>
      <w:sz w:val="22"/>
      <w:szCs w:val="22"/>
      <w:u w:val="none"/>
      <w:lang w:val="en-GB" w:eastAsia="en-GB" w:bidi="en-GB"/>
    </w:rPr>
  </w:style>
  <w:style w:type="character" w:customStyle="1" w:styleId="Picturecaption7">
    <w:name w:val="Picture caption (7)"/>
    <w:basedOn w:val="DefaultParagraphFont"/>
    <w:rsid w:val="00E1584B"/>
    <w:rPr>
      <w:rFonts w:ascii="Corbel" w:eastAsia="Corbel" w:hAnsi="Corbel" w:cs="Corbel"/>
      <w:b w:val="0"/>
      <w:bCs w:val="0"/>
      <w:i w:val="0"/>
      <w:iCs w:val="0"/>
      <w:smallCaps w:val="0"/>
      <w:strike w:val="0"/>
      <w:color w:val="000000"/>
      <w:spacing w:val="14"/>
      <w:w w:val="100"/>
      <w:position w:val="0"/>
      <w:sz w:val="13"/>
      <w:szCs w:val="13"/>
      <w:u w:val="none"/>
      <w:lang w:val="en-GB" w:eastAsia="en-GB" w:bidi="en-GB"/>
    </w:rPr>
  </w:style>
  <w:style w:type="table" w:customStyle="1" w:styleId="TableGrid10">
    <w:name w:val="Table Grid10"/>
    <w:basedOn w:val="TableNormal"/>
    <w:next w:val="TableGrid"/>
    <w:uiPriority w:val="59"/>
    <w:rsid w:val="00E1584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lit">
    <w:name w:val="Table_split"/>
    <w:basedOn w:val="Tabletext"/>
    <w:qFormat/>
    <w:rsid w:val="00E1584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b/>
    </w:rPr>
  </w:style>
  <w:style w:type="character" w:customStyle="1" w:styleId="UnresolvedMention7">
    <w:name w:val="Unresolved Mention7"/>
    <w:basedOn w:val="DefaultParagraphFont"/>
    <w:uiPriority w:val="99"/>
    <w:semiHidden/>
    <w:unhideWhenUsed/>
    <w:rsid w:val="00E1584B"/>
    <w:rPr>
      <w:color w:val="605E5C"/>
      <w:shd w:val="clear" w:color="auto" w:fill="E1DFDD"/>
    </w:rPr>
  </w:style>
  <w:style w:type="paragraph" w:customStyle="1" w:styleId="EditorsNote">
    <w:name w:val="EditorsNote"/>
    <w:basedOn w:val="Normal"/>
    <w:rsid w:val="00E1584B"/>
    <w:pPr>
      <w:tabs>
        <w:tab w:val="clear" w:pos="794"/>
        <w:tab w:val="clear" w:pos="1191"/>
        <w:tab w:val="clear" w:pos="1588"/>
        <w:tab w:val="clear" w:pos="1985"/>
        <w:tab w:val="left" w:pos="1134"/>
        <w:tab w:val="left" w:pos="1871"/>
        <w:tab w:val="left" w:pos="2268"/>
      </w:tabs>
      <w:spacing w:before="240" w:after="240"/>
    </w:pPr>
    <w:rPr>
      <w:rFonts w:ascii="Times New Roman" w:hAnsi="Times New Roman"/>
      <w:i/>
      <w:iCs/>
      <w:sz w:val="24"/>
    </w:rPr>
  </w:style>
  <w:style w:type="paragraph" w:customStyle="1" w:styleId="Figurewithlegend">
    <w:name w:val="Figure_with_legend"/>
    <w:basedOn w:val="Figure"/>
    <w:rsid w:val="00E1584B"/>
    <w:pPr>
      <w:keepNext w:val="0"/>
      <w:keepLines w:val="0"/>
      <w:tabs>
        <w:tab w:val="clear" w:pos="794"/>
        <w:tab w:val="clear" w:pos="1191"/>
        <w:tab w:val="clear" w:pos="1588"/>
        <w:tab w:val="clear" w:pos="1985"/>
        <w:tab w:val="left" w:pos="1134"/>
        <w:tab w:val="left" w:pos="1871"/>
        <w:tab w:val="left" w:pos="2268"/>
      </w:tabs>
      <w:spacing w:after="240"/>
    </w:pPr>
    <w:rPr>
      <w:rFonts w:ascii="Times New Roman" w:hAnsi="Times New Roman"/>
      <w:noProof/>
      <w:sz w:val="24"/>
      <w:lang w:eastAsia="zh-CN"/>
    </w:rPr>
  </w:style>
  <w:style w:type="paragraph" w:styleId="Signature">
    <w:name w:val="Signature"/>
    <w:basedOn w:val="Normal"/>
    <w:link w:val="SignatureChar"/>
    <w:unhideWhenUsed/>
    <w:rsid w:val="00E1584B"/>
    <w:pPr>
      <w:tabs>
        <w:tab w:val="clear" w:pos="794"/>
        <w:tab w:val="clear" w:pos="1191"/>
        <w:tab w:val="clear" w:pos="1588"/>
        <w:tab w:val="clear" w:pos="1985"/>
        <w:tab w:val="center" w:pos="7371"/>
      </w:tabs>
      <w:spacing w:before="600"/>
    </w:pPr>
    <w:rPr>
      <w:rFonts w:ascii="Times New Roman" w:hAnsi="Times New Roman"/>
      <w:sz w:val="24"/>
    </w:rPr>
  </w:style>
  <w:style w:type="character" w:customStyle="1" w:styleId="SignatureChar">
    <w:name w:val="Signature Char"/>
    <w:basedOn w:val="DefaultParagraphFont"/>
    <w:link w:val="Signature"/>
    <w:rsid w:val="00E1584B"/>
    <w:rPr>
      <w:rFonts w:ascii="Times New Roman" w:hAnsi="Times New Roman" w:cs="Times New Roman"/>
      <w:sz w:val="24"/>
      <w:lang w:val="en-GB" w:eastAsia="en-US"/>
    </w:rPr>
  </w:style>
  <w:style w:type="character" w:customStyle="1" w:styleId="AppendixNoChar">
    <w:name w:val="Appendix_No Char"/>
    <w:basedOn w:val="DefaultParagraphFont"/>
    <w:locked/>
    <w:rsid w:val="00E1584B"/>
    <w:rPr>
      <w:rFonts w:ascii="Times New Roman" w:hAnsi="Times New Roman"/>
      <w:caps/>
      <w:sz w:val="28"/>
      <w:lang w:val="en-GB" w:eastAsia="en-US"/>
    </w:rPr>
  </w:style>
  <w:style w:type="character" w:customStyle="1" w:styleId="ApprefBold">
    <w:name w:val="App_ref +  Bold"/>
    <w:basedOn w:val="DefaultParagraphFont"/>
    <w:rsid w:val="00E1584B"/>
    <w:rPr>
      <w:b/>
      <w:color w:val="auto"/>
    </w:rPr>
  </w:style>
  <w:style w:type="paragraph" w:customStyle="1" w:styleId="TableParagraph">
    <w:name w:val="Table Paragraph"/>
    <w:basedOn w:val="Normal"/>
    <w:uiPriority w:val="1"/>
    <w:qFormat/>
    <w:rsid w:val="00E1584B"/>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TableGrid13">
    <w:name w:val="Table Grid13"/>
    <w:basedOn w:val="TableNormal"/>
    <w:next w:val="TableGrid"/>
    <w:rsid w:val="00E1584B"/>
    <w:pPr>
      <w:tabs>
        <w:tab w:val="left" w:pos="1134"/>
        <w:tab w:val="left" w:pos="1871"/>
        <w:tab w:val="left" w:pos="2268"/>
      </w:tabs>
      <w:overflowPunct w:val="0"/>
      <w:autoSpaceDE w:val="0"/>
      <w:autoSpaceDN w:val="0"/>
      <w:adjustRightInd w:val="0"/>
      <w:spacing w:before="120"/>
    </w:pPr>
    <w:rPr>
      <w:rFonts w:ascii="Times New Roman" w:eastAsia="SimSu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customStyle="1" w:styleId="PlainTable511">
    <w:name w:val="Plain Table 511"/>
    <w:basedOn w:val="TableNormal"/>
    <w:uiPriority w:val="45"/>
    <w:rsid w:val="00E1584B"/>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158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hyperlink" Target="https://www.itu.int/md/R22-RRB22.3-C-0005/en" TargetMode="External"/><Relationship Id="rId39" Type="http://schemas.openxmlformats.org/officeDocument/2006/relationships/hyperlink" Target="https://www.itu.int/md/R22-RRB22.3-C-0015/en" TargetMode="Externa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7/en" TargetMode="External"/><Relationship Id="rId42" Type="http://schemas.openxmlformats.org/officeDocument/2006/relationships/hyperlink" Target="https://www.itu.int/md/R22-RRB22.3-SP-0001/en" TargetMode="External"/><Relationship Id="rId47" Type="http://schemas.openxmlformats.org/officeDocument/2006/relationships/hyperlink" Target="https://www.itu.int/md/R22-RRB22.3-C-0013/en" TargetMode="External"/><Relationship Id="rId50" Type="http://schemas.openxmlformats.org/officeDocument/2006/relationships/hyperlink" Target="https://www.itu.int/md/R22-RRB22.3-C-0017/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itu.int/md/R22-RRB22.3-C-0005/en" TargetMode="External"/><Relationship Id="rId11" Type="http://schemas.openxmlformats.org/officeDocument/2006/relationships/header" Target="header3.xml"/><Relationship Id="rId24" Type="http://schemas.openxmlformats.org/officeDocument/2006/relationships/hyperlink" Target="https://www.itu.int/md/R22-RRB22.3-C-0005/en" TargetMode="External"/><Relationship Id="rId32" Type="http://schemas.openxmlformats.org/officeDocument/2006/relationships/hyperlink" Target="https://www.itu.int/md/R22-RRB22.3-C-0004/en" TargetMode="External"/><Relationship Id="rId37" Type="http://schemas.openxmlformats.org/officeDocument/2006/relationships/hyperlink" Target="https://www.itu.int/md/R22-RRB22.3-C-0010/en" TargetMode="External"/><Relationship Id="rId40" Type="http://schemas.openxmlformats.org/officeDocument/2006/relationships/hyperlink" Target="https://www.itu.int/md/R22-RRB22.3-C-0003/en" TargetMode="External"/><Relationship Id="rId45" Type="http://schemas.openxmlformats.org/officeDocument/2006/relationships/hyperlink" Target="https://www.itu.int/md/R22-RRB22.3-C-0002/en"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itu.int/md/R22-RRB22.3-C-0005/en" TargetMode="External"/><Relationship Id="rId31" Type="http://schemas.openxmlformats.org/officeDocument/2006/relationships/hyperlink" Target="https://www.itu.int/md/R20-RRB20.1-C-0001/en" TargetMode="External"/><Relationship Id="rId44" Type="http://schemas.openxmlformats.org/officeDocument/2006/relationships/hyperlink" Target="https://www.itu.int/md/R22-RRB22.3-C-0005/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5/en" TargetMode="External"/><Relationship Id="rId30" Type="http://schemas.openxmlformats.org/officeDocument/2006/relationships/hyperlink" Target="https://www.itu.int/md/R22-RRB22.3-C-0001/en" TargetMode="External"/><Relationship Id="rId35" Type="http://schemas.openxmlformats.org/officeDocument/2006/relationships/hyperlink" Target="https://www.itu.int/md/R22-RRB22.3-C-0008/en" TargetMode="External"/><Relationship Id="rId43" Type="http://schemas.openxmlformats.org/officeDocument/2006/relationships/hyperlink" Target="https://www.itu.int/md/R22-RRB22.3-SP-0002/en" TargetMode="External"/><Relationship Id="rId48" Type="http://schemas.openxmlformats.org/officeDocument/2006/relationships/hyperlink" Target="https://www.itu.int/md/R22-RRB22.3-C-0014/en" TargetMode="Externa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itu.int/md/R22-RRB22.3-C-0005/en" TargetMode="External"/><Relationship Id="rId33" Type="http://schemas.openxmlformats.org/officeDocument/2006/relationships/hyperlink" Target="https://www.itu.int/md/R22-RRB22.3-C-0006/en" TargetMode="External"/><Relationship Id="rId38" Type="http://schemas.openxmlformats.org/officeDocument/2006/relationships/hyperlink" Target="https://www.itu.int/md/R22-RRB22.3-C-0012/en" TargetMode="External"/><Relationship Id="rId46" Type="http://schemas.openxmlformats.org/officeDocument/2006/relationships/hyperlink" Target="https://www.itu.int/md/R22-RRB22.2-SP-0001/en" TargetMode="External"/><Relationship Id="rId20" Type="http://schemas.openxmlformats.org/officeDocument/2006/relationships/hyperlink" Target="https://www.itu.int/md/R22-RRB22.3-C-0005/en" TargetMode="External"/><Relationship Id="rId41" Type="http://schemas.openxmlformats.org/officeDocument/2006/relationships/hyperlink" Target="https://www.itu.int/md/R22-RRB22.2-SP-0002/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5/en" TargetMode="External"/><Relationship Id="rId36" Type="http://schemas.openxmlformats.org/officeDocument/2006/relationships/hyperlink" Target="https://www.itu.int/md/R22-RRB22.3-C-0009/en" TargetMode="External"/><Relationship Id="rId49" Type="http://schemas.openxmlformats.org/officeDocument/2006/relationships/hyperlink" Target="https://www.itu.int/md/R22-RRB22.3-C-0011/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9EB9851F64D77A134C5F73508B1C9"/>
        <w:category>
          <w:name w:val="General"/>
          <w:gallery w:val="placeholder"/>
        </w:category>
        <w:types>
          <w:type w:val="bbPlcHdr"/>
        </w:types>
        <w:behaviors>
          <w:behavior w:val="content"/>
        </w:behaviors>
        <w:guid w:val="{559C7B74-A659-4A6E-8359-3EC02B2A5857}"/>
      </w:docPartPr>
      <w:docPartBody>
        <w:p w:rsidR="00273EDE" w:rsidRDefault="00002AF8" w:rsidP="00002AF8">
          <w:pPr>
            <w:pStyle w:val="6129EB9851F64D77A134C5F73508B1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F8"/>
    <w:rsid w:val="00002AF8"/>
    <w:rsid w:val="0027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AF8"/>
    <w:rPr>
      <w:color w:val="808080"/>
    </w:rPr>
  </w:style>
  <w:style w:type="paragraph" w:customStyle="1" w:styleId="6129EB9851F64D77A134C5F73508B1C9">
    <w:name w:val="6129EB9851F64D77A134C5F73508B1C9"/>
    <w:rsid w:val="00002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CE0-467A-4FE5-8D4B-4143D19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30635</Words>
  <Characters>174624</Characters>
  <Application>Microsoft Office Word</Application>
  <DocSecurity>0</DocSecurity>
  <Lines>1455</Lines>
  <Paragraphs>409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204850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2023-01-23T07:24:00Z</dcterms:created>
  <dcterms:modified xsi:type="dcterms:W3CDTF">2023-01-23T08:22:00Z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