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06B4F" w14:textId="77777777" w:rsidR="009E6EBB" w:rsidRPr="004D0658" w:rsidRDefault="009E6EBB" w:rsidP="00FE00C7">
      <w:pPr>
        <w:tabs>
          <w:tab w:val="clear" w:pos="794"/>
          <w:tab w:val="clear" w:pos="1191"/>
          <w:tab w:val="clear" w:pos="1588"/>
          <w:tab w:val="clear" w:pos="1985"/>
        </w:tabs>
        <w:spacing w:before="0"/>
        <w:jc w:val="left"/>
        <w:rPr>
          <w:rFonts w:cstheme="minorHAnsi"/>
          <w:b/>
          <w:bCs/>
          <w:color w:val="808080"/>
          <w:sz w:val="28"/>
          <w:szCs w:val="28"/>
          <w:lang w:val="en-GB"/>
        </w:rPr>
      </w:pPr>
      <w:r w:rsidRPr="004D0658">
        <w:rPr>
          <w:rFonts w:cstheme="minorHAnsi"/>
          <w:b/>
          <w:bCs/>
          <w:color w:val="808080"/>
          <w:sz w:val="28"/>
          <w:szCs w:val="28"/>
          <w:lang w:val="en-GB"/>
        </w:rPr>
        <w:t>Radiocommunication Bureau (BR)</w:t>
      </w:r>
    </w:p>
    <w:p w14:paraId="734186D8" w14:textId="77777777" w:rsidR="009E6EBB" w:rsidRPr="004D0658" w:rsidRDefault="009E6EBB" w:rsidP="00FE00C7">
      <w:pPr>
        <w:tabs>
          <w:tab w:val="clear" w:pos="794"/>
          <w:tab w:val="clear" w:pos="1191"/>
          <w:tab w:val="clear" w:pos="1588"/>
          <w:tab w:val="clear" w:pos="1985"/>
        </w:tabs>
        <w:ind w:left="142"/>
      </w:pPr>
    </w:p>
    <w:tbl>
      <w:tblPr>
        <w:tblW w:w="9889" w:type="dxa"/>
        <w:tblLayout w:type="fixed"/>
        <w:tblLook w:val="04A0" w:firstRow="1" w:lastRow="0" w:firstColumn="1" w:lastColumn="0" w:noHBand="0" w:noVBand="1"/>
      </w:tblPr>
      <w:tblGrid>
        <w:gridCol w:w="1526"/>
        <w:gridCol w:w="5386"/>
        <w:gridCol w:w="2977"/>
      </w:tblGrid>
      <w:tr w:rsidR="00295CF8" w:rsidRPr="00EB410C" w14:paraId="1B864158" w14:textId="77777777" w:rsidTr="002C73C0">
        <w:tc>
          <w:tcPr>
            <w:tcW w:w="6912" w:type="dxa"/>
            <w:gridSpan w:val="2"/>
            <w:shd w:val="clear" w:color="auto" w:fill="auto"/>
          </w:tcPr>
          <w:p w14:paraId="73B7EAED" w14:textId="77777777" w:rsidR="006E27D3" w:rsidRDefault="009E6EBB" w:rsidP="006E27D3">
            <w:pPr>
              <w:tabs>
                <w:tab w:val="clear" w:pos="794"/>
                <w:tab w:val="clear" w:pos="1191"/>
                <w:tab w:val="clear" w:pos="1588"/>
                <w:tab w:val="clear" w:pos="1985"/>
              </w:tabs>
              <w:spacing w:before="0"/>
              <w:ind w:left="-105"/>
              <w:jc w:val="left"/>
              <w:rPr>
                <w:sz w:val="24"/>
                <w:szCs w:val="24"/>
                <w:lang w:val="en-GB"/>
              </w:rPr>
            </w:pPr>
            <w:r w:rsidRPr="004D0658">
              <w:rPr>
                <w:sz w:val="24"/>
                <w:szCs w:val="24"/>
                <w:lang w:val="en-GB"/>
              </w:rPr>
              <w:t>Circular Letter</w:t>
            </w:r>
          </w:p>
          <w:p w14:paraId="0D552710" w14:textId="4F6A4763" w:rsidR="009E6EBB" w:rsidRPr="004D0658" w:rsidRDefault="009E6EBB" w:rsidP="006E27D3">
            <w:pPr>
              <w:tabs>
                <w:tab w:val="clear" w:pos="794"/>
                <w:tab w:val="clear" w:pos="1191"/>
                <w:tab w:val="clear" w:pos="1588"/>
                <w:tab w:val="clear" w:pos="1985"/>
              </w:tabs>
              <w:spacing w:before="0"/>
              <w:ind w:left="-105"/>
              <w:jc w:val="left"/>
              <w:rPr>
                <w:b/>
                <w:bCs/>
                <w:szCs w:val="24"/>
                <w:lang w:val="en-GB"/>
              </w:rPr>
            </w:pPr>
            <w:r w:rsidRPr="00EB410C">
              <w:rPr>
                <w:b/>
                <w:bCs/>
                <w:sz w:val="24"/>
                <w:szCs w:val="24"/>
                <w:lang w:val="en-GB"/>
              </w:rPr>
              <w:t>C</w:t>
            </w:r>
            <w:r w:rsidR="0083025F" w:rsidRPr="00EB410C">
              <w:rPr>
                <w:b/>
                <w:bCs/>
                <w:sz w:val="24"/>
                <w:szCs w:val="24"/>
                <w:lang w:val="en-GB"/>
              </w:rPr>
              <w:t>R</w:t>
            </w:r>
            <w:r w:rsidRPr="00EB410C">
              <w:rPr>
                <w:b/>
                <w:bCs/>
                <w:sz w:val="24"/>
                <w:szCs w:val="24"/>
                <w:lang w:val="en-GB"/>
              </w:rPr>
              <w:t>/</w:t>
            </w:r>
            <w:r w:rsidR="00EB410C" w:rsidRPr="00EB410C">
              <w:rPr>
                <w:b/>
                <w:bCs/>
                <w:sz w:val="24"/>
                <w:szCs w:val="24"/>
                <w:lang w:val="en-GB"/>
              </w:rPr>
              <w:t>488</w:t>
            </w:r>
          </w:p>
        </w:tc>
        <w:tc>
          <w:tcPr>
            <w:tcW w:w="2977" w:type="dxa"/>
            <w:shd w:val="clear" w:color="auto" w:fill="auto"/>
          </w:tcPr>
          <w:p w14:paraId="16C84185" w14:textId="368DC007" w:rsidR="009E6EBB" w:rsidRPr="00EB410C" w:rsidRDefault="00EB0AEF" w:rsidP="00FE00C7">
            <w:pPr>
              <w:tabs>
                <w:tab w:val="clear" w:pos="794"/>
                <w:tab w:val="clear" w:pos="1191"/>
                <w:tab w:val="clear" w:pos="1588"/>
                <w:tab w:val="clear" w:pos="1985"/>
              </w:tabs>
              <w:spacing w:before="0"/>
              <w:ind w:left="-105"/>
              <w:jc w:val="right"/>
              <w:rPr>
                <w:szCs w:val="24"/>
                <w:lang w:val="en-GB"/>
              </w:rPr>
            </w:pPr>
            <w:r>
              <w:rPr>
                <w:sz w:val="24"/>
                <w:szCs w:val="28"/>
                <w:lang w:val="en-GB"/>
              </w:rPr>
              <w:t>8</w:t>
            </w:r>
            <w:bookmarkStart w:id="0" w:name="_GoBack"/>
            <w:bookmarkEnd w:id="0"/>
            <w:r w:rsidR="0083025F" w:rsidRPr="00EB410C">
              <w:rPr>
                <w:sz w:val="24"/>
                <w:szCs w:val="28"/>
                <w:lang w:val="en-GB"/>
              </w:rPr>
              <w:t xml:space="preserve"> </w:t>
            </w:r>
            <w:r w:rsidR="00586945" w:rsidRPr="00EB410C">
              <w:rPr>
                <w:sz w:val="24"/>
                <w:szCs w:val="28"/>
                <w:lang w:val="en-GB"/>
              </w:rPr>
              <w:t>Ju</w:t>
            </w:r>
            <w:r w:rsidR="00FE67AE">
              <w:rPr>
                <w:sz w:val="24"/>
                <w:szCs w:val="28"/>
                <w:lang w:val="en-GB"/>
              </w:rPr>
              <w:t>ly</w:t>
            </w:r>
            <w:r w:rsidR="00586945" w:rsidRPr="00EB410C">
              <w:rPr>
                <w:sz w:val="24"/>
                <w:szCs w:val="28"/>
                <w:lang w:val="en-GB"/>
              </w:rPr>
              <w:t xml:space="preserve"> </w:t>
            </w:r>
            <w:r w:rsidR="00066E5D" w:rsidRPr="00EB410C">
              <w:rPr>
                <w:sz w:val="24"/>
                <w:szCs w:val="28"/>
                <w:lang w:val="en-GB"/>
              </w:rPr>
              <w:t>202</w:t>
            </w:r>
            <w:r w:rsidR="007757AC" w:rsidRPr="00EB410C">
              <w:rPr>
                <w:sz w:val="24"/>
                <w:szCs w:val="28"/>
                <w:lang w:val="en-GB"/>
              </w:rPr>
              <w:t>2</w:t>
            </w:r>
          </w:p>
        </w:tc>
      </w:tr>
      <w:tr w:rsidR="009E6EBB" w:rsidRPr="004D0658" w14:paraId="0466C98C" w14:textId="77777777" w:rsidTr="002C73C0">
        <w:tc>
          <w:tcPr>
            <w:tcW w:w="9889" w:type="dxa"/>
            <w:gridSpan w:val="3"/>
            <w:shd w:val="clear" w:color="auto" w:fill="auto"/>
          </w:tcPr>
          <w:p w14:paraId="08857F06" w14:textId="136234D6" w:rsidR="006E27D3" w:rsidRPr="004D0658" w:rsidRDefault="006E27D3" w:rsidP="006E27D3">
            <w:pPr>
              <w:tabs>
                <w:tab w:val="clear" w:pos="794"/>
                <w:tab w:val="clear" w:pos="1191"/>
                <w:tab w:val="clear" w:pos="1588"/>
                <w:tab w:val="clear" w:pos="1985"/>
                <w:tab w:val="left" w:pos="4428"/>
              </w:tabs>
              <w:spacing w:before="480"/>
              <w:ind w:left="-108"/>
              <w:jc w:val="left"/>
              <w:rPr>
                <w:rFonts w:cs="Arial"/>
                <w:sz w:val="24"/>
                <w:szCs w:val="24"/>
                <w:lang w:val="en-GB"/>
              </w:rPr>
            </w:pPr>
          </w:p>
        </w:tc>
      </w:tr>
      <w:tr w:rsidR="00EB5EC0" w:rsidRPr="004D0658" w14:paraId="45500DD5" w14:textId="77777777" w:rsidTr="002C73C0">
        <w:tc>
          <w:tcPr>
            <w:tcW w:w="9889" w:type="dxa"/>
            <w:gridSpan w:val="3"/>
            <w:shd w:val="clear" w:color="auto" w:fill="auto"/>
          </w:tcPr>
          <w:tbl>
            <w:tblPr>
              <w:tblW w:w="9889" w:type="dxa"/>
              <w:jc w:val="center"/>
              <w:tblLayout w:type="fixed"/>
              <w:tblLook w:val="04A0" w:firstRow="1" w:lastRow="0" w:firstColumn="1" w:lastColumn="0" w:noHBand="0" w:noVBand="1"/>
            </w:tblPr>
            <w:tblGrid>
              <w:gridCol w:w="9889"/>
            </w:tblGrid>
            <w:tr w:rsidR="00EB5EC0" w:rsidRPr="004D0658" w14:paraId="078BBAAF" w14:textId="77777777" w:rsidTr="00E94A13">
              <w:trPr>
                <w:jc w:val="center"/>
              </w:trPr>
              <w:tc>
                <w:tcPr>
                  <w:tcW w:w="9889" w:type="dxa"/>
                  <w:shd w:val="clear" w:color="auto" w:fill="auto"/>
                </w:tcPr>
                <w:p w14:paraId="1DC79045" w14:textId="625E147D" w:rsidR="00EB5EC0" w:rsidRPr="004D0658" w:rsidRDefault="00EB5EC0" w:rsidP="00FE00C7">
                  <w:pPr>
                    <w:tabs>
                      <w:tab w:val="clear" w:pos="794"/>
                      <w:tab w:val="clear" w:pos="1191"/>
                      <w:tab w:val="clear" w:pos="1588"/>
                      <w:tab w:val="clear" w:pos="1985"/>
                    </w:tabs>
                    <w:spacing w:before="0"/>
                    <w:ind w:left="-105"/>
                    <w:jc w:val="left"/>
                    <w:rPr>
                      <w:sz w:val="24"/>
                      <w:szCs w:val="24"/>
                    </w:rPr>
                  </w:pPr>
                  <w:r w:rsidRPr="004D0658">
                    <w:rPr>
                      <w:rFonts w:asciiTheme="minorHAnsi" w:hAnsiTheme="minorHAnsi"/>
                      <w:b/>
                      <w:bCs/>
                      <w:sz w:val="24"/>
                      <w:szCs w:val="24"/>
                    </w:rPr>
                    <w:t xml:space="preserve">To Administrations of Member States of the ITU </w:t>
                  </w:r>
                </w:p>
                <w:p w14:paraId="0BF66BA1" w14:textId="77777777" w:rsidR="00EB5EC0" w:rsidRPr="004D0658" w:rsidRDefault="00EB5EC0" w:rsidP="00FE00C7">
                  <w:pPr>
                    <w:tabs>
                      <w:tab w:val="clear" w:pos="794"/>
                      <w:tab w:val="clear" w:pos="1191"/>
                      <w:tab w:val="clear" w:pos="1588"/>
                      <w:tab w:val="clear" w:pos="1985"/>
                    </w:tabs>
                    <w:spacing w:before="0"/>
                    <w:ind w:left="-105"/>
                    <w:jc w:val="left"/>
                    <w:rPr>
                      <w:b/>
                      <w:bCs/>
                      <w:sz w:val="24"/>
                      <w:szCs w:val="24"/>
                      <w:lang w:val="en-GB"/>
                    </w:rPr>
                  </w:pPr>
                </w:p>
              </w:tc>
            </w:tr>
          </w:tbl>
          <w:p w14:paraId="446DD9F9" w14:textId="77777777" w:rsidR="00EB5EC0" w:rsidRPr="004D0658" w:rsidRDefault="00EB5EC0" w:rsidP="00FE00C7">
            <w:pPr>
              <w:tabs>
                <w:tab w:val="clear" w:pos="794"/>
                <w:tab w:val="clear" w:pos="1191"/>
                <w:tab w:val="clear" w:pos="1588"/>
                <w:tab w:val="clear" w:pos="1985"/>
              </w:tabs>
              <w:spacing w:before="0"/>
              <w:ind w:left="-105"/>
              <w:jc w:val="left"/>
              <w:rPr>
                <w:b/>
                <w:bCs/>
                <w:sz w:val="24"/>
                <w:szCs w:val="24"/>
                <w:lang w:val="en-GB"/>
              </w:rPr>
            </w:pPr>
          </w:p>
        </w:tc>
      </w:tr>
      <w:tr w:rsidR="009E6EBB" w:rsidRPr="004D0658" w14:paraId="582F5A55" w14:textId="77777777" w:rsidTr="002C73C0">
        <w:tc>
          <w:tcPr>
            <w:tcW w:w="9889" w:type="dxa"/>
            <w:gridSpan w:val="3"/>
            <w:shd w:val="clear" w:color="auto" w:fill="auto"/>
          </w:tcPr>
          <w:p w14:paraId="2B2F7F32" w14:textId="77777777" w:rsidR="009E6EBB" w:rsidRPr="004D0658" w:rsidRDefault="009E6EBB" w:rsidP="00FE00C7">
            <w:pPr>
              <w:tabs>
                <w:tab w:val="clear" w:pos="794"/>
                <w:tab w:val="clear" w:pos="1191"/>
                <w:tab w:val="clear" w:pos="1588"/>
                <w:tab w:val="clear" w:pos="1985"/>
              </w:tabs>
              <w:spacing w:before="0"/>
              <w:ind w:left="-105"/>
              <w:jc w:val="left"/>
              <w:rPr>
                <w:sz w:val="24"/>
                <w:szCs w:val="24"/>
                <w:lang w:val="en-GB"/>
              </w:rPr>
            </w:pPr>
          </w:p>
        </w:tc>
      </w:tr>
      <w:tr w:rsidR="009E6EBB" w:rsidRPr="004D0658" w14:paraId="1BBE8555" w14:textId="77777777" w:rsidTr="002C73C0">
        <w:tc>
          <w:tcPr>
            <w:tcW w:w="9889" w:type="dxa"/>
            <w:gridSpan w:val="3"/>
            <w:shd w:val="clear" w:color="auto" w:fill="auto"/>
          </w:tcPr>
          <w:p w14:paraId="2BA95F6C" w14:textId="77777777" w:rsidR="009E6EBB" w:rsidRPr="004D0658" w:rsidRDefault="009E6EBB" w:rsidP="00FE00C7">
            <w:pPr>
              <w:tabs>
                <w:tab w:val="clear" w:pos="794"/>
                <w:tab w:val="clear" w:pos="1191"/>
                <w:tab w:val="clear" w:pos="1588"/>
                <w:tab w:val="clear" w:pos="1985"/>
              </w:tabs>
              <w:spacing w:before="0"/>
              <w:ind w:left="-105"/>
              <w:jc w:val="left"/>
              <w:rPr>
                <w:sz w:val="24"/>
                <w:szCs w:val="24"/>
                <w:lang w:val="en-GB"/>
              </w:rPr>
            </w:pPr>
          </w:p>
        </w:tc>
      </w:tr>
      <w:tr w:rsidR="009E6EBB" w:rsidRPr="004D0658" w14:paraId="6D299DCB" w14:textId="77777777" w:rsidTr="002C73C0">
        <w:tc>
          <w:tcPr>
            <w:tcW w:w="1526" w:type="dxa"/>
            <w:shd w:val="clear" w:color="auto" w:fill="auto"/>
          </w:tcPr>
          <w:p w14:paraId="770DD236" w14:textId="77777777" w:rsidR="009E6EBB" w:rsidRPr="004D0658" w:rsidRDefault="009E6EBB" w:rsidP="00FE00C7">
            <w:pPr>
              <w:tabs>
                <w:tab w:val="clear" w:pos="794"/>
                <w:tab w:val="clear" w:pos="1191"/>
                <w:tab w:val="clear" w:pos="1588"/>
                <w:tab w:val="clear" w:pos="1985"/>
              </w:tabs>
              <w:spacing w:before="0"/>
              <w:ind w:left="-105"/>
              <w:jc w:val="left"/>
              <w:rPr>
                <w:sz w:val="24"/>
                <w:szCs w:val="24"/>
                <w:lang w:val="en-GB"/>
              </w:rPr>
            </w:pPr>
            <w:r w:rsidRPr="004D0658">
              <w:rPr>
                <w:sz w:val="24"/>
                <w:szCs w:val="24"/>
                <w:lang w:val="en-GB"/>
              </w:rPr>
              <w:t>Subject:</w:t>
            </w:r>
          </w:p>
        </w:tc>
        <w:tc>
          <w:tcPr>
            <w:tcW w:w="8363" w:type="dxa"/>
            <w:gridSpan w:val="2"/>
            <w:vMerge w:val="restart"/>
            <w:shd w:val="clear" w:color="auto" w:fill="auto"/>
          </w:tcPr>
          <w:p w14:paraId="684654A1" w14:textId="1821D3F4" w:rsidR="00335CB4" w:rsidRPr="00965846" w:rsidRDefault="000C3692" w:rsidP="00AD01C3">
            <w:pPr>
              <w:tabs>
                <w:tab w:val="clear" w:pos="794"/>
                <w:tab w:val="clear" w:pos="1191"/>
                <w:tab w:val="clear" w:pos="1588"/>
                <w:tab w:val="clear" w:pos="1985"/>
                <w:tab w:val="left" w:pos="6690"/>
              </w:tabs>
              <w:spacing w:before="0" w:after="360" w:line="276" w:lineRule="auto"/>
              <w:ind w:left="-108"/>
              <w:rPr>
                <w:rFonts w:eastAsia="Times New Roman"/>
                <w:b/>
                <w:bCs/>
                <w:sz w:val="24"/>
                <w:szCs w:val="24"/>
              </w:rPr>
            </w:pPr>
            <w:r>
              <w:rPr>
                <w:rFonts w:asciiTheme="minorHAnsi" w:hAnsiTheme="minorHAnsi" w:cstheme="minorHAnsi"/>
                <w:b/>
                <w:bCs/>
                <w:sz w:val="24"/>
                <w:szCs w:val="24"/>
                <w:lang w:val="en-GB"/>
              </w:rPr>
              <w:t xml:space="preserve">Prevention of harmful interference to </w:t>
            </w:r>
            <w:bookmarkStart w:id="1" w:name="_Hlk99376359"/>
            <w:r>
              <w:rPr>
                <w:rFonts w:asciiTheme="minorHAnsi" w:hAnsiTheme="minorHAnsi" w:cstheme="minorHAnsi"/>
                <w:b/>
                <w:bCs/>
                <w:sz w:val="24"/>
                <w:szCs w:val="24"/>
                <w:lang w:val="en-GB"/>
              </w:rPr>
              <w:t>Radio Navigation Satellite Service Receivers in the 1559 – 1610 MHz frequency band</w:t>
            </w:r>
            <w:bookmarkEnd w:id="1"/>
          </w:p>
        </w:tc>
      </w:tr>
      <w:tr w:rsidR="009E6EBB" w:rsidRPr="004D0658" w14:paraId="5B23A838" w14:textId="77777777" w:rsidTr="002C73C0">
        <w:tc>
          <w:tcPr>
            <w:tcW w:w="1526" w:type="dxa"/>
            <w:shd w:val="clear" w:color="auto" w:fill="auto"/>
          </w:tcPr>
          <w:p w14:paraId="709777DE" w14:textId="77777777" w:rsidR="009E6EBB" w:rsidRPr="004D0658" w:rsidRDefault="009E6EBB" w:rsidP="00FE00C7">
            <w:pPr>
              <w:tabs>
                <w:tab w:val="clear" w:pos="794"/>
                <w:tab w:val="clear" w:pos="1191"/>
                <w:tab w:val="clear" w:pos="1588"/>
                <w:tab w:val="clear" w:pos="1985"/>
              </w:tabs>
              <w:spacing w:before="0"/>
              <w:ind w:hanging="105"/>
              <w:jc w:val="left"/>
              <w:rPr>
                <w:b/>
                <w:bCs/>
                <w:sz w:val="24"/>
                <w:szCs w:val="24"/>
                <w:lang w:val="en-GB"/>
              </w:rPr>
            </w:pPr>
          </w:p>
        </w:tc>
        <w:tc>
          <w:tcPr>
            <w:tcW w:w="8363" w:type="dxa"/>
            <w:gridSpan w:val="2"/>
            <w:vMerge/>
            <w:shd w:val="clear" w:color="auto" w:fill="auto"/>
          </w:tcPr>
          <w:p w14:paraId="7DDE7B0D" w14:textId="77777777" w:rsidR="009E6EBB" w:rsidRPr="004D0658" w:rsidRDefault="009E6EBB" w:rsidP="00FE00C7">
            <w:pPr>
              <w:tabs>
                <w:tab w:val="clear" w:pos="794"/>
                <w:tab w:val="clear" w:pos="1191"/>
                <w:tab w:val="clear" w:pos="1588"/>
                <w:tab w:val="clear" w:pos="1985"/>
              </w:tabs>
              <w:spacing w:before="0"/>
              <w:ind w:left="142"/>
              <w:rPr>
                <w:b/>
                <w:bCs/>
                <w:sz w:val="24"/>
                <w:szCs w:val="24"/>
                <w:lang w:val="en-GB"/>
              </w:rPr>
            </w:pPr>
          </w:p>
        </w:tc>
      </w:tr>
    </w:tbl>
    <w:p w14:paraId="73B56F79" w14:textId="1134B073" w:rsidR="00FB1B09" w:rsidRPr="00AD01C3" w:rsidRDefault="00DA37F2" w:rsidP="00AD01C3">
      <w:pPr>
        <w:tabs>
          <w:tab w:val="left" w:pos="2835"/>
        </w:tabs>
        <w:spacing w:before="240" w:line="276" w:lineRule="auto"/>
      </w:pPr>
      <w:r w:rsidRPr="00AD01C3">
        <w:t xml:space="preserve">Following its </w:t>
      </w:r>
      <w:r w:rsidR="005D2E03" w:rsidRPr="00AD01C3">
        <w:t xml:space="preserve">initial report to the 2019 World Radiocommunication Conference, the </w:t>
      </w:r>
      <w:r w:rsidR="00FB1B09" w:rsidRPr="00AD01C3">
        <w:t xml:space="preserve">Radiocommunication Bureau has been informed of </w:t>
      </w:r>
      <w:r w:rsidR="007A50B0" w:rsidRPr="00AD01C3">
        <w:t xml:space="preserve">a significant number of </w:t>
      </w:r>
      <w:r w:rsidR="00FB1B09" w:rsidRPr="00AD01C3">
        <w:t xml:space="preserve">cases of harmful interference </w:t>
      </w:r>
      <w:r w:rsidR="003C4484" w:rsidRPr="00AD01C3">
        <w:t>to</w:t>
      </w:r>
      <w:r w:rsidR="00E7115D" w:rsidRPr="00AD01C3">
        <w:t xml:space="preserve"> </w:t>
      </w:r>
      <w:r w:rsidR="008C5685" w:rsidRPr="00AD01C3">
        <w:t xml:space="preserve">the </w:t>
      </w:r>
      <w:r w:rsidR="00590B3D" w:rsidRPr="00AD01C3">
        <w:t>r</w:t>
      </w:r>
      <w:r w:rsidR="007237A7" w:rsidRPr="00AD01C3">
        <w:t>adionavigation-</w:t>
      </w:r>
      <w:r w:rsidR="00590B3D" w:rsidRPr="00AD01C3">
        <w:t>s</w:t>
      </w:r>
      <w:r w:rsidR="008C5685" w:rsidRPr="00AD01C3">
        <w:t xml:space="preserve">atellite </w:t>
      </w:r>
      <w:r w:rsidR="00590B3D" w:rsidRPr="00AD01C3">
        <w:t>s</w:t>
      </w:r>
      <w:r w:rsidR="008C5685" w:rsidRPr="00AD01C3">
        <w:t xml:space="preserve">ervice </w:t>
      </w:r>
      <w:r w:rsidR="00E7115D" w:rsidRPr="00AD01C3">
        <w:t xml:space="preserve">(RNSS) </w:t>
      </w:r>
      <w:r w:rsidR="008C5685" w:rsidRPr="00AD01C3">
        <w:t>in the 1</w:t>
      </w:r>
      <w:r w:rsidR="00AD01C3">
        <w:t> </w:t>
      </w:r>
      <w:r w:rsidR="008C5685" w:rsidRPr="00AD01C3">
        <w:t>559</w:t>
      </w:r>
      <w:r w:rsidR="00AD01C3">
        <w:t> </w:t>
      </w:r>
      <w:r w:rsidR="008C5685" w:rsidRPr="00AD01C3">
        <w:t>–</w:t>
      </w:r>
      <w:r w:rsidR="00AD01C3">
        <w:t> </w:t>
      </w:r>
      <w:r w:rsidR="008C5685" w:rsidRPr="00AD01C3">
        <w:t>1</w:t>
      </w:r>
      <w:r w:rsidR="00AD01C3">
        <w:t> </w:t>
      </w:r>
      <w:r w:rsidR="008C5685" w:rsidRPr="00AD01C3">
        <w:t>610</w:t>
      </w:r>
      <w:r w:rsidR="00AD01C3">
        <w:t> </w:t>
      </w:r>
      <w:r w:rsidR="008C5685" w:rsidRPr="00AD01C3">
        <w:t xml:space="preserve">MHz frequency band </w:t>
      </w:r>
      <w:r w:rsidR="00E7115D" w:rsidRPr="00AD01C3">
        <w:t xml:space="preserve">affecting </w:t>
      </w:r>
      <w:r w:rsidR="00D3447B" w:rsidRPr="00AD01C3">
        <w:t>receivers onboar</w:t>
      </w:r>
      <w:r w:rsidR="0051025E" w:rsidRPr="00AD01C3">
        <w:t>d</w:t>
      </w:r>
      <w:r w:rsidR="00D3447B" w:rsidRPr="00AD01C3">
        <w:t xml:space="preserve"> </w:t>
      </w:r>
      <w:r w:rsidR="008C5685" w:rsidRPr="00AD01C3">
        <w:t xml:space="preserve">aircrafts and causing </w:t>
      </w:r>
      <w:r w:rsidR="00DB6DAE" w:rsidRPr="00AD01C3">
        <w:t>degradation</w:t>
      </w:r>
      <w:r w:rsidR="00F62C83" w:rsidRPr="00AD01C3">
        <w:t xml:space="preserve"> or </w:t>
      </w:r>
      <w:r w:rsidR="00D3447B" w:rsidRPr="00AD01C3">
        <w:t xml:space="preserve">total </w:t>
      </w:r>
      <w:r w:rsidR="003C4484" w:rsidRPr="00AD01C3">
        <w:t xml:space="preserve">loss </w:t>
      </w:r>
      <w:r w:rsidR="00D3447B" w:rsidRPr="00AD01C3">
        <w:t xml:space="preserve">of the service </w:t>
      </w:r>
      <w:r w:rsidR="00081522" w:rsidRPr="00AD01C3">
        <w:t>for</w:t>
      </w:r>
      <w:r w:rsidR="007237A7" w:rsidRPr="00AD01C3">
        <w:t xml:space="preserve"> passenger, cargo</w:t>
      </w:r>
      <w:r w:rsidR="008D6AF6" w:rsidRPr="00AD01C3">
        <w:t xml:space="preserve"> and humanitarian flights.</w:t>
      </w:r>
      <w:r w:rsidR="00F62C83" w:rsidRPr="00AD01C3">
        <w:t xml:space="preserve"> In some </w:t>
      </w:r>
      <w:r w:rsidR="00EC4C0C" w:rsidRPr="00AD01C3">
        <w:t>cases,</w:t>
      </w:r>
      <w:r w:rsidR="00F62C83" w:rsidRPr="00AD01C3">
        <w:t xml:space="preserve"> this has also </w:t>
      </w:r>
      <w:r w:rsidR="000E1DF4" w:rsidRPr="00AD01C3">
        <w:t xml:space="preserve">led </w:t>
      </w:r>
      <w:r w:rsidR="00F62C83" w:rsidRPr="00AD01C3">
        <w:t>to misleading information</w:t>
      </w:r>
      <w:r w:rsidR="007A50B0" w:rsidRPr="00AD01C3">
        <w:t xml:space="preserve"> provided by RNSS receivers</w:t>
      </w:r>
      <w:r w:rsidR="00590B3D" w:rsidRPr="00AD01C3">
        <w:t xml:space="preserve"> to pilots</w:t>
      </w:r>
      <w:r w:rsidR="00F62C83" w:rsidRPr="00AD01C3">
        <w:t>.</w:t>
      </w:r>
      <w:r w:rsidR="00CF12E7" w:rsidRPr="00AD01C3">
        <w:t xml:space="preserve"> </w:t>
      </w:r>
      <w:r w:rsidR="00E94BDB" w:rsidRPr="00AD01C3">
        <w:t xml:space="preserve">Based on in-flight monitoring of air transport category aircraft GNSS receivers by one major aircraft manufacturer, 10 843 radio-frequency interference events were detected globally in 2021. </w:t>
      </w:r>
      <w:proofErr w:type="gramStart"/>
      <w:r w:rsidR="00E94BDB" w:rsidRPr="00AD01C3">
        <w:t>The majority of</w:t>
      </w:r>
      <w:proofErr w:type="gramEnd"/>
      <w:r w:rsidR="00E94BDB" w:rsidRPr="00AD01C3">
        <w:t xml:space="preserve"> these events occurred in the Middle East region, but several events were also detected in the European, North American and Asian regions.</w:t>
      </w:r>
    </w:p>
    <w:p w14:paraId="653FC1B1" w14:textId="7410F44E" w:rsidR="0051025E" w:rsidRPr="00AD01C3" w:rsidRDefault="0051025E" w:rsidP="00A927A7">
      <w:pPr>
        <w:tabs>
          <w:tab w:val="left" w:pos="2835"/>
        </w:tabs>
        <w:spacing w:before="120" w:line="276" w:lineRule="auto"/>
      </w:pPr>
      <w:r w:rsidRPr="00AD01C3">
        <w:t xml:space="preserve">The Bureau </w:t>
      </w:r>
      <w:r w:rsidR="007A50B0" w:rsidRPr="00AD01C3">
        <w:t xml:space="preserve">has </w:t>
      </w:r>
      <w:r w:rsidRPr="00AD01C3">
        <w:t xml:space="preserve">noted with </w:t>
      </w:r>
      <w:r w:rsidR="007A50B0" w:rsidRPr="00AD01C3">
        <w:t xml:space="preserve">great </w:t>
      </w:r>
      <w:r w:rsidRPr="00AD01C3">
        <w:t xml:space="preserve">concern the </w:t>
      </w:r>
      <w:r w:rsidR="00672D8E" w:rsidRPr="00AD01C3">
        <w:t xml:space="preserve">increasing number and </w:t>
      </w:r>
      <w:r w:rsidR="00CE104F" w:rsidRPr="00AD01C3">
        <w:t xml:space="preserve">range of </w:t>
      </w:r>
      <w:r w:rsidRPr="00AD01C3">
        <w:t xml:space="preserve">impact of such harmful interference on </w:t>
      </w:r>
      <w:r w:rsidR="00CE104F" w:rsidRPr="00AD01C3">
        <w:t>safety</w:t>
      </w:r>
      <w:r w:rsidR="00902112" w:rsidRPr="00AD01C3">
        <w:t>-</w:t>
      </w:r>
      <w:r w:rsidR="00CE104F" w:rsidRPr="00AD01C3">
        <w:t>of</w:t>
      </w:r>
      <w:r w:rsidR="00902112" w:rsidRPr="00AD01C3">
        <w:t>-</w:t>
      </w:r>
      <w:r w:rsidR="00CE104F" w:rsidRPr="00AD01C3">
        <w:t xml:space="preserve">life </w:t>
      </w:r>
      <w:r w:rsidRPr="00AD01C3">
        <w:t xml:space="preserve">radiocommunication services </w:t>
      </w:r>
      <w:r w:rsidR="00CE104F" w:rsidRPr="00AD01C3">
        <w:t>used for</w:t>
      </w:r>
      <w:r w:rsidRPr="00AD01C3">
        <w:t xml:space="preserve"> the navigation of aircraft</w:t>
      </w:r>
      <w:r w:rsidR="00BF297A" w:rsidRPr="00AD01C3">
        <w:t xml:space="preserve"> (see No. </w:t>
      </w:r>
      <w:r w:rsidR="00BF297A" w:rsidRPr="00AD01C3">
        <w:rPr>
          <w:b/>
          <w:bCs/>
        </w:rPr>
        <w:t>4.10</w:t>
      </w:r>
      <w:r w:rsidR="00BF297A" w:rsidRPr="00AD01C3">
        <w:rPr>
          <w:rStyle w:val="FootnoteReference"/>
          <w:b/>
          <w:bCs/>
          <w:sz w:val="22"/>
        </w:rPr>
        <w:footnoteReference w:id="1"/>
      </w:r>
      <w:r w:rsidR="00BF297A" w:rsidRPr="00AD01C3">
        <w:t>)</w:t>
      </w:r>
      <w:r w:rsidR="00CE104F" w:rsidRPr="00AD01C3">
        <w:t>.</w:t>
      </w:r>
      <w:r w:rsidRPr="00AD01C3">
        <w:t xml:space="preserve"> </w:t>
      </w:r>
      <w:r w:rsidR="00CE104F" w:rsidRPr="00AD01C3">
        <w:t xml:space="preserve">In </w:t>
      </w:r>
      <w:r w:rsidRPr="00AD01C3">
        <w:t xml:space="preserve">accordance with RR No. </w:t>
      </w:r>
      <w:r w:rsidRPr="00AD01C3">
        <w:rPr>
          <w:b/>
          <w:bCs/>
        </w:rPr>
        <w:t>13.2</w:t>
      </w:r>
      <w:r w:rsidRPr="00AD01C3">
        <w:t xml:space="preserve">, </w:t>
      </w:r>
      <w:r w:rsidR="00902112" w:rsidRPr="00AD01C3">
        <w:t xml:space="preserve">the Bureau reported </w:t>
      </w:r>
      <w:r w:rsidR="00CE104F" w:rsidRPr="00AD01C3">
        <w:t xml:space="preserve">such cases </w:t>
      </w:r>
      <w:r w:rsidR="00E7115D" w:rsidRPr="00AD01C3">
        <w:t>to the Radio Regulations Board</w:t>
      </w:r>
      <w:r w:rsidR="000105FD" w:rsidRPr="00AD01C3">
        <w:t xml:space="preserve"> (RRB)</w:t>
      </w:r>
      <w:r w:rsidR="00CE104F" w:rsidRPr="00AD01C3">
        <w:t>,</w:t>
      </w:r>
      <w:r w:rsidR="00E7115D" w:rsidRPr="00AD01C3">
        <w:t xml:space="preserve"> together with </w:t>
      </w:r>
      <w:r w:rsidR="00902112" w:rsidRPr="00AD01C3">
        <w:t xml:space="preserve">its </w:t>
      </w:r>
      <w:r w:rsidRPr="00AD01C3">
        <w:t>recommendations.</w:t>
      </w:r>
    </w:p>
    <w:p w14:paraId="03F6B1CA" w14:textId="58A52717" w:rsidR="000C0F1C" w:rsidRPr="00AD01C3" w:rsidRDefault="0051025E" w:rsidP="00A927A7">
      <w:pPr>
        <w:tabs>
          <w:tab w:val="left" w:pos="900"/>
        </w:tabs>
        <w:spacing w:before="120" w:line="276" w:lineRule="auto"/>
      </w:pPr>
      <w:r w:rsidRPr="00AD01C3">
        <w:t xml:space="preserve">At its </w:t>
      </w:r>
      <w:r w:rsidR="00FB1B09" w:rsidRPr="00AD01C3">
        <w:t>89</w:t>
      </w:r>
      <w:r w:rsidR="00FB1B09" w:rsidRPr="00AD01C3">
        <w:rPr>
          <w:vertAlign w:val="superscript"/>
        </w:rPr>
        <w:t>th</w:t>
      </w:r>
      <w:r w:rsidR="00E7115D" w:rsidRPr="00AD01C3">
        <w:t xml:space="preserve"> </w:t>
      </w:r>
      <w:r w:rsidR="00E81564" w:rsidRPr="00AD01C3">
        <w:t>meeting</w:t>
      </w:r>
      <w:r w:rsidR="00CF12E7" w:rsidRPr="00AD01C3">
        <w:t xml:space="preserve"> in March 2022</w:t>
      </w:r>
      <w:r w:rsidR="00E81564" w:rsidRPr="00AD01C3">
        <w:t>,</w:t>
      </w:r>
      <w:r w:rsidRPr="00AD01C3">
        <w:t xml:space="preserve"> the </w:t>
      </w:r>
      <w:r w:rsidR="00831739">
        <w:t xml:space="preserve">ITU Radio Regulations </w:t>
      </w:r>
      <w:r w:rsidRPr="00AD01C3">
        <w:t xml:space="preserve">Board </w:t>
      </w:r>
      <w:r w:rsidR="00350171">
        <w:t xml:space="preserve">(RRB) </w:t>
      </w:r>
      <w:r w:rsidRPr="00AD01C3">
        <w:t xml:space="preserve">considered the situation and </w:t>
      </w:r>
      <w:r w:rsidR="00E81564" w:rsidRPr="00AD01C3">
        <w:t xml:space="preserve">instructed the Bureau </w:t>
      </w:r>
      <w:r w:rsidR="000C0F1C" w:rsidRPr="00AD01C3">
        <w:t>to issue a circular letter to the Member States to disseminate its decisions and other background information about the prevention of harmful interference to RNSS receivers.</w:t>
      </w:r>
    </w:p>
    <w:p w14:paraId="2A0F55E5" w14:textId="643996CA" w:rsidR="00A927A7" w:rsidRDefault="000C0F1C" w:rsidP="00A927A7">
      <w:pPr>
        <w:tabs>
          <w:tab w:val="left" w:pos="900"/>
        </w:tabs>
        <w:spacing w:before="120" w:line="276" w:lineRule="auto"/>
      </w:pPr>
      <w:r w:rsidRPr="00AD01C3">
        <w:t xml:space="preserve">Following this instruction, the Bureau has </w:t>
      </w:r>
      <w:r w:rsidR="00590B3D" w:rsidRPr="00AD01C3">
        <w:t>prepared</w:t>
      </w:r>
      <w:r w:rsidRPr="00AD01C3">
        <w:t xml:space="preserve"> the present circular letter. It summarizes the</w:t>
      </w:r>
      <w:r w:rsidR="008078F3" w:rsidRPr="00AD01C3">
        <w:rPr>
          <w:lang w:val="en-GB"/>
        </w:rPr>
        <w:t xml:space="preserve"> </w:t>
      </w:r>
      <w:r w:rsidR="008078F3" w:rsidRPr="00AD01C3">
        <w:t>RRB</w:t>
      </w:r>
      <w:r w:rsidRPr="00AD01C3">
        <w:t xml:space="preserve">’s decisions on the issue, formulates recommendations concerning mitigation of harmful interference to the radionavigation-satellite service and provides the list of </w:t>
      </w:r>
      <w:r w:rsidR="00590B3D" w:rsidRPr="00AD01C3">
        <w:t xml:space="preserve">the relevant </w:t>
      </w:r>
      <w:r w:rsidRPr="00AD01C3">
        <w:t>ITU-R reference documents.</w:t>
      </w:r>
      <w:r w:rsidR="00A927A7">
        <w:br w:type="page"/>
      </w:r>
    </w:p>
    <w:p w14:paraId="7159EB8B" w14:textId="1B1AC0B0" w:rsidR="000105FD" w:rsidRPr="00AD01C3" w:rsidRDefault="000105FD" w:rsidP="00AD01C3">
      <w:pPr>
        <w:tabs>
          <w:tab w:val="left" w:pos="2835"/>
        </w:tabs>
        <w:spacing w:before="240" w:line="276" w:lineRule="auto"/>
        <w:rPr>
          <w:b/>
          <w:bCs/>
        </w:rPr>
      </w:pPr>
      <w:r w:rsidRPr="00AD01C3">
        <w:rPr>
          <w:b/>
          <w:bCs/>
        </w:rPr>
        <w:lastRenderedPageBreak/>
        <w:t>The relevant decisions of the 89</w:t>
      </w:r>
      <w:r w:rsidRPr="00AD01C3">
        <w:rPr>
          <w:b/>
          <w:bCs/>
          <w:vertAlign w:val="superscript"/>
        </w:rPr>
        <w:t>th</w:t>
      </w:r>
      <w:r w:rsidRPr="00AD01C3">
        <w:rPr>
          <w:b/>
          <w:bCs/>
        </w:rPr>
        <w:t xml:space="preserve"> RRB meeting </w:t>
      </w:r>
    </w:p>
    <w:p w14:paraId="69804360" w14:textId="4979561D" w:rsidR="000C3692" w:rsidRPr="00AD01C3" w:rsidRDefault="000E1DF4" w:rsidP="00AD01C3">
      <w:pPr>
        <w:tabs>
          <w:tab w:val="left" w:pos="2835"/>
        </w:tabs>
        <w:spacing w:before="120" w:line="276" w:lineRule="auto"/>
      </w:pPr>
      <w:r w:rsidRPr="00AD01C3">
        <w:t>In accordance with No. 13.2, t</w:t>
      </w:r>
      <w:r w:rsidR="00590B3D" w:rsidRPr="00AD01C3">
        <w:t xml:space="preserve">he Board </w:t>
      </w:r>
      <w:r w:rsidRPr="00AD01C3">
        <w:t>decided</w:t>
      </w:r>
      <w:r w:rsidR="00590B3D" w:rsidRPr="00AD01C3">
        <w:t xml:space="preserve"> </w:t>
      </w:r>
      <w:r w:rsidR="000C3692" w:rsidRPr="00AD01C3">
        <w:t>to request Member States to ensure that their operating agencies compl</w:t>
      </w:r>
      <w:r w:rsidR="001371F4" w:rsidRPr="00AD01C3">
        <w:t>ied</w:t>
      </w:r>
      <w:r w:rsidR="000C3692" w:rsidRPr="00AD01C3">
        <w:t xml:space="preserve"> with the applicable provisions of the ITU legal instruments</w:t>
      </w:r>
      <w:r w:rsidR="00E81564" w:rsidRPr="00AD01C3">
        <w:t>, as emphasized below:</w:t>
      </w:r>
    </w:p>
    <w:p w14:paraId="78A5A04D" w14:textId="77777777" w:rsidR="000C3692" w:rsidRPr="00AD01C3" w:rsidRDefault="000C3692" w:rsidP="00AD01C3">
      <w:pPr>
        <w:tabs>
          <w:tab w:val="left" w:pos="900"/>
        </w:tabs>
        <w:spacing w:before="120" w:line="276" w:lineRule="auto"/>
      </w:pPr>
      <w:r w:rsidRPr="00AD01C3">
        <w:t>•</w:t>
      </w:r>
      <w:r w:rsidRPr="00AD01C3">
        <w:tab/>
        <w:t>“</w:t>
      </w:r>
      <w:r w:rsidRPr="00AD01C3">
        <w:rPr>
          <w:i/>
          <w:iCs/>
        </w:rPr>
        <w:t>All stations, whatever their purpose, must be established and operated in such a manner as not to cause harmful interference to the radio services or communications of other Member States or of recognized operating agencies, or of other duly authorized operating agencies which carry on a radio service, and which operate in accordance with the provisions of the Radio Regulations.</w:t>
      </w:r>
      <w:r w:rsidRPr="00AD01C3">
        <w:t>” (Article 45 of the ITU Constitution)</w:t>
      </w:r>
    </w:p>
    <w:p w14:paraId="05038F6E" w14:textId="77777777" w:rsidR="000C3692" w:rsidRPr="00AD01C3" w:rsidRDefault="000C3692" w:rsidP="00AD01C3">
      <w:pPr>
        <w:tabs>
          <w:tab w:val="left" w:pos="900"/>
        </w:tabs>
        <w:spacing w:before="120" w:line="276" w:lineRule="auto"/>
      </w:pPr>
      <w:r w:rsidRPr="00AD01C3">
        <w:t>•</w:t>
      </w:r>
      <w:r w:rsidRPr="00AD01C3">
        <w:tab/>
        <w:t>“</w:t>
      </w:r>
      <w:r w:rsidRPr="00AD01C3">
        <w:rPr>
          <w:i/>
          <w:iCs/>
        </w:rPr>
        <w:t>to take the steps required to prevent the transmission or circulation of false or deceptive distress, urgency, safety or identification signals, and to collaborate in locating and identifying stations under their jurisdiction transmitting such signals.</w:t>
      </w:r>
      <w:r w:rsidRPr="00AD01C3">
        <w:t>”</w:t>
      </w:r>
      <w:r w:rsidRPr="00AD01C3">
        <w:rPr>
          <w:i/>
          <w:iCs/>
        </w:rPr>
        <w:t xml:space="preserve"> </w:t>
      </w:r>
      <w:r w:rsidRPr="00AD01C3">
        <w:t>(Article 47 of the ITU Constitution)</w:t>
      </w:r>
    </w:p>
    <w:p w14:paraId="09969BF0" w14:textId="6C7C70C6" w:rsidR="00E81564" w:rsidRPr="00AD01C3" w:rsidRDefault="000C3692" w:rsidP="00AD01C3">
      <w:pPr>
        <w:tabs>
          <w:tab w:val="left" w:pos="900"/>
        </w:tabs>
        <w:spacing w:before="120" w:line="276" w:lineRule="auto"/>
        <w:rPr>
          <w:i/>
          <w:iCs/>
        </w:rPr>
      </w:pPr>
      <w:r w:rsidRPr="00AD01C3">
        <w:t>•</w:t>
      </w:r>
      <w:r w:rsidRPr="00AD01C3">
        <w:tab/>
        <w:t>“</w:t>
      </w:r>
      <w:r w:rsidRPr="00AD01C3">
        <w:rPr>
          <w:i/>
          <w:iCs/>
        </w:rPr>
        <w:t xml:space="preserve">1 Member States retain their entire freedom </w:t>
      </w:r>
      <w:proofErr w:type="gramStart"/>
      <w:r w:rsidRPr="00AD01C3">
        <w:rPr>
          <w:i/>
          <w:iCs/>
        </w:rPr>
        <w:t>with regard to</w:t>
      </w:r>
      <w:proofErr w:type="gramEnd"/>
      <w:r w:rsidRPr="00AD01C3">
        <w:rPr>
          <w:i/>
          <w:iCs/>
        </w:rPr>
        <w:t xml:space="preserve"> military radio installations.</w:t>
      </w:r>
    </w:p>
    <w:p w14:paraId="1946F860" w14:textId="6AFFDBC9" w:rsidR="00E81564" w:rsidRPr="00AD01C3" w:rsidRDefault="00E81564" w:rsidP="00AD01C3">
      <w:pPr>
        <w:tabs>
          <w:tab w:val="left" w:pos="900"/>
        </w:tabs>
        <w:spacing w:before="120" w:line="276" w:lineRule="auto"/>
        <w:rPr>
          <w:i/>
          <w:iCs/>
        </w:rPr>
      </w:pPr>
      <w:r w:rsidRPr="00AD01C3">
        <w:rPr>
          <w:i/>
          <w:iCs/>
        </w:rPr>
        <w:tab/>
      </w:r>
      <w:r w:rsidR="000C3692" w:rsidRPr="00AD01C3">
        <w:rPr>
          <w:i/>
          <w:iCs/>
        </w:rPr>
        <w:t xml:space="preserve"> 2 Nevertheless, these installations must, so far as possible, observe statutory provisions relative to giving assistance in case of distress and to the measures to be taken to prevent harmful interference, and the provisions of the Administrative Regulations concerning the types of emission and the frequencies to be used, according to the nature of the service performed by such installations.</w:t>
      </w:r>
    </w:p>
    <w:p w14:paraId="74A22056" w14:textId="749FAA53" w:rsidR="000C3692" w:rsidRPr="00AD01C3" w:rsidRDefault="00E81564" w:rsidP="00AD01C3">
      <w:pPr>
        <w:tabs>
          <w:tab w:val="left" w:pos="900"/>
        </w:tabs>
        <w:spacing w:before="120" w:line="276" w:lineRule="auto"/>
      </w:pPr>
      <w:r w:rsidRPr="00AD01C3">
        <w:rPr>
          <w:i/>
          <w:iCs/>
        </w:rPr>
        <w:tab/>
      </w:r>
      <w:r w:rsidR="000C3692" w:rsidRPr="00AD01C3">
        <w:rPr>
          <w:i/>
          <w:iCs/>
        </w:rPr>
        <w:t xml:space="preserve"> 3 Moreover, when these installations take part in the service of public correspondence or other services governed by the Administrative Regulations, they must, in general, comply with the regulatory provisions for the conduct of such services.</w:t>
      </w:r>
      <w:r w:rsidR="000C3692" w:rsidRPr="00AD01C3">
        <w:t>” (Article 48 of the ITU Constitution)</w:t>
      </w:r>
    </w:p>
    <w:p w14:paraId="0ABF77FC" w14:textId="77777777" w:rsidR="000C3692" w:rsidRPr="00AD01C3" w:rsidRDefault="000C3692" w:rsidP="00AD01C3">
      <w:pPr>
        <w:tabs>
          <w:tab w:val="left" w:pos="900"/>
        </w:tabs>
        <w:spacing w:before="120" w:line="276" w:lineRule="auto"/>
      </w:pPr>
      <w:r w:rsidRPr="00AD01C3">
        <w:t>•</w:t>
      </w:r>
      <w:r w:rsidRPr="00AD01C3">
        <w:tab/>
        <w:t>“</w:t>
      </w:r>
      <w:r w:rsidRPr="00AD01C3">
        <w:rPr>
          <w:i/>
          <w:iCs/>
        </w:rPr>
        <w:t>Recognizing that transmissions on distress and safety frequencies and frequencies used for the safety and regularity of flight (see Article 31 and Appendix 27) require absolute international protection and that the elimination of harmful interference to such transmissions is imperative, administrations undertake to act immediately when their attention is drawn to any such harmful interference.</w:t>
      </w:r>
      <w:r w:rsidRPr="00AD01C3">
        <w:t xml:space="preserve">” (RR No. </w:t>
      </w:r>
      <w:r w:rsidRPr="00AD01C3">
        <w:rPr>
          <w:b/>
          <w:bCs/>
        </w:rPr>
        <w:t>15.28</w:t>
      </w:r>
      <w:r w:rsidRPr="00AD01C3">
        <w:t>)</w:t>
      </w:r>
    </w:p>
    <w:p w14:paraId="6E6AB205" w14:textId="7A98468D" w:rsidR="000C3692" w:rsidRPr="00AD01C3" w:rsidRDefault="000C3692" w:rsidP="00AD01C3">
      <w:pPr>
        <w:tabs>
          <w:tab w:val="left" w:pos="900"/>
        </w:tabs>
        <w:spacing w:before="120" w:line="276" w:lineRule="auto"/>
      </w:pPr>
      <w:r w:rsidRPr="00AD01C3">
        <w:t xml:space="preserve">The Board further </w:t>
      </w:r>
      <w:r w:rsidR="000E1DF4" w:rsidRPr="00AD01C3">
        <w:t xml:space="preserve">decided to </w:t>
      </w:r>
      <w:r w:rsidRPr="00AD01C3">
        <w:t>request</w:t>
      </w:r>
      <w:r w:rsidR="0048607C" w:rsidRPr="00AD01C3">
        <w:t xml:space="preserve"> </w:t>
      </w:r>
      <w:r w:rsidRPr="00AD01C3">
        <w:t>Member States to continue to exercise the</w:t>
      </w:r>
      <w:r w:rsidR="00E7115D" w:rsidRPr="00AD01C3">
        <w:t>ir</w:t>
      </w:r>
      <w:r w:rsidRPr="00AD01C3">
        <w:t xml:space="preserve"> utmost </w:t>
      </w:r>
      <w:r w:rsidR="000E1DF4" w:rsidRPr="00AD01C3">
        <w:t xml:space="preserve">goodwill </w:t>
      </w:r>
      <w:r w:rsidRPr="00AD01C3">
        <w:t xml:space="preserve">and mutual assistance in the application of the provisions of Article 45 of the Constitution and of Section VI of Article </w:t>
      </w:r>
      <w:r w:rsidRPr="00AD01C3">
        <w:rPr>
          <w:b/>
          <w:bCs/>
        </w:rPr>
        <w:t>15</w:t>
      </w:r>
      <w:r w:rsidRPr="00AD01C3">
        <w:t xml:space="preserve"> of the Radio Regulations.</w:t>
      </w:r>
    </w:p>
    <w:p w14:paraId="3420221E" w14:textId="06FFF58D" w:rsidR="000105FD" w:rsidRPr="00AD01C3" w:rsidRDefault="000105FD" w:rsidP="00AD01C3">
      <w:pPr>
        <w:tabs>
          <w:tab w:val="left" w:pos="900"/>
        </w:tabs>
        <w:spacing w:before="240" w:line="276" w:lineRule="auto"/>
        <w:rPr>
          <w:b/>
          <w:bCs/>
        </w:rPr>
      </w:pPr>
      <w:r w:rsidRPr="00AD01C3">
        <w:rPr>
          <w:b/>
          <w:bCs/>
        </w:rPr>
        <w:t xml:space="preserve">Recommendations on prevention and mitigation of </w:t>
      </w:r>
      <w:r w:rsidR="009367C5" w:rsidRPr="00AD01C3">
        <w:rPr>
          <w:b/>
          <w:bCs/>
        </w:rPr>
        <w:t xml:space="preserve">harmful </w:t>
      </w:r>
      <w:r w:rsidRPr="00AD01C3">
        <w:rPr>
          <w:b/>
          <w:bCs/>
        </w:rPr>
        <w:t>interference to RNSS</w:t>
      </w:r>
    </w:p>
    <w:p w14:paraId="0C7130F0" w14:textId="2BD6758E" w:rsidR="00F54924" w:rsidRPr="00AD01C3" w:rsidRDefault="005703C7" w:rsidP="00AD01C3">
      <w:pPr>
        <w:tabs>
          <w:tab w:val="left" w:pos="900"/>
        </w:tabs>
        <w:spacing w:before="120" w:line="276" w:lineRule="auto"/>
      </w:pPr>
      <w:r w:rsidRPr="00AD01C3">
        <w:t xml:space="preserve">With respect to unnecessary transmissions, which </w:t>
      </w:r>
      <w:r w:rsidR="008078F3" w:rsidRPr="00AD01C3">
        <w:t>represent</w:t>
      </w:r>
      <w:r w:rsidRPr="00AD01C3">
        <w:t xml:space="preserve"> one of the important sources of interference to RNSS</w:t>
      </w:r>
      <w:r w:rsidR="008E52D9" w:rsidRPr="00AD01C3">
        <w:t>, t</w:t>
      </w:r>
      <w:r w:rsidR="00F44F6D" w:rsidRPr="00AD01C3">
        <w:t xml:space="preserve">he Bureau </w:t>
      </w:r>
      <w:r w:rsidR="008E52D9" w:rsidRPr="00AD01C3">
        <w:t>would like to point out that the use of devices commonly referred as “</w:t>
      </w:r>
      <w:r w:rsidR="00AC163B" w:rsidRPr="00AD01C3">
        <w:t xml:space="preserve">GNSS </w:t>
      </w:r>
      <w:r w:rsidR="008E52D9" w:rsidRPr="00AD01C3">
        <w:t>jammers”</w:t>
      </w:r>
      <w:r w:rsidR="008078F3" w:rsidRPr="00AD01C3">
        <w:t xml:space="preserve"> or any other illegal interfering equipment</w:t>
      </w:r>
      <w:r w:rsidRPr="00AD01C3">
        <w:t>, which</w:t>
      </w:r>
      <w:r w:rsidR="00AC163B" w:rsidRPr="00AD01C3">
        <w:t xml:space="preserve"> may </w:t>
      </w:r>
      <w:r w:rsidR="008E52D9" w:rsidRPr="00AD01C3">
        <w:t>caus</w:t>
      </w:r>
      <w:r w:rsidR="00AC163B" w:rsidRPr="00AD01C3">
        <w:t>e</w:t>
      </w:r>
      <w:r w:rsidR="008E52D9" w:rsidRPr="00AD01C3">
        <w:t xml:space="preserve"> </w:t>
      </w:r>
      <w:r w:rsidR="000F5260" w:rsidRPr="00AD01C3">
        <w:t xml:space="preserve">harmful </w:t>
      </w:r>
      <w:r w:rsidR="008E52D9" w:rsidRPr="00AD01C3">
        <w:t>interference</w:t>
      </w:r>
      <w:r w:rsidR="000F5260" w:rsidRPr="00AD01C3">
        <w:t xml:space="preserve"> to aircraft</w:t>
      </w:r>
      <w:r w:rsidRPr="00AD01C3">
        <w:t>,</w:t>
      </w:r>
      <w:r w:rsidR="008E52D9" w:rsidRPr="00AD01C3">
        <w:t xml:space="preserve"> are prohibited by provision No. </w:t>
      </w:r>
      <w:r w:rsidR="008E52D9" w:rsidRPr="00AD01C3">
        <w:rPr>
          <w:b/>
          <w:bCs/>
        </w:rPr>
        <w:t>15.1</w:t>
      </w:r>
      <w:r w:rsidR="008E52D9" w:rsidRPr="00AD01C3">
        <w:t xml:space="preserve"> of the Radio Regulations: </w:t>
      </w:r>
    </w:p>
    <w:p w14:paraId="562AB214" w14:textId="40108325" w:rsidR="006036F4" w:rsidRPr="00AD01C3" w:rsidRDefault="00F54924" w:rsidP="00AD01C3">
      <w:pPr>
        <w:tabs>
          <w:tab w:val="left" w:pos="900"/>
        </w:tabs>
        <w:spacing w:before="120" w:line="276" w:lineRule="auto"/>
        <w:ind w:left="720"/>
        <w:rPr>
          <w:i/>
          <w:iCs/>
        </w:rPr>
      </w:pPr>
      <w:r w:rsidRPr="00AD01C3">
        <w:rPr>
          <w:i/>
          <w:iCs/>
        </w:rPr>
        <w:t>15.1</w:t>
      </w:r>
      <w:r w:rsidRPr="00AD01C3">
        <w:rPr>
          <w:i/>
          <w:iCs/>
        </w:rPr>
        <w:tab/>
        <w:t>§ 1</w:t>
      </w:r>
      <w:r w:rsidRPr="00AD01C3">
        <w:rPr>
          <w:i/>
          <w:iCs/>
        </w:rPr>
        <w:tab/>
        <w:t xml:space="preserve">All stations are forbidden to carry out unnecessary transmissions, or the transmission of superfluous signals, or the transmission of false or misleading signals, or the transmission of signals without identification (except as provided for in Article </w:t>
      </w:r>
      <w:r w:rsidRPr="00AD01C3">
        <w:rPr>
          <w:b/>
          <w:bCs/>
          <w:i/>
          <w:iCs/>
        </w:rPr>
        <w:t>19</w:t>
      </w:r>
      <w:r w:rsidRPr="00AD01C3">
        <w:rPr>
          <w:i/>
          <w:iCs/>
        </w:rPr>
        <w:t>).</w:t>
      </w:r>
    </w:p>
    <w:p w14:paraId="3561938C" w14:textId="1DE2C901" w:rsidR="000C3692" w:rsidRPr="00AD01C3" w:rsidRDefault="008078F3" w:rsidP="00AD01C3">
      <w:pPr>
        <w:tabs>
          <w:tab w:val="left" w:pos="900"/>
        </w:tabs>
        <w:spacing w:before="120" w:line="276" w:lineRule="auto"/>
      </w:pPr>
      <w:r w:rsidRPr="00AD01C3">
        <w:t xml:space="preserve">In addition, the </w:t>
      </w:r>
      <w:r w:rsidR="00967294" w:rsidRPr="00AD01C3">
        <w:t>a</w:t>
      </w:r>
      <w:r w:rsidRPr="00AD01C3">
        <w:t xml:space="preserve">dministrations are </w:t>
      </w:r>
      <w:r w:rsidR="0087422A" w:rsidRPr="00AD01C3">
        <w:t>encouraged</w:t>
      </w:r>
      <w:r w:rsidRPr="00AD01C3">
        <w:t xml:space="preserve"> to consider</w:t>
      </w:r>
      <w:r w:rsidR="001314A5" w:rsidRPr="00AD01C3">
        <w:t xml:space="preserve"> </w:t>
      </w:r>
      <w:r w:rsidR="000E1DF4" w:rsidRPr="00AD01C3">
        <w:t xml:space="preserve">the following </w:t>
      </w:r>
      <w:r w:rsidR="001314A5" w:rsidRPr="00AD01C3">
        <w:t>additional measures to address this critical issue</w:t>
      </w:r>
      <w:r w:rsidR="00D3447B" w:rsidRPr="00AD01C3">
        <w:t xml:space="preserve">: </w:t>
      </w:r>
    </w:p>
    <w:p w14:paraId="3884755B" w14:textId="73C5236F" w:rsidR="0086169C" w:rsidRPr="00AD01C3" w:rsidRDefault="0086169C" w:rsidP="00AD01C3">
      <w:pPr>
        <w:pStyle w:val="ListParagraph"/>
        <w:numPr>
          <w:ilvl w:val="0"/>
          <w:numId w:val="25"/>
        </w:numPr>
        <w:tabs>
          <w:tab w:val="left" w:pos="900"/>
        </w:tabs>
        <w:spacing w:before="120" w:line="276" w:lineRule="auto"/>
        <w:ind w:left="408" w:hanging="357"/>
        <w:contextualSpacing w:val="0"/>
      </w:pPr>
      <w:r w:rsidRPr="00AD01C3">
        <w:t xml:space="preserve">reinforcing </w:t>
      </w:r>
      <w:r w:rsidR="000105FD" w:rsidRPr="00AD01C3">
        <w:t xml:space="preserve">navigation </w:t>
      </w:r>
      <w:r w:rsidRPr="00AD01C3">
        <w:t>system</w:t>
      </w:r>
      <w:r w:rsidR="000105FD" w:rsidRPr="00AD01C3">
        <w:t>s</w:t>
      </w:r>
      <w:r w:rsidRPr="00AD01C3">
        <w:t xml:space="preserve"> resilience to interference</w:t>
      </w:r>
      <w:r w:rsidR="00AD01C3">
        <w:t>;</w:t>
      </w:r>
    </w:p>
    <w:p w14:paraId="1E06D538" w14:textId="6E7BE2A5" w:rsidR="000B3256" w:rsidRPr="00AD01C3" w:rsidRDefault="0086169C" w:rsidP="00AD01C3">
      <w:pPr>
        <w:pStyle w:val="ListParagraph"/>
        <w:numPr>
          <w:ilvl w:val="0"/>
          <w:numId w:val="25"/>
        </w:numPr>
        <w:tabs>
          <w:tab w:val="left" w:pos="900"/>
        </w:tabs>
        <w:spacing w:before="0" w:line="276" w:lineRule="auto"/>
        <w:ind w:left="408" w:hanging="357"/>
        <w:contextualSpacing w:val="0"/>
      </w:pPr>
      <w:r w:rsidRPr="00AD01C3">
        <w:t xml:space="preserve">increasing collaboration </w:t>
      </w:r>
      <w:r w:rsidR="000B3256" w:rsidRPr="00AD01C3">
        <w:t xml:space="preserve">between </w:t>
      </w:r>
      <w:r w:rsidRPr="00AD01C3">
        <w:t>radio regulatory and</w:t>
      </w:r>
      <w:r w:rsidR="000B3256" w:rsidRPr="00AD01C3">
        <w:t xml:space="preserve"> </w:t>
      </w:r>
      <w:r w:rsidRPr="00AD01C3">
        <w:t>enforcement authorities</w:t>
      </w:r>
      <w:r w:rsidR="00AD01C3">
        <w:t>;</w:t>
      </w:r>
    </w:p>
    <w:p w14:paraId="740E0CDF" w14:textId="609C7D32" w:rsidR="000B3256" w:rsidRPr="00AD01C3" w:rsidRDefault="0086169C" w:rsidP="00AD01C3">
      <w:pPr>
        <w:pStyle w:val="ListParagraph"/>
        <w:numPr>
          <w:ilvl w:val="0"/>
          <w:numId w:val="25"/>
        </w:numPr>
        <w:tabs>
          <w:tab w:val="left" w:pos="900"/>
        </w:tabs>
        <w:spacing w:before="0" w:line="276" w:lineRule="auto"/>
        <w:ind w:left="408" w:hanging="357"/>
        <w:contextualSpacing w:val="0"/>
      </w:pPr>
      <w:r w:rsidRPr="00AD01C3">
        <w:t>reinforcing civil-military coordination to address interference risks associated</w:t>
      </w:r>
      <w:r w:rsidR="000B3256" w:rsidRPr="00AD01C3">
        <w:t xml:space="preserve"> </w:t>
      </w:r>
      <w:r w:rsidRPr="00AD01C3">
        <w:t xml:space="preserve">with </w:t>
      </w:r>
      <w:r w:rsidR="000B3256" w:rsidRPr="00AD01C3">
        <w:t>R</w:t>
      </w:r>
      <w:r w:rsidRPr="00AD01C3">
        <w:t>NSS testing and conflict zones</w:t>
      </w:r>
      <w:r w:rsidR="00AD01C3">
        <w:t>;</w:t>
      </w:r>
    </w:p>
    <w:p w14:paraId="7054D979" w14:textId="60BB8CA4" w:rsidR="000B3256" w:rsidRPr="00AD01C3" w:rsidRDefault="0086169C" w:rsidP="00AD01C3">
      <w:pPr>
        <w:pStyle w:val="ListParagraph"/>
        <w:numPr>
          <w:ilvl w:val="0"/>
          <w:numId w:val="25"/>
        </w:numPr>
        <w:tabs>
          <w:tab w:val="left" w:pos="900"/>
        </w:tabs>
        <w:spacing w:before="0" w:line="276" w:lineRule="auto"/>
        <w:ind w:left="408" w:hanging="357"/>
        <w:contextualSpacing w:val="0"/>
      </w:pPr>
      <w:r w:rsidRPr="00AD01C3">
        <w:t>increasing coordination between aviation</w:t>
      </w:r>
      <w:r w:rsidR="000B3256" w:rsidRPr="00AD01C3">
        <w:t>, military</w:t>
      </w:r>
      <w:r w:rsidRPr="00AD01C3">
        <w:t xml:space="preserve"> and radio-regulatory</w:t>
      </w:r>
      <w:r w:rsidR="000B3256" w:rsidRPr="00AD01C3">
        <w:t xml:space="preserve"> </w:t>
      </w:r>
      <w:r w:rsidRPr="00AD01C3">
        <w:t>authorit</w:t>
      </w:r>
      <w:r w:rsidR="000B3256" w:rsidRPr="00AD01C3">
        <w:t>ies</w:t>
      </w:r>
      <w:r w:rsidR="00AD01C3">
        <w:t>;</w:t>
      </w:r>
    </w:p>
    <w:p w14:paraId="09AE731C" w14:textId="653A8325" w:rsidR="0086169C" w:rsidRPr="00AD01C3" w:rsidRDefault="0086169C" w:rsidP="00AD01C3">
      <w:pPr>
        <w:pStyle w:val="ListParagraph"/>
        <w:numPr>
          <w:ilvl w:val="0"/>
          <w:numId w:val="25"/>
        </w:numPr>
        <w:tabs>
          <w:tab w:val="left" w:pos="900"/>
        </w:tabs>
        <w:spacing w:before="0" w:line="276" w:lineRule="auto"/>
        <w:ind w:left="408" w:hanging="357"/>
        <w:contextualSpacing w:val="0"/>
      </w:pPr>
      <w:r w:rsidRPr="00AD01C3">
        <w:t>retaining essential conventional navigation infrastructure for contingency support</w:t>
      </w:r>
      <w:r w:rsidR="000B3256" w:rsidRPr="00AD01C3">
        <w:t xml:space="preserve"> </w:t>
      </w:r>
      <w:r w:rsidRPr="00AD01C3">
        <w:t xml:space="preserve">in case of </w:t>
      </w:r>
      <w:r w:rsidR="000B3256" w:rsidRPr="00AD01C3">
        <w:t>R</w:t>
      </w:r>
      <w:r w:rsidRPr="00AD01C3">
        <w:t xml:space="preserve">NSS </w:t>
      </w:r>
      <w:proofErr w:type="gramStart"/>
      <w:r w:rsidR="007633A4" w:rsidRPr="00AD01C3">
        <w:t>outages, and</w:t>
      </w:r>
      <w:proofErr w:type="gramEnd"/>
      <w:r w:rsidRPr="00AD01C3">
        <w:t xml:space="preserve"> developing mitigation techniques for loss of services.</w:t>
      </w:r>
    </w:p>
    <w:p w14:paraId="2EE4EE0F" w14:textId="0C8DDF65" w:rsidR="005045A8" w:rsidRPr="00AD01C3" w:rsidRDefault="005045A8" w:rsidP="00AD01C3">
      <w:pPr>
        <w:tabs>
          <w:tab w:val="left" w:pos="900"/>
        </w:tabs>
        <w:spacing w:before="240" w:line="276" w:lineRule="auto"/>
      </w:pPr>
      <w:r w:rsidRPr="00AD01C3">
        <w:lastRenderedPageBreak/>
        <w:t>The above measures were decided by the International Civil Aviation Organization (ICAO) at its 40</w:t>
      </w:r>
      <w:r w:rsidRPr="00AD01C3">
        <w:rPr>
          <w:vertAlign w:val="superscript"/>
        </w:rPr>
        <w:t>th</w:t>
      </w:r>
      <w:r w:rsidRPr="00AD01C3">
        <w:t xml:space="preserve"> Assembly in October 2019 and </w:t>
      </w:r>
      <w:r w:rsidR="000E1DF4" w:rsidRPr="00AD01C3">
        <w:t>disseminated</w:t>
      </w:r>
      <w:r w:rsidRPr="00AD01C3">
        <w:t xml:space="preserve"> by ICAO State Letter AN 7/5-20/89 dated 28 August 2020.</w:t>
      </w:r>
    </w:p>
    <w:p w14:paraId="5E2D4059" w14:textId="6B101583" w:rsidR="005045A8" w:rsidRPr="00AD01C3" w:rsidRDefault="005045A8" w:rsidP="00AD01C3">
      <w:pPr>
        <w:tabs>
          <w:tab w:val="left" w:pos="900"/>
        </w:tabs>
        <w:spacing w:before="120" w:line="276" w:lineRule="auto"/>
        <w:rPr>
          <w:b/>
          <w:bCs/>
        </w:rPr>
      </w:pPr>
      <w:r w:rsidRPr="00AD01C3">
        <w:rPr>
          <w:b/>
          <w:bCs/>
        </w:rPr>
        <w:t>Relevant ITU-R reference documents</w:t>
      </w:r>
    </w:p>
    <w:p w14:paraId="40FB9D6A" w14:textId="20B3739A" w:rsidR="000C0F1C" w:rsidRPr="00AD01C3" w:rsidRDefault="000C0F1C" w:rsidP="00AD01C3">
      <w:pPr>
        <w:tabs>
          <w:tab w:val="left" w:pos="900"/>
        </w:tabs>
        <w:spacing w:before="120" w:line="276" w:lineRule="auto"/>
      </w:pPr>
      <w:r w:rsidRPr="00AD01C3">
        <w:t xml:space="preserve">In order to get an overview of the usage and protection requirements of systems operating in the radionavigation-satellite service, </w:t>
      </w:r>
      <w:r w:rsidR="000E1DF4" w:rsidRPr="00AD01C3">
        <w:t>a</w:t>
      </w:r>
      <w:r w:rsidRPr="00AD01C3">
        <w:t xml:space="preserve">dministrations may consult the following ITU-R Recommendations and Reports: </w:t>
      </w:r>
    </w:p>
    <w:p w14:paraId="0FD2B684" w14:textId="77777777" w:rsidR="000C0F1C" w:rsidRPr="00AD01C3" w:rsidRDefault="00EB0AEF" w:rsidP="00AD01C3">
      <w:pPr>
        <w:pStyle w:val="ListParagraph"/>
        <w:numPr>
          <w:ilvl w:val="0"/>
          <w:numId w:val="26"/>
        </w:numPr>
        <w:tabs>
          <w:tab w:val="left" w:pos="900"/>
        </w:tabs>
        <w:spacing w:before="120" w:line="276" w:lineRule="auto"/>
        <w:ind w:left="714" w:hanging="357"/>
        <w:contextualSpacing w:val="0"/>
      </w:pPr>
      <w:hyperlink r:id="rId8" w:history="1">
        <w:r w:rsidR="000C0F1C" w:rsidRPr="00AD01C3">
          <w:rPr>
            <w:rStyle w:val="Hyperlink"/>
          </w:rPr>
          <w:t>Recommendation ITU-R M.1787-4 – Description of systems and networks in the radionavigation-satellite service (space-to-Earth and space-to-space) and technical characteristics of transmitting space stations operating in the bands 1 164-1 215 MHz,1 215-1 300 MHz and 1 559-1 610 MHz</w:t>
        </w:r>
      </w:hyperlink>
    </w:p>
    <w:p w14:paraId="21B0929D" w14:textId="77777777" w:rsidR="000C0F1C" w:rsidRPr="00AD01C3" w:rsidRDefault="00EB0AEF" w:rsidP="00AD01C3">
      <w:pPr>
        <w:pStyle w:val="ListParagraph"/>
        <w:numPr>
          <w:ilvl w:val="0"/>
          <w:numId w:val="26"/>
        </w:numPr>
        <w:tabs>
          <w:tab w:val="left" w:pos="900"/>
        </w:tabs>
        <w:spacing w:before="120" w:line="276" w:lineRule="auto"/>
        <w:contextualSpacing w:val="0"/>
      </w:pPr>
      <w:hyperlink r:id="rId9" w:history="1">
        <w:r w:rsidR="000C0F1C" w:rsidRPr="00AD01C3">
          <w:rPr>
            <w:rStyle w:val="Hyperlink"/>
            <w:lang w:val="en-GB"/>
          </w:rPr>
          <w:t>Recommendation ITU-R M.1901-3</w:t>
        </w:r>
        <w:r w:rsidR="000C0F1C" w:rsidRPr="00AD01C3">
          <w:rPr>
            <w:rStyle w:val="Hyperlink"/>
          </w:rPr>
          <w:t xml:space="preserve"> – Guidance on ITU-R Recommendations related to systems and networks in the radionavigation-satellite service operating in the frequency bands 1 164-1 215 MHz, 1 215-1 300 MHz, 1 559-1 610 MHz, 5 000-5 010 MHz and 5 010-5 030 MHz</w:t>
        </w:r>
      </w:hyperlink>
    </w:p>
    <w:p w14:paraId="0DF54E68" w14:textId="77777777" w:rsidR="000C0F1C" w:rsidRPr="00AD01C3" w:rsidRDefault="00EB0AEF" w:rsidP="00AD01C3">
      <w:pPr>
        <w:pStyle w:val="ListParagraph"/>
        <w:numPr>
          <w:ilvl w:val="0"/>
          <w:numId w:val="26"/>
        </w:numPr>
        <w:tabs>
          <w:tab w:val="left" w:pos="900"/>
        </w:tabs>
        <w:spacing w:before="120" w:line="276" w:lineRule="auto"/>
        <w:contextualSpacing w:val="0"/>
      </w:pPr>
      <w:hyperlink r:id="rId10" w:history="1">
        <w:r w:rsidR="000C0F1C" w:rsidRPr="00AD01C3">
          <w:rPr>
            <w:rStyle w:val="Hyperlink"/>
            <w:lang w:val="en-GB"/>
          </w:rPr>
          <w:t>Recommendation ITU-R M.1903-1 – Characteristics and protection criteria for receiving earth stations in the radionavigation-satellite service (space-to-Earth) and receivers in the aeronautical radionavigation service operating in the band 1 559-1 610 MHz</w:t>
        </w:r>
      </w:hyperlink>
    </w:p>
    <w:p w14:paraId="16CD9632" w14:textId="77777777" w:rsidR="000C0F1C" w:rsidRPr="00AD01C3" w:rsidRDefault="00EB0AEF" w:rsidP="00AD01C3">
      <w:pPr>
        <w:pStyle w:val="ListParagraph"/>
        <w:numPr>
          <w:ilvl w:val="0"/>
          <w:numId w:val="26"/>
        </w:numPr>
        <w:tabs>
          <w:tab w:val="left" w:pos="900"/>
        </w:tabs>
        <w:spacing w:before="120" w:line="276" w:lineRule="auto"/>
        <w:contextualSpacing w:val="0"/>
      </w:pPr>
      <w:hyperlink r:id="rId11" w:history="1">
        <w:r w:rsidR="000C0F1C" w:rsidRPr="00AD01C3">
          <w:rPr>
            <w:rStyle w:val="Hyperlink"/>
            <w:lang w:val="en-GB"/>
          </w:rPr>
          <w:t>Report ITU-R M.2458-0 – Radionavigation-satellite service applications in the 1 164-1 215 MHz, 1 215-1 300 MHz and 1 559-1 610 MHz frequency bands</w:t>
        </w:r>
      </w:hyperlink>
    </w:p>
    <w:p w14:paraId="19B16EDC" w14:textId="3B290D9C" w:rsidR="000C3692" w:rsidRPr="00AD01C3" w:rsidRDefault="006F2E43" w:rsidP="00AD01C3">
      <w:pPr>
        <w:tabs>
          <w:tab w:val="left" w:pos="900"/>
        </w:tabs>
        <w:spacing w:before="240" w:line="276" w:lineRule="auto"/>
      </w:pPr>
      <w:r w:rsidRPr="00AD01C3">
        <w:t xml:space="preserve">The Bureau thanks Administrations for disseminating this information among their different operating agencies to raise awareness of the situation and to remind them </w:t>
      </w:r>
      <w:r w:rsidR="0047423F" w:rsidRPr="00AD01C3">
        <w:t xml:space="preserve">of </w:t>
      </w:r>
      <w:r w:rsidRPr="00AD01C3">
        <w:t>the</w:t>
      </w:r>
      <w:r w:rsidR="0047423F" w:rsidRPr="00AD01C3">
        <w:t>ir</w:t>
      </w:r>
      <w:r w:rsidRPr="00AD01C3">
        <w:t xml:space="preserve"> obligation </w:t>
      </w:r>
      <w:r w:rsidR="00DC629E" w:rsidRPr="00AD01C3">
        <w:t>to prevent any harmful interference in accordance with ITU</w:t>
      </w:r>
      <w:r w:rsidR="00B3692B" w:rsidRPr="00AD01C3">
        <w:t>’s</w:t>
      </w:r>
      <w:r w:rsidR="00DC629E" w:rsidRPr="00AD01C3">
        <w:t xml:space="preserve"> Legal Instruments. </w:t>
      </w:r>
    </w:p>
    <w:p w14:paraId="79EA9169" w14:textId="22BE4C4D" w:rsidR="00F64247" w:rsidRDefault="00F64247" w:rsidP="00AD01C3">
      <w:pPr>
        <w:tabs>
          <w:tab w:val="left" w:pos="900"/>
        </w:tabs>
        <w:spacing w:before="240" w:line="276" w:lineRule="auto"/>
      </w:pPr>
    </w:p>
    <w:p w14:paraId="7981DCBE" w14:textId="5BC06A02" w:rsidR="004D1887" w:rsidRDefault="004D1887" w:rsidP="00AD01C3">
      <w:pPr>
        <w:tabs>
          <w:tab w:val="left" w:pos="900"/>
        </w:tabs>
        <w:spacing w:before="240" w:line="276" w:lineRule="auto"/>
      </w:pPr>
    </w:p>
    <w:p w14:paraId="7FAFBF44" w14:textId="77777777" w:rsidR="004D1887" w:rsidRPr="00AD01C3" w:rsidRDefault="004D1887" w:rsidP="00AD01C3">
      <w:pPr>
        <w:tabs>
          <w:tab w:val="left" w:pos="900"/>
        </w:tabs>
        <w:spacing w:before="240" w:line="276" w:lineRule="auto"/>
      </w:pPr>
    </w:p>
    <w:p w14:paraId="3C4E1CCF" w14:textId="77777777" w:rsidR="006E27D3" w:rsidRPr="00AD01C3" w:rsidRDefault="006E27D3" w:rsidP="00AD01C3">
      <w:pPr>
        <w:tabs>
          <w:tab w:val="clear" w:pos="794"/>
          <w:tab w:val="clear" w:pos="1191"/>
          <w:tab w:val="clear" w:pos="1588"/>
          <w:tab w:val="clear" w:pos="1985"/>
          <w:tab w:val="left" w:pos="0"/>
        </w:tabs>
        <w:spacing w:before="0" w:line="276" w:lineRule="auto"/>
        <w:jc w:val="lowKashida"/>
        <w:rPr>
          <w:rFonts w:eastAsiaTheme="majorEastAsia"/>
        </w:rPr>
      </w:pPr>
      <w:r w:rsidRPr="00AD01C3">
        <w:rPr>
          <w:rFonts w:eastAsiaTheme="majorEastAsia"/>
        </w:rPr>
        <w:t>Mario Maniewicz</w:t>
      </w:r>
    </w:p>
    <w:p w14:paraId="1BB40472" w14:textId="77777777" w:rsidR="006E27D3" w:rsidRPr="00AD01C3" w:rsidRDefault="006E27D3" w:rsidP="00AD01C3">
      <w:pPr>
        <w:tabs>
          <w:tab w:val="clear" w:pos="794"/>
          <w:tab w:val="clear" w:pos="1191"/>
          <w:tab w:val="clear" w:pos="1588"/>
          <w:tab w:val="clear" w:pos="1985"/>
          <w:tab w:val="left" w:pos="0"/>
        </w:tabs>
        <w:spacing w:before="0" w:line="276" w:lineRule="auto"/>
        <w:jc w:val="lowKashida"/>
        <w:rPr>
          <w:rFonts w:eastAsiaTheme="majorEastAsia"/>
        </w:rPr>
      </w:pPr>
      <w:r w:rsidRPr="00AD01C3">
        <w:rPr>
          <w:rFonts w:eastAsiaTheme="majorEastAsia"/>
        </w:rPr>
        <w:t>Director</w:t>
      </w:r>
    </w:p>
    <w:p w14:paraId="641B5BAF" w14:textId="260F6150" w:rsidR="006E27D3" w:rsidRPr="00AD01C3" w:rsidRDefault="006E27D3" w:rsidP="00AD01C3">
      <w:pPr>
        <w:tabs>
          <w:tab w:val="clear" w:pos="794"/>
          <w:tab w:val="clear" w:pos="1191"/>
          <w:tab w:val="clear" w:pos="1588"/>
          <w:tab w:val="clear" w:pos="1985"/>
          <w:tab w:val="left" w:pos="0"/>
        </w:tabs>
        <w:spacing w:before="0" w:line="276" w:lineRule="auto"/>
        <w:jc w:val="lowKashida"/>
        <w:rPr>
          <w:rFonts w:eastAsiaTheme="majorEastAsia"/>
        </w:rPr>
      </w:pPr>
    </w:p>
    <w:p w14:paraId="3714F69B" w14:textId="3A456928" w:rsidR="00967294" w:rsidRDefault="00967294"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13DFFD00" w14:textId="12F997D5" w:rsidR="00967294" w:rsidRDefault="00967294"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0C428E04" w14:textId="704ED570" w:rsidR="00967294" w:rsidRDefault="00967294"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1B5F2D6A" w14:textId="2D5DFB93" w:rsidR="00967294" w:rsidRDefault="00967294"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0988F57F" w14:textId="663EBA5D" w:rsidR="00967294" w:rsidRDefault="00967294"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0F806897" w14:textId="4C39246C" w:rsidR="00967294" w:rsidRDefault="00967294"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47372C95" w14:textId="2AB638CE" w:rsidR="00967294" w:rsidRDefault="00967294"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2BAE0729" w14:textId="77777777" w:rsidR="00967294" w:rsidRDefault="00967294"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6F763647" w14:textId="250D3C61" w:rsidR="00F64247" w:rsidRDefault="00F64247"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548335E7" w14:textId="77777777" w:rsidR="006E27D3" w:rsidRPr="00023A87" w:rsidRDefault="006E27D3" w:rsidP="006E27D3">
      <w:pPr>
        <w:pStyle w:val="toc0"/>
        <w:spacing w:before="0" w:after="120"/>
        <w:jc w:val="lowKashida"/>
        <w:rPr>
          <w:rFonts w:asciiTheme="minorHAnsi" w:eastAsiaTheme="majorEastAsia" w:hAnsiTheme="minorHAnsi" w:cstheme="minorHAnsi"/>
          <w:bCs/>
          <w:sz w:val="18"/>
          <w:szCs w:val="18"/>
          <w:u w:val="single"/>
        </w:rPr>
      </w:pPr>
      <w:r>
        <w:rPr>
          <w:rFonts w:asciiTheme="minorHAnsi" w:eastAsiaTheme="majorEastAsia" w:hAnsiTheme="minorHAnsi" w:cstheme="minorHAnsi"/>
          <w:bCs/>
          <w:sz w:val="18"/>
          <w:szCs w:val="18"/>
          <w:u w:val="single"/>
        </w:rPr>
        <w:t>D</w:t>
      </w:r>
      <w:r w:rsidRPr="00023A87">
        <w:rPr>
          <w:rFonts w:asciiTheme="minorHAnsi" w:eastAsiaTheme="majorEastAsia" w:hAnsiTheme="minorHAnsi" w:cstheme="minorHAnsi"/>
          <w:bCs/>
          <w:sz w:val="18"/>
          <w:szCs w:val="18"/>
          <w:u w:val="single"/>
        </w:rPr>
        <w:t>istribution:</w:t>
      </w:r>
    </w:p>
    <w:p w14:paraId="48B7B084" w14:textId="77777777" w:rsidR="006E27D3" w:rsidRPr="00023A87" w:rsidRDefault="006E27D3" w:rsidP="006E27D3">
      <w:pPr>
        <w:pStyle w:val="enumlev1"/>
        <w:numPr>
          <w:ilvl w:val="0"/>
          <w:numId w:val="10"/>
        </w:numPr>
        <w:tabs>
          <w:tab w:val="clear" w:pos="794"/>
          <w:tab w:val="clear" w:pos="1191"/>
          <w:tab w:val="clear" w:pos="1588"/>
          <w:tab w:val="clear" w:pos="1985"/>
        </w:tabs>
        <w:spacing w:before="100" w:beforeAutospacing="1" w:line="240" w:lineRule="auto"/>
        <w:ind w:left="284" w:hanging="284"/>
        <w:jc w:val="lowKashida"/>
        <w:rPr>
          <w:rFonts w:asciiTheme="minorHAnsi" w:eastAsiaTheme="majorEastAsia" w:hAnsiTheme="minorHAnsi" w:cstheme="minorHAnsi"/>
          <w:sz w:val="18"/>
          <w:szCs w:val="18"/>
        </w:rPr>
      </w:pPr>
      <w:r w:rsidRPr="00023A87">
        <w:rPr>
          <w:rFonts w:asciiTheme="minorHAnsi" w:eastAsiaTheme="majorEastAsia" w:hAnsiTheme="minorHAnsi" w:cstheme="minorHAnsi"/>
          <w:sz w:val="18"/>
          <w:szCs w:val="18"/>
        </w:rPr>
        <w:t>Administrations of ITU Member States</w:t>
      </w:r>
    </w:p>
    <w:p w14:paraId="50ADF2F2" w14:textId="4884B48D" w:rsidR="006E27D3" w:rsidRPr="00967294" w:rsidRDefault="006E27D3" w:rsidP="001D03D9">
      <w:pPr>
        <w:pStyle w:val="enumlev1"/>
        <w:numPr>
          <w:ilvl w:val="0"/>
          <w:numId w:val="10"/>
        </w:numPr>
        <w:tabs>
          <w:tab w:val="clear" w:pos="794"/>
          <w:tab w:val="clear" w:pos="1191"/>
          <w:tab w:val="clear" w:pos="1588"/>
          <w:tab w:val="clear" w:pos="1985"/>
          <w:tab w:val="left" w:pos="0"/>
          <w:tab w:val="left" w:pos="900"/>
        </w:tabs>
        <w:spacing w:before="240" w:beforeAutospacing="1" w:after="120" w:line="240" w:lineRule="auto"/>
        <w:ind w:left="284" w:hanging="284"/>
        <w:jc w:val="lowKashida"/>
        <w:rPr>
          <w:rFonts w:asciiTheme="minorHAnsi" w:eastAsiaTheme="majorEastAsia" w:hAnsiTheme="minorHAnsi" w:cstheme="minorHAnsi"/>
          <w:sz w:val="24"/>
          <w:szCs w:val="24"/>
        </w:rPr>
      </w:pPr>
      <w:r w:rsidRPr="00967294">
        <w:rPr>
          <w:rFonts w:asciiTheme="minorHAnsi" w:eastAsiaTheme="majorEastAsia" w:hAnsiTheme="minorHAnsi" w:cstheme="minorHAnsi"/>
          <w:sz w:val="18"/>
          <w:szCs w:val="18"/>
        </w:rPr>
        <w:t>Members of the Radio Regulations Board</w:t>
      </w:r>
    </w:p>
    <w:sectPr w:rsidR="006E27D3" w:rsidRPr="00967294" w:rsidSect="002C73C0">
      <w:headerReference w:type="even" r:id="rId12"/>
      <w:headerReference w:type="default" r:id="rId13"/>
      <w:headerReference w:type="first" r:id="rId14"/>
      <w:footerReference w:type="first" r:id="rId15"/>
      <w:pgSz w:w="11907" w:h="16834" w:code="9"/>
      <w:pgMar w:top="1134" w:right="992" w:bottom="900" w:left="1134" w:header="567" w:footer="2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B01DA" w14:textId="77777777" w:rsidR="001142D2" w:rsidRDefault="001142D2">
      <w:r>
        <w:separator/>
      </w:r>
    </w:p>
  </w:endnote>
  <w:endnote w:type="continuationSeparator" w:id="0">
    <w:p w14:paraId="696EFF82" w14:textId="77777777" w:rsidR="001142D2" w:rsidRDefault="0011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8B47" w14:textId="77777777" w:rsidR="00066E5D" w:rsidRPr="005224A1" w:rsidRDefault="00066E5D" w:rsidP="00406D71">
    <w:pPr>
      <w:pStyle w:val="FirstFooter"/>
      <w:spacing w:before="0" w:line="240" w:lineRule="auto"/>
      <w:ind w:left="-397" w:right="-397"/>
      <w:rPr>
        <w:sz w:val="20"/>
        <w:szCs w:val="18"/>
      </w:rPr>
    </w:pPr>
  </w:p>
  <w:p w14:paraId="1C49379D" w14:textId="77777777" w:rsidR="0070656B" w:rsidRPr="0070656B" w:rsidRDefault="0070656B" w:rsidP="0070656B">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rFonts w:eastAsia="Times New Roman"/>
        <w:color w:val="4F81BD" w:themeColor="accent1"/>
        <w:sz w:val="19"/>
        <w:szCs w:val="19"/>
        <w:lang w:val="fr-CH"/>
      </w:rPr>
    </w:pPr>
    <w:r w:rsidRPr="0070656B">
      <w:rPr>
        <w:rFonts w:eastAsia="Times New Roman"/>
        <w:color w:val="4F81BD" w:themeColor="accent1"/>
        <w:sz w:val="19"/>
        <w:szCs w:val="19"/>
        <w:lang w:val="fr-CH"/>
      </w:rPr>
      <w:t xml:space="preserve">International </w:t>
    </w:r>
    <w:proofErr w:type="spellStart"/>
    <w:r w:rsidRPr="0070656B">
      <w:rPr>
        <w:rFonts w:eastAsia="Times New Roman"/>
        <w:color w:val="4F81BD" w:themeColor="accent1"/>
        <w:sz w:val="19"/>
        <w:szCs w:val="19"/>
        <w:lang w:val="fr-CH"/>
      </w:rPr>
      <w:t>Telecommunication</w:t>
    </w:r>
    <w:proofErr w:type="spellEnd"/>
    <w:r w:rsidRPr="0070656B">
      <w:rPr>
        <w:rFonts w:eastAsia="Times New Roman"/>
        <w:color w:val="4F81BD" w:themeColor="accent1"/>
        <w:sz w:val="19"/>
        <w:szCs w:val="19"/>
        <w:lang w:val="fr-CH"/>
      </w:rPr>
      <w:t xml:space="preserve"> Union • Place des Nations, CH</w:t>
    </w:r>
    <w:r w:rsidRPr="0070656B">
      <w:rPr>
        <w:rFonts w:eastAsia="Times New Roman"/>
        <w:color w:val="4F81BD" w:themeColor="accent1"/>
        <w:sz w:val="19"/>
        <w:szCs w:val="19"/>
        <w:lang w:val="fr-CH"/>
      </w:rPr>
      <w:noBreakHyphen/>
      <w:t xml:space="preserve">1211 Geneva 20, </w:t>
    </w:r>
    <w:proofErr w:type="spellStart"/>
    <w:r w:rsidRPr="0070656B">
      <w:rPr>
        <w:rFonts w:eastAsia="Times New Roman"/>
        <w:color w:val="4F81BD" w:themeColor="accent1"/>
        <w:sz w:val="19"/>
        <w:szCs w:val="19"/>
        <w:lang w:val="fr-CH"/>
      </w:rPr>
      <w:t>Switzerland</w:t>
    </w:r>
    <w:proofErr w:type="spellEnd"/>
    <w:r w:rsidRPr="0070656B">
      <w:rPr>
        <w:rFonts w:eastAsia="Times New Roman"/>
        <w:color w:val="4F81BD" w:themeColor="accent1"/>
        <w:sz w:val="19"/>
        <w:szCs w:val="19"/>
        <w:lang w:val="fr-CH"/>
      </w:rPr>
      <w:t xml:space="preserve"> • </w:t>
    </w:r>
    <w:r w:rsidRPr="0070656B">
      <w:rPr>
        <w:rFonts w:eastAsia="Times New Roman"/>
        <w:color w:val="4F81BD" w:themeColor="accent1"/>
        <w:sz w:val="19"/>
        <w:szCs w:val="19"/>
        <w:lang w:val="fr-CH"/>
      </w:rPr>
      <w:br/>
    </w:r>
    <w:proofErr w:type="gramStart"/>
    <w:r w:rsidRPr="0070656B">
      <w:rPr>
        <w:rFonts w:eastAsia="Times New Roman"/>
        <w:color w:val="4F81BD" w:themeColor="accent1"/>
        <w:sz w:val="19"/>
        <w:szCs w:val="19"/>
        <w:lang w:val="fr-CH"/>
      </w:rPr>
      <w:t>Tel:</w:t>
    </w:r>
    <w:proofErr w:type="gramEnd"/>
    <w:r w:rsidRPr="0070656B">
      <w:rPr>
        <w:rFonts w:eastAsia="Times New Roman"/>
        <w:color w:val="4F81BD" w:themeColor="accent1"/>
        <w:sz w:val="19"/>
        <w:szCs w:val="19"/>
        <w:lang w:val="fr-CH"/>
      </w:rPr>
      <w:t xml:space="preserve"> +41 22 730 5111 • E-mail: </w:t>
    </w:r>
    <w:hyperlink r:id="rId1" w:history="1">
      <w:r w:rsidRPr="0070656B">
        <w:rPr>
          <w:rFonts w:eastAsia="Times New Roman"/>
          <w:color w:val="0000FF"/>
          <w:sz w:val="19"/>
          <w:szCs w:val="19"/>
          <w:u w:val="single"/>
          <w:lang w:val="fr-CH"/>
        </w:rPr>
        <w:t>itumail@itu.int</w:t>
      </w:r>
    </w:hyperlink>
    <w:r w:rsidRPr="0070656B">
      <w:rPr>
        <w:rFonts w:eastAsia="Times New Roman"/>
        <w:color w:val="4F81BD" w:themeColor="accent1"/>
        <w:sz w:val="19"/>
        <w:szCs w:val="19"/>
        <w:lang w:val="fr-CH"/>
      </w:rPr>
      <w:t xml:space="preserve">  • </w:t>
    </w:r>
    <w:r w:rsidRPr="0070656B">
      <w:rPr>
        <w:rFonts w:eastAsia="Times New Roman"/>
        <w:color w:val="3E8EDE"/>
        <w:sz w:val="18"/>
        <w:szCs w:val="18"/>
        <w:lang w:val="fr-CH"/>
      </w:rPr>
      <w:t xml:space="preserve">Fax: +41 22 733 7256 </w:t>
    </w:r>
    <w:r w:rsidRPr="0070656B">
      <w:rPr>
        <w:rFonts w:eastAsia="Times New Roman"/>
        <w:color w:val="4F81BD" w:themeColor="accent1"/>
        <w:sz w:val="19"/>
        <w:szCs w:val="19"/>
        <w:lang w:val="fr-CH"/>
      </w:rPr>
      <w:t>• www.itu.int</w:t>
    </w:r>
  </w:p>
  <w:p w14:paraId="7957F140" w14:textId="77777777" w:rsidR="00066E5D" w:rsidRPr="005E5EB3" w:rsidRDefault="00066E5D" w:rsidP="00A2671E">
    <w:pPr>
      <w:pStyle w:val="FirstFooter"/>
      <w:spacing w:line="240" w:lineRule="auto"/>
      <w:ind w:right="-39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F99F6" w14:textId="77777777" w:rsidR="001142D2" w:rsidRDefault="001142D2">
      <w:r>
        <w:t>____________________</w:t>
      </w:r>
    </w:p>
  </w:footnote>
  <w:footnote w:type="continuationSeparator" w:id="0">
    <w:p w14:paraId="24D39E27" w14:textId="77777777" w:rsidR="001142D2" w:rsidRDefault="001142D2">
      <w:r>
        <w:continuationSeparator/>
      </w:r>
    </w:p>
  </w:footnote>
  <w:footnote w:id="1">
    <w:p w14:paraId="10296B29" w14:textId="5D970AA5" w:rsidR="00BF297A" w:rsidRPr="00BF297A" w:rsidRDefault="00BF297A" w:rsidP="00BF297A">
      <w:r>
        <w:rPr>
          <w:rStyle w:val="FootnoteReference"/>
        </w:rPr>
        <w:footnoteRef/>
      </w:r>
      <w:r>
        <w:t xml:space="preserve"> “</w:t>
      </w:r>
      <w:r w:rsidRPr="00990D60">
        <w:rPr>
          <w:i/>
          <w:iCs/>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r w:rsidRPr="00BF297A">
        <w:t>”</w:t>
      </w:r>
    </w:p>
    <w:p w14:paraId="3EFE4442" w14:textId="2000C84E" w:rsidR="00BF297A" w:rsidRDefault="00BF29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9D255" w14:textId="6ABEF1F0" w:rsidR="002A6CEE" w:rsidRPr="000D79FA" w:rsidRDefault="002A6CEE" w:rsidP="002A6CEE">
    <w:pPr>
      <w:pStyle w:val="Header"/>
      <w:jc w:val="center"/>
      <w:rPr>
        <w:sz w:val="18"/>
        <w:szCs w:val="18"/>
      </w:rPr>
    </w:pPr>
    <w:r w:rsidRPr="000D79FA">
      <w:rPr>
        <w:sz w:val="18"/>
        <w:szCs w:val="18"/>
      </w:rPr>
      <w:t xml:space="preserve">- </w:t>
    </w:r>
    <w:r w:rsidRPr="000D79FA">
      <w:rPr>
        <w:sz w:val="18"/>
        <w:szCs w:val="18"/>
      </w:rPr>
      <w:fldChar w:fldCharType="begin"/>
    </w:r>
    <w:r w:rsidRPr="000D79FA">
      <w:rPr>
        <w:sz w:val="18"/>
        <w:szCs w:val="18"/>
      </w:rPr>
      <w:instrText xml:space="preserve"> PAGE  \* MERGEFORMAT </w:instrText>
    </w:r>
    <w:r w:rsidRPr="000D79FA">
      <w:rPr>
        <w:sz w:val="18"/>
        <w:szCs w:val="18"/>
      </w:rPr>
      <w:fldChar w:fldCharType="separate"/>
    </w:r>
    <w:r w:rsidR="00C80F99">
      <w:rPr>
        <w:noProof/>
        <w:sz w:val="18"/>
        <w:szCs w:val="18"/>
      </w:rPr>
      <w:t>2</w:t>
    </w:r>
    <w:r w:rsidRPr="000D79FA">
      <w:rPr>
        <w:sz w:val="18"/>
        <w:szCs w:val="18"/>
      </w:rPr>
      <w:fldChar w:fldCharType="end"/>
    </w:r>
    <w:r w:rsidRPr="000D79FA">
      <w:rPr>
        <w:sz w:val="18"/>
        <w:szCs w:val="18"/>
      </w:rPr>
      <w:t xml:space="preserve"> -</w:t>
    </w:r>
  </w:p>
  <w:p w14:paraId="0F498E93" w14:textId="7DCF0480" w:rsidR="00066E5D" w:rsidRPr="002A6CEE" w:rsidRDefault="00066E5D" w:rsidP="002A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0137" w14:textId="196FDAA0" w:rsidR="00066E5D" w:rsidRPr="000D79FA" w:rsidRDefault="00066E5D" w:rsidP="00B4508C">
    <w:pPr>
      <w:pStyle w:val="Header"/>
      <w:jc w:val="center"/>
      <w:rPr>
        <w:sz w:val="18"/>
        <w:szCs w:val="18"/>
      </w:rPr>
    </w:pPr>
    <w:r w:rsidRPr="000D79FA">
      <w:rPr>
        <w:sz w:val="18"/>
        <w:szCs w:val="18"/>
      </w:rPr>
      <w:t xml:space="preserve">- </w:t>
    </w:r>
    <w:r w:rsidRPr="000D79FA">
      <w:rPr>
        <w:sz w:val="18"/>
        <w:szCs w:val="18"/>
      </w:rPr>
      <w:fldChar w:fldCharType="begin"/>
    </w:r>
    <w:r w:rsidRPr="000D79FA">
      <w:rPr>
        <w:sz w:val="18"/>
        <w:szCs w:val="18"/>
      </w:rPr>
      <w:instrText xml:space="preserve"> PAGE  \* MERGEFORMAT </w:instrText>
    </w:r>
    <w:r w:rsidRPr="000D79FA">
      <w:rPr>
        <w:sz w:val="18"/>
        <w:szCs w:val="18"/>
      </w:rPr>
      <w:fldChar w:fldCharType="separate"/>
    </w:r>
    <w:r w:rsidR="00C80F99">
      <w:rPr>
        <w:noProof/>
        <w:sz w:val="18"/>
        <w:szCs w:val="18"/>
      </w:rPr>
      <w:t>3</w:t>
    </w:r>
    <w:r w:rsidRPr="000D79FA">
      <w:rPr>
        <w:sz w:val="18"/>
        <w:szCs w:val="18"/>
      </w:rPr>
      <w:fldChar w:fldCharType="end"/>
    </w:r>
    <w:r w:rsidRPr="000D79FA">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5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tblGrid>
    <w:tr w:rsidR="00066E5D" w14:paraId="6A118B91" w14:textId="77777777" w:rsidTr="001700C9">
      <w:tc>
        <w:tcPr>
          <w:tcW w:w="9955" w:type="dxa"/>
          <w:noWrap/>
          <w:tcMar>
            <w:left w:w="0" w:type="dxa"/>
          </w:tcMar>
        </w:tcPr>
        <w:p w14:paraId="348B964B" w14:textId="3919A80F" w:rsidR="00066E5D" w:rsidRDefault="00066E5D" w:rsidP="00BE22B9">
          <w:pPr>
            <w:pStyle w:val="Header"/>
            <w:spacing w:before="120" w:line="360" w:lineRule="auto"/>
            <w:jc w:val="center"/>
          </w:pPr>
          <w:r w:rsidRPr="008E52B1">
            <w:rPr>
              <w:noProof/>
              <w:color w:val="3399FF"/>
              <w:lang w:val="en-GB" w:eastAsia="en-GB"/>
            </w:rPr>
            <w:drawing>
              <wp:inline distT="0" distB="0" distL="0" distR="0" wp14:anchorId="6179D6AD" wp14:editId="1A2D93D3">
                <wp:extent cx="838200" cy="838200"/>
                <wp:effectExtent l="0" t="0" r="0" b="0"/>
                <wp:docPr id="6" name="Picture 6"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14:paraId="3E242F17" w14:textId="77777777" w:rsidR="00066E5D" w:rsidRPr="00EA15B3" w:rsidRDefault="00066E5D" w:rsidP="00737279">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AA6122"/>
    <w:multiLevelType w:val="hybridMultilevel"/>
    <w:tmpl w:val="9176C87A"/>
    <w:lvl w:ilvl="0" w:tplc="88C2E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46063"/>
    <w:multiLevelType w:val="hybridMultilevel"/>
    <w:tmpl w:val="DEC6DA88"/>
    <w:lvl w:ilvl="0" w:tplc="51D8349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438055F"/>
    <w:multiLevelType w:val="hybridMultilevel"/>
    <w:tmpl w:val="2EFE2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AC3ECA"/>
    <w:multiLevelType w:val="hybridMultilevel"/>
    <w:tmpl w:val="782489BE"/>
    <w:lvl w:ilvl="0" w:tplc="51D834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A01AB"/>
    <w:multiLevelType w:val="hybridMultilevel"/>
    <w:tmpl w:val="D1007AE0"/>
    <w:lvl w:ilvl="0" w:tplc="B208529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0F1E2B4B"/>
    <w:multiLevelType w:val="hybridMultilevel"/>
    <w:tmpl w:val="CAA0E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72D93"/>
    <w:multiLevelType w:val="hybridMultilevel"/>
    <w:tmpl w:val="386A9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5113D01"/>
    <w:multiLevelType w:val="hybridMultilevel"/>
    <w:tmpl w:val="E95ADFB0"/>
    <w:lvl w:ilvl="0" w:tplc="EB8AA4F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5106E"/>
    <w:multiLevelType w:val="hybridMultilevel"/>
    <w:tmpl w:val="9D16FCA8"/>
    <w:lvl w:ilvl="0" w:tplc="7A3E20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D4E55"/>
    <w:multiLevelType w:val="hybridMultilevel"/>
    <w:tmpl w:val="EADC9596"/>
    <w:lvl w:ilvl="0" w:tplc="4D10B512">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5492E"/>
    <w:multiLevelType w:val="hybridMultilevel"/>
    <w:tmpl w:val="867CE624"/>
    <w:lvl w:ilvl="0" w:tplc="D5B2A5E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6" w15:restartNumberingAfterBreak="0">
    <w:nsid w:val="4CF92693"/>
    <w:multiLevelType w:val="hybridMultilevel"/>
    <w:tmpl w:val="F24E5124"/>
    <w:lvl w:ilvl="0" w:tplc="4E14C930">
      <w:start w:val="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018F2"/>
    <w:multiLevelType w:val="hybridMultilevel"/>
    <w:tmpl w:val="5F2EC17E"/>
    <w:lvl w:ilvl="0" w:tplc="20CE0814">
      <w:start w:val="20"/>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9A4F62"/>
    <w:multiLevelType w:val="hybridMultilevel"/>
    <w:tmpl w:val="62689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02DD7"/>
    <w:multiLevelType w:val="hybridMultilevel"/>
    <w:tmpl w:val="4E323016"/>
    <w:lvl w:ilvl="0" w:tplc="1026DFC6">
      <w:start w:val="7"/>
      <w:numFmt w:val="bullet"/>
      <w:lvlText w:val="-"/>
      <w:lvlJc w:val="left"/>
      <w:pPr>
        <w:ind w:left="720" w:hanging="360"/>
      </w:pPr>
      <w:rPr>
        <w:rFonts w:ascii="Calibri" w:eastAsia="Times New Roman"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57D0217F"/>
    <w:multiLevelType w:val="multilevel"/>
    <w:tmpl w:val="828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86284"/>
    <w:multiLevelType w:val="hybridMultilevel"/>
    <w:tmpl w:val="9A08C8B6"/>
    <w:lvl w:ilvl="0" w:tplc="B55ABF4E">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10000"/>
    <w:multiLevelType w:val="hybridMultilevel"/>
    <w:tmpl w:val="2D22F5D4"/>
    <w:lvl w:ilvl="0" w:tplc="5210B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EB4F0E"/>
    <w:multiLevelType w:val="hybridMultilevel"/>
    <w:tmpl w:val="126C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42C4B"/>
    <w:multiLevelType w:val="hybridMultilevel"/>
    <w:tmpl w:val="FABC8574"/>
    <w:lvl w:ilvl="0" w:tplc="1026DFC6">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72598"/>
    <w:multiLevelType w:val="hybridMultilevel"/>
    <w:tmpl w:val="44DABA12"/>
    <w:lvl w:ilvl="0" w:tplc="DBE43624">
      <w:start w:val="1"/>
      <w:numFmt w:val="decimal"/>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1F17AEA"/>
    <w:multiLevelType w:val="hybridMultilevel"/>
    <w:tmpl w:val="83640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3D3F45"/>
    <w:multiLevelType w:val="hybridMultilevel"/>
    <w:tmpl w:val="FFBA1E6C"/>
    <w:lvl w:ilvl="0" w:tplc="51D83494">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DD93989"/>
    <w:multiLevelType w:val="hybridMultilevel"/>
    <w:tmpl w:val="B90E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17760"/>
    <w:multiLevelType w:val="hybridMultilevel"/>
    <w:tmpl w:val="03C6FB12"/>
    <w:lvl w:ilvl="0" w:tplc="45320D7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20"/>
  </w:num>
  <w:num w:numId="5">
    <w:abstractNumId w:val="11"/>
  </w:num>
  <w:num w:numId="6">
    <w:abstractNumId w:val="4"/>
  </w:num>
  <w:num w:numId="7">
    <w:abstractNumId w:val="28"/>
  </w:num>
  <w:num w:numId="8">
    <w:abstractNumId w:val="25"/>
  </w:num>
  <w:num w:numId="9">
    <w:abstractNumId w:val="14"/>
  </w:num>
  <w:num w:numId="10">
    <w:abstractNumId w:val="7"/>
  </w:num>
  <w:num w:numId="11">
    <w:abstractNumId w:val="23"/>
  </w:num>
  <w:num w:numId="12">
    <w:abstractNumId w:val="22"/>
  </w:num>
  <w:num w:numId="13">
    <w:abstractNumId w:val="29"/>
  </w:num>
  <w:num w:numId="14">
    <w:abstractNumId w:val="13"/>
  </w:num>
  <w:num w:numId="15">
    <w:abstractNumId w:val="16"/>
  </w:num>
  <w:num w:numId="16">
    <w:abstractNumId w:val="17"/>
  </w:num>
  <w:num w:numId="17">
    <w:abstractNumId w:val="10"/>
  </w:num>
  <w:num w:numId="18">
    <w:abstractNumId w:val="27"/>
  </w:num>
  <w:num w:numId="19">
    <w:abstractNumId w:val="5"/>
  </w:num>
  <w:num w:numId="20">
    <w:abstractNumId w:val="18"/>
  </w:num>
  <w:num w:numId="21">
    <w:abstractNumId w:val="21"/>
  </w:num>
  <w:num w:numId="22">
    <w:abstractNumId w:val="19"/>
  </w:num>
  <w:num w:numId="23">
    <w:abstractNumId w:val="24"/>
  </w:num>
  <w:num w:numId="24">
    <w:abstractNumId w:val="26"/>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37559"/>
    <w:rsid w:val="00006A31"/>
    <w:rsid w:val="00006C82"/>
    <w:rsid w:val="00007E7D"/>
    <w:rsid w:val="000105FD"/>
    <w:rsid w:val="00010E30"/>
    <w:rsid w:val="00015C76"/>
    <w:rsid w:val="0001764B"/>
    <w:rsid w:val="00020B98"/>
    <w:rsid w:val="00022AAC"/>
    <w:rsid w:val="000235F4"/>
    <w:rsid w:val="00023A87"/>
    <w:rsid w:val="00026CF8"/>
    <w:rsid w:val="000304E3"/>
    <w:rsid w:val="00031E64"/>
    <w:rsid w:val="000333D2"/>
    <w:rsid w:val="00034BB5"/>
    <w:rsid w:val="00037B95"/>
    <w:rsid w:val="00043C9A"/>
    <w:rsid w:val="000449B0"/>
    <w:rsid w:val="00045DB4"/>
    <w:rsid w:val="000468B6"/>
    <w:rsid w:val="00047C98"/>
    <w:rsid w:val="00051709"/>
    <w:rsid w:val="00054E5D"/>
    <w:rsid w:val="0005791F"/>
    <w:rsid w:val="00062CF6"/>
    <w:rsid w:val="00066E5D"/>
    <w:rsid w:val="00070258"/>
    <w:rsid w:val="0007158F"/>
    <w:rsid w:val="0007323C"/>
    <w:rsid w:val="00081522"/>
    <w:rsid w:val="00085769"/>
    <w:rsid w:val="00086D03"/>
    <w:rsid w:val="000A1D1B"/>
    <w:rsid w:val="000A2BD9"/>
    <w:rsid w:val="000A2D65"/>
    <w:rsid w:val="000A3016"/>
    <w:rsid w:val="000A415A"/>
    <w:rsid w:val="000A43DF"/>
    <w:rsid w:val="000A445E"/>
    <w:rsid w:val="000A61F1"/>
    <w:rsid w:val="000A7051"/>
    <w:rsid w:val="000B0032"/>
    <w:rsid w:val="000B0AF6"/>
    <w:rsid w:val="000B0E9B"/>
    <w:rsid w:val="000B3256"/>
    <w:rsid w:val="000B6635"/>
    <w:rsid w:val="000C03C7"/>
    <w:rsid w:val="000C0E2D"/>
    <w:rsid w:val="000C0F1C"/>
    <w:rsid w:val="000C10EF"/>
    <w:rsid w:val="000C15F9"/>
    <w:rsid w:val="000C3692"/>
    <w:rsid w:val="000C45B1"/>
    <w:rsid w:val="000D288A"/>
    <w:rsid w:val="000D34EF"/>
    <w:rsid w:val="000D79FA"/>
    <w:rsid w:val="000E1DF4"/>
    <w:rsid w:val="000E3DEE"/>
    <w:rsid w:val="000E4452"/>
    <w:rsid w:val="000E6A7F"/>
    <w:rsid w:val="000F38B2"/>
    <w:rsid w:val="000F5260"/>
    <w:rsid w:val="000F6541"/>
    <w:rsid w:val="00100B72"/>
    <w:rsid w:val="00101F7D"/>
    <w:rsid w:val="00103C76"/>
    <w:rsid w:val="00103E38"/>
    <w:rsid w:val="00104719"/>
    <w:rsid w:val="0010647C"/>
    <w:rsid w:val="00106C8F"/>
    <w:rsid w:val="00111BFA"/>
    <w:rsid w:val="0011265F"/>
    <w:rsid w:val="001142D2"/>
    <w:rsid w:val="0011553E"/>
    <w:rsid w:val="00117282"/>
    <w:rsid w:val="00117FEB"/>
    <w:rsid w:val="00122884"/>
    <w:rsid w:val="00126AE4"/>
    <w:rsid w:val="0013045C"/>
    <w:rsid w:val="001314A5"/>
    <w:rsid w:val="001333D9"/>
    <w:rsid w:val="00134404"/>
    <w:rsid w:val="00135053"/>
    <w:rsid w:val="001371F4"/>
    <w:rsid w:val="00137ECC"/>
    <w:rsid w:val="00142E6E"/>
    <w:rsid w:val="00143BB6"/>
    <w:rsid w:val="00144DFB"/>
    <w:rsid w:val="0014624F"/>
    <w:rsid w:val="00146F88"/>
    <w:rsid w:val="00151DDC"/>
    <w:rsid w:val="00152E29"/>
    <w:rsid w:val="00154BF4"/>
    <w:rsid w:val="00164A74"/>
    <w:rsid w:val="00165B3D"/>
    <w:rsid w:val="001700C9"/>
    <w:rsid w:val="00180B2F"/>
    <w:rsid w:val="00184F53"/>
    <w:rsid w:val="001868B1"/>
    <w:rsid w:val="00187CA3"/>
    <w:rsid w:val="0019129E"/>
    <w:rsid w:val="00192D35"/>
    <w:rsid w:val="001956AA"/>
    <w:rsid w:val="00196710"/>
    <w:rsid w:val="00197324"/>
    <w:rsid w:val="001B29EE"/>
    <w:rsid w:val="001B351B"/>
    <w:rsid w:val="001B6254"/>
    <w:rsid w:val="001B734E"/>
    <w:rsid w:val="001B76BA"/>
    <w:rsid w:val="001B7B78"/>
    <w:rsid w:val="001B7C76"/>
    <w:rsid w:val="001C06DB"/>
    <w:rsid w:val="001C2E84"/>
    <w:rsid w:val="001C39B7"/>
    <w:rsid w:val="001C71F3"/>
    <w:rsid w:val="001D286C"/>
    <w:rsid w:val="001D4E1D"/>
    <w:rsid w:val="001D7070"/>
    <w:rsid w:val="001E07B8"/>
    <w:rsid w:val="001E2A93"/>
    <w:rsid w:val="001E44E3"/>
    <w:rsid w:val="001F2339"/>
    <w:rsid w:val="001F3F48"/>
    <w:rsid w:val="001F3FC5"/>
    <w:rsid w:val="001F4329"/>
    <w:rsid w:val="001F4D00"/>
    <w:rsid w:val="001F5966"/>
    <w:rsid w:val="001F5A49"/>
    <w:rsid w:val="001F5B1D"/>
    <w:rsid w:val="002004E7"/>
    <w:rsid w:val="0020108B"/>
    <w:rsid w:val="00201097"/>
    <w:rsid w:val="00201380"/>
    <w:rsid w:val="00201B6E"/>
    <w:rsid w:val="00202D26"/>
    <w:rsid w:val="00204AD8"/>
    <w:rsid w:val="00204F26"/>
    <w:rsid w:val="00205F89"/>
    <w:rsid w:val="002061BD"/>
    <w:rsid w:val="00216B9C"/>
    <w:rsid w:val="00222177"/>
    <w:rsid w:val="002302B3"/>
    <w:rsid w:val="00230C66"/>
    <w:rsid w:val="00235A29"/>
    <w:rsid w:val="002409C7"/>
    <w:rsid w:val="00240F91"/>
    <w:rsid w:val="002419ED"/>
    <w:rsid w:val="002443A2"/>
    <w:rsid w:val="002457CD"/>
    <w:rsid w:val="00250D4F"/>
    <w:rsid w:val="002527DF"/>
    <w:rsid w:val="00255CA9"/>
    <w:rsid w:val="00257A19"/>
    <w:rsid w:val="002600DD"/>
    <w:rsid w:val="00261D5F"/>
    <w:rsid w:val="00263235"/>
    <w:rsid w:val="00266E2B"/>
    <w:rsid w:val="00271F14"/>
    <w:rsid w:val="00274AEA"/>
    <w:rsid w:val="00281075"/>
    <w:rsid w:val="00281DBD"/>
    <w:rsid w:val="002861E6"/>
    <w:rsid w:val="00287D18"/>
    <w:rsid w:val="00293F97"/>
    <w:rsid w:val="00295BFE"/>
    <w:rsid w:val="00295CF8"/>
    <w:rsid w:val="002A17C1"/>
    <w:rsid w:val="002A1986"/>
    <w:rsid w:val="002A2618"/>
    <w:rsid w:val="002A6CEE"/>
    <w:rsid w:val="002A779E"/>
    <w:rsid w:val="002B10F1"/>
    <w:rsid w:val="002C73C0"/>
    <w:rsid w:val="002D01C2"/>
    <w:rsid w:val="002D0EC3"/>
    <w:rsid w:val="002D585E"/>
    <w:rsid w:val="002D5A15"/>
    <w:rsid w:val="002D5ADC"/>
    <w:rsid w:val="002D5BDD"/>
    <w:rsid w:val="002E2AFE"/>
    <w:rsid w:val="002E3D27"/>
    <w:rsid w:val="002E5BED"/>
    <w:rsid w:val="002F0890"/>
    <w:rsid w:val="002F0A0D"/>
    <w:rsid w:val="002F2531"/>
    <w:rsid w:val="002F4967"/>
    <w:rsid w:val="002F499F"/>
    <w:rsid w:val="00300DB9"/>
    <w:rsid w:val="0031258E"/>
    <w:rsid w:val="0031473A"/>
    <w:rsid w:val="00316935"/>
    <w:rsid w:val="00321D83"/>
    <w:rsid w:val="00325A44"/>
    <w:rsid w:val="00327A42"/>
    <w:rsid w:val="003309D2"/>
    <w:rsid w:val="00330DAF"/>
    <w:rsid w:val="00335CB4"/>
    <w:rsid w:val="003370B8"/>
    <w:rsid w:val="00337186"/>
    <w:rsid w:val="00337C74"/>
    <w:rsid w:val="00345D38"/>
    <w:rsid w:val="00347561"/>
    <w:rsid w:val="00350171"/>
    <w:rsid w:val="00350B86"/>
    <w:rsid w:val="00352877"/>
    <w:rsid w:val="00362140"/>
    <w:rsid w:val="00363DD4"/>
    <w:rsid w:val="003666FF"/>
    <w:rsid w:val="003668B2"/>
    <w:rsid w:val="00367724"/>
    <w:rsid w:val="003677DA"/>
    <w:rsid w:val="00370639"/>
    <w:rsid w:val="003720E3"/>
    <w:rsid w:val="00381F40"/>
    <w:rsid w:val="00387C01"/>
    <w:rsid w:val="003941B0"/>
    <w:rsid w:val="0039636B"/>
    <w:rsid w:val="003A1F49"/>
    <w:rsid w:val="003A226A"/>
    <w:rsid w:val="003A7E7E"/>
    <w:rsid w:val="003B02DF"/>
    <w:rsid w:val="003B2BDA"/>
    <w:rsid w:val="003B55EC"/>
    <w:rsid w:val="003B7827"/>
    <w:rsid w:val="003B789E"/>
    <w:rsid w:val="003C2B69"/>
    <w:rsid w:val="003C4471"/>
    <w:rsid w:val="003C4484"/>
    <w:rsid w:val="003C5DDA"/>
    <w:rsid w:val="003C6774"/>
    <w:rsid w:val="003D2BAD"/>
    <w:rsid w:val="003E3C88"/>
    <w:rsid w:val="003E41DB"/>
    <w:rsid w:val="003E504F"/>
    <w:rsid w:val="003E6F09"/>
    <w:rsid w:val="003E707D"/>
    <w:rsid w:val="003E78D6"/>
    <w:rsid w:val="003E7FE0"/>
    <w:rsid w:val="003F38A5"/>
    <w:rsid w:val="003F3A0C"/>
    <w:rsid w:val="003F6A1B"/>
    <w:rsid w:val="004007B3"/>
    <w:rsid w:val="00401DB7"/>
    <w:rsid w:val="00402441"/>
    <w:rsid w:val="00402667"/>
    <w:rsid w:val="00403D58"/>
    <w:rsid w:val="00404788"/>
    <w:rsid w:val="004068AB"/>
    <w:rsid w:val="00406D71"/>
    <w:rsid w:val="004102F0"/>
    <w:rsid w:val="0041247F"/>
    <w:rsid w:val="004137DC"/>
    <w:rsid w:val="00415160"/>
    <w:rsid w:val="0041578D"/>
    <w:rsid w:val="00420791"/>
    <w:rsid w:val="00427120"/>
    <w:rsid w:val="004324F8"/>
    <w:rsid w:val="004326DB"/>
    <w:rsid w:val="0043682E"/>
    <w:rsid w:val="004369F2"/>
    <w:rsid w:val="004474B3"/>
    <w:rsid w:val="00447ECB"/>
    <w:rsid w:val="0045277D"/>
    <w:rsid w:val="004530A4"/>
    <w:rsid w:val="00457403"/>
    <w:rsid w:val="004575EB"/>
    <w:rsid w:val="004623F7"/>
    <w:rsid w:val="00463512"/>
    <w:rsid w:val="00463CE7"/>
    <w:rsid w:val="00463EF0"/>
    <w:rsid w:val="0047245B"/>
    <w:rsid w:val="0047423F"/>
    <w:rsid w:val="00476BD6"/>
    <w:rsid w:val="00480F51"/>
    <w:rsid w:val="00480FE5"/>
    <w:rsid w:val="00481124"/>
    <w:rsid w:val="004815EB"/>
    <w:rsid w:val="004853AD"/>
    <w:rsid w:val="0048607C"/>
    <w:rsid w:val="00486571"/>
    <w:rsid w:val="00487569"/>
    <w:rsid w:val="004910D3"/>
    <w:rsid w:val="004940D0"/>
    <w:rsid w:val="00494933"/>
    <w:rsid w:val="00496864"/>
    <w:rsid w:val="00496920"/>
    <w:rsid w:val="004A1F27"/>
    <w:rsid w:val="004A4496"/>
    <w:rsid w:val="004A451F"/>
    <w:rsid w:val="004B11AB"/>
    <w:rsid w:val="004B5043"/>
    <w:rsid w:val="004B7C9A"/>
    <w:rsid w:val="004C13E7"/>
    <w:rsid w:val="004C34DE"/>
    <w:rsid w:val="004C38A1"/>
    <w:rsid w:val="004C6779"/>
    <w:rsid w:val="004C770A"/>
    <w:rsid w:val="004D020F"/>
    <w:rsid w:val="004D0658"/>
    <w:rsid w:val="004D0E51"/>
    <w:rsid w:val="004D14D0"/>
    <w:rsid w:val="004D1887"/>
    <w:rsid w:val="004D38A1"/>
    <w:rsid w:val="004D4ED0"/>
    <w:rsid w:val="004E0712"/>
    <w:rsid w:val="004E0DC4"/>
    <w:rsid w:val="004E0FB5"/>
    <w:rsid w:val="004E43BB"/>
    <w:rsid w:val="004E486B"/>
    <w:rsid w:val="004E609B"/>
    <w:rsid w:val="004E677B"/>
    <w:rsid w:val="004E7D5D"/>
    <w:rsid w:val="004F1016"/>
    <w:rsid w:val="004F178E"/>
    <w:rsid w:val="004F1F97"/>
    <w:rsid w:val="004F5208"/>
    <w:rsid w:val="00500EA8"/>
    <w:rsid w:val="005010F8"/>
    <w:rsid w:val="00502887"/>
    <w:rsid w:val="005045A8"/>
    <w:rsid w:val="00504937"/>
    <w:rsid w:val="00505309"/>
    <w:rsid w:val="0050789B"/>
    <w:rsid w:val="0051025E"/>
    <w:rsid w:val="00511D6D"/>
    <w:rsid w:val="00512C49"/>
    <w:rsid w:val="00513B88"/>
    <w:rsid w:val="00516901"/>
    <w:rsid w:val="00520189"/>
    <w:rsid w:val="005224A1"/>
    <w:rsid w:val="005332A6"/>
    <w:rsid w:val="00534372"/>
    <w:rsid w:val="0053796C"/>
    <w:rsid w:val="00541C5B"/>
    <w:rsid w:val="00543058"/>
    <w:rsid w:val="00543DF8"/>
    <w:rsid w:val="0054475A"/>
    <w:rsid w:val="00546101"/>
    <w:rsid w:val="0055043A"/>
    <w:rsid w:val="00551621"/>
    <w:rsid w:val="005530B1"/>
    <w:rsid w:val="00553DD7"/>
    <w:rsid w:val="0055680F"/>
    <w:rsid w:val="00556EBD"/>
    <w:rsid w:val="00557CAC"/>
    <w:rsid w:val="00561005"/>
    <w:rsid w:val="00561DCA"/>
    <w:rsid w:val="005628BA"/>
    <w:rsid w:val="005638CF"/>
    <w:rsid w:val="00563FF1"/>
    <w:rsid w:val="0056641D"/>
    <w:rsid w:val="0056703E"/>
    <w:rsid w:val="0056741E"/>
    <w:rsid w:val="005703C7"/>
    <w:rsid w:val="0057325A"/>
    <w:rsid w:val="0057469A"/>
    <w:rsid w:val="00580814"/>
    <w:rsid w:val="00584F1C"/>
    <w:rsid w:val="00586945"/>
    <w:rsid w:val="00586DD6"/>
    <w:rsid w:val="00587250"/>
    <w:rsid w:val="00590B3D"/>
    <w:rsid w:val="00590E29"/>
    <w:rsid w:val="005965AA"/>
    <w:rsid w:val="005A03A3"/>
    <w:rsid w:val="005A0B27"/>
    <w:rsid w:val="005A2AAA"/>
    <w:rsid w:val="005A2B92"/>
    <w:rsid w:val="005A6F41"/>
    <w:rsid w:val="005A79E9"/>
    <w:rsid w:val="005B00BF"/>
    <w:rsid w:val="005B214C"/>
    <w:rsid w:val="005C0BBE"/>
    <w:rsid w:val="005C1050"/>
    <w:rsid w:val="005C3112"/>
    <w:rsid w:val="005C4C3B"/>
    <w:rsid w:val="005D2E03"/>
    <w:rsid w:val="005D3669"/>
    <w:rsid w:val="005D4416"/>
    <w:rsid w:val="005D631A"/>
    <w:rsid w:val="005E5EB3"/>
    <w:rsid w:val="005F371D"/>
    <w:rsid w:val="005F3CB6"/>
    <w:rsid w:val="005F657C"/>
    <w:rsid w:val="005F74B8"/>
    <w:rsid w:val="00602D53"/>
    <w:rsid w:val="006036F4"/>
    <w:rsid w:val="0060417B"/>
    <w:rsid w:val="006047E5"/>
    <w:rsid w:val="00605152"/>
    <w:rsid w:val="0060643F"/>
    <w:rsid w:val="00606D6A"/>
    <w:rsid w:val="00617DC5"/>
    <w:rsid w:val="00627CE1"/>
    <w:rsid w:val="006330DE"/>
    <w:rsid w:val="00637CAB"/>
    <w:rsid w:val="006402E9"/>
    <w:rsid w:val="00640E62"/>
    <w:rsid w:val="0064371D"/>
    <w:rsid w:val="00644690"/>
    <w:rsid w:val="0064535B"/>
    <w:rsid w:val="00650B2A"/>
    <w:rsid w:val="00651777"/>
    <w:rsid w:val="0065340B"/>
    <w:rsid w:val="00653E1C"/>
    <w:rsid w:val="006550F8"/>
    <w:rsid w:val="006554AB"/>
    <w:rsid w:val="00655A02"/>
    <w:rsid w:val="00655C3A"/>
    <w:rsid w:val="006562F2"/>
    <w:rsid w:val="00657F12"/>
    <w:rsid w:val="006611EE"/>
    <w:rsid w:val="00666C0D"/>
    <w:rsid w:val="00672D8E"/>
    <w:rsid w:val="006736BA"/>
    <w:rsid w:val="006800E8"/>
    <w:rsid w:val="00683247"/>
    <w:rsid w:val="006845F6"/>
    <w:rsid w:val="00684EE0"/>
    <w:rsid w:val="00687F1F"/>
    <w:rsid w:val="00690A1B"/>
    <w:rsid w:val="006913DF"/>
    <w:rsid w:val="006961E4"/>
    <w:rsid w:val="00696755"/>
    <w:rsid w:val="006A067E"/>
    <w:rsid w:val="006A115B"/>
    <w:rsid w:val="006A49DC"/>
    <w:rsid w:val="006A518B"/>
    <w:rsid w:val="006A5B9A"/>
    <w:rsid w:val="006A6A97"/>
    <w:rsid w:val="006B04B7"/>
    <w:rsid w:val="006B0590"/>
    <w:rsid w:val="006B49DA"/>
    <w:rsid w:val="006C032B"/>
    <w:rsid w:val="006C2191"/>
    <w:rsid w:val="006C3ACE"/>
    <w:rsid w:val="006C7CDE"/>
    <w:rsid w:val="006D214D"/>
    <w:rsid w:val="006D54BD"/>
    <w:rsid w:val="006D70FC"/>
    <w:rsid w:val="006D7F62"/>
    <w:rsid w:val="006E27D3"/>
    <w:rsid w:val="006F1A35"/>
    <w:rsid w:val="006F1BD0"/>
    <w:rsid w:val="006F2E43"/>
    <w:rsid w:val="006F3D4B"/>
    <w:rsid w:val="006F72B3"/>
    <w:rsid w:val="006F7466"/>
    <w:rsid w:val="00701F47"/>
    <w:rsid w:val="007038CC"/>
    <w:rsid w:val="0070656B"/>
    <w:rsid w:val="007101F9"/>
    <w:rsid w:val="00714AE6"/>
    <w:rsid w:val="0071658E"/>
    <w:rsid w:val="007171BD"/>
    <w:rsid w:val="007234B1"/>
    <w:rsid w:val="007237A7"/>
    <w:rsid w:val="007237E4"/>
    <w:rsid w:val="00725D8F"/>
    <w:rsid w:val="00726A6E"/>
    <w:rsid w:val="00727816"/>
    <w:rsid w:val="00730B9A"/>
    <w:rsid w:val="00737279"/>
    <w:rsid w:val="0074244F"/>
    <w:rsid w:val="00742E77"/>
    <w:rsid w:val="00750CFA"/>
    <w:rsid w:val="00754007"/>
    <w:rsid w:val="007553DA"/>
    <w:rsid w:val="007554AE"/>
    <w:rsid w:val="007633A4"/>
    <w:rsid w:val="007659B1"/>
    <w:rsid w:val="00774B1D"/>
    <w:rsid w:val="0077544F"/>
    <w:rsid w:val="007757AC"/>
    <w:rsid w:val="00777478"/>
    <w:rsid w:val="00782354"/>
    <w:rsid w:val="007832C2"/>
    <w:rsid w:val="00785280"/>
    <w:rsid w:val="007921A7"/>
    <w:rsid w:val="0079466E"/>
    <w:rsid w:val="0079785A"/>
    <w:rsid w:val="007A3284"/>
    <w:rsid w:val="007A50B0"/>
    <w:rsid w:val="007A7AB6"/>
    <w:rsid w:val="007B26FA"/>
    <w:rsid w:val="007B3DB1"/>
    <w:rsid w:val="007B7498"/>
    <w:rsid w:val="007C1309"/>
    <w:rsid w:val="007C382F"/>
    <w:rsid w:val="007C4804"/>
    <w:rsid w:val="007D0A21"/>
    <w:rsid w:val="007D183E"/>
    <w:rsid w:val="007D2750"/>
    <w:rsid w:val="007D55ED"/>
    <w:rsid w:val="007D6846"/>
    <w:rsid w:val="007E0B73"/>
    <w:rsid w:val="007E0E94"/>
    <w:rsid w:val="007E1833"/>
    <w:rsid w:val="007E3CA4"/>
    <w:rsid w:val="007E3F13"/>
    <w:rsid w:val="007E7E90"/>
    <w:rsid w:val="007F1D86"/>
    <w:rsid w:val="007F2AB5"/>
    <w:rsid w:val="007F4C50"/>
    <w:rsid w:val="007F7046"/>
    <w:rsid w:val="007F751A"/>
    <w:rsid w:val="00800012"/>
    <w:rsid w:val="00803594"/>
    <w:rsid w:val="00803AED"/>
    <w:rsid w:val="008078F3"/>
    <w:rsid w:val="0081338A"/>
    <w:rsid w:val="008143A4"/>
    <w:rsid w:val="0081513E"/>
    <w:rsid w:val="00821311"/>
    <w:rsid w:val="0082164F"/>
    <w:rsid w:val="008254DB"/>
    <w:rsid w:val="00827FDD"/>
    <w:rsid w:val="0083025F"/>
    <w:rsid w:val="00831739"/>
    <w:rsid w:val="008366B5"/>
    <w:rsid w:val="00837C43"/>
    <w:rsid w:val="008518C6"/>
    <w:rsid w:val="00852EC3"/>
    <w:rsid w:val="00854131"/>
    <w:rsid w:val="00854DAE"/>
    <w:rsid w:val="0085652D"/>
    <w:rsid w:val="00857503"/>
    <w:rsid w:val="0086169C"/>
    <w:rsid w:val="00861A14"/>
    <w:rsid w:val="00866362"/>
    <w:rsid w:val="00866FB9"/>
    <w:rsid w:val="0087422A"/>
    <w:rsid w:val="00874ED2"/>
    <w:rsid w:val="0087694B"/>
    <w:rsid w:val="00880984"/>
    <w:rsid w:val="00882F3F"/>
    <w:rsid w:val="00884D34"/>
    <w:rsid w:val="008864F8"/>
    <w:rsid w:val="008871A4"/>
    <w:rsid w:val="00887EE8"/>
    <w:rsid w:val="00894C14"/>
    <w:rsid w:val="0089578B"/>
    <w:rsid w:val="008A0019"/>
    <w:rsid w:val="008A1AC2"/>
    <w:rsid w:val="008A75CD"/>
    <w:rsid w:val="008B5BB1"/>
    <w:rsid w:val="008B7BE5"/>
    <w:rsid w:val="008C0966"/>
    <w:rsid w:val="008C2E74"/>
    <w:rsid w:val="008C5685"/>
    <w:rsid w:val="008C78B8"/>
    <w:rsid w:val="008D2DF9"/>
    <w:rsid w:val="008D5409"/>
    <w:rsid w:val="008D5ABF"/>
    <w:rsid w:val="008D6AF6"/>
    <w:rsid w:val="008D7618"/>
    <w:rsid w:val="008E006D"/>
    <w:rsid w:val="008E0B98"/>
    <w:rsid w:val="008E0E75"/>
    <w:rsid w:val="008E1A3F"/>
    <w:rsid w:val="008E485B"/>
    <w:rsid w:val="008E52D9"/>
    <w:rsid w:val="008F1816"/>
    <w:rsid w:val="008F3A1F"/>
    <w:rsid w:val="008F4F21"/>
    <w:rsid w:val="00902112"/>
    <w:rsid w:val="009029B8"/>
    <w:rsid w:val="00902B45"/>
    <w:rsid w:val="00904D4A"/>
    <w:rsid w:val="00912ECB"/>
    <w:rsid w:val="00913693"/>
    <w:rsid w:val="009141DE"/>
    <w:rsid w:val="009151BA"/>
    <w:rsid w:val="00925023"/>
    <w:rsid w:val="009277BC"/>
    <w:rsid w:val="00927D57"/>
    <w:rsid w:val="00931A51"/>
    <w:rsid w:val="009323DA"/>
    <w:rsid w:val="00935527"/>
    <w:rsid w:val="009367C5"/>
    <w:rsid w:val="00936D0F"/>
    <w:rsid w:val="0094100E"/>
    <w:rsid w:val="00941932"/>
    <w:rsid w:val="009426CB"/>
    <w:rsid w:val="00947185"/>
    <w:rsid w:val="009546D3"/>
    <w:rsid w:val="00956880"/>
    <w:rsid w:val="009571E6"/>
    <w:rsid w:val="00957A98"/>
    <w:rsid w:val="00957DDC"/>
    <w:rsid w:val="00963D0B"/>
    <w:rsid w:val="00963D9D"/>
    <w:rsid w:val="00965846"/>
    <w:rsid w:val="00965DE8"/>
    <w:rsid w:val="009661F4"/>
    <w:rsid w:val="00967294"/>
    <w:rsid w:val="009758B9"/>
    <w:rsid w:val="00975D6F"/>
    <w:rsid w:val="0098013E"/>
    <w:rsid w:val="00981757"/>
    <w:rsid w:val="00981B54"/>
    <w:rsid w:val="00981BE2"/>
    <w:rsid w:val="00982041"/>
    <w:rsid w:val="009842C3"/>
    <w:rsid w:val="00986E5D"/>
    <w:rsid w:val="00990A28"/>
    <w:rsid w:val="00990D60"/>
    <w:rsid w:val="009A009A"/>
    <w:rsid w:val="009A050C"/>
    <w:rsid w:val="009A2B0B"/>
    <w:rsid w:val="009A4231"/>
    <w:rsid w:val="009A5576"/>
    <w:rsid w:val="009A63ED"/>
    <w:rsid w:val="009A6BB6"/>
    <w:rsid w:val="009B094C"/>
    <w:rsid w:val="009B1A6B"/>
    <w:rsid w:val="009B1BF4"/>
    <w:rsid w:val="009B2242"/>
    <w:rsid w:val="009B3F43"/>
    <w:rsid w:val="009B5CFA"/>
    <w:rsid w:val="009B610B"/>
    <w:rsid w:val="009C161F"/>
    <w:rsid w:val="009C3038"/>
    <w:rsid w:val="009C56B4"/>
    <w:rsid w:val="009C62B0"/>
    <w:rsid w:val="009C6769"/>
    <w:rsid w:val="009D00DC"/>
    <w:rsid w:val="009D15A0"/>
    <w:rsid w:val="009D51A2"/>
    <w:rsid w:val="009D5AA9"/>
    <w:rsid w:val="009E04A8"/>
    <w:rsid w:val="009E082C"/>
    <w:rsid w:val="009E1359"/>
    <w:rsid w:val="009E316D"/>
    <w:rsid w:val="009E4AEC"/>
    <w:rsid w:val="009E5BD8"/>
    <w:rsid w:val="009E681E"/>
    <w:rsid w:val="009E6EBB"/>
    <w:rsid w:val="009E74B2"/>
    <w:rsid w:val="009F1E33"/>
    <w:rsid w:val="009F36D3"/>
    <w:rsid w:val="009F70E5"/>
    <w:rsid w:val="00A02280"/>
    <w:rsid w:val="00A03CF9"/>
    <w:rsid w:val="00A0497B"/>
    <w:rsid w:val="00A067CC"/>
    <w:rsid w:val="00A10269"/>
    <w:rsid w:val="00A119E6"/>
    <w:rsid w:val="00A12572"/>
    <w:rsid w:val="00A15F66"/>
    <w:rsid w:val="00A17727"/>
    <w:rsid w:val="00A2104C"/>
    <w:rsid w:val="00A21609"/>
    <w:rsid w:val="00A24A6F"/>
    <w:rsid w:val="00A2541D"/>
    <w:rsid w:val="00A2671E"/>
    <w:rsid w:val="00A30388"/>
    <w:rsid w:val="00A31370"/>
    <w:rsid w:val="00A3147D"/>
    <w:rsid w:val="00A340D6"/>
    <w:rsid w:val="00A34963"/>
    <w:rsid w:val="00A34D6F"/>
    <w:rsid w:val="00A35635"/>
    <w:rsid w:val="00A36B1F"/>
    <w:rsid w:val="00A41F91"/>
    <w:rsid w:val="00A43FC7"/>
    <w:rsid w:val="00A442A8"/>
    <w:rsid w:val="00A56F09"/>
    <w:rsid w:val="00A600CA"/>
    <w:rsid w:val="00A65A30"/>
    <w:rsid w:val="00A66EB8"/>
    <w:rsid w:val="00A700B7"/>
    <w:rsid w:val="00A74AB2"/>
    <w:rsid w:val="00A75CA2"/>
    <w:rsid w:val="00A80D29"/>
    <w:rsid w:val="00A82972"/>
    <w:rsid w:val="00A91004"/>
    <w:rsid w:val="00A927A7"/>
    <w:rsid w:val="00A93153"/>
    <w:rsid w:val="00A963DF"/>
    <w:rsid w:val="00A967CE"/>
    <w:rsid w:val="00AA10BB"/>
    <w:rsid w:val="00AB10BE"/>
    <w:rsid w:val="00AC05B1"/>
    <w:rsid w:val="00AC163B"/>
    <w:rsid w:val="00AC3896"/>
    <w:rsid w:val="00AD0123"/>
    <w:rsid w:val="00AD01C3"/>
    <w:rsid w:val="00AD5E33"/>
    <w:rsid w:val="00AD6855"/>
    <w:rsid w:val="00AD7647"/>
    <w:rsid w:val="00AD7D10"/>
    <w:rsid w:val="00AE0070"/>
    <w:rsid w:val="00AE112D"/>
    <w:rsid w:val="00AE2D88"/>
    <w:rsid w:val="00AE6F6F"/>
    <w:rsid w:val="00AE7722"/>
    <w:rsid w:val="00AF3325"/>
    <w:rsid w:val="00AF34D9"/>
    <w:rsid w:val="00AF686E"/>
    <w:rsid w:val="00AF70DA"/>
    <w:rsid w:val="00B019D3"/>
    <w:rsid w:val="00B0497A"/>
    <w:rsid w:val="00B11FF4"/>
    <w:rsid w:val="00B11FF7"/>
    <w:rsid w:val="00B2075E"/>
    <w:rsid w:val="00B20DCE"/>
    <w:rsid w:val="00B21D20"/>
    <w:rsid w:val="00B34CF9"/>
    <w:rsid w:val="00B3692B"/>
    <w:rsid w:val="00B37559"/>
    <w:rsid w:val="00B410AB"/>
    <w:rsid w:val="00B411D8"/>
    <w:rsid w:val="00B4508C"/>
    <w:rsid w:val="00B50A49"/>
    <w:rsid w:val="00B5209B"/>
    <w:rsid w:val="00B52DAE"/>
    <w:rsid w:val="00B579B0"/>
    <w:rsid w:val="00B57CE9"/>
    <w:rsid w:val="00B672ED"/>
    <w:rsid w:val="00B67D9B"/>
    <w:rsid w:val="00B71264"/>
    <w:rsid w:val="00B72197"/>
    <w:rsid w:val="00B747D1"/>
    <w:rsid w:val="00B75EA5"/>
    <w:rsid w:val="00B7724A"/>
    <w:rsid w:val="00B81D24"/>
    <w:rsid w:val="00B82BAA"/>
    <w:rsid w:val="00B84B68"/>
    <w:rsid w:val="00B90C45"/>
    <w:rsid w:val="00B91535"/>
    <w:rsid w:val="00B933BE"/>
    <w:rsid w:val="00B94449"/>
    <w:rsid w:val="00BA5BB2"/>
    <w:rsid w:val="00BA5CDC"/>
    <w:rsid w:val="00BB0D72"/>
    <w:rsid w:val="00BB1751"/>
    <w:rsid w:val="00BB3D2C"/>
    <w:rsid w:val="00BB3D87"/>
    <w:rsid w:val="00BB528C"/>
    <w:rsid w:val="00BB6557"/>
    <w:rsid w:val="00BD41F6"/>
    <w:rsid w:val="00BD64F8"/>
    <w:rsid w:val="00BD6738"/>
    <w:rsid w:val="00BD68F8"/>
    <w:rsid w:val="00BD7E5E"/>
    <w:rsid w:val="00BE14EE"/>
    <w:rsid w:val="00BE197D"/>
    <w:rsid w:val="00BE22B9"/>
    <w:rsid w:val="00BE44AA"/>
    <w:rsid w:val="00BE457E"/>
    <w:rsid w:val="00BE6574"/>
    <w:rsid w:val="00BF297A"/>
    <w:rsid w:val="00C0122F"/>
    <w:rsid w:val="00C04C00"/>
    <w:rsid w:val="00C06566"/>
    <w:rsid w:val="00C07806"/>
    <w:rsid w:val="00C11F58"/>
    <w:rsid w:val="00C13597"/>
    <w:rsid w:val="00C13E37"/>
    <w:rsid w:val="00C1516A"/>
    <w:rsid w:val="00C16FD2"/>
    <w:rsid w:val="00C20607"/>
    <w:rsid w:val="00C22F0D"/>
    <w:rsid w:val="00C22F1A"/>
    <w:rsid w:val="00C24730"/>
    <w:rsid w:val="00C25353"/>
    <w:rsid w:val="00C300E4"/>
    <w:rsid w:val="00C42181"/>
    <w:rsid w:val="00C44284"/>
    <w:rsid w:val="00C45B3F"/>
    <w:rsid w:val="00C47CF9"/>
    <w:rsid w:val="00C47FFD"/>
    <w:rsid w:val="00C57E2C"/>
    <w:rsid w:val="00C608B7"/>
    <w:rsid w:val="00C617B3"/>
    <w:rsid w:val="00C61D4C"/>
    <w:rsid w:val="00C66F24"/>
    <w:rsid w:val="00C73532"/>
    <w:rsid w:val="00C76660"/>
    <w:rsid w:val="00C80B37"/>
    <w:rsid w:val="00C80F99"/>
    <w:rsid w:val="00C813AA"/>
    <w:rsid w:val="00C826DF"/>
    <w:rsid w:val="00C9291E"/>
    <w:rsid w:val="00C94531"/>
    <w:rsid w:val="00C97702"/>
    <w:rsid w:val="00CA180A"/>
    <w:rsid w:val="00CA3F44"/>
    <w:rsid w:val="00CA4E58"/>
    <w:rsid w:val="00CA5319"/>
    <w:rsid w:val="00CB16D5"/>
    <w:rsid w:val="00CB18EC"/>
    <w:rsid w:val="00CB3771"/>
    <w:rsid w:val="00CB44BF"/>
    <w:rsid w:val="00CB5153"/>
    <w:rsid w:val="00CB6925"/>
    <w:rsid w:val="00CC53C8"/>
    <w:rsid w:val="00CD25C2"/>
    <w:rsid w:val="00CD31AC"/>
    <w:rsid w:val="00CE076A"/>
    <w:rsid w:val="00CE104F"/>
    <w:rsid w:val="00CE463D"/>
    <w:rsid w:val="00CF12E7"/>
    <w:rsid w:val="00CF2A15"/>
    <w:rsid w:val="00D00BE6"/>
    <w:rsid w:val="00D05B3E"/>
    <w:rsid w:val="00D06CD0"/>
    <w:rsid w:val="00D07505"/>
    <w:rsid w:val="00D10BA0"/>
    <w:rsid w:val="00D21132"/>
    <w:rsid w:val="00D21952"/>
    <w:rsid w:val="00D228D5"/>
    <w:rsid w:val="00D22B8E"/>
    <w:rsid w:val="00D241D3"/>
    <w:rsid w:val="00D24782"/>
    <w:rsid w:val="00D24961"/>
    <w:rsid w:val="00D24EB5"/>
    <w:rsid w:val="00D30D33"/>
    <w:rsid w:val="00D3447B"/>
    <w:rsid w:val="00D35AB9"/>
    <w:rsid w:val="00D41571"/>
    <w:rsid w:val="00D416A0"/>
    <w:rsid w:val="00D4193D"/>
    <w:rsid w:val="00D4609B"/>
    <w:rsid w:val="00D47672"/>
    <w:rsid w:val="00D50009"/>
    <w:rsid w:val="00D5123C"/>
    <w:rsid w:val="00D55560"/>
    <w:rsid w:val="00D61C5A"/>
    <w:rsid w:val="00D64D40"/>
    <w:rsid w:val="00D653DE"/>
    <w:rsid w:val="00D67645"/>
    <w:rsid w:val="00D733F5"/>
    <w:rsid w:val="00D758F8"/>
    <w:rsid w:val="00D7741D"/>
    <w:rsid w:val="00D83976"/>
    <w:rsid w:val="00D843D3"/>
    <w:rsid w:val="00D84FF2"/>
    <w:rsid w:val="00D85887"/>
    <w:rsid w:val="00D87828"/>
    <w:rsid w:val="00D87E20"/>
    <w:rsid w:val="00D92402"/>
    <w:rsid w:val="00D97139"/>
    <w:rsid w:val="00D979A8"/>
    <w:rsid w:val="00DA1DCF"/>
    <w:rsid w:val="00DA31C1"/>
    <w:rsid w:val="00DA37F2"/>
    <w:rsid w:val="00DB0286"/>
    <w:rsid w:val="00DB37E7"/>
    <w:rsid w:val="00DB6DAE"/>
    <w:rsid w:val="00DC284D"/>
    <w:rsid w:val="00DC629E"/>
    <w:rsid w:val="00DC7A9D"/>
    <w:rsid w:val="00DD0D92"/>
    <w:rsid w:val="00DD0EF9"/>
    <w:rsid w:val="00DD2179"/>
    <w:rsid w:val="00DD5171"/>
    <w:rsid w:val="00DD72A3"/>
    <w:rsid w:val="00DE16C2"/>
    <w:rsid w:val="00DE31F9"/>
    <w:rsid w:val="00DE66A5"/>
    <w:rsid w:val="00DF2A8C"/>
    <w:rsid w:val="00DF2B50"/>
    <w:rsid w:val="00DF4325"/>
    <w:rsid w:val="00DF4B44"/>
    <w:rsid w:val="00E00FA7"/>
    <w:rsid w:val="00E01280"/>
    <w:rsid w:val="00E03D73"/>
    <w:rsid w:val="00E04C86"/>
    <w:rsid w:val="00E06B13"/>
    <w:rsid w:val="00E20F30"/>
    <w:rsid w:val="00E2189C"/>
    <w:rsid w:val="00E2337D"/>
    <w:rsid w:val="00E25BB1"/>
    <w:rsid w:val="00E27BBA"/>
    <w:rsid w:val="00E301C6"/>
    <w:rsid w:val="00E33A23"/>
    <w:rsid w:val="00E35279"/>
    <w:rsid w:val="00E35E8F"/>
    <w:rsid w:val="00E41CDA"/>
    <w:rsid w:val="00E428AB"/>
    <w:rsid w:val="00E4296A"/>
    <w:rsid w:val="00E438E8"/>
    <w:rsid w:val="00E448F0"/>
    <w:rsid w:val="00E44EA9"/>
    <w:rsid w:val="00E453A3"/>
    <w:rsid w:val="00E46E06"/>
    <w:rsid w:val="00E520E2"/>
    <w:rsid w:val="00E5273E"/>
    <w:rsid w:val="00E61145"/>
    <w:rsid w:val="00E62738"/>
    <w:rsid w:val="00E64254"/>
    <w:rsid w:val="00E67507"/>
    <w:rsid w:val="00E7115D"/>
    <w:rsid w:val="00E71242"/>
    <w:rsid w:val="00E71480"/>
    <w:rsid w:val="00E72D0C"/>
    <w:rsid w:val="00E77BED"/>
    <w:rsid w:val="00E81564"/>
    <w:rsid w:val="00E817BF"/>
    <w:rsid w:val="00E82DCB"/>
    <w:rsid w:val="00E90078"/>
    <w:rsid w:val="00E915AF"/>
    <w:rsid w:val="00E9341F"/>
    <w:rsid w:val="00E94107"/>
    <w:rsid w:val="00E94BDB"/>
    <w:rsid w:val="00E9622B"/>
    <w:rsid w:val="00E96415"/>
    <w:rsid w:val="00EA0120"/>
    <w:rsid w:val="00EA15B3"/>
    <w:rsid w:val="00EA2DF7"/>
    <w:rsid w:val="00EA3A83"/>
    <w:rsid w:val="00EB0AEF"/>
    <w:rsid w:val="00EB2358"/>
    <w:rsid w:val="00EB3EB6"/>
    <w:rsid w:val="00EB3EB8"/>
    <w:rsid w:val="00EB410C"/>
    <w:rsid w:val="00EB5EC0"/>
    <w:rsid w:val="00EC02FE"/>
    <w:rsid w:val="00EC0880"/>
    <w:rsid w:val="00EC4C0C"/>
    <w:rsid w:val="00EC6A98"/>
    <w:rsid w:val="00ED1745"/>
    <w:rsid w:val="00ED2F62"/>
    <w:rsid w:val="00EE1264"/>
    <w:rsid w:val="00EE2173"/>
    <w:rsid w:val="00EE3CDE"/>
    <w:rsid w:val="00EF5D0B"/>
    <w:rsid w:val="00F07DA6"/>
    <w:rsid w:val="00F07E51"/>
    <w:rsid w:val="00F10E33"/>
    <w:rsid w:val="00F117BE"/>
    <w:rsid w:val="00F202D9"/>
    <w:rsid w:val="00F310E8"/>
    <w:rsid w:val="00F377B1"/>
    <w:rsid w:val="00F37853"/>
    <w:rsid w:val="00F4114A"/>
    <w:rsid w:val="00F424BF"/>
    <w:rsid w:val="00F44F6D"/>
    <w:rsid w:val="00F45A19"/>
    <w:rsid w:val="00F46107"/>
    <w:rsid w:val="00F468C5"/>
    <w:rsid w:val="00F52C91"/>
    <w:rsid w:val="00F52F39"/>
    <w:rsid w:val="00F53F25"/>
    <w:rsid w:val="00F54924"/>
    <w:rsid w:val="00F62C83"/>
    <w:rsid w:val="00F64247"/>
    <w:rsid w:val="00F65661"/>
    <w:rsid w:val="00F666D3"/>
    <w:rsid w:val="00F70495"/>
    <w:rsid w:val="00F810C9"/>
    <w:rsid w:val="00F867F0"/>
    <w:rsid w:val="00F914DD"/>
    <w:rsid w:val="00F93095"/>
    <w:rsid w:val="00F93E4F"/>
    <w:rsid w:val="00F945AD"/>
    <w:rsid w:val="00F95BA7"/>
    <w:rsid w:val="00F9757F"/>
    <w:rsid w:val="00FA2358"/>
    <w:rsid w:val="00FA52B7"/>
    <w:rsid w:val="00FA7867"/>
    <w:rsid w:val="00FB0B24"/>
    <w:rsid w:val="00FB1B09"/>
    <w:rsid w:val="00FB2592"/>
    <w:rsid w:val="00FB2810"/>
    <w:rsid w:val="00FC1499"/>
    <w:rsid w:val="00FC2947"/>
    <w:rsid w:val="00FC2CAB"/>
    <w:rsid w:val="00FC3BFE"/>
    <w:rsid w:val="00FC74D3"/>
    <w:rsid w:val="00FC7CA5"/>
    <w:rsid w:val="00FD20AD"/>
    <w:rsid w:val="00FD2A1B"/>
    <w:rsid w:val="00FD7E83"/>
    <w:rsid w:val="00FE00C7"/>
    <w:rsid w:val="00FE0818"/>
    <w:rsid w:val="00FE3AE6"/>
    <w:rsid w:val="00FE593A"/>
    <w:rsid w:val="00FE67AE"/>
    <w:rsid w:val="00FE7359"/>
    <w:rsid w:val="00FF3B69"/>
    <w:rsid w:val="00FF4498"/>
    <w:rsid w:val="00FF7CCC"/>
    <w:rsid w:val="00FF7D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707090"/>
  <w15:docId w15:val="{B8490D0D-5B53-40B1-A9FE-18ED5825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rsid w:val="0053796C"/>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rsid w:val="00FA7867"/>
    <w:rPr>
      <w:b/>
      <w:bCs/>
      <w:color w:val="3366CC"/>
      <w:sz w:val="36"/>
      <w:szCs w:val="36"/>
    </w:rPr>
  </w:style>
  <w:style w:type="character" w:styleId="PlaceholderText">
    <w:name w:val="Placeholder Text"/>
    <w:basedOn w:val="DefaultParagraphFont"/>
    <w:uiPriority w:val="99"/>
    <w:semiHidden/>
    <w:rsid w:val="008B7BE5"/>
    <w:rPr>
      <w:color w:val="808080"/>
    </w:rPr>
  </w:style>
  <w:style w:type="table" w:styleId="TableGrid">
    <w:name w:val="Table Grid"/>
    <w:basedOn w:val="TableNormal"/>
    <w:rsid w:val="00B8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89578B"/>
  </w:style>
  <w:style w:type="paragraph" w:customStyle="1" w:styleId="Message">
    <w:name w:val="Message"/>
    <w:rsid w:val="0089578B"/>
    <w:pPr>
      <w:spacing w:before="240" w:line="300" w:lineRule="exact"/>
      <w:ind w:left="794" w:right="794"/>
    </w:pPr>
    <w:rPr>
      <w:rFonts w:ascii="Arial" w:hAnsi="Arial" w:cs="Times New Roman"/>
      <w:sz w:val="22"/>
      <w:lang w:val="en-US" w:eastAsia="en-US" w:bidi="he-IL"/>
    </w:rPr>
  </w:style>
  <w:style w:type="paragraph" w:styleId="Date">
    <w:name w:val="Date"/>
    <w:basedOn w:val="Normal"/>
    <w:next w:val="Normal"/>
    <w:link w:val="DateChar"/>
    <w:rsid w:val="00463CE7"/>
  </w:style>
  <w:style w:type="character" w:customStyle="1" w:styleId="DateChar">
    <w:name w:val="Date Char"/>
    <w:basedOn w:val="DefaultParagraphFont"/>
    <w:link w:val="Date"/>
    <w:rsid w:val="00463CE7"/>
    <w:rPr>
      <w:sz w:val="22"/>
      <w:szCs w:val="22"/>
      <w:lang w:val="en-US" w:eastAsia="en-US"/>
    </w:rPr>
  </w:style>
  <w:style w:type="character" w:styleId="FollowedHyperlink">
    <w:name w:val="FollowedHyperlink"/>
    <w:basedOn w:val="DefaultParagraphFont"/>
    <w:semiHidden/>
    <w:unhideWhenUsed/>
    <w:rsid w:val="00A02280"/>
    <w:rPr>
      <w:color w:val="800080" w:themeColor="followedHyperlink"/>
      <w:u w:val="single"/>
    </w:rPr>
  </w:style>
  <w:style w:type="character" w:customStyle="1" w:styleId="FooterChar">
    <w:name w:val="Footer Char"/>
    <w:basedOn w:val="DefaultParagraphFont"/>
    <w:link w:val="Footer"/>
    <w:rsid w:val="00DD0EF9"/>
    <w:rPr>
      <w:sz w:val="22"/>
      <w:szCs w:val="22"/>
      <w:lang w:val="en-US" w:eastAsia="en-US"/>
    </w:rPr>
  </w:style>
  <w:style w:type="paragraph" w:styleId="ListParagraph">
    <w:name w:val="List Paragraph"/>
    <w:basedOn w:val="Normal"/>
    <w:link w:val="ListParagraphChar"/>
    <w:uiPriority w:val="34"/>
    <w:qFormat/>
    <w:rsid w:val="00AC05B1"/>
    <w:pPr>
      <w:ind w:left="720"/>
      <w:contextualSpacing/>
    </w:pPr>
  </w:style>
  <w:style w:type="character" w:styleId="Strong">
    <w:name w:val="Strong"/>
    <w:basedOn w:val="DefaultParagraphFont"/>
    <w:uiPriority w:val="22"/>
    <w:qFormat/>
    <w:rsid w:val="00350B86"/>
    <w:rPr>
      <w:b/>
      <w:bCs/>
    </w:rPr>
  </w:style>
  <w:style w:type="character" w:styleId="EndnoteReference">
    <w:name w:val="endnote reference"/>
    <w:rsid w:val="00EE3CDE"/>
    <w:rPr>
      <w:vertAlign w:val="superscript"/>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737279"/>
    <w:rPr>
      <w:sz w:val="22"/>
      <w:szCs w:val="22"/>
      <w:lang w:val="en-US" w:eastAsia="en-US"/>
    </w:rPr>
  </w:style>
  <w:style w:type="table" w:customStyle="1" w:styleId="TableGrid1">
    <w:name w:val="Table Grid1"/>
    <w:basedOn w:val="TableNormal"/>
    <w:next w:val="TableGrid"/>
    <w:uiPriority w:val="59"/>
    <w:rsid w:val="00066E5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6E5D"/>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037B95"/>
    <w:rPr>
      <w:color w:val="605E5C"/>
      <w:shd w:val="clear" w:color="auto" w:fill="E1DFDD"/>
    </w:rPr>
  </w:style>
  <w:style w:type="character" w:customStyle="1" w:styleId="Artdef">
    <w:name w:val="Art_def"/>
    <w:rsid w:val="0083025F"/>
    <w:rPr>
      <w:b/>
      <w:color w:val="FFCC00"/>
    </w:rPr>
  </w:style>
  <w:style w:type="table" w:customStyle="1" w:styleId="TableGrid2">
    <w:name w:val="Table Grid2"/>
    <w:basedOn w:val="TableNormal"/>
    <w:next w:val="TableGrid"/>
    <w:uiPriority w:val="39"/>
    <w:rsid w:val="00A36B1F"/>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5043"/>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2419ED"/>
    <w:rPr>
      <w:sz w:val="22"/>
      <w:szCs w:val="22"/>
      <w:lang w:val="en-US" w:eastAsia="en-US"/>
    </w:rPr>
  </w:style>
  <w:style w:type="paragraph" w:styleId="CommentSubject">
    <w:name w:val="annotation subject"/>
    <w:basedOn w:val="CommentText"/>
    <w:next w:val="CommentText"/>
    <w:link w:val="CommentSubjectChar"/>
    <w:semiHidden/>
    <w:unhideWhenUsed/>
    <w:rsid w:val="000A2D65"/>
    <w:pPr>
      <w:spacing w:line="240" w:lineRule="auto"/>
    </w:pPr>
    <w:rPr>
      <w:b/>
      <w:bCs/>
      <w:szCs w:val="20"/>
    </w:rPr>
  </w:style>
  <w:style w:type="character" w:customStyle="1" w:styleId="CommentTextChar">
    <w:name w:val="Comment Text Char"/>
    <w:basedOn w:val="DefaultParagraphFont"/>
    <w:link w:val="CommentText"/>
    <w:semiHidden/>
    <w:rsid w:val="000A2D65"/>
    <w:rPr>
      <w:szCs w:val="22"/>
      <w:lang w:val="en-US" w:eastAsia="en-US"/>
    </w:rPr>
  </w:style>
  <w:style w:type="character" w:customStyle="1" w:styleId="CommentSubjectChar">
    <w:name w:val="Comment Subject Char"/>
    <w:basedOn w:val="CommentTextChar"/>
    <w:link w:val="CommentSubject"/>
    <w:semiHidden/>
    <w:rsid w:val="000A2D65"/>
    <w:rPr>
      <w:b/>
      <w:bCs/>
      <w:szCs w:val="22"/>
      <w:lang w:val="en-US" w:eastAsia="en-US"/>
    </w:rPr>
  </w:style>
  <w:style w:type="character" w:customStyle="1" w:styleId="normaltextrun">
    <w:name w:val="normaltextrun"/>
    <w:basedOn w:val="DefaultParagraphFont"/>
    <w:rsid w:val="00653E1C"/>
  </w:style>
  <w:style w:type="character" w:customStyle="1" w:styleId="eop">
    <w:name w:val="eop"/>
    <w:basedOn w:val="DefaultParagraphFont"/>
    <w:rsid w:val="00653E1C"/>
  </w:style>
  <w:style w:type="character" w:customStyle="1" w:styleId="ListParagraphChar">
    <w:name w:val="List Paragraph Char"/>
    <w:basedOn w:val="DefaultParagraphFont"/>
    <w:link w:val="ListParagraph"/>
    <w:uiPriority w:val="34"/>
    <w:locked/>
    <w:rsid w:val="00FB1B0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4335">
      <w:bodyDiv w:val="1"/>
      <w:marLeft w:val="0"/>
      <w:marRight w:val="0"/>
      <w:marTop w:val="0"/>
      <w:marBottom w:val="0"/>
      <w:divBdr>
        <w:top w:val="none" w:sz="0" w:space="0" w:color="auto"/>
        <w:left w:val="none" w:sz="0" w:space="0" w:color="auto"/>
        <w:bottom w:val="none" w:sz="0" w:space="0" w:color="auto"/>
        <w:right w:val="none" w:sz="0" w:space="0" w:color="auto"/>
      </w:divBdr>
    </w:div>
    <w:div w:id="1158569611">
      <w:bodyDiv w:val="1"/>
      <w:marLeft w:val="0"/>
      <w:marRight w:val="0"/>
      <w:marTop w:val="0"/>
      <w:marBottom w:val="0"/>
      <w:divBdr>
        <w:top w:val="none" w:sz="0" w:space="0" w:color="auto"/>
        <w:left w:val="none" w:sz="0" w:space="0" w:color="auto"/>
        <w:bottom w:val="none" w:sz="0" w:space="0" w:color="auto"/>
        <w:right w:val="none" w:sz="0" w:space="0" w:color="auto"/>
      </w:divBdr>
    </w:div>
    <w:div w:id="1269779399">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04184441">
      <w:bodyDiv w:val="1"/>
      <w:marLeft w:val="0"/>
      <w:marRight w:val="0"/>
      <w:marTop w:val="0"/>
      <w:marBottom w:val="0"/>
      <w:divBdr>
        <w:top w:val="none" w:sz="0" w:space="0" w:color="auto"/>
        <w:left w:val="none" w:sz="0" w:space="0" w:color="auto"/>
        <w:bottom w:val="none" w:sz="0" w:space="0" w:color="auto"/>
        <w:right w:val="none" w:sz="0" w:space="0" w:color="auto"/>
      </w:divBdr>
    </w:div>
    <w:div w:id="1422796098">
      <w:bodyDiv w:val="1"/>
      <w:marLeft w:val="0"/>
      <w:marRight w:val="0"/>
      <w:marTop w:val="0"/>
      <w:marBottom w:val="0"/>
      <w:divBdr>
        <w:top w:val="none" w:sz="0" w:space="0" w:color="auto"/>
        <w:left w:val="none" w:sz="0" w:space="0" w:color="auto"/>
        <w:bottom w:val="none" w:sz="0" w:space="0" w:color="auto"/>
        <w:right w:val="none" w:sz="0" w:space="0" w:color="auto"/>
      </w:divBdr>
    </w:div>
    <w:div w:id="1423530462">
      <w:bodyDiv w:val="1"/>
      <w:marLeft w:val="0"/>
      <w:marRight w:val="0"/>
      <w:marTop w:val="0"/>
      <w:marBottom w:val="0"/>
      <w:divBdr>
        <w:top w:val="none" w:sz="0" w:space="0" w:color="auto"/>
        <w:left w:val="none" w:sz="0" w:space="0" w:color="auto"/>
        <w:bottom w:val="none" w:sz="0" w:space="0" w:color="auto"/>
        <w:right w:val="none" w:sz="0" w:space="0" w:color="auto"/>
      </w:divBdr>
    </w:div>
    <w:div w:id="1530289889">
      <w:bodyDiv w:val="1"/>
      <w:marLeft w:val="0"/>
      <w:marRight w:val="0"/>
      <w:marTop w:val="0"/>
      <w:marBottom w:val="0"/>
      <w:divBdr>
        <w:top w:val="none" w:sz="0" w:space="0" w:color="auto"/>
        <w:left w:val="none" w:sz="0" w:space="0" w:color="auto"/>
        <w:bottom w:val="none" w:sz="0" w:space="0" w:color="auto"/>
        <w:right w:val="none" w:sz="0" w:space="0" w:color="auto"/>
      </w:divBdr>
    </w:div>
    <w:div w:id="1804158623">
      <w:bodyDiv w:val="1"/>
      <w:marLeft w:val="0"/>
      <w:marRight w:val="0"/>
      <w:marTop w:val="0"/>
      <w:marBottom w:val="0"/>
      <w:divBdr>
        <w:top w:val="none" w:sz="0" w:space="0" w:color="auto"/>
        <w:left w:val="none" w:sz="0" w:space="0" w:color="auto"/>
        <w:bottom w:val="none" w:sz="0" w:space="0" w:color="auto"/>
        <w:right w:val="none" w:sz="0" w:space="0" w:color="auto"/>
      </w:divBdr>
    </w:div>
    <w:div w:id="208949755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M.1787-4-202201-I/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P-M.2458-20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rec/R-REC-M.1903-1-201909-I/en" TargetMode="External"/><Relationship Id="rId4" Type="http://schemas.openxmlformats.org/officeDocument/2006/relationships/settings" Target="settings.xml"/><Relationship Id="rId9" Type="http://schemas.openxmlformats.org/officeDocument/2006/relationships/hyperlink" Target="https://www.itu.int/rec/R-REC-M.1901-3-202201-I/en"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6719-97EA-400E-A90D-B17FF7B2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4</TotalTime>
  <Pages>3</Pages>
  <Words>1095</Words>
  <Characters>6758</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7838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Panoussopoulos, Sonia</cp:lastModifiedBy>
  <cp:revision>6</cp:revision>
  <cp:lastPrinted>2022-06-27T12:40:00Z</cp:lastPrinted>
  <dcterms:created xsi:type="dcterms:W3CDTF">2022-06-27T12:32:00Z</dcterms:created>
  <dcterms:modified xsi:type="dcterms:W3CDTF">2022-07-08T10:39:00Z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_NewReviewCycle">
    <vt:lpwstr/>
  </property>
</Properties>
</file>