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755268BD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A61FE47" w14:textId="77777777"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3C64A2F7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7BCCA7E8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14:paraId="7E0619AF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589056E" w14:textId="77777777" w:rsidR="00E53DCE" w:rsidRPr="001B3D4D" w:rsidRDefault="00A96D3A" w:rsidP="006160CB">
            <w:pPr>
              <w:spacing w:before="0"/>
              <w:jc w:val="left"/>
              <w:rPr>
                <w:szCs w:val="24"/>
                <w:lang w:val="es-ES"/>
              </w:rPr>
            </w:pPr>
            <w:r w:rsidRPr="001B3D4D">
              <w:rPr>
                <w:szCs w:val="24"/>
                <w:lang w:val="es-ES"/>
              </w:rPr>
              <w:t>Circular Administrativa</w:t>
            </w:r>
            <w:r w:rsidR="001B3D4D" w:rsidRPr="001B3D4D">
              <w:rPr>
                <w:szCs w:val="24"/>
                <w:lang w:val="es-ES"/>
              </w:rPr>
              <w:t>/</w:t>
            </w:r>
            <w:r w:rsidR="001B3D4D" w:rsidRPr="0075124D">
              <w:rPr>
                <w:lang w:val="es-ES_tradnl"/>
              </w:rPr>
              <w:t>Carta Circular</w:t>
            </w:r>
          </w:p>
          <w:p w14:paraId="24A24705" w14:textId="2DD49595" w:rsidR="00E53DCE" w:rsidRPr="001B3D4D" w:rsidRDefault="001B3D4D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1B3D4D">
              <w:rPr>
                <w:b/>
                <w:bCs/>
                <w:szCs w:val="24"/>
                <w:lang w:val="es-ES"/>
              </w:rPr>
              <w:t>CR</w:t>
            </w:r>
            <w:r w:rsidR="005E12D7">
              <w:rPr>
                <w:b/>
                <w:bCs/>
                <w:szCs w:val="24"/>
                <w:lang w:val="es-ES"/>
              </w:rPr>
              <w:t>/</w:t>
            </w:r>
            <w:r w:rsidR="00857B5E">
              <w:rPr>
                <w:b/>
                <w:bCs/>
                <w:szCs w:val="24"/>
                <w:lang w:val="es-ES"/>
              </w:rPr>
              <w:t>483</w:t>
            </w:r>
          </w:p>
        </w:tc>
        <w:tc>
          <w:tcPr>
            <w:tcW w:w="2835" w:type="dxa"/>
            <w:shd w:val="clear" w:color="auto" w:fill="auto"/>
          </w:tcPr>
          <w:p w14:paraId="008B609D" w14:textId="737ADA5B" w:rsidR="00E53DCE" w:rsidRPr="002B7EE0" w:rsidRDefault="00857B5E" w:rsidP="006160CB">
            <w:pPr>
              <w:spacing w:before="0"/>
              <w:jc w:val="right"/>
              <w:rPr>
                <w:szCs w:val="24"/>
                <w:lang w:val="fr-FR"/>
              </w:rPr>
            </w:pPr>
            <w:r>
              <w:rPr>
                <w:bCs/>
                <w:szCs w:val="24"/>
                <w:lang w:val="fr-FR"/>
              </w:rPr>
              <w:t xml:space="preserve">25 de </w:t>
            </w:r>
            <w:proofErr w:type="spellStart"/>
            <w:r>
              <w:rPr>
                <w:bCs/>
                <w:szCs w:val="24"/>
                <w:lang w:val="fr-FR"/>
              </w:rPr>
              <w:t>marzo</w:t>
            </w:r>
            <w:proofErr w:type="spellEnd"/>
            <w:r w:rsidR="00A96D3A" w:rsidRPr="002B7EE0">
              <w:rPr>
                <w:bCs/>
                <w:szCs w:val="24"/>
                <w:lang w:val="fr-FR"/>
              </w:rPr>
              <w:t xml:space="preserve"> de 20</w:t>
            </w:r>
            <w:r w:rsidR="002B7EE0" w:rsidRPr="002B7EE0">
              <w:rPr>
                <w:bCs/>
                <w:szCs w:val="24"/>
                <w:lang w:val="fr-FR"/>
              </w:rPr>
              <w:t>2</w:t>
            </w:r>
            <w:r w:rsidR="007A7A18">
              <w:rPr>
                <w:bCs/>
                <w:szCs w:val="24"/>
                <w:lang w:val="fr-FR"/>
              </w:rPr>
              <w:t>2</w:t>
            </w:r>
          </w:p>
        </w:tc>
      </w:tr>
      <w:tr w:rsidR="00E53DCE" w:rsidRPr="0033029C" w14:paraId="63E8938B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B1446AF" w14:textId="77777777"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14:paraId="4D9384A4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C7131E1" w14:textId="77777777"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A21AA5" w14:paraId="59A34563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F5463D1" w14:textId="77777777" w:rsidR="00E53DCE" w:rsidRPr="0033029C" w:rsidRDefault="00FE4822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33029C">
              <w:rPr>
                <w:b/>
                <w:szCs w:val="24"/>
                <w:lang w:val="es-ES"/>
              </w:rPr>
              <w:t>A las Administraciones de los Estados Miembros de la UIT</w:t>
            </w:r>
          </w:p>
          <w:p w14:paraId="53861367" w14:textId="77777777"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A21AA5" w14:paraId="7664CFDC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7A9C12D" w14:textId="77777777"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A21AA5" w14:paraId="1D6680C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871613" w14:textId="77777777"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A21AA5" w14:paraId="79149D8A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00678D78" w14:textId="77777777" w:rsidR="00E53DCE" w:rsidRPr="0033029C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Asunto</w:t>
            </w:r>
            <w:proofErr w:type="spellEnd"/>
            <w:r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FAADE08" w14:textId="2C52103B" w:rsidR="00E53DCE" w:rsidRPr="00857B5E" w:rsidRDefault="00857B5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  <w:r w:rsidRPr="00857B5E">
              <w:rPr>
                <w:b/>
                <w:bCs/>
                <w:szCs w:val="24"/>
                <w:lang w:val="es-ES"/>
              </w:rPr>
              <w:t>Nuevas funciones del software SPACECAP de la BR para facilitar la notificación del estado de coordinación en la primera notificación y en la nueva presentación de una notificación de estaciones espaciales</w:t>
            </w:r>
          </w:p>
        </w:tc>
      </w:tr>
      <w:tr w:rsidR="00E53DCE" w:rsidRPr="00A21AA5" w14:paraId="361C92D4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26ECAE0C" w14:textId="77777777" w:rsidR="00E53DCE" w:rsidRPr="00857B5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0DDC006" w14:textId="77777777" w:rsidR="00E53DCE" w:rsidRPr="00857B5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A21AA5" w14:paraId="24B14698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01399108" w14:textId="77777777" w:rsidR="00E53DCE" w:rsidRPr="00857B5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87D945C" w14:textId="77777777" w:rsidR="00E53DCE" w:rsidRPr="00857B5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</w:tbl>
    <w:p w14:paraId="2559FE96" w14:textId="738E8C45" w:rsidR="00857B5E" w:rsidRPr="00706FB4" w:rsidRDefault="00857B5E" w:rsidP="000D53F0">
      <w:pPr>
        <w:pStyle w:val="Normalaftertitle"/>
        <w:rPr>
          <w:lang w:val="es-ES"/>
        </w:rPr>
      </w:pPr>
      <w:bookmarkStart w:id="0" w:name="lt_pId023"/>
      <w:r w:rsidRPr="00A16DD5">
        <w:rPr>
          <w:lang w:val="es-ES"/>
        </w:rPr>
        <w:t xml:space="preserve">Ante las dificultades señaladas por la Oficina de Radiocomunicaciones (BR) para tramitar de forma coherente la información sobre el estado de </w:t>
      </w:r>
      <w:r>
        <w:rPr>
          <w:lang w:val="es-ES"/>
        </w:rPr>
        <w:t xml:space="preserve">la </w:t>
      </w:r>
      <w:r w:rsidRPr="00A16DD5">
        <w:rPr>
          <w:lang w:val="es-ES"/>
        </w:rPr>
        <w:t xml:space="preserve">coordinación que las administraciones proporcionan en las cartas de presentación de la notificación de sus redes de satélites, la CMR-19 respaldó la creación </w:t>
      </w:r>
      <w:r>
        <w:rPr>
          <w:lang w:val="es-ES"/>
        </w:rPr>
        <w:t xml:space="preserve">por la BR </w:t>
      </w:r>
      <w:r w:rsidRPr="00A16DD5">
        <w:rPr>
          <w:lang w:val="es-ES"/>
        </w:rPr>
        <w:t xml:space="preserve">de una herramienta que permita a las administraciones comunicar el estado de </w:t>
      </w:r>
      <w:r>
        <w:rPr>
          <w:lang w:val="es-ES"/>
        </w:rPr>
        <w:t xml:space="preserve">la </w:t>
      </w:r>
      <w:r w:rsidRPr="00A16DD5">
        <w:rPr>
          <w:lang w:val="es-ES"/>
        </w:rPr>
        <w:t xml:space="preserve">coordinación con respecto a </w:t>
      </w:r>
      <w:r>
        <w:rPr>
          <w:lang w:val="es-ES"/>
        </w:rPr>
        <w:t>las</w:t>
      </w:r>
      <w:r w:rsidRPr="00A16DD5">
        <w:rPr>
          <w:lang w:val="es-ES"/>
        </w:rPr>
        <w:t xml:space="preserve"> administraci</w:t>
      </w:r>
      <w:r>
        <w:rPr>
          <w:lang w:val="es-ES"/>
        </w:rPr>
        <w:t>ones</w:t>
      </w:r>
      <w:r w:rsidRPr="00A16DD5">
        <w:rPr>
          <w:lang w:val="es-ES"/>
        </w:rPr>
        <w:t xml:space="preserve"> afectada</w:t>
      </w:r>
      <w:r>
        <w:rPr>
          <w:lang w:val="es-ES"/>
        </w:rPr>
        <w:t>s</w:t>
      </w:r>
      <w:r w:rsidRPr="00A16DD5">
        <w:rPr>
          <w:lang w:val="es-ES"/>
        </w:rPr>
        <w:t xml:space="preserve"> (véase el §</w:t>
      </w:r>
      <w:r w:rsidR="0001665F">
        <w:rPr>
          <w:lang w:val="es-ES"/>
        </w:rPr>
        <w:t> </w:t>
      </w:r>
      <w:r w:rsidRPr="00A16DD5">
        <w:rPr>
          <w:lang w:val="es-ES"/>
        </w:rPr>
        <w:t>3.14 de la CMR19/569 y el §</w:t>
      </w:r>
      <w:r w:rsidR="0001665F">
        <w:rPr>
          <w:lang w:val="es-ES"/>
        </w:rPr>
        <w:t> </w:t>
      </w:r>
      <w:r w:rsidRPr="00A16DD5">
        <w:rPr>
          <w:lang w:val="es-ES"/>
        </w:rPr>
        <w:t xml:space="preserve">3.1.4.2.1 del </w:t>
      </w:r>
      <w:proofErr w:type="spellStart"/>
      <w:r w:rsidRPr="00A16DD5">
        <w:rPr>
          <w:lang w:val="es-ES"/>
        </w:rPr>
        <w:t>Add</w:t>
      </w:r>
      <w:r w:rsidR="0001665F">
        <w:rPr>
          <w:lang w:val="es-ES"/>
        </w:rPr>
        <w:t>é</w:t>
      </w:r>
      <w:r w:rsidRPr="00A16DD5">
        <w:rPr>
          <w:lang w:val="es-ES"/>
        </w:rPr>
        <w:t>ndum</w:t>
      </w:r>
      <w:proofErr w:type="spellEnd"/>
      <w:r w:rsidR="00995504">
        <w:rPr>
          <w:lang w:val="es-ES"/>
        </w:rPr>
        <w:t> </w:t>
      </w:r>
      <w:r w:rsidRPr="00A16DD5">
        <w:rPr>
          <w:lang w:val="es-ES"/>
        </w:rPr>
        <w:t>2 a la CMR19/4</w:t>
      </w:r>
      <w:r w:rsidRPr="00706FB4">
        <w:rPr>
          <w:lang w:val="es-ES"/>
        </w:rPr>
        <w:t>).</w:t>
      </w:r>
      <w:bookmarkEnd w:id="0"/>
    </w:p>
    <w:p w14:paraId="08889910" w14:textId="13481767" w:rsidR="00857B5E" w:rsidRPr="00706FB4" w:rsidRDefault="00857B5E" w:rsidP="000D53F0">
      <w:pPr>
        <w:rPr>
          <w:szCs w:val="20"/>
          <w:lang w:val="es-ES"/>
        </w:rPr>
      </w:pPr>
      <w:r w:rsidRPr="00706FB4">
        <w:rPr>
          <w:lang w:val="es-ES"/>
        </w:rPr>
        <w:t xml:space="preserve">Al notificar una red de satélites, el estado de </w:t>
      </w:r>
      <w:r>
        <w:rPr>
          <w:lang w:val="es-ES"/>
        </w:rPr>
        <w:t xml:space="preserve">la </w:t>
      </w:r>
      <w:r w:rsidRPr="00706FB4">
        <w:rPr>
          <w:lang w:val="es-ES"/>
        </w:rPr>
        <w:t xml:space="preserve">coordinación se comunica </w:t>
      </w:r>
      <w:r>
        <w:rPr>
          <w:lang w:val="es-ES"/>
        </w:rPr>
        <w:t xml:space="preserve">mediante el formulario del </w:t>
      </w:r>
      <w:r w:rsidR="0001665F">
        <w:rPr>
          <w:lang w:val="es-ES"/>
        </w:rPr>
        <w:t>Apéndice 4</w:t>
      </w:r>
      <w:r>
        <w:rPr>
          <w:lang w:val="es-ES"/>
        </w:rPr>
        <w:t>, concretamente en los datos A.5 y A.6 del Anexo</w:t>
      </w:r>
      <w:r w:rsidR="009D2C07">
        <w:rPr>
          <w:lang w:val="es-ES"/>
        </w:rPr>
        <w:t> </w:t>
      </w:r>
      <w:r>
        <w:rPr>
          <w:lang w:val="es-ES"/>
        </w:rPr>
        <w:t xml:space="preserve">2 al </w:t>
      </w:r>
      <w:r w:rsidR="0001665F">
        <w:rPr>
          <w:lang w:val="es-ES"/>
        </w:rPr>
        <w:t>Apéndice 4</w:t>
      </w:r>
      <w:r>
        <w:rPr>
          <w:lang w:val="es-ES"/>
        </w:rPr>
        <w:t xml:space="preserve"> del Reglamento de Radiocomunicaciones</w:t>
      </w:r>
      <w:r w:rsidRPr="00706FB4">
        <w:rPr>
          <w:lang w:val="es-ES"/>
        </w:rPr>
        <w:t xml:space="preserve">. La información que figura en </w:t>
      </w:r>
      <w:r>
        <w:rPr>
          <w:lang w:val="es-ES"/>
        </w:rPr>
        <w:t xml:space="preserve">esos datos específicos </w:t>
      </w:r>
      <w:r w:rsidRPr="00706FB4">
        <w:rPr>
          <w:lang w:val="es-ES"/>
        </w:rPr>
        <w:t xml:space="preserve">se tiene en cuenta al llevar a cabo el examen de la red de satélite con arreglo a los números </w:t>
      </w:r>
      <w:r w:rsidRPr="00706FB4">
        <w:rPr>
          <w:b/>
          <w:bCs/>
          <w:lang w:val="es-ES"/>
        </w:rPr>
        <w:t>11.32</w:t>
      </w:r>
      <w:r w:rsidRPr="00706FB4">
        <w:rPr>
          <w:lang w:val="es-ES"/>
        </w:rPr>
        <w:t xml:space="preserve"> y </w:t>
      </w:r>
      <w:r w:rsidRPr="00706FB4">
        <w:rPr>
          <w:b/>
          <w:bCs/>
          <w:lang w:val="es-ES"/>
        </w:rPr>
        <w:t>11.32A</w:t>
      </w:r>
      <w:r w:rsidRPr="00706FB4">
        <w:rPr>
          <w:lang w:val="es-ES"/>
        </w:rPr>
        <w:t>.</w:t>
      </w:r>
    </w:p>
    <w:p w14:paraId="7B64A2BF" w14:textId="77777777" w:rsidR="00857B5E" w:rsidRPr="00706FB4" w:rsidRDefault="00857B5E" w:rsidP="000D53F0">
      <w:pPr>
        <w:rPr>
          <w:lang w:val="es-ES"/>
        </w:rPr>
      </w:pPr>
      <w:r w:rsidRPr="009A1342">
        <w:rPr>
          <w:lang w:val="es-ES"/>
        </w:rPr>
        <w:t xml:space="preserve">Además de la información comunicada en el formulario de notificación a través de los datos </w:t>
      </w:r>
      <w:r>
        <w:rPr>
          <w:lang w:val="es-ES"/>
        </w:rPr>
        <w:t xml:space="preserve">arriba </w:t>
      </w:r>
      <w:r w:rsidRPr="009A1342">
        <w:rPr>
          <w:lang w:val="es-ES"/>
        </w:rPr>
        <w:t xml:space="preserve">mencionados, la Oficina se encuentra a menudo con </w:t>
      </w:r>
      <w:r>
        <w:rPr>
          <w:lang w:val="es-ES"/>
        </w:rPr>
        <w:t xml:space="preserve">casos </w:t>
      </w:r>
      <w:r w:rsidRPr="009A1342">
        <w:rPr>
          <w:lang w:val="es-ES"/>
        </w:rPr>
        <w:t>en l</w:t>
      </w:r>
      <w:r>
        <w:rPr>
          <w:lang w:val="es-ES"/>
        </w:rPr>
        <w:t>o</w:t>
      </w:r>
      <w:r w:rsidRPr="009A1342">
        <w:rPr>
          <w:lang w:val="es-ES"/>
        </w:rPr>
        <w:t xml:space="preserve">s que la administración notificante proporciona un estado de coordinación adicional en la carta de presentación vinculada a la </w:t>
      </w:r>
      <w:r>
        <w:rPr>
          <w:lang w:val="es-ES"/>
        </w:rPr>
        <w:t xml:space="preserve">presentación </w:t>
      </w:r>
      <w:r w:rsidRPr="009A1342">
        <w:rPr>
          <w:lang w:val="es-ES"/>
        </w:rPr>
        <w:t>de la notificación</w:t>
      </w:r>
      <w:r>
        <w:rPr>
          <w:lang w:val="es-ES"/>
        </w:rPr>
        <w:t xml:space="preserve">. </w:t>
      </w:r>
      <w:r w:rsidRPr="00706FB4">
        <w:rPr>
          <w:lang w:val="es-ES"/>
        </w:rPr>
        <w:t xml:space="preserve">La forma en que las administraciones notificantes proporcionan y presentan esa información adicional mediante </w:t>
      </w:r>
      <w:r>
        <w:rPr>
          <w:lang w:val="es-ES"/>
        </w:rPr>
        <w:t xml:space="preserve">esas </w:t>
      </w:r>
      <w:r w:rsidRPr="00706FB4">
        <w:rPr>
          <w:lang w:val="es-ES"/>
        </w:rPr>
        <w:t>cartas puede diferir en función de la administración de que se trate</w:t>
      </w:r>
      <w:r>
        <w:rPr>
          <w:lang w:val="es-ES"/>
        </w:rPr>
        <w:t xml:space="preserve"> y puede ser incoherente con la información contenida en el formulario de notificación</w:t>
      </w:r>
      <w:r w:rsidRPr="00706FB4">
        <w:rPr>
          <w:lang w:val="es-ES"/>
        </w:rPr>
        <w:t xml:space="preserve">. </w:t>
      </w:r>
      <w:r>
        <w:rPr>
          <w:lang w:val="es-ES"/>
        </w:rPr>
        <w:t>Todo ello</w:t>
      </w:r>
      <w:r w:rsidRPr="00706FB4">
        <w:rPr>
          <w:lang w:val="es-ES"/>
        </w:rPr>
        <w:t xml:space="preserve"> dificulta a la </w:t>
      </w:r>
      <w:r>
        <w:rPr>
          <w:lang w:val="es-ES"/>
        </w:rPr>
        <w:t>BR</w:t>
      </w:r>
      <w:r w:rsidRPr="00706FB4">
        <w:rPr>
          <w:lang w:val="es-ES"/>
        </w:rPr>
        <w:t xml:space="preserve"> </w:t>
      </w:r>
      <w:r>
        <w:rPr>
          <w:lang w:val="es-ES"/>
        </w:rPr>
        <w:t xml:space="preserve">el procesamiento </w:t>
      </w:r>
      <w:r w:rsidRPr="00706FB4">
        <w:rPr>
          <w:lang w:val="es-ES"/>
        </w:rPr>
        <w:t xml:space="preserve">de la información de </w:t>
      </w:r>
      <w:r>
        <w:rPr>
          <w:lang w:val="es-ES"/>
        </w:rPr>
        <w:t xml:space="preserve">manera </w:t>
      </w:r>
      <w:r w:rsidRPr="00706FB4">
        <w:rPr>
          <w:lang w:val="es-ES"/>
        </w:rPr>
        <w:t>coherente y aumenta notablemente el tiempo necesario para comprender y tramitar la notificación.</w:t>
      </w:r>
    </w:p>
    <w:p w14:paraId="5EC47278" w14:textId="7706C860" w:rsidR="00857B5E" w:rsidRPr="00706FB4" w:rsidRDefault="00857B5E" w:rsidP="000D53F0">
      <w:pPr>
        <w:rPr>
          <w:lang w:val="es-ES"/>
        </w:rPr>
      </w:pPr>
      <w:r w:rsidRPr="00706FB4">
        <w:rPr>
          <w:lang w:val="es-ES"/>
        </w:rPr>
        <w:t xml:space="preserve">Por </w:t>
      </w:r>
      <w:r>
        <w:rPr>
          <w:lang w:val="es-ES"/>
        </w:rPr>
        <w:t>otra parte</w:t>
      </w:r>
      <w:r w:rsidRPr="00706FB4">
        <w:rPr>
          <w:lang w:val="es-ES"/>
        </w:rPr>
        <w:t xml:space="preserve">, </w:t>
      </w:r>
      <w:r>
        <w:rPr>
          <w:lang w:val="es-ES"/>
        </w:rPr>
        <w:t xml:space="preserve">estas comunicaciones recibidas por </w:t>
      </w:r>
      <w:r w:rsidRPr="00706FB4">
        <w:rPr>
          <w:lang w:val="es-ES"/>
        </w:rPr>
        <w:t xml:space="preserve">carta no forman </w:t>
      </w:r>
      <w:r w:rsidR="006A5EA7">
        <w:rPr>
          <w:lang w:val="es-ES"/>
        </w:rPr>
        <w:t>Parte </w:t>
      </w:r>
      <w:r w:rsidRPr="00706FB4">
        <w:rPr>
          <w:lang w:val="es-ES"/>
        </w:rPr>
        <w:t xml:space="preserve">de la información </w:t>
      </w:r>
      <w:r>
        <w:rPr>
          <w:lang w:val="es-ES"/>
        </w:rPr>
        <w:t>contenida en e</w:t>
      </w:r>
      <w:r w:rsidRPr="00706FB4">
        <w:rPr>
          <w:lang w:val="es-ES"/>
        </w:rPr>
        <w:t xml:space="preserve">l formulario de notificación del </w:t>
      </w:r>
      <w:r w:rsidR="0001665F">
        <w:rPr>
          <w:lang w:val="es-ES"/>
        </w:rPr>
        <w:t>Apéndice </w:t>
      </w:r>
      <w:r w:rsidR="0001665F" w:rsidRPr="00A14781">
        <w:rPr>
          <w:b/>
          <w:bCs/>
          <w:lang w:val="es-ES"/>
        </w:rPr>
        <w:t>4</w:t>
      </w:r>
      <w:r w:rsidRPr="00706FB4">
        <w:rPr>
          <w:lang w:val="es-ES"/>
        </w:rPr>
        <w:t xml:space="preserve"> del RR</w:t>
      </w:r>
      <w:r>
        <w:rPr>
          <w:lang w:val="es-ES"/>
        </w:rPr>
        <w:t xml:space="preserve"> y podrían </w:t>
      </w:r>
      <w:r w:rsidRPr="00706FB4">
        <w:rPr>
          <w:lang w:val="es-ES"/>
        </w:rPr>
        <w:t xml:space="preserve">no </w:t>
      </w:r>
      <w:r>
        <w:rPr>
          <w:lang w:val="es-ES"/>
        </w:rPr>
        <w:t xml:space="preserve">integrarse </w:t>
      </w:r>
      <w:r w:rsidRPr="00706FB4">
        <w:rPr>
          <w:lang w:val="es-ES"/>
        </w:rPr>
        <w:t xml:space="preserve">en las publicaciones de la </w:t>
      </w:r>
      <w:r w:rsidR="006A5EA7">
        <w:rPr>
          <w:lang w:val="es-ES"/>
        </w:rPr>
        <w:t>PARTE </w:t>
      </w:r>
      <w:r w:rsidRPr="00706FB4">
        <w:rPr>
          <w:lang w:val="es-ES"/>
        </w:rPr>
        <w:t>I</w:t>
      </w:r>
      <w:r>
        <w:rPr>
          <w:lang w:val="es-ES"/>
        </w:rPr>
        <w:t>-</w:t>
      </w:r>
      <w:r w:rsidRPr="00706FB4">
        <w:rPr>
          <w:lang w:val="es-ES"/>
        </w:rPr>
        <w:t xml:space="preserve">S, que </w:t>
      </w:r>
      <w:r>
        <w:rPr>
          <w:lang w:val="es-ES"/>
        </w:rPr>
        <w:t xml:space="preserve">es la que </w:t>
      </w:r>
      <w:r w:rsidRPr="00706FB4">
        <w:rPr>
          <w:lang w:val="es-ES"/>
        </w:rPr>
        <w:t>permit</w:t>
      </w:r>
      <w:r>
        <w:rPr>
          <w:lang w:val="es-ES"/>
        </w:rPr>
        <w:t>e</w:t>
      </w:r>
      <w:r w:rsidRPr="00706FB4">
        <w:rPr>
          <w:lang w:val="es-ES"/>
        </w:rPr>
        <w:t xml:space="preserve"> </w:t>
      </w:r>
      <w:r>
        <w:rPr>
          <w:lang w:val="es-ES"/>
        </w:rPr>
        <w:t xml:space="preserve">a </w:t>
      </w:r>
      <w:r w:rsidRPr="00706FB4">
        <w:rPr>
          <w:lang w:val="es-ES"/>
        </w:rPr>
        <w:t>otras administraciones</w:t>
      </w:r>
      <w:r>
        <w:rPr>
          <w:lang w:val="es-ES"/>
        </w:rPr>
        <w:t xml:space="preserve"> tenerlas en cuenta</w:t>
      </w:r>
      <w:r w:rsidRPr="00706FB4">
        <w:rPr>
          <w:lang w:val="es-ES"/>
        </w:rPr>
        <w:t>.</w:t>
      </w:r>
    </w:p>
    <w:p w14:paraId="316853D1" w14:textId="0038B5AC" w:rsidR="007A7A18" w:rsidRDefault="00857B5E" w:rsidP="000D53F0">
      <w:pPr>
        <w:rPr>
          <w:lang w:val="es-ES"/>
        </w:rPr>
      </w:pPr>
      <w:r w:rsidRPr="0015710B">
        <w:rPr>
          <w:lang w:val="es-ES"/>
        </w:rPr>
        <w:t xml:space="preserve">Habida cuenta de lo anterior, y con el fin de plasmar de forma más transparente el estado de </w:t>
      </w:r>
      <w:r>
        <w:rPr>
          <w:lang w:val="es-ES"/>
        </w:rPr>
        <w:t xml:space="preserve">la </w:t>
      </w:r>
      <w:r w:rsidRPr="0015710B">
        <w:rPr>
          <w:lang w:val="es-ES"/>
        </w:rPr>
        <w:t xml:space="preserve">coordinación en una publicación, así como para facilitar que la BR trate la información de forma coherente y eficaz, la Oficina se complace en anunciar que ha terminado de desarrollar nuevas funciones del software SPACECAP de la BR para ayudar a las administraciones notificantes a comunicar el estado de </w:t>
      </w:r>
      <w:r>
        <w:rPr>
          <w:lang w:val="es-ES"/>
        </w:rPr>
        <w:t xml:space="preserve">la </w:t>
      </w:r>
      <w:r w:rsidRPr="0015710B">
        <w:rPr>
          <w:lang w:val="es-ES"/>
        </w:rPr>
        <w:t>coordinación con las administraciones afectadas a nivel de grupo del</w:t>
      </w:r>
      <w:r>
        <w:rPr>
          <w:lang w:val="es-ES"/>
        </w:rPr>
        <w:t xml:space="preserve"> formulario de</w:t>
      </w:r>
      <w:r w:rsidRPr="0015710B">
        <w:rPr>
          <w:lang w:val="es-ES"/>
        </w:rPr>
        <w:t xml:space="preserve"> notificación del </w:t>
      </w:r>
      <w:r w:rsidR="0001665F">
        <w:rPr>
          <w:lang w:val="es-ES"/>
        </w:rPr>
        <w:t>Apéndice </w:t>
      </w:r>
      <w:r w:rsidR="0001665F" w:rsidRPr="00A14781">
        <w:rPr>
          <w:b/>
          <w:bCs/>
          <w:lang w:val="es-ES"/>
        </w:rPr>
        <w:t>4</w:t>
      </w:r>
      <w:r w:rsidRPr="00706FB4">
        <w:rPr>
          <w:lang w:val="es-ES"/>
        </w:rPr>
        <w:t>.</w:t>
      </w:r>
    </w:p>
    <w:p w14:paraId="1A9E2BAD" w14:textId="77777777" w:rsidR="007A7A18" w:rsidRDefault="007A7A1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0A6433D3" w14:textId="3F7D4B48" w:rsidR="00857B5E" w:rsidRPr="00706FB4" w:rsidRDefault="00857B5E" w:rsidP="000D53F0">
      <w:pPr>
        <w:rPr>
          <w:lang w:val="es-ES"/>
        </w:rPr>
      </w:pPr>
      <w:r w:rsidRPr="004A7778">
        <w:rPr>
          <w:lang w:val="es-ES"/>
        </w:rPr>
        <w:lastRenderedPageBreak/>
        <w:t>Las nuevas funciones del software ayudarán a las administraciones a registrar los acuerdos de coordinación a nivel de grupo, así como a crear notificaciones para su presentación en los siguientes casos</w:t>
      </w:r>
      <w:r w:rsidR="003222C9">
        <w:rPr>
          <w:lang w:val="es-ES"/>
        </w:rPr>
        <w:t>.</w:t>
      </w:r>
    </w:p>
    <w:p w14:paraId="4124D049" w14:textId="5436D454" w:rsidR="00857B5E" w:rsidRPr="005E12D7" w:rsidRDefault="00857B5E" w:rsidP="00F95134">
      <w:pPr>
        <w:keepNext/>
        <w:keepLines/>
        <w:rPr>
          <w:b/>
          <w:bCs/>
          <w:highlight w:val="lightGray"/>
          <w:lang w:val="es-ES"/>
        </w:rPr>
      </w:pPr>
      <w:bookmarkStart w:id="1" w:name="_Ref96960256"/>
      <w:bookmarkStart w:id="2" w:name="lt_pId032"/>
      <w:r w:rsidRPr="005E12D7">
        <w:rPr>
          <w:b/>
          <w:bCs/>
          <w:lang w:val="es-ES"/>
        </w:rPr>
        <w:t xml:space="preserve">Primera notificación con arreglo al número 11.2 para las asignaciones de frecuencias sujetas a coordinación con arreglo a la Sección II del Artículo </w:t>
      </w:r>
      <w:r w:rsidRPr="00F95134">
        <w:rPr>
          <w:b/>
          <w:bCs/>
          <w:lang w:val="es-ES"/>
        </w:rPr>
        <w:t>9</w:t>
      </w:r>
      <w:r w:rsidR="005E12D7" w:rsidRPr="006A5EA7">
        <w:rPr>
          <w:rStyle w:val="FootnoteReference"/>
          <w:lang w:val="es-ES"/>
        </w:rPr>
        <w:footnoteReference w:id="1"/>
      </w:r>
      <w:bookmarkEnd w:id="1"/>
      <w:r w:rsidRPr="00F95134">
        <w:rPr>
          <w:b/>
          <w:bCs/>
          <w:lang w:val="es-ES"/>
        </w:rPr>
        <w:t>:</w:t>
      </w:r>
      <w:bookmarkEnd w:id="2"/>
    </w:p>
    <w:p w14:paraId="3C5767EC" w14:textId="0F7A7883" w:rsidR="00857B5E" w:rsidRPr="00706FB4" w:rsidRDefault="00857B5E" w:rsidP="00134222">
      <w:pPr>
        <w:rPr>
          <w:lang w:val="es-ES"/>
        </w:rPr>
      </w:pPr>
      <w:bookmarkStart w:id="3" w:name="lt_pId036"/>
      <w:bookmarkStart w:id="4" w:name="_Hlk90014508"/>
      <w:r w:rsidRPr="00993988">
        <w:rPr>
          <w:lang w:val="es-ES"/>
        </w:rPr>
        <w:t>La notificación se crea extrayendo la información contenida en la correspondiente solicitud de coordinación ya publicada. En principio, la herramienta propo</w:t>
      </w:r>
      <w:r>
        <w:rPr>
          <w:lang w:val="es-ES"/>
        </w:rPr>
        <w:t>ne</w:t>
      </w:r>
      <w:r w:rsidRPr="00993988">
        <w:rPr>
          <w:lang w:val="es-ES"/>
        </w:rPr>
        <w:t xml:space="preserve"> una solicitud para </w:t>
      </w:r>
      <w:r>
        <w:rPr>
          <w:lang w:val="es-ES"/>
        </w:rPr>
        <w:t xml:space="preserve">examinar </w:t>
      </w:r>
      <w:r w:rsidRPr="00993988">
        <w:rPr>
          <w:lang w:val="es-ES"/>
        </w:rPr>
        <w:t>la notificación con arreglo a los números</w:t>
      </w:r>
      <w:r w:rsidR="00CD79FD">
        <w:rPr>
          <w:lang w:val="es-ES"/>
        </w:rPr>
        <w:t> </w:t>
      </w:r>
      <w:r w:rsidRPr="00DF6FF4">
        <w:rPr>
          <w:b/>
          <w:bCs/>
          <w:lang w:val="es-ES"/>
        </w:rPr>
        <w:t>11.32</w:t>
      </w:r>
      <w:r w:rsidRPr="00993988">
        <w:rPr>
          <w:lang w:val="es-ES"/>
        </w:rPr>
        <w:t xml:space="preserve"> y </w:t>
      </w:r>
      <w:r w:rsidRPr="00DF6FF4">
        <w:rPr>
          <w:b/>
          <w:bCs/>
          <w:lang w:val="es-ES"/>
        </w:rPr>
        <w:t>11.32A</w:t>
      </w:r>
      <w:r w:rsidRPr="00993988">
        <w:rPr>
          <w:lang w:val="es-ES"/>
        </w:rPr>
        <w:t xml:space="preserve">, pero los usuarios </w:t>
      </w:r>
      <w:r>
        <w:rPr>
          <w:lang w:val="es-ES"/>
        </w:rPr>
        <w:t xml:space="preserve">tienen </w:t>
      </w:r>
      <w:r w:rsidRPr="00993988">
        <w:rPr>
          <w:lang w:val="es-ES"/>
        </w:rPr>
        <w:t>la opción de seleccionar únicamente el examen con arreglo al número</w:t>
      </w:r>
      <w:r w:rsidR="002C66DF">
        <w:rPr>
          <w:lang w:val="es-ES"/>
        </w:rPr>
        <w:t> </w:t>
      </w:r>
      <w:r w:rsidRPr="00DF6FF4">
        <w:rPr>
          <w:b/>
          <w:bCs/>
          <w:lang w:val="es-ES"/>
        </w:rPr>
        <w:t>11.32</w:t>
      </w:r>
      <w:r w:rsidRPr="00993988">
        <w:rPr>
          <w:lang w:val="es-ES"/>
        </w:rPr>
        <w:t xml:space="preserve">, si así lo desean. A continuación, las administraciones </w:t>
      </w:r>
      <w:r>
        <w:rPr>
          <w:lang w:val="es-ES"/>
        </w:rPr>
        <w:t xml:space="preserve">pueden </w:t>
      </w:r>
      <w:r w:rsidRPr="00993988">
        <w:rPr>
          <w:lang w:val="es-ES"/>
        </w:rPr>
        <w:t xml:space="preserve">modificar las características </w:t>
      </w:r>
      <w:r>
        <w:rPr>
          <w:lang w:val="es-ES"/>
        </w:rPr>
        <w:t xml:space="preserve">indicadas en </w:t>
      </w:r>
      <w:r w:rsidRPr="00993988">
        <w:rPr>
          <w:lang w:val="es-ES"/>
        </w:rPr>
        <w:t xml:space="preserve">la solicitud de coordinación y completar la </w:t>
      </w:r>
      <w:r w:rsidRPr="000D53F0">
        <w:rPr>
          <w:lang w:val="es-ES"/>
        </w:rPr>
        <w:t>notificación</w:t>
      </w:r>
      <w:r w:rsidRPr="00993988">
        <w:rPr>
          <w:lang w:val="es-ES"/>
        </w:rPr>
        <w:t xml:space="preserve"> </w:t>
      </w:r>
      <w:r>
        <w:rPr>
          <w:lang w:val="es-ES"/>
        </w:rPr>
        <w:t xml:space="preserve">con </w:t>
      </w:r>
      <w:r w:rsidRPr="00993988">
        <w:rPr>
          <w:lang w:val="es-ES"/>
        </w:rPr>
        <w:t xml:space="preserve">la información obligatoria del </w:t>
      </w:r>
      <w:r w:rsidR="0001665F">
        <w:rPr>
          <w:lang w:val="es-ES"/>
        </w:rPr>
        <w:t>Apéndice </w:t>
      </w:r>
      <w:r w:rsidR="0001665F" w:rsidRPr="002C66DF">
        <w:rPr>
          <w:b/>
          <w:bCs/>
          <w:lang w:val="es-ES"/>
        </w:rPr>
        <w:t>4</w:t>
      </w:r>
      <w:r w:rsidRPr="00993988">
        <w:rPr>
          <w:lang w:val="es-ES"/>
        </w:rPr>
        <w:t xml:space="preserve">, a saber, la fecha de puesta en servicio y los correspondientes números de </w:t>
      </w:r>
      <w:r>
        <w:rPr>
          <w:lang w:val="es-ES"/>
        </w:rPr>
        <w:t>S</w:t>
      </w:r>
      <w:r w:rsidRPr="00993988">
        <w:rPr>
          <w:lang w:val="es-ES"/>
        </w:rPr>
        <w:t xml:space="preserve">ección </w:t>
      </w:r>
      <w:r>
        <w:rPr>
          <w:lang w:val="es-ES"/>
        </w:rPr>
        <w:t>E</w:t>
      </w:r>
      <w:r w:rsidRPr="00993988">
        <w:rPr>
          <w:lang w:val="es-ES"/>
        </w:rPr>
        <w:t xml:space="preserve">special de las publicaciones API/A o CR/C. Los acuerdos de coordinación con las administraciones afectadas pueden obtenerse a nivel de grupo a través de </w:t>
      </w:r>
      <w:r>
        <w:rPr>
          <w:lang w:val="es-ES"/>
        </w:rPr>
        <w:t xml:space="preserve">la </w:t>
      </w:r>
      <w:r w:rsidRPr="00993988">
        <w:rPr>
          <w:lang w:val="es-ES"/>
        </w:rPr>
        <w:t xml:space="preserve">interfaz que muestra los requisitos de coordinación de la red de satélites a nivel de grupo y que permite al usuario </w:t>
      </w:r>
      <w:r>
        <w:rPr>
          <w:lang w:val="es-ES"/>
        </w:rPr>
        <w:t xml:space="preserve">navegar </w:t>
      </w:r>
      <w:r w:rsidRPr="00993988">
        <w:rPr>
          <w:lang w:val="es-ES"/>
        </w:rPr>
        <w:t xml:space="preserve">fácilmente </w:t>
      </w:r>
      <w:r>
        <w:rPr>
          <w:lang w:val="es-ES"/>
        </w:rPr>
        <w:t xml:space="preserve">por </w:t>
      </w:r>
      <w:r w:rsidRPr="00993988">
        <w:rPr>
          <w:lang w:val="es-ES"/>
        </w:rPr>
        <w:t xml:space="preserve">la notificación y seleccionar los grupos para los que desea obtener el estado de </w:t>
      </w:r>
      <w:r>
        <w:rPr>
          <w:lang w:val="es-ES"/>
        </w:rPr>
        <w:t xml:space="preserve">la </w:t>
      </w:r>
      <w:r w:rsidRPr="00993988">
        <w:rPr>
          <w:lang w:val="es-ES"/>
        </w:rPr>
        <w:t>coordinación con respecto a una administración afectada</w:t>
      </w:r>
      <w:r w:rsidRPr="00706FB4">
        <w:rPr>
          <w:lang w:val="es-ES"/>
        </w:rPr>
        <w:t>.</w:t>
      </w:r>
      <w:bookmarkEnd w:id="3"/>
    </w:p>
    <w:p w14:paraId="003A95B1" w14:textId="76E97732" w:rsidR="00857B5E" w:rsidRPr="004127E5" w:rsidRDefault="00857B5E" w:rsidP="007A7A18">
      <w:pPr>
        <w:spacing w:before="240"/>
        <w:rPr>
          <w:b/>
          <w:bCs/>
          <w:lang w:val="es-ES"/>
        </w:rPr>
      </w:pPr>
      <w:bookmarkStart w:id="5" w:name="lt_pId037"/>
      <w:r w:rsidRPr="004127E5">
        <w:rPr>
          <w:b/>
          <w:bCs/>
          <w:lang w:val="es-ES"/>
        </w:rPr>
        <w:t>Notificación presentada nuevamente tras haber sido devuelta con arreglo a los números</w:t>
      </w:r>
      <w:r w:rsidR="00A14781">
        <w:rPr>
          <w:b/>
          <w:bCs/>
          <w:lang w:val="es-ES"/>
        </w:rPr>
        <w:t> </w:t>
      </w:r>
      <w:r w:rsidRPr="004127E5">
        <w:rPr>
          <w:b/>
          <w:bCs/>
          <w:lang w:val="es-ES"/>
        </w:rPr>
        <w:t xml:space="preserve">11.37 </w:t>
      </w:r>
      <w:proofErr w:type="spellStart"/>
      <w:r w:rsidRPr="004127E5">
        <w:rPr>
          <w:b/>
          <w:bCs/>
          <w:lang w:val="es-ES"/>
        </w:rPr>
        <w:t>ó</w:t>
      </w:r>
      <w:proofErr w:type="spellEnd"/>
      <w:r w:rsidRPr="004127E5">
        <w:rPr>
          <w:b/>
          <w:bCs/>
          <w:lang w:val="es-ES"/>
        </w:rPr>
        <w:t> 11.38:</w:t>
      </w:r>
      <w:bookmarkEnd w:id="5"/>
    </w:p>
    <w:p w14:paraId="628D4951" w14:textId="1508AD37" w:rsidR="00857B5E" w:rsidRPr="00645E93" w:rsidRDefault="00857B5E" w:rsidP="00DF6FF4">
      <w:pPr>
        <w:rPr>
          <w:lang w:val="es-ES"/>
        </w:rPr>
      </w:pPr>
      <w:bookmarkStart w:id="6" w:name="lt_pId040"/>
      <w:r w:rsidRPr="00645E93">
        <w:rPr>
          <w:lang w:val="es-ES"/>
        </w:rPr>
        <w:t xml:space="preserve">La notificación se </w:t>
      </w:r>
      <w:r>
        <w:rPr>
          <w:lang w:val="es-ES"/>
        </w:rPr>
        <w:t>crea</w:t>
      </w:r>
      <w:r w:rsidRPr="00645E93">
        <w:rPr>
          <w:lang w:val="es-ES"/>
        </w:rPr>
        <w:t xml:space="preserve"> extrayendo la información contenida en la correspondiente notificación publicada en la </w:t>
      </w:r>
      <w:r w:rsidR="006A5EA7">
        <w:rPr>
          <w:lang w:val="es-ES"/>
        </w:rPr>
        <w:t>Parte </w:t>
      </w:r>
      <w:r w:rsidRPr="00645E93">
        <w:rPr>
          <w:lang w:val="es-ES"/>
        </w:rPr>
        <w:t>III-S. A continuación, la</w:t>
      </w:r>
      <w:r>
        <w:rPr>
          <w:lang w:val="es-ES"/>
        </w:rPr>
        <w:t>s</w:t>
      </w:r>
      <w:r w:rsidRPr="00645E93">
        <w:rPr>
          <w:lang w:val="es-ES"/>
        </w:rPr>
        <w:t xml:space="preserve"> administraciones pueden actualizar los acuerdos de </w:t>
      </w:r>
      <w:r w:rsidRPr="000D53F0">
        <w:rPr>
          <w:lang w:val="es-ES"/>
        </w:rPr>
        <w:t>coordinación</w:t>
      </w:r>
      <w:r w:rsidRPr="00645E93">
        <w:rPr>
          <w:lang w:val="es-ES"/>
        </w:rPr>
        <w:t xml:space="preserve"> con las administraciones afectadas </w:t>
      </w:r>
      <w:r>
        <w:rPr>
          <w:lang w:val="es-ES"/>
        </w:rPr>
        <w:t>a nivel de</w:t>
      </w:r>
      <w:r w:rsidRPr="00645E93">
        <w:rPr>
          <w:lang w:val="es-ES"/>
        </w:rPr>
        <w:t xml:space="preserve"> grupo a través de </w:t>
      </w:r>
      <w:r>
        <w:rPr>
          <w:lang w:val="es-ES"/>
        </w:rPr>
        <w:t>l</w:t>
      </w:r>
      <w:r w:rsidRPr="00645E93">
        <w:rPr>
          <w:lang w:val="es-ES"/>
        </w:rPr>
        <w:t xml:space="preserve">a interfaz que muestra los acuerdos de coordinación pendientes para la red de satélites </w:t>
      </w:r>
      <w:r>
        <w:rPr>
          <w:lang w:val="es-ES"/>
        </w:rPr>
        <w:t xml:space="preserve">a nivel de </w:t>
      </w:r>
      <w:r w:rsidRPr="00645E93">
        <w:rPr>
          <w:lang w:val="es-ES"/>
        </w:rPr>
        <w:t xml:space="preserve">grupo, y que permite al usuario navegar fácilmente por la notificación y seleccionar los grupos para </w:t>
      </w:r>
      <w:r>
        <w:rPr>
          <w:lang w:val="es-ES"/>
        </w:rPr>
        <w:t xml:space="preserve">los que desea </w:t>
      </w:r>
      <w:r w:rsidRPr="00645E93">
        <w:rPr>
          <w:lang w:val="es-ES"/>
        </w:rPr>
        <w:t xml:space="preserve">actualizar el estado de </w:t>
      </w:r>
      <w:r>
        <w:rPr>
          <w:lang w:val="es-ES"/>
        </w:rPr>
        <w:t xml:space="preserve">la </w:t>
      </w:r>
      <w:r w:rsidRPr="00645E93">
        <w:rPr>
          <w:lang w:val="es-ES"/>
        </w:rPr>
        <w:t>coordinación con respecto a una administración afectada.</w:t>
      </w:r>
    </w:p>
    <w:p w14:paraId="61429419" w14:textId="318A9D34" w:rsidR="00857B5E" w:rsidRPr="00706FB4" w:rsidRDefault="00857B5E" w:rsidP="000D53F0">
      <w:pPr>
        <w:rPr>
          <w:rFonts w:asciiTheme="minorHAnsi" w:hAnsiTheme="minorHAnsi" w:cstheme="minorHAnsi"/>
          <w:szCs w:val="24"/>
          <w:lang w:val="es-ES"/>
        </w:rPr>
      </w:pPr>
      <w:r w:rsidRPr="00645E93">
        <w:rPr>
          <w:rFonts w:asciiTheme="minorHAnsi" w:hAnsiTheme="minorHAnsi" w:cstheme="minorHAnsi"/>
          <w:szCs w:val="24"/>
          <w:lang w:val="es-ES"/>
        </w:rPr>
        <w:t xml:space="preserve">En el </w:t>
      </w:r>
      <w:r w:rsidRPr="000D53F0">
        <w:rPr>
          <w:lang w:val="es-ES"/>
        </w:rPr>
        <w:t>caso</w:t>
      </w:r>
      <w:r w:rsidRPr="00645E93">
        <w:rPr>
          <w:rFonts w:asciiTheme="minorHAnsi" w:hAnsiTheme="minorHAnsi" w:cstheme="minorHAnsi"/>
          <w:szCs w:val="24"/>
          <w:lang w:val="es-ES"/>
        </w:rPr>
        <w:t xml:space="preserve"> de una nueva presentación en virtud del número</w:t>
      </w:r>
      <w:r w:rsidR="006A5EA7">
        <w:rPr>
          <w:rFonts w:asciiTheme="minorHAnsi" w:hAnsiTheme="minorHAnsi" w:cstheme="minorHAnsi"/>
          <w:szCs w:val="24"/>
          <w:lang w:val="es-ES"/>
        </w:rPr>
        <w:t> </w:t>
      </w:r>
      <w:r w:rsidRPr="00DF6FF4">
        <w:rPr>
          <w:rFonts w:asciiTheme="minorHAnsi" w:hAnsiTheme="minorHAnsi" w:cstheme="minorHAnsi"/>
          <w:b/>
          <w:bCs/>
          <w:szCs w:val="24"/>
          <w:lang w:val="es-ES"/>
        </w:rPr>
        <w:t>11.41</w:t>
      </w:r>
      <w:r w:rsidRPr="00645E93">
        <w:rPr>
          <w:rFonts w:asciiTheme="minorHAnsi" w:hAnsiTheme="minorHAnsi" w:cstheme="minorHAnsi"/>
          <w:szCs w:val="24"/>
          <w:lang w:val="es-ES"/>
        </w:rPr>
        <w:t>, la indicación</w:t>
      </w:r>
      <w:r>
        <w:rPr>
          <w:rFonts w:asciiTheme="minorHAnsi" w:hAnsiTheme="minorHAnsi" w:cstheme="minorHAnsi"/>
          <w:szCs w:val="24"/>
          <w:lang w:val="es-ES"/>
        </w:rPr>
        <w:t xml:space="preserve"> </w:t>
      </w:r>
      <w:r w:rsidRPr="00645E93">
        <w:rPr>
          <w:rFonts w:asciiTheme="minorHAnsi" w:hAnsiTheme="minorHAnsi" w:cstheme="minorHAnsi"/>
          <w:szCs w:val="24"/>
          <w:lang w:val="es-ES"/>
        </w:rPr>
        <w:t>relativa al número</w:t>
      </w:r>
      <w:r w:rsidR="00DF6FF4">
        <w:rPr>
          <w:rFonts w:asciiTheme="minorHAnsi" w:hAnsiTheme="minorHAnsi" w:cstheme="minorHAnsi"/>
          <w:szCs w:val="24"/>
          <w:lang w:val="es-ES"/>
        </w:rPr>
        <w:t> </w:t>
      </w:r>
      <w:r w:rsidRPr="00DF6FF4">
        <w:rPr>
          <w:rFonts w:asciiTheme="minorHAnsi" w:hAnsiTheme="minorHAnsi" w:cstheme="minorHAnsi"/>
          <w:b/>
          <w:bCs/>
          <w:szCs w:val="24"/>
          <w:lang w:val="es-ES"/>
        </w:rPr>
        <w:t>11.41.2</w:t>
      </w:r>
      <w:r w:rsidRPr="00645E93">
        <w:rPr>
          <w:rFonts w:asciiTheme="minorHAnsi" w:hAnsiTheme="minorHAnsi" w:cstheme="minorHAnsi"/>
          <w:szCs w:val="24"/>
          <w:lang w:val="es-ES"/>
        </w:rPr>
        <w:t>, así como cualquier información adicional, debe proporcionarse a través del sistema de presentación electrónica</w:t>
      </w:r>
      <w:r w:rsidRPr="00706FB4">
        <w:rPr>
          <w:rFonts w:asciiTheme="minorHAnsi" w:hAnsiTheme="minorHAnsi" w:cstheme="minorHAnsi"/>
          <w:szCs w:val="24"/>
          <w:lang w:val="es-ES"/>
        </w:rPr>
        <w:t>.</w:t>
      </w:r>
      <w:bookmarkEnd w:id="6"/>
      <w:r w:rsidRPr="00706FB4">
        <w:rPr>
          <w:rFonts w:asciiTheme="minorHAnsi" w:hAnsiTheme="minorHAnsi" w:cstheme="minorHAnsi"/>
          <w:szCs w:val="24"/>
          <w:lang w:val="es-ES"/>
        </w:rPr>
        <w:t xml:space="preserve"> </w:t>
      </w:r>
    </w:p>
    <w:p w14:paraId="52386BFB" w14:textId="1715E61B" w:rsidR="00857B5E" w:rsidRPr="00822C5F" w:rsidRDefault="00857B5E" w:rsidP="00134222">
      <w:pPr>
        <w:rPr>
          <w:lang w:val="es-ES"/>
        </w:rPr>
      </w:pPr>
      <w:bookmarkStart w:id="7" w:name="lt_pId041"/>
      <w:r w:rsidRPr="00822C5F">
        <w:rPr>
          <w:lang w:val="es-ES"/>
        </w:rPr>
        <w:t xml:space="preserve">En caso de que no se actualicen los acuerdos de coordinación </w:t>
      </w:r>
      <w:r>
        <w:rPr>
          <w:lang w:val="es-ES"/>
        </w:rPr>
        <w:t>cuando se presente de nuevo</w:t>
      </w:r>
      <w:r w:rsidRPr="00822C5F">
        <w:rPr>
          <w:lang w:val="es-ES"/>
        </w:rPr>
        <w:t xml:space="preserve"> </w:t>
      </w:r>
      <w:r>
        <w:rPr>
          <w:lang w:val="es-ES"/>
        </w:rPr>
        <w:t>un</w:t>
      </w:r>
      <w:r w:rsidRPr="00822C5F">
        <w:rPr>
          <w:lang w:val="es-ES"/>
        </w:rPr>
        <w:t xml:space="preserve">a notificación, no </w:t>
      </w:r>
      <w:r>
        <w:rPr>
          <w:lang w:val="es-ES"/>
        </w:rPr>
        <w:t xml:space="preserve">será </w:t>
      </w:r>
      <w:r w:rsidRPr="00DF6FF4">
        <w:rPr>
          <w:lang w:val="es-ES"/>
        </w:rPr>
        <w:t>necesario</w:t>
      </w:r>
      <w:r w:rsidRPr="00822C5F">
        <w:rPr>
          <w:lang w:val="es-ES"/>
        </w:rPr>
        <w:t xml:space="preserve"> utilizar el </w:t>
      </w:r>
      <w:r>
        <w:rPr>
          <w:lang w:val="es-ES"/>
        </w:rPr>
        <w:t>software</w:t>
      </w:r>
      <w:r w:rsidRPr="00822C5F">
        <w:rPr>
          <w:lang w:val="es-ES"/>
        </w:rPr>
        <w:t xml:space="preserve"> para crear la notificación y se podrá volver a presentar </w:t>
      </w:r>
      <w:r w:rsidRPr="000D53F0">
        <w:rPr>
          <w:lang w:val="es-ES"/>
        </w:rPr>
        <w:t>directamente</w:t>
      </w:r>
      <w:r w:rsidRPr="00822C5F">
        <w:rPr>
          <w:lang w:val="es-ES"/>
        </w:rPr>
        <w:t xml:space="preserve"> </w:t>
      </w:r>
      <w:r>
        <w:rPr>
          <w:lang w:val="es-ES"/>
        </w:rPr>
        <w:t>utilizando</w:t>
      </w:r>
      <w:r w:rsidRPr="00822C5F">
        <w:rPr>
          <w:lang w:val="es-ES"/>
        </w:rPr>
        <w:t xml:space="preserve"> la función </w:t>
      </w:r>
      <w:r w:rsidR="00961728">
        <w:rPr>
          <w:lang w:val="es-ES"/>
        </w:rPr>
        <w:t>«</w:t>
      </w:r>
      <w:proofErr w:type="spellStart"/>
      <w:r>
        <w:rPr>
          <w:lang w:val="es-ES"/>
        </w:rPr>
        <w:t>Resubmission</w:t>
      </w:r>
      <w:proofErr w:type="spellEnd"/>
      <w:r w:rsidR="00961728">
        <w:rPr>
          <w:lang w:val="es-ES"/>
        </w:rPr>
        <w:t>»</w:t>
      </w:r>
      <w:r w:rsidRPr="00822C5F">
        <w:rPr>
          <w:lang w:val="es-ES"/>
        </w:rPr>
        <w:t xml:space="preserve"> del sistema de presentación electrónica, como se indica a continuación.</w:t>
      </w:r>
      <w:bookmarkEnd w:id="7"/>
    </w:p>
    <w:bookmarkEnd w:id="4"/>
    <w:p w14:paraId="060CE233" w14:textId="318E1982" w:rsidR="00857B5E" w:rsidRPr="00822C5F" w:rsidRDefault="00DF6FF4" w:rsidP="00961728">
      <w:pPr>
        <w:spacing w:before="100" w:line="240" w:lineRule="auto"/>
        <w:jc w:val="center"/>
        <w:rPr>
          <w:szCs w:val="24"/>
          <w:lang w:val="es-ES"/>
        </w:rPr>
      </w:pPr>
      <w:r w:rsidRPr="00706FB4">
        <w:rPr>
          <w:rFonts w:asciiTheme="minorHAnsi" w:hAnsiTheme="minorHAnsi" w:cstheme="minorHAnsi"/>
          <w:noProof/>
          <w:szCs w:val="24"/>
          <w:lang w:val="es-ES"/>
        </w:rPr>
        <w:drawing>
          <wp:inline distT="0" distB="0" distL="0" distR="0" wp14:anchorId="16F00000" wp14:editId="27A76E53">
            <wp:extent cx="4284000" cy="1522625"/>
            <wp:effectExtent l="0" t="0" r="2540" b="1905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4000" cy="15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2A587" w14:textId="5CD47CA8" w:rsidR="00857B5E" w:rsidRPr="004127E5" w:rsidRDefault="00857B5E" w:rsidP="0001665F">
      <w:pPr>
        <w:pStyle w:val="Headingb"/>
        <w:ind w:left="0" w:firstLine="0"/>
        <w:rPr>
          <w:lang w:val="es-ES"/>
        </w:rPr>
      </w:pPr>
      <w:bookmarkStart w:id="8" w:name="lt_pId042"/>
      <w:r w:rsidRPr="004127E5">
        <w:rPr>
          <w:lang w:val="es-ES"/>
        </w:rPr>
        <w:lastRenderedPageBreak/>
        <w:t>Primera notificación con arreglo al número 11.2 para asignaciones de frecuencias que no están sujetas a coordinación con arreglo a la Sección II del Artículo 9</w:t>
      </w:r>
      <w:bookmarkEnd w:id="8"/>
      <w:r w:rsidRPr="006A5EA7">
        <w:rPr>
          <w:b w:val="0"/>
          <w:bCs/>
          <w:vertAlign w:val="superscript"/>
          <w:lang w:val="es-ES"/>
        </w:rPr>
        <w:fldChar w:fldCharType="begin"/>
      </w:r>
      <w:r w:rsidRPr="006A5EA7">
        <w:rPr>
          <w:b w:val="0"/>
          <w:bCs/>
          <w:vertAlign w:val="superscript"/>
          <w:lang w:val="es-ES"/>
        </w:rPr>
        <w:instrText xml:space="preserve"> NOTEREF _Ref96960256  \* MERGEFORMAT </w:instrText>
      </w:r>
      <w:r w:rsidRPr="006A5EA7">
        <w:rPr>
          <w:b w:val="0"/>
          <w:bCs/>
          <w:vertAlign w:val="superscript"/>
          <w:lang w:val="es-ES"/>
        </w:rPr>
        <w:fldChar w:fldCharType="separate"/>
      </w:r>
      <w:r w:rsidR="009D2C07">
        <w:rPr>
          <w:b w:val="0"/>
          <w:bCs/>
          <w:vertAlign w:val="superscript"/>
          <w:lang w:val="es-ES"/>
        </w:rPr>
        <w:t>1</w:t>
      </w:r>
      <w:r w:rsidRPr="006A5EA7">
        <w:rPr>
          <w:b w:val="0"/>
          <w:bCs/>
          <w:lang w:val="es-ES"/>
        </w:rPr>
        <w:fldChar w:fldCharType="end"/>
      </w:r>
      <w:r w:rsidRPr="004127E5">
        <w:rPr>
          <w:lang w:val="es-ES"/>
        </w:rPr>
        <w:t>:</w:t>
      </w:r>
    </w:p>
    <w:p w14:paraId="6804FD90" w14:textId="758EA056" w:rsidR="00857B5E" w:rsidRPr="00D03CA0" w:rsidRDefault="00857B5E" w:rsidP="00134222">
      <w:pPr>
        <w:rPr>
          <w:lang w:val="es-ES"/>
        </w:rPr>
      </w:pPr>
      <w:bookmarkStart w:id="9" w:name="lt_pId046"/>
      <w:r w:rsidRPr="00D03CA0">
        <w:rPr>
          <w:lang w:val="es-ES"/>
        </w:rPr>
        <w:t xml:space="preserve">La notificación se genera extrayendo la correspondiente API ya publicada y, a continuación, las administraciones </w:t>
      </w:r>
      <w:r>
        <w:rPr>
          <w:lang w:val="es-ES"/>
        </w:rPr>
        <w:t xml:space="preserve">tienen </w:t>
      </w:r>
      <w:r w:rsidRPr="00D03CA0">
        <w:rPr>
          <w:lang w:val="es-ES"/>
        </w:rPr>
        <w:t xml:space="preserve">que completarla introduciendo la información del </w:t>
      </w:r>
      <w:r w:rsidR="0001665F">
        <w:rPr>
          <w:lang w:val="es-ES"/>
        </w:rPr>
        <w:t>Apéndice </w:t>
      </w:r>
      <w:r w:rsidR="0001665F" w:rsidRPr="009D2C07">
        <w:rPr>
          <w:b/>
          <w:bCs/>
          <w:lang w:val="es-ES"/>
        </w:rPr>
        <w:t>4</w:t>
      </w:r>
      <w:r w:rsidRPr="00D03CA0">
        <w:rPr>
          <w:lang w:val="es-ES"/>
        </w:rPr>
        <w:t xml:space="preserve"> obligatoria para la notificación, en </w:t>
      </w:r>
      <w:r w:rsidRPr="00DF6FF4">
        <w:rPr>
          <w:lang w:val="es-ES"/>
        </w:rPr>
        <w:t>particular</w:t>
      </w:r>
      <w:r w:rsidRPr="00D03CA0">
        <w:rPr>
          <w:lang w:val="es-ES"/>
        </w:rPr>
        <w:t xml:space="preserve"> las frecuencias y el ancho de banda asignados, la fecha de puesta en servicio y los correspondientes números de </w:t>
      </w:r>
      <w:r>
        <w:rPr>
          <w:lang w:val="es-ES"/>
        </w:rPr>
        <w:t>S</w:t>
      </w:r>
      <w:r w:rsidRPr="00D03CA0">
        <w:rPr>
          <w:lang w:val="es-ES"/>
        </w:rPr>
        <w:t xml:space="preserve">ección </w:t>
      </w:r>
      <w:r>
        <w:rPr>
          <w:lang w:val="es-ES"/>
        </w:rPr>
        <w:t>E</w:t>
      </w:r>
      <w:r w:rsidRPr="00D03CA0">
        <w:rPr>
          <w:lang w:val="es-ES"/>
        </w:rPr>
        <w:t>special de la publicación API/A.</w:t>
      </w:r>
    </w:p>
    <w:p w14:paraId="22806F21" w14:textId="2121D5AF" w:rsidR="00857B5E" w:rsidRPr="00706FB4" w:rsidRDefault="00857B5E" w:rsidP="00134222">
      <w:pPr>
        <w:rPr>
          <w:lang w:val="es-ES"/>
        </w:rPr>
      </w:pPr>
      <w:r w:rsidRPr="00D03CA0">
        <w:rPr>
          <w:lang w:val="es-ES"/>
        </w:rPr>
        <w:t xml:space="preserve">Se recuerda a las administraciones que, al examinar una notificación con arreglo a los números </w:t>
      </w:r>
      <w:r w:rsidRPr="00F95134">
        <w:rPr>
          <w:b/>
          <w:bCs/>
          <w:lang w:val="es-ES"/>
        </w:rPr>
        <w:t>11.32</w:t>
      </w:r>
      <w:r w:rsidRPr="00D03CA0">
        <w:rPr>
          <w:lang w:val="es-ES"/>
        </w:rPr>
        <w:t xml:space="preserve"> y</w:t>
      </w:r>
      <w:r w:rsidR="00961728">
        <w:rPr>
          <w:lang w:val="es-ES"/>
        </w:rPr>
        <w:t> </w:t>
      </w:r>
      <w:r w:rsidRPr="00F95134">
        <w:rPr>
          <w:b/>
          <w:bCs/>
          <w:lang w:val="es-ES"/>
        </w:rPr>
        <w:t>11.32A</w:t>
      </w:r>
      <w:r w:rsidRPr="00D03CA0">
        <w:rPr>
          <w:lang w:val="es-ES"/>
        </w:rPr>
        <w:t xml:space="preserve">, la Oficina utiliza la base de datos SRS más reciente y tiene en cuenta si las redes de satélite de las administraciones </w:t>
      </w:r>
      <w:r w:rsidRPr="00DF6FF4">
        <w:rPr>
          <w:lang w:val="es-ES"/>
        </w:rPr>
        <w:t>afectadas</w:t>
      </w:r>
      <w:r w:rsidRPr="00D03CA0">
        <w:rPr>
          <w:lang w:val="es-ES"/>
        </w:rPr>
        <w:t xml:space="preserve"> están parcial o totalmente suprimidas. Por consiguiente, no es necesario que las administraciones notificantes comuniquen dicha información, ya que la BR la tendrá en cuenta cuando lleve a cabo el examen de la notificación</w:t>
      </w:r>
      <w:r w:rsidRPr="00706FB4">
        <w:rPr>
          <w:lang w:val="es-ES"/>
        </w:rPr>
        <w:t>.</w:t>
      </w:r>
      <w:bookmarkEnd w:id="9"/>
      <w:r w:rsidRPr="00706FB4">
        <w:rPr>
          <w:lang w:val="es-ES"/>
        </w:rPr>
        <w:t xml:space="preserve"> </w:t>
      </w:r>
    </w:p>
    <w:p w14:paraId="34341B75" w14:textId="5EBF1D95" w:rsidR="00857B5E" w:rsidRPr="00D03CA0" w:rsidRDefault="00857B5E" w:rsidP="00134222">
      <w:pPr>
        <w:rPr>
          <w:lang w:val="es-ES"/>
        </w:rPr>
      </w:pPr>
      <w:bookmarkStart w:id="10" w:name="lt_pId048"/>
      <w:r w:rsidRPr="00D03CA0">
        <w:rPr>
          <w:lang w:val="es-ES"/>
        </w:rPr>
        <w:t xml:space="preserve">En caso de </w:t>
      </w:r>
      <w:r>
        <w:rPr>
          <w:lang w:val="es-ES"/>
        </w:rPr>
        <w:t xml:space="preserve">que la notificación presente </w:t>
      </w:r>
      <w:r w:rsidRPr="00D03CA0">
        <w:rPr>
          <w:lang w:val="es-ES"/>
        </w:rPr>
        <w:t>incoherencia</w:t>
      </w:r>
      <w:r>
        <w:rPr>
          <w:lang w:val="es-ES"/>
        </w:rPr>
        <w:t>s</w:t>
      </w:r>
      <w:r w:rsidRPr="00D03CA0">
        <w:rPr>
          <w:lang w:val="es-ES"/>
        </w:rPr>
        <w:t xml:space="preserve"> entre el estado de </w:t>
      </w:r>
      <w:r>
        <w:rPr>
          <w:lang w:val="es-ES"/>
        </w:rPr>
        <w:t xml:space="preserve">la </w:t>
      </w:r>
      <w:r w:rsidRPr="00D03CA0">
        <w:rPr>
          <w:lang w:val="es-ES"/>
        </w:rPr>
        <w:t xml:space="preserve">coordinación con respecto a una </w:t>
      </w:r>
      <w:r w:rsidRPr="00DF6FF4">
        <w:rPr>
          <w:lang w:val="es-ES"/>
        </w:rPr>
        <w:t>administración</w:t>
      </w:r>
      <w:r w:rsidRPr="00D03CA0">
        <w:rPr>
          <w:lang w:val="es-ES"/>
        </w:rPr>
        <w:t xml:space="preserve"> afectada indicado a nivel de grupo y el estado de </w:t>
      </w:r>
      <w:r>
        <w:rPr>
          <w:lang w:val="es-ES"/>
        </w:rPr>
        <w:t xml:space="preserve">la </w:t>
      </w:r>
      <w:r w:rsidRPr="00D03CA0">
        <w:rPr>
          <w:lang w:val="es-ES"/>
        </w:rPr>
        <w:t>coordinación con respecto a las redes de satélites de la administración afectada indicad</w:t>
      </w:r>
      <w:r>
        <w:rPr>
          <w:lang w:val="es-ES"/>
        </w:rPr>
        <w:t>o</w:t>
      </w:r>
      <w:r w:rsidRPr="00D03CA0">
        <w:rPr>
          <w:lang w:val="es-ES"/>
        </w:rPr>
        <w:t xml:space="preserve"> a nivel de red, la Oficina utilizará para su examen la información sobre el estado de </w:t>
      </w:r>
      <w:r>
        <w:rPr>
          <w:lang w:val="es-ES"/>
        </w:rPr>
        <w:t xml:space="preserve">la </w:t>
      </w:r>
      <w:r w:rsidRPr="00D03CA0">
        <w:rPr>
          <w:lang w:val="es-ES"/>
        </w:rPr>
        <w:t>coordinación con la administración afectada indicad</w:t>
      </w:r>
      <w:r>
        <w:rPr>
          <w:lang w:val="es-ES"/>
        </w:rPr>
        <w:t>o</w:t>
      </w:r>
      <w:r w:rsidRPr="00D03CA0">
        <w:rPr>
          <w:lang w:val="es-ES"/>
        </w:rPr>
        <w:t xml:space="preserve"> a nivel de grupo.</w:t>
      </w:r>
    </w:p>
    <w:p w14:paraId="4E0E2282" w14:textId="383B0A02" w:rsidR="00857B5E" w:rsidRPr="00706FB4" w:rsidRDefault="00857B5E" w:rsidP="00134222">
      <w:pPr>
        <w:rPr>
          <w:lang w:val="es-ES"/>
        </w:rPr>
      </w:pPr>
      <w:r w:rsidRPr="00D03CA0">
        <w:rPr>
          <w:lang w:val="es-ES"/>
        </w:rPr>
        <w:t xml:space="preserve">La Oficina de Radiocomunicaciones se complace en anunciar que las nuevas </w:t>
      </w:r>
      <w:r>
        <w:rPr>
          <w:lang w:val="es-ES"/>
        </w:rPr>
        <w:t>funciones</w:t>
      </w:r>
      <w:r w:rsidRPr="00D03CA0">
        <w:rPr>
          <w:lang w:val="es-ES"/>
        </w:rPr>
        <w:t xml:space="preserve"> del software </w:t>
      </w:r>
      <w:r w:rsidRPr="00DF6FF4">
        <w:rPr>
          <w:lang w:val="es-ES"/>
        </w:rPr>
        <w:t>SPACECAP</w:t>
      </w:r>
      <w:r w:rsidRPr="00D03CA0">
        <w:rPr>
          <w:lang w:val="es-ES"/>
        </w:rPr>
        <w:t xml:space="preserve"> de la BR estarán disponibles en la IFIC</w:t>
      </w:r>
      <w:r w:rsidR="009D2C07">
        <w:rPr>
          <w:lang w:val="es-ES"/>
        </w:rPr>
        <w:t> </w:t>
      </w:r>
      <w:r w:rsidR="00A14781" w:rsidRPr="00D03CA0">
        <w:rPr>
          <w:lang w:val="es-ES"/>
        </w:rPr>
        <w:t xml:space="preserve">2968 </w:t>
      </w:r>
      <w:r w:rsidRPr="00D03CA0">
        <w:rPr>
          <w:lang w:val="es-ES"/>
        </w:rPr>
        <w:t>(Servicios Espaciales) de la BR</w:t>
      </w:r>
      <w:r>
        <w:rPr>
          <w:lang w:val="es-ES"/>
        </w:rPr>
        <w:t>,</w:t>
      </w:r>
      <w:r w:rsidRPr="00D03CA0">
        <w:rPr>
          <w:lang w:val="es-ES"/>
        </w:rPr>
        <w:t xml:space="preserve"> prevista para el 8 de abril de 2022</w:t>
      </w:r>
      <w:r>
        <w:rPr>
          <w:lang w:val="es-ES"/>
        </w:rPr>
        <w:t>,</w:t>
      </w:r>
      <w:r w:rsidRPr="00D03CA0">
        <w:rPr>
          <w:lang w:val="es-ES"/>
        </w:rPr>
        <w:t xml:space="preserve"> y en el sitio web de la UIT</w:t>
      </w:r>
      <w:r w:rsidRPr="00706FB4">
        <w:rPr>
          <w:lang w:val="es-ES"/>
        </w:rPr>
        <w:t>:</w:t>
      </w:r>
      <w:bookmarkEnd w:id="10"/>
    </w:p>
    <w:p w14:paraId="0F4EA840" w14:textId="2F4379C4" w:rsidR="00857B5E" w:rsidRPr="00706FB4" w:rsidRDefault="00025ECF" w:rsidP="007A7A18">
      <w:pPr>
        <w:spacing w:before="240" w:after="240"/>
        <w:jc w:val="center"/>
        <w:rPr>
          <w:rFonts w:asciiTheme="minorHAnsi" w:hAnsiTheme="minorHAnsi" w:cstheme="minorHAnsi"/>
          <w:szCs w:val="24"/>
          <w:lang w:val="es-ES"/>
        </w:rPr>
      </w:pPr>
      <w:hyperlink r:id="rId9" w:history="1">
        <w:r w:rsidR="00857B5E" w:rsidRPr="00706FB4">
          <w:rPr>
            <w:rStyle w:val="Hyperlink"/>
            <w:rFonts w:asciiTheme="minorHAnsi" w:hAnsiTheme="minorHAnsi" w:cstheme="minorHAnsi"/>
            <w:szCs w:val="24"/>
            <w:lang w:val="es-ES"/>
          </w:rPr>
          <w:t>https://www.itu.int/ITU-R/go/space-software/e</w:t>
        </w:r>
      </w:hyperlink>
      <w:r w:rsidR="003A37DB">
        <w:rPr>
          <w:rStyle w:val="Hyperlink"/>
          <w:rFonts w:asciiTheme="minorHAnsi" w:hAnsiTheme="minorHAnsi" w:cstheme="minorHAnsi"/>
          <w:szCs w:val="24"/>
          <w:lang w:val="es-ES"/>
        </w:rPr>
        <w:t>n</w:t>
      </w:r>
    </w:p>
    <w:p w14:paraId="3182EA2C" w14:textId="77777777" w:rsidR="00857B5E" w:rsidRPr="00D50D98" w:rsidRDefault="00857B5E" w:rsidP="00134222">
      <w:pPr>
        <w:rPr>
          <w:lang w:val="es-ES"/>
        </w:rPr>
      </w:pPr>
      <w:bookmarkStart w:id="11" w:name="lt_pId053"/>
      <w:r>
        <w:rPr>
          <w:lang w:val="es-ES"/>
        </w:rPr>
        <w:t xml:space="preserve">Por </w:t>
      </w:r>
      <w:r w:rsidRPr="00DF6FF4">
        <w:rPr>
          <w:lang w:val="es-ES"/>
        </w:rPr>
        <w:t>añadidura</w:t>
      </w:r>
      <w:r w:rsidRPr="00D50D98">
        <w:rPr>
          <w:lang w:val="es-ES"/>
        </w:rPr>
        <w:t>, el sistema de presentación electrónica se actualizará en consecuencia para facilitar la notificación y la nueva presentación de notificaciones.</w:t>
      </w:r>
    </w:p>
    <w:p w14:paraId="065E6C7C" w14:textId="0FEAA32B" w:rsidR="00857B5E" w:rsidRPr="00D50D98" w:rsidRDefault="00857B5E" w:rsidP="00134222">
      <w:pPr>
        <w:rPr>
          <w:lang w:val="es-ES"/>
        </w:rPr>
      </w:pPr>
      <w:r w:rsidRPr="00D50D98">
        <w:rPr>
          <w:lang w:val="es-ES"/>
        </w:rPr>
        <w:t xml:space="preserve">Por lo tanto, se alienta a las administraciones notificantes y a las empresas de explotación a que empiecen a </w:t>
      </w:r>
      <w:r w:rsidRPr="00DF6FF4">
        <w:rPr>
          <w:lang w:val="es-ES"/>
        </w:rPr>
        <w:t>utilizar</w:t>
      </w:r>
      <w:r w:rsidRPr="00D50D98">
        <w:rPr>
          <w:lang w:val="es-ES"/>
        </w:rPr>
        <w:t xml:space="preserve"> la herramienta a partir del 8 de abril de 2022.</w:t>
      </w:r>
    </w:p>
    <w:p w14:paraId="6F7483FF" w14:textId="77777777" w:rsidR="00857B5E" w:rsidRPr="00706FB4" w:rsidRDefault="00857B5E" w:rsidP="00134222">
      <w:pPr>
        <w:rPr>
          <w:lang w:val="es-ES"/>
        </w:rPr>
      </w:pPr>
      <w:r w:rsidRPr="00D50D98">
        <w:rPr>
          <w:lang w:val="es-ES"/>
        </w:rPr>
        <w:t xml:space="preserve">Para las notificaciones o nuevas presentaciones recibidas a partir del 1 de julio de 2022, </w:t>
      </w:r>
      <w:r>
        <w:rPr>
          <w:lang w:val="es-ES"/>
        </w:rPr>
        <w:t xml:space="preserve">al examinar </w:t>
      </w:r>
      <w:r w:rsidRPr="00D50D98">
        <w:rPr>
          <w:lang w:val="es-ES"/>
        </w:rPr>
        <w:t xml:space="preserve">las </w:t>
      </w:r>
      <w:r w:rsidRPr="00DF6FF4">
        <w:rPr>
          <w:lang w:val="es-ES"/>
        </w:rPr>
        <w:t>notificaciones</w:t>
      </w:r>
      <w:r w:rsidRPr="00D50D98">
        <w:rPr>
          <w:lang w:val="es-ES"/>
        </w:rPr>
        <w:t xml:space="preserve"> la BR </w:t>
      </w:r>
      <w:r>
        <w:rPr>
          <w:lang w:val="es-ES"/>
        </w:rPr>
        <w:t xml:space="preserve">no tendrá </w:t>
      </w:r>
      <w:r w:rsidRPr="00D50D98">
        <w:rPr>
          <w:lang w:val="es-ES"/>
        </w:rPr>
        <w:t xml:space="preserve">en cuenta </w:t>
      </w:r>
      <w:r>
        <w:rPr>
          <w:lang w:val="es-ES"/>
        </w:rPr>
        <w:t xml:space="preserve">toda </w:t>
      </w:r>
      <w:r w:rsidRPr="00D50D98">
        <w:rPr>
          <w:lang w:val="es-ES"/>
        </w:rPr>
        <w:t>información adicional proporcionada en las cartas de presentación sobre el estado de los acuerdos de coordinación. La nueva presentación de una notificación no se considerará admisible si no se presenta a través del sistema de presentación electrónica</w:t>
      </w:r>
      <w:r w:rsidRPr="00706FB4">
        <w:rPr>
          <w:lang w:val="es-ES"/>
        </w:rPr>
        <w:t>.</w:t>
      </w:r>
      <w:bookmarkEnd w:id="11"/>
    </w:p>
    <w:p w14:paraId="63F8BB41" w14:textId="77777777" w:rsidR="00857B5E" w:rsidRPr="00706FB4" w:rsidRDefault="00857B5E" w:rsidP="007A7A18">
      <w:pPr>
        <w:spacing w:before="240"/>
        <w:rPr>
          <w:rFonts w:asciiTheme="minorHAnsi" w:hAnsiTheme="minorHAnsi" w:cstheme="minorHAnsi"/>
          <w:b/>
          <w:bCs/>
          <w:szCs w:val="24"/>
          <w:lang w:val="es-ES"/>
        </w:rPr>
      </w:pPr>
      <w:bookmarkStart w:id="12" w:name="lt_pId054"/>
      <w:r w:rsidRPr="004127E5">
        <w:rPr>
          <w:b/>
          <w:bCs/>
          <w:lang w:val="es-ES"/>
        </w:rPr>
        <w:t>Asistencia</w:t>
      </w:r>
      <w:r>
        <w:rPr>
          <w:rFonts w:asciiTheme="minorHAnsi" w:hAnsiTheme="minorHAnsi" w:cstheme="minorHAnsi"/>
          <w:b/>
          <w:bCs/>
          <w:szCs w:val="24"/>
          <w:lang w:val="es-ES"/>
        </w:rPr>
        <w:t xml:space="preserve"> y contactos</w:t>
      </w:r>
      <w:bookmarkEnd w:id="12"/>
    </w:p>
    <w:p w14:paraId="5834A2ED" w14:textId="77777777" w:rsidR="00857B5E" w:rsidRPr="00706FB4" w:rsidRDefault="00857B5E" w:rsidP="00DF6FF4">
      <w:pPr>
        <w:rPr>
          <w:rFonts w:asciiTheme="minorHAnsi" w:hAnsiTheme="minorHAnsi" w:cstheme="minorHAnsi"/>
          <w:szCs w:val="24"/>
          <w:lang w:val="es-ES"/>
        </w:rPr>
      </w:pPr>
      <w:bookmarkStart w:id="13" w:name="lt_pId055"/>
      <w:r w:rsidRPr="00D50D98">
        <w:rPr>
          <w:rFonts w:asciiTheme="minorHAnsi" w:hAnsiTheme="minorHAnsi" w:cstheme="minorHAnsi"/>
          <w:szCs w:val="24"/>
          <w:lang w:val="es-ES"/>
        </w:rPr>
        <w:t xml:space="preserve">La guía de usuario de las nuevas funciones descritas en esta Circular e implementadas en el software </w:t>
      </w:r>
      <w:proofErr w:type="spellStart"/>
      <w:r w:rsidRPr="00D50D98">
        <w:rPr>
          <w:rFonts w:asciiTheme="minorHAnsi" w:hAnsiTheme="minorHAnsi" w:cstheme="minorHAnsi"/>
          <w:szCs w:val="24"/>
          <w:lang w:val="es-ES"/>
        </w:rPr>
        <w:t>SpaceCap</w:t>
      </w:r>
      <w:proofErr w:type="spellEnd"/>
      <w:r w:rsidRPr="00D50D98">
        <w:rPr>
          <w:rFonts w:asciiTheme="minorHAnsi" w:hAnsiTheme="minorHAnsi" w:cstheme="minorHAnsi"/>
          <w:szCs w:val="24"/>
          <w:lang w:val="es-ES"/>
        </w:rPr>
        <w:t xml:space="preserve"> v9.0 </w:t>
      </w:r>
      <w:r w:rsidRPr="00DF6FF4">
        <w:rPr>
          <w:lang w:val="es-ES"/>
        </w:rPr>
        <w:t>estará</w:t>
      </w:r>
      <w:r w:rsidRPr="00D50D98">
        <w:rPr>
          <w:rFonts w:asciiTheme="minorHAnsi" w:hAnsiTheme="minorHAnsi" w:cstheme="minorHAnsi"/>
          <w:szCs w:val="24"/>
          <w:lang w:val="es-ES"/>
        </w:rPr>
        <w:t xml:space="preserve"> disponible el 8 de abril de 2022 en</w:t>
      </w:r>
      <w:r w:rsidRPr="00706FB4">
        <w:rPr>
          <w:rFonts w:asciiTheme="minorHAnsi" w:hAnsiTheme="minorHAnsi" w:cstheme="minorHAnsi"/>
          <w:szCs w:val="24"/>
          <w:lang w:val="es-ES"/>
        </w:rPr>
        <w:t>:</w:t>
      </w:r>
      <w:bookmarkEnd w:id="13"/>
    </w:p>
    <w:p w14:paraId="2366F068" w14:textId="420FAD7E" w:rsidR="00857B5E" w:rsidRPr="000D53F0" w:rsidRDefault="00025ECF" w:rsidP="007A7A18">
      <w:pPr>
        <w:spacing w:before="240" w:after="240"/>
        <w:jc w:val="center"/>
        <w:rPr>
          <w:rFonts w:asciiTheme="minorHAnsi" w:hAnsiTheme="minorHAnsi" w:cstheme="minorHAnsi"/>
          <w:szCs w:val="24"/>
          <w:lang w:val="es-ES"/>
        </w:rPr>
      </w:pPr>
      <w:hyperlink r:id="rId10" w:history="1">
        <w:r w:rsidR="003A37DB" w:rsidRPr="00C01A25">
          <w:rPr>
            <w:rStyle w:val="Hyperlink"/>
            <w:rFonts w:asciiTheme="minorHAnsi" w:hAnsiTheme="minorHAnsi" w:cstheme="minorHAnsi"/>
            <w:szCs w:val="24"/>
            <w:lang w:val="es-ES"/>
          </w:rPr>
          <w:t>https://www.itu.int/ITU-R/go/space-software/en</w:t>
        </w:r>
      </w:hyperlink>
    </w:p>
    <w:p w14:paraId="3F2188FE" w14:textId="77777777" w:rsidR="00857B5E" w:rsidRPr="00706FB4" w:rsidRDefault="00857B5E" w:rsidP="00DF6FF4">
      <w:pPr>
        <w:rPr>
          <w:rFonts w:asciiTheme="minorHAnsi" w:hAnsiTheme="minorHAnsi" w:cstheme="minorHAnsi"/>
          <w:szCs w:val="24"/>
          <w:lang w:val="es-ES"/>
        </w:rPr>
      </w:pPr>
      <w:bookmarkStart w:id="14" w:name="lt_pId057"/>
      <w:r w:rsidRPr="00BF3B2A">
        <w:rPr>
          <w:rFonts w:asciiTheme="minorHAnsi" w:hAnsiTheme="minorHAnsi" w:cstheme="minorHAnsi"/>
          <w:szCs w:val="24"/>
          <w:lang w:val="es-ES"/>
        </w:rPr>
        <w:t xml:space="preserve">Las directrices para la presentación de una notificación por primera vez o una nueva presentación estarán disponibles </w:t>
      </w:r>
      <w:r>
        <w:rPr>
          <w:rFonts w:asciiTheme="minorHAnsi" w:hAnsiTheme="minorHAnsi" w:cstheme="minorHAnsi"/>
          <w:szCs w:val="24"/>
          <w:lang w:val="es-ES"/>
        </w:rPr>
        <w:t>a partir del</w:t>
      </w:r>
      <w:r w:rsidRPr="00BF3B2A">
        <w:rPr>
          <w:rFonts w:asciiTheme="minorHAnsi" w:hAnsiTheme="minorHAnsi" w:cstheme="minorHAnsi"/>
          <w:szCs w:val="24"/>
          <w:lang w:val="es-ES"/>
        </w:rPr>
        <w:t xml:space="preserve"> 8 de abril de 2022 en</w:t>
      </w:r>
      <w:r w:rsidRPr="00706FB4">
        <w:rPr>
          <w:rFonts w:asciiTheme="minorHAnsi" w:hAnsiTheme="minorHAnsi" w:cstheme="minorHAnsi"/>
          <w:szCs w:val="24"/>
          <w:lang w:val="es-ES"/>
        </w:rPr>
        <w:t>:</w:t>
      </w:r>
      <w:bookmarkEnd w:id="14"/>
    </w:p>
    <w:bookmarkStart w:id="15" w:name="lt_pId059"/>
    <w:p w14:paraId="0182502A" w14:textId="77777777" w:rsidR="00A21AA5" w:rsidRPr="00A21AA5" w:rsidRDefault="00A21AA5" w:rsidP="00A21AA5">
      <w:pPr>
        <w:spacing w:before="240" w:after="240"/>
        <w:jc w:val="center"/>
        <w:rPr>
          <w:lang w:val="es-ES"/>
        </w:rPr>
      </w:pPr>
      <w:r>
        <w:rPr>
          <w:u w:val="single"/>
          <w:lang w:val="fr-FR"/>
        </w:rPr>
        <w:fldChar w:fldCharType="begin"/>
      </w:r>
      <w:r w:rsidRPr="00A21AA5">
        <w:rPr>
          <w:u w:val="single"/>
          <w:lang w:val="es-ES"/>
        </w:rPr>
        <w:instrText xml:space="preserve"> HYPERLINK "http://www.itu.int/go/space/GuideforNotificationwithSpacecap" </w:instrText>
      </w:r>
      <w:r>
        <w:rPr>
          <w:u w:val="single"/>
          <w:lang w:val="fr-FR"/>
        </w:rPr>
        <w:fldChar w:fldCharType="separate"/>
      </w:r>
      <w:r w:rsidRPr="00A21AA5">
        <w:rPr>
          <w:rStyle w:val="Hyperlink"/>
          <w:lang w:val="es-ES"/>
        </w:rPr>
        <w:t>http://www.itu.int/go/space/GuideforNotificationwithSpacecap</w:t>
      </w:r>
      <w:r>
        <w:rPr>
          <w:u w:val="single"/>
          <w:lang w:val="fr-FR"/>
        </w:rPr>
        <w:fldChar w:fldCharType="end"/>
      </w:r>
    </w:p>
    <w:p w14:paraId="0BA28713" w14:textId="77777777" w:rsidR="00857B5E" w:rsidRPr="00BF3B2A" w:rsidRDefault="00857B5E" w:rsidP="00134222">
      <w:pPr>
        <w:rPr>
          <w:lang w:val="es-ES"/>
        </w:rPr>
      </w:pPr>
      <w:r w:rsidRPr="00BF3B2A">
        <w:rPr>
          <w:lang w:val="es-ES"/>
        </w:rPr>
        <w:t xml:space="preserve">La Oficina de Radiocomunicaciones agradece cualquier comentario o sugerencia de las administraciones </w:t>
      </w:r>
      <w:r>
        <w:rPr>
          <w:lang w:val="es-ES"/>
        </w:rPr>
        <w:t xml:space="preserve">acerca de </w:t>
      </w:r>
      <w:r w:rsidRPr="00BF3B2A">
        <w:rPr>
          <w:lang w:val="es-ES"/>
        </w:rPr>
        <w:t xml:space="preserve">cómo mejorar las herramientas, que </w:t>
      </w:r>
      <w:r>
        <w:rPr>
          <w:lang w:val="es-ES"/>
        </w:rPr>
        <w:t xml:space="preserve">podrán remitirse por </w:t>
      </w:r>
      <w:r w:rsidRPr="00BF3B2A">
        <w:rPr>
          <w:lang w:val="es-ES"/>
        </w:rPr>
        <w:t xml:space="preserve">correo electrónico </w:t>
      </w:r>
      <w:r>
        <w:rPr>
          <w:lang w:val="es-ES"/>
        </w:rPr>
        <w:t xml:space="preserve">a </w:t>
      </w:r>
      <w:hyperlink r:id="rId11" w:history="1">
        <w:r w:rsidRPr="00BF3B2A">
          <w:rPr>
            <w:rStyle w:val="Hyperlink"/>
            <w:rFonts w:asciiTheme="minorHAnsi" w:hAnsiTheme="minorHAnsi" w:cstheme="minorHAnsi"/>
            <w:szCs w:val="24"/>
            <w:lang w:val="es-ES"/>
          </w:rPr>
          <w:t>brsas@itu.int</w:t>
        </w:r>
      </w:hyperlink>
      <w:r w:rsidRPr="00BF3B2A">
        <w:rPr>
          <w:rStyle w:val="Hyperlink"/>
          <w:rFonts w:asciiTheme="minorHAnsi" w:hAnsiTheme="minorHAnsi" w:cstheme="minorHAnsi"/>
          <w:szCs w:val="24"/>
          <w:u w:val="none"/>
          <w:lang w:val="es-ES"/>
        </w:rPr>
        <w:t xml:space="preserve"> </w:t>
      </w:r>
      <w:r w:rsidRPr="00BF3B2A">
        <w:rPr>
          <w:lang w:val="es-ES"/>
        </w:rPr>
        <w:t>(</w:t>
      </w:r>
      <w:r>
        <w:rPr>
          <w:lang w:val="es-ES"/>
        </w:rPr>
        <w:t xml:space="preserve">para el </w:t>
      </w:r>
      <w:r w:rsidRPr="00BF3B2A">
        <w:rPr>
          <w:lang w:val="es-ES"/>
        </w:rPr>
        <w:t xml:space="preserve">software </w:t>
      </w:r>
      <w:r>
        <w:rPr>
          <w:lang w:val="es-ES"/>
        </w:rPr>
        <w:t xml:space="preserve">de la </w:t>
      </w:r>
      <w:r w:rsidRPr="00BF3B2A">
        <w:rPr>
          <w:lang w:val="es-ES"/>
        </w:rPr>
        <w:t xml:space="preserve">BR) o </w:t>
      </w:r>
      <w:hyperlink r:id="rId12" w:history="1">
        <w:r w:rsidRPr="00BF3B2A">
          <w:rPr>
            <w:rStyle w:val="Hyperlink"/>
            <w:rFonts w:asciiTheme="minorHAnsi" w:hAnsiTheme="minorHAnsi" w:cstheme="minorHAnsi"/>
            <w:szCs w:val="24"/>
            <w:lang w:val="es-ES"/>
          </w:rPr>
          <w:t>spacehelp@itu.int</w:t>
        </w:r>
      </w:hyperlink>
      <w:r w:rsidRPr="00BF3B2A">
        <w:rPr>
          <w:lang w:val="es-ES"/>
        </w:rPr>
        <w:t xml:space="preserve"> (</w:t>
      </w:r>
      <w:r>
        <w:rPr>
          <w:lang w:val="es-ES"/>
        </w:rPr>
        <w:t>para el sistema de presentación electrónica</w:t>
      </w:r>
      <w:r w:rsidRPr="00BF3B2A">
        <w:rPr>
          <w:lang w:val="es-ES"/>
        </w:rPr>
        <w:t>).</w:t>
      </w:r>
      <w:bookmarkStart w:id="16" w:name="lt_pId060"/>
      <w:bookmarkEnd w:id="15"/>
    </w:p>
    <w:p w14:paraId="326226E9" w14:textId="5D403DD1" w:rsidR="00E53DCE" w:rsidRDefault="00857B5E" w:rsidP="00961728">
      <w:pPr>
        <w:keepNext/>
        <w:keepLines/>
        <w:rPr>
          <w:lang w:val="es-ES"/>
        </w:rPr>
      </w:pPr>
      <w:r w:rsidRPr="00BF3B2A">
        <w:rPr>
          <w:lang w:val="es-ES"/>
        </w:rPr>
        <w:lastRenderedPageBreak/>
        <w:t xml:space="preserve">Para cualquier aclaración o </w:t>
      </w:r>
      <w:r>
        <w:rPr>
          <w:lang w:val="es-ES"/>
        </w:rPr>
        <w:t>asistencia</w:t>
      </w:r>
      <w:r w:rsidRPr="00BF3B2A">
        <w:rPr>
          <w:lang w:val="es-ES"/>
        </w:rPr>
        <w:t xml:space="preserve"> que pueda necesitar sobre asuntos relacionados con esta carta </w:t>
      </w:r>
      <w:r w:rsidRPr="00DF6FF4">
        <w:rPr>
          <w:lang w:val="es-ES"/>
        </w:rPr>
        <w:t>circular</w:t>
      </w:r>
      <w:r w:rsidRPr="00BF3B2A">
        <w:rPr>
          <w:lang w:val="es-ES"/>
        </w:rPr>
        <w:t xml:space="preserve">, quedamos a su disposición </w:t>
      </w:r>
      <w:r>
        <w:rPr>
          <w:lang w:val="es-ES"/>
        </w:rPr>
        <w:t xml:space="preserve">en </w:t>
      </w:r>
      <w:hyperlink r:id="rId13" w:history="1">
        <w:r w:rsidRPr="0086237D">
          <w:rPr>
            <w:rStyle w:val="Hyperlink"/>
            <w:rFonts w:asciiTheme="minorHAnsi" w:hAnsiTheme="minorHAnsi" w:cstheme="minorHAnsi"/>
            <w:szCs w:val="24"/>
            <w:lang w:val="es-ES"/>
          </w:rPr>
          <w:t>brmail@itu.int</w:t>
        </w:r>
      </w:hyperlink>
      <w:r w:rsidRPr="00706FB4">
        <w:rPr>
          <w:lang w:val="es-ES"/>
        </w:rPr>
        <w:t>.</w:t>
      </w:r>
      <w:bookmarkEnd w:id="16"/>
    </w:p>
    <w:p w14:paraId="25CF6868" w14:textId="20E51E12" w:rsidR="007A7A18" w:rsidRDefault="007A7A18" w:rsidP="009D2C07">
      <w:pPr>
        <w:keepNext/>
        <w:keepLines/>
        <w:spacing w:before="240" w:line="240" w:lineRule="auto"/>
        <w:rPr>
          <w:lang w:val="es-ES"/>
        </w:rPr>
      </w:pPr>
    </w:p>
    <w:p w14:paraId="10BF6C89" w14:textId="77777777" w:rsidR="007A7A18" w:rsidRPr="00857B5E" w:rsidRDefault="007A7A18" w:rsidP="009D2C07">
      <w:pPr>
        <w:keepNext/>
        <w:keepLines/>
        <w:spacing w:before="240" w:line="240" w:lineRule="auto"/>
        <w:rPr>
          <w:lang w:val="es-ES"/>
        </w:rPr>
      </w:pPr>
    </w:p>
    <w:p w14:paraId="5EEA0311" w14:textId="77777777" w:rsidR="005B3F4F" w:rsidRDefault="001B3D4D" w:rsidP="00961728">
      <w:pPr>
        <w:keepNext/>
        <w:keepLines/>
        <w:rPr>
          <w:lang w:val="es-ES"/>
        </w:rPr>
      </w:pPr>
      <w:r w:rsidRPr="00857B5E">
        <w:rPr>
          <w:lang w:val="es-ES"/>
        </w:rPr>
        <w:t>Mario Maniewicz</w:t>
      </w:r>
    </w:p>
    <w:p w14:paraId="0AC048A9" w14:textId="658BD156" w:rsidR="00031E64" w:rsidRDefault="00A96D3A" w:rsidP="007A7A18">
      <w:pPr>
        <w:spacing w:before="0" w:after="1560" w:line="240" w:lineRule="auto"/>
        <w:rPr>
          <w:szCs w:val="24"/>
          <w:lang w:val="es-ES"/>
        </w:rPr>
      </w:pPr>
      <w:r w:rsidRPr="0033029C">
        <w:rPr>
          <w:szCs w:val="24"/>
          <w:lang w:val="es-ES"/>
        </w:rPr>
        <w:t>Director</w:t>
      </w:r>
    </w:p>
    <w:p w14:paraId="3FEAC761" w14:textId="2CEFA6BC" w:rsidR="00025ECF" w:rsidRDefault="00025ECF" w:rsidP="007A7A18">
      <w:pPr>
        <w:spacing w:before="0" w:after="1560" w:line="240" w:lineRule="auto"/>
        <w:rPr>
          <w:szCs w:val="24"/>
          <w:lang w:val="es-ES"/>
        </w:rPr>
      </w:pPr>
    </w:p>
    <w:p w14:paraId="00DC539E" w14:textId="1F80754B" w:rsidR="00025ECF" w:rsidRDefault="00025ECF" w:rsidP="007A7A18">
      <w:pPr>
        <w:spacing w:before="0" w:after="1560" w:line="240" w:lineRule="auto"/>
        <w:rPr>
          <w:szCs w:val="24"/>
          <w:lang w:val="es-ES"/>
        </w:rPr>
      </w:pPr>
    </w:p>
    <w:p w14:paraId="1E208E20" w14:textId="61F9125D" w:rsidR="00025ECF" w:rsidRDefault="00025ECF" w:rsidP="007A7A18">
      <w:pPr>
        <w:spacing w:before="0" w:after="1560" w:line="240" w:lineRule="auto"/>
        <w:rPr>
          <w:szCs w:val="24"/>
          <w:lang w:val="es-ES"/>
        </w:rPr>
      </w:pPr>
    </w:p>
    <w:p w14:paraId="59E4E3E3" w14:textId="77777777" w:rsidR="00025ECF" w:rsidRDefault="00025ECF" w:rsidP="007A7A18">
      <w:pPr>
        <w:spacing w:before="0" w:after="1560" w:line="240" w:lineRule="auto"/>
        <w:rPr>
          <w:szCs w:val="24"/>
          <w:lang w:val="es-ES"/>
        </w:rPr>
      </w:pPr>
    </w:p>
    <w:p w14:paraId="52C7FE8A" w14:textId="77777777" w:rsidR="00857B5E" w:rsidRPr="00961728" w:rsidRDefault="00857B5E" w:rsidP="00961728">
      <w:pPr>
        <w:pStyle w:val="Headingb"/>
        <w:rPr>
          <w:sz w:val="18"/>
          <w:szCs w:val="18"/>
          <w:u w:val="single"/>
          <w:lang w:val="es-ES"/>
        </w:rPr>
      </w:pPr>
      <w:r w:rsidRPr="00961728">
        <w:rPr>
          <w:sz w:val="18"/>
          <w:szCs w:val="18"/>
          <w:u w:val="single"/>
          <w:lang w:val="es-ES"/>
        </w:rPr>
        <w:t>Distribución:</w:t>
      </w:r>
    </w:p>
    <w:p w14:paraId="5D7CE3C6" w14:textId="77777777" w:rsidR="00857B5E" w:rsidRPr="00961728" w:rsidRDefault="00857B5E" w:rsidP="009D2C07">
      <w:pPr>
        <w:pStyle w:val="enumlev1"/>
        <w:tabs>
          <w:tab w:val="left" w:pos="284"/>
        </w:tabs>
        <w:rPr>
          <w:sz w:val="18"/>
          <w:szCs w:val="18"/>
          <w:lang w:val="es-ES"/>
        </w:rPr>
      </w:pPr>
      <w:r w:rsidRPr="00961728">
        <w:rPr>
          <w:sz w:val="18"/>
          <w:szCs w:val="18"/>
          <w:lang w:val="es-ES"/>
        </w:rPr>
        <w:t>–</w:t>
      </w:r>
      <w:r w:rsidRPr="00961728">
        <w:rPr>
          <w:sz w:val="18"/>
          <w:szCs w:val="18"/>
          <w:lang w:val="es-ES"/>
        </w:rPr>
        <w:tab/>
        <w:t>Administraciones de los Estados Miembros de la UIT</w:t>
      </w:r>
    </w:p>
    <w:p w14:paraId="1B3B157F" w14:textId="77777777" w:rsidR="00857B5E" w:rsidRPr="00961728" w:rsidRDefault="00857B5E" w:rsidP="007A7A18">
      <w:pPr>
        <w:pStyle w:val="enumlev1"/>
        <w:tabs>
          <w:tab w:val="left" w:pos="284"/>
        </w:tabs>
        <w:spacing w:before="0"/>
        <w:rPr>
          <w:sz w:val="18"/>
          <w:szCs w:val="18"/>
          <w:lang w:val="es-ES"/>
        </w:rPr>
      </w:pPr>
      <w:r w:rsidRPr="00961728">
        <w:rPr>
          <w:bCs/>
          <w:sz w:val="18"/>
          <w:szCs w:val="18"/>
          <w:lang w:val="es-ES"/>
        </w:rPr>
        <w:t>–</w:t>
      </w:r>
      <w:r w:rsidRPr="00961728">
        <w:rPr>
          <w:bCs/>
          <w:sz w:val="18"/>
          <w:szCs w:val="18"/>
          <w:lang w:val="es-ES"/>
        </w:rPr>
        <w:tab/>
        <w:t xml:space="preserve">Miembros </w:t>
      </w:r>
      <w:r w:rsidRPr="00961728">
        <w:rPr>
          <w:sz w:val="18"/>
          <w:szCs w:val="18"/>
          <w:lang w:val="es-ES"/>
        </w:rPr>
        <w:t>de</w:t>
      </w:r>
      <w:r w:rsidRPr="00961728">
        <w:rPr>
          <w:bCs/>
          <w:sz w:val="18"/>
          <w:szCs w:val="18"/>
          <w:lang w:val="es-ES"/>
        </w:rPr>
        <w:t xml:space="preserve"> la Junta del Reglamento de Radiocomunicaciones</w:t>
      </w:r>
    </w:p>
    <w:sectPr w:rsidR="00857B5E" w:rsidRPr="00961728" w:rsidSect="00031E64">
      <w:headerReference w:type="even" r:id="rId14"/>
      <w:headerReference w:type="default" r:id="rId15"/>
      <w:headerReference w:type="first" r:id="rId16"/>
      <w:footerReference w:type="first" r:id="rId17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265E6" w14:textId="77777777" w:rsidR="00857B5E" w:rsidRDefault="00857B5E">
      <w:r>
        <w:separator/>
      </w:r>
    </w:p>
  </w:endnote>
  <w:endnote w:type="continuationSeparator" w:id="0">
    <w:p w14:paraId="0212372B" w14:textId="77777777" w:rsidR="00857B5E" w:rsidRDefault="0085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C07CA" w14:textId="77777777" w:rsidR="00AF052B" w:rsidRPr="00AD3765" w:rsidRDefault="00AF052B" w:rsidP="00AF052B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40" w:lineRule="auto"/>
      <w:ind w:left="-397" w:right="-397"/>
      <w:jc w:val="center"/>
      <w:textAlignment w:val="auto"/>
      <w:rPr>
        <w:color w:val="4F81BD" w:themeColor="accent1"/>
        <w:sz w:val="18"/>
        <w:szCs w:val="18"/>
        <w:lang w:val="es-ES_tradnl"/>
      </w:rPr>
    </w:pPr>
    <w:r w:rsidRPr="00AD3765">
      <w:rPr>
        <w:color w:val="4F81BD" w:themeColor="accent1"/>
        <w:sz w:val="18"/>
        <w:szCs w:val="18"/>
        <w:lang w:val="es-ES_tradnl"/>
      </w:rPr>
      <w:t xml:space="preserve">Unión Internacional de Telecomunicaciones • Place des </w:t>
    </w:r>
    <w:proofErr w:type="spellStart"/>
    <w:r w:rsidRPr="00AD3765">
      <w:rPr>
        <w:color w:val="4F81BD" w:themeColor="accent1"/>
        <w:sz w:val="18"/>
        <w:szCs w:val="18"/>
        <w:lang w:val="es-ES_tradnl"/>
      </w:rPr>
      <w:t>Nations</w:t>
    </w:r>
    <w:proofErr w:type="spellEnd"/>
    <w:r w:rsidRPr="00AD3765">
      <w:rPr>
        <w:color w:val="4F81BD" w:themeColor="accent1"/>
        <w:sz w:val="18"/>
        <w:szCs w:val="18"/>
        <w:lang w:val="es-ES_tradnl"/>
      </w:rPr>
      <w:t xml:space="preserve"> • CH</w:t>
    </w:r>
    <w:r w:rsidRPr="00AD3765">
      <w:rPr>
        <w:color w:val="4F81BD" w:themeColor="accent1"/>
        <w:sz w:val="18"/>
        <w:szCs w:val="18"/>
        <w:lang w:val="es-ES_tradnl"/>
      </w:rPr>
      <w:noBreakHyphen/>
      <w:t>1211 Ginebra 20 • Suiza</w:t>
    </w:r>
    <w:r w:rsidRPr="00AD3765">
      <w:rPr>
        <w:color w:val="4F81BD" w:themeColor="accent1"/>
        <w:sz w:val="18"/>
        <w:szCs w:val="18"/>
        <w:lang w:val="es-ES_tradnl"/>
      </w:rPr>
      <w:br/>
      <w:t xml:space="preserve">Tel: +41 22 730 5111 • Correo-e: </w:t>
    </w:r>
    <w:hyperlink r:id="rId1" w:history="1">
      <w:r w:rsidRPr="00AD3765">
        <w:rPr>
          <w:color w:val="4F81BD" w:themeColor="accent1"/>
          <w:sz w:val="18"/>
          <w:szCs w:val="18"/>
          <w:u w:val="single"/>
          <w:lang w:val="es-ES_tradnl"/>
        </w:rPr>
        <w:t>itumail@itu.int</w:t>
      </w:r>
    </w:hyperlink>
    <w:r w:rsidRPr="00AD3765">
      <w:rPr>
        <w:color w:val="4F81BD" w:themeColor="accent1"/>
        <w:sz w:val="18"/>
        <w:szCs w:val="18"/>
        <w:lang w:val="es-ES_tradnl"/>
      </w:rPr>
      <w:t xml:space="preserve"> • Fax: +41 22 733 7256 • </w:t>
    </w:r>
    <w:hyperlink r:id="rId2" w:history="1">
      <w:r w:rsidRPr="00AD3765">
        <w:rPr>
          <w:color w:val="4F81BD" w:themeColor="accent1"/>
          <w:sz w:val="18"/>
          <w:szCs w:val="18"/>
          <w:lang w:val="es-ES_tradnl"/>
        </w:rPr>
        <w:t>www.itu.int</w:t>
      </w:r>
    </w:hyperlink>
    <w:r w:rsidRPr="00AD3765">
      <w:rPr>
        <w:color w:val="4F81BD" w:themeColor="accent1"/>
        <w:sz w:val="18"/>
        <w:szCs w:val="18"/>
        <w:lang w:val="es-ES_trad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E8D20" w14:textId="77777777" w:rsidR="00857B5E" w:rsidRDefault="00857B5E">
      <w:r>
        <w:t>____________________</w:t>
      </w:r>
    </w:p>
  </w:footnote>
  <w:footnote w:type="continuationSeparator" w:id="0">
    <w:p w14:paraId="62DAD6AC" w14:textId="77777777" w:rsidR="00857B5E" w:rsidRDefault="00857B5E">
      <w:r>
        <w:continuationSeparator/>
      </w:r>
    </w:p>
  </w:footnote>
  <w:footnote w:id="1">
    <w:p w14:paraId="189B6BA6" w14:textId="361D156F" w:rsidR="005E12D7" w:rsidRPr="005E12D7" w:rsidRDefault="005E12D7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rPr>
          <w:lang w:val="es-ES"/>
        </w:rPr>
        <w:tab/>
      </w:r>
      <w:r w:rsidRPr="005E12D7">
        <w:rPr>
          <w:lang w:val="es-ES"/>
        </w:rPr>
        <w:t>En el caso de notificación por vez primera de una red de satélites cuyas asignaciones de frecuencias están sujetas o no a la coordinación en virtud de la Sección</w:t>
      </w:r>
      <w:r w:rsidR="006A5EA7">
        <w:rPr>
          <w:lang w:val="es-ES"/>
        </w:rPr>
        <w:t> </w:t>
      </w:r>
      <w:r w:rsidRPr="005E12D7">
        <w:rPr>
          <w:lang w:val="es-ES"/>
        </w:rPr>
        <w:t>II del Artículo</w:t>
      </w:r>
      <w:r w:rsidR="006A5EA7">
        <w:rPr>
          <w:lang w:val="es-ES"/>
        </w:rPr>
        <w:t> </w:t>
      </w:r>
      <w:r w:rsidRPr="005E12D7">
        <w:rPr>
          <w:lang w:val="es-ES"/>
        </w:rPr>
        <w:t xml:space="preserve">9, se crearán dos notificaciones separadas que podrán fusionarse en una única presentación, si la administración así lo desea, utilizando la función </w:t>
      </w:r>
      <w:r w:rsidR="00961728">
        <w:rPr>
          <w:lang w:val="es-ES"/>
        </w:rPr>
        <w:t>«</w:t>
      </w:r>
      <w:r w:rsidRPr="005E12D7">
        <w:rPr>
          <w:lang w:val="es-ES"/>
        </w:rPr>
        <w:t>Clone</w:t>
      </w:r>
      <w:r w:rsidR="00961728">
        <w:rPr>
          <w:lang w:val="es-ES"/>
        </w:rPr>
        <w:t>»</w:t>
      </w:r>
      <w:r w:rsidRPr="005E12D7">
        <w:rPr>
          <w:lang w:val="es-ES"/>
        </w:rPr>
        <w:t xml:space="preserve"> en </w:t>
      </w:r>
      <w:proofErr w:type="spellStart"/>
      <w:r w:rsidRPr="005E12D7">
        <w:rPr>
          <w:lang w:val="es-ES"/>
        </w:rPr>
        <w:t>SpaceCap</w:t>
      </w:r>
      <w:proofErr w:type="spellEnd"/>
      <w:r w:rsidRPr="005E12D7">
        <w:rPr>
          <w:lang w:val="es-ES"/>
        </w:rPr>
        <w:t>, antes de enviarlas a través de la plataforma de presentación electrónica.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1BDBE" w14:textId="7F9355D7" w:rsidR="00E915AF" w:rsidRPr="00D239B4" w:rsidRDefault="00961728" w:rsidP="00DF6FF4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>–</w:t>
    </w:r>
    <w:r w:rsidR="00D97EF5">
      <w:rPr>
        <w:sz w:val="18"/>
        <w:szCs w:val="16"/>
      </w:rPr>
      <w:t xml:space="preserve">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535FE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</w:t>
    </w:r>
    <w:r>
      <w:rPr>
        <w:rStyle w:val="PageNumber"/>
        <w:sz w:val="18"/>
        <w:szCs w:val="16"/>
      </w:rPr>
      <w:t>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7EA31" w14:textId="13FF6B17" w:rsidR="00E915AF" w:rsidRPr="00DF6FF4" w:rsidRDefault="00DF6FF4" w:rsidP="00DF6FF4">
    <w:pPr>
      <w:pStyle w:val="Header"/>
      <w:jc w:val="center"/>
      <w:rPr>
        <w:rStyle w:val="PageNumber"/>
        <w:sz w:val="18"/>
        <w:szCs w:val="16"/>
      </w:rPr>
    </w:pPr>
    <w:r w:rsidRPr="00DF6FF4">
      <w:rPr>
        <w:rStyle w:val="PageNumber"/>
        <w:sz w:val="18"/>
        <w:szCs w:val="16"/>
      </w:rPr>
      <w:t xml:space="preserve">- </w:t>
    </w:r>
    <w:r w:rsidRPr="00DF6FF4">
      <w:rPr>
        <w:rStyle w:val="PageNumber"/>
        <w:sz w:val="18"/>
        <w:szCs w:val="16"/>
      </w:rPr>
      <w:fldChar w:fldCharType="begin"/>
    </w:r>
    <w:r w:rsidRPr="00DF6FF4">
      <w:rPr>
        <w:rStyle w:val="PageNumber"/>
        <w:sz w:val="18"/>
        <w:szCs w:val="16"/>
      </w:rPr>
      <w:instrText xml:space="preserve"> PAGE </w:instrText>
    </w:r>
    <w:r w:rsidRPr="00DF6FF4">
      <w:rPr>
        <w:rStyle w:val="PageNumber"/>
        <w:sz w:val="18"/>
        <w:szCs w:val="16"/>
      </w:rPr>
      <w:fldChar w:fldCharType="separate"/>
    </w:r>
    <w:r w:rsidRPr="00DF6FF4">
      <w:rPr>
        <w:rStyle w:val="PageNumber"/>
        <w:sz w:val="18"/>
        <w:szCs w:val="16"/>
      </w:rPr>
      <w:t>2</w:t>
    </w:r>
    <w:r w:rsidRPr="00DF6FF4">
      <w:rPr>
        <w:rStyle w:val="PageNumber"/>
        <w:sz w:val="18"/>
        <w:szCs w:val="16"/>
      </w:rPr>
      <w:fldChar w:fldCharType="end"/>
    </w:r>
    <w:r w:rsidRPr="00DF6FF4"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99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62"/>
      <w:gridCol w:w="5131"/>
    </w:tblGrid>
    <w:tr w:rsidR="001B3D4D" w14:paraId="7D5209F5" w14:textId="77777777" w:rsidTr="002B7EE0">
      <w:tc>
        <w:tcPr>
          <w:tcW w:w="9862" w:type="dxa"/>
          <w:tcMar>
            <w:left w:w="0" w:type="dxa"/>
          </w:tcMar>
        </w:tcPr>
        <w:p w14:paraId="270761E7" w14:textId="77777777" w:rsidR="001B3D4D" w:rsidRDefault="002B7EE0" w:rsidP="002B7EE0">
          <w:pPr>
            <w:pStyle w:val="FirstFooter"/>
            <w:spacing w:line="240" w:lineRule="auto"/>
            <w:ind w:left="-397" w:right="-397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180B41C5" wp14:editId="02E6D43F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14:paraId="6143B3B5" w14:textId="77777777" w:rsidR="001B3D4D" w:rsidRDefault="001B3D4D" w:rsidP="001B3D4D">
          <w:pPr>
            <w:pStyle w:val="Header"/>
            <w:spacing w:before="240" w:line="360" w:lineRule="auto"/>
            <w:jc w:val="right"/>
          </w:pPr>
        </w:p>
      </w:tc>
    </w:tr>
  </w:tbl>
  <w:p w14:paraId="4F54E8B9" w14:textId="77777777" w:rsidR="00E915AF" w:rsidRPr="001B3D4D" w:rsidRDefault="00E915AF" w:rsidP="001B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fr-CH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B7EE0"/>
    <w:rsid w:val="00006A31"/>
    <w:rsid w:val="00006C82"/>
    <w:rsid w:val="00010E30"/>
    <w:rsid w:val="00015C76"/>
    <w:rsid w:val="0001665F"/>
    <w:rsid w:val="00025ECF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D53F0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222"/>
    <w:rsid w:val="00134404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6E74"/>
    <w:rsid w:val="00283C3B"/>
    <w:rsid w:val="002861E6"/>
    <w:rsid w:val="00287D18"/>
    <w:rsid w:val="002A2618"/>
    <w:rsid w:val="002A5DD7"/>
    <w:rsid w:val="002B0CAC"/>
    <w:rsid w:val="002B7EE0"/>
    <w:rsid w:val="002C66DF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22C9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37DB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127E5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F4F"/>
    <w:rsid w:val="005B4CDA"/>
    <w:rsid w:val="005D3669"/>
    <w:rsid w:val="005E12D7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93C49"/>
    <w:rsid w:val="006A518B"/>
    <w:rsid w:val="006A5EA7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A7A18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15B82"/>
    <w:rsid w:val="008420CA"/>
    <w:rsid w:val="00854131"/>
    <w:rsid w:val="0085652D"/>
    <w:rsid w:val="00857B5E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1728"/>
    <w:rsid w:val="00963D9D"/>
    <w:rsid w:val="0098013E"/>
    <w:rsid w:val="00981B54"/>
    <w:rsid w:val="009842C3"/>
    <w:rsid w:val="00995504"/>
    <w:rsid w:val="009A009A"/>
    <w:rsid w:val="009A6BB6"/>
    <w:rsid w:val="009B3F43"/>
    <w:rsid w:val="009B5CFA"/>
    <w:rsid w:val="009C161F"/>
    <w:rsid w:val="009C56B4"/>
    <w:rsid w:val="009D2C07"/>
    <w:rsid w:val="009D51A2"/>
    <w:rsid w:val="009E04A8"/>
    <w:rsid w:val="009E4595"/>
    <w:rsid w:val="009E4AEC"/>
    <w:rsid w:val="009E5BD8"/>
    <w:rsid w:val="009E681E"/>
    <w:rsid w:val="00A119E6"/>
    <w:rsid w:val="00A14781"/>
    <w:rsid w:val="00A20FBC"/>
    <w:rsid w:val="00A21AA5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D3765"/>
    <w:rsid w:val="00AE2D88"/>
    <w:rsid w:val="00AE6F6F"/>
    <w:rsid w:val="00AF052B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D79FD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DF6FF4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95134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B3CD24"/>
  <w15:docId w15:val="{540A99F6-8275-4534-8B63-70D0CB5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693C49"/>
    <w:pPr>
      <w:keepNext/>
      <w:keepLines/>
      <w:spacing w:before="360" w:line="240" w:lineRule="auto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7B5E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57B5E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857B5E"/>
    <w:rPr>
      <w:b/>
      <w:bCs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F9513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rmail@itu.in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acehelp@itu.in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sas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ITU-R/go/space-software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es/ITU-R/software/Pages/space-network-software.aspx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0AF8E-D842-4EAD-AA63-D6BF0BF0D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1383</Words>
  <Characters>8038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9403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Panoussopoulos, Sonia</cp:lastModifiedBy>
  <cp:revision>5</cp:revision>
  <cp:lastPrinted>2013-03-08T10:15:00Z</cp:lastPrinted>
  <dcterms:created xsi:type="dcterms:W3CDTF">2022-03-23T09:20:00Z</dcterms:created>
  <dcterms:modified xsi:type="dcterms:W3CDTF">2022-03-25T08:32:00Z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