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278"/>
        <w:gridCol w:w="3085"/>
      </w:tblGrid>
      <w:tr w:rsidR="00E53DCE" w:rsidRPr="003A4B28" w14:paraId="2B1B3527" w14:textId="77777777" w:rsidTr="004228FA">
        <w:trPr>
          <w:jc w:val="center"/>
        </w:trPr>
        <w:tc>
          <w:tcPr>
            <w:tcW w:w="9889" w:type="dxa"/>
            <w:gridSpan w:val="3"/>
            <w:shd w:val="clear" w:color="auto" w:fill="auto"/>
          </w:tcPr>
          <w:p w14:paraId="3140D4C7" w14:textId="77777777" w:rsidR="00E53DCE" w:rsidRPr="003A4B28" w:rsidRDefault="00E53DCE" w:rsidP="00793884">
            <w:pPr>
              <w:spacing w:before="0"/>
              <w:jc w:val="left"/>
              <w:rPr>
                <w:rFonts w:cstheme="minorHAnsi"/>
                <w:b/>
                <w:bCs/>
                <w:color w:val="808080"/>
                <w:sz w:val="28"/>
                <w:szCs w:val="28"/>
                <w:lang w:val="fr-FR"/>
              </w:rPr>
            </w:pPr>
            <w:r w:rsidRPr="003A4B28">
              <w:rPr>
                <w:rFonts w:cstheme="minorHAnsi"/>
                <w:b/>
                <w:bCs/>
                <w:color w:val="808080"/>
                <w:sz w:val="28"/>
                <w:szCs w:val="28"/>
                <w:lang w:val="fr-FR"/>
              </w:rPr>
              <w:t>Bureau des radiocommunications (BR)</w:t>
            </w:r>
          </w:p>
          <w:p w14:paraId="1F2F9503" w14:textId="77777777" w:rsidR="00E53DCE" w:rsidRPr="003A4B28" w:rsidRDefault="00E53DCE" w:rsidP="00793884">
            <w:pPr>
              <w:spacing w:before="0"/>
              <w:jc w:val="left"/>
              <w:rPr>
                <w:rFonts w:cstheme="minorHAnsi"/>
                <w:b/>
                <w:bCs/>
                <w:color w:val="808080"/>
                <w:sz w:val="28"/>
                <w:szCs w:val="28"/>
                <w:lang w:val="fr-FR"/>
              </w:rPr>
            </w:pPr>
          </w:p>
          <w:p w14:paraId="7F7448D6" w14:textId="77777777" w:rsidR="00E53DCE" w:rsidRPr="003A4B28" w:rsidRDefault="00E53DCE" w:rsidP="00793884">
            <w:pPr>
              <w:spacing w:before="0"/>
              <w:jc w:val="left"/>
              <w:rPr>
                <w:rFonts w:cs="Times New Roman Bold"/>
                <w:b/>
                <w:bCs/>
                <w:color w:val="808080"/>
                <w:sz w:val="28"/>
                <w:szCs w:val="28"/>
                <w:lang w:val="fr-FR"/>
              </w:rPr>
            </w:pPr>
          </w:p>
        </w:tc>
      </w:tr>
      <w:tr w:rsidR="00E53DCE" w:rsidRPr="003A4B28" w14:paraId="083573DC" w14:textId="77777777" w:rsidTr="0066605A">
        <w:trPr>
          <w:jc w:val="center"/>
        </w:trPr>
        <w:tc>
          <w:tcPr>
            <w:tcW w:w="6804" w:type="dxa"/>
            <w:gridSpan w:val="2"/>
            <w:shd w:val="clear" w:color="auto" w:fill="auto"/>
          </w:tcPr>
          <w:p w14:paraId="4DD2D2F0" w14:textId="3EB5D520" w:rsidR="00E53DCE" w:rsidRPr="003A4B28" w:rsidRDefault="00AA781A" w:rsidP="00793884">
            <w:pPr>
              <w:spacing w:before="0"/>
              <w:jc w:val="left"/>
              <w:rPr>
                <w:sz w:val="28"/>
                <w:szCs w:val="28"/>
                <w:lang w:val="fr-FR"/>
              </w:rPr>
            </w:pPr>
            <w:r w:rsidRPr="003A4B28">
              <w:rPr>
                <w:szCs w:val="24"/>
                <w:lang w:val="fr-FR"/>
              </w:rPr>
              <w:t>Lettre circulaire</w:t>
            </w:r>
          </w:p>
          <w:p w14:paraId="2BF31CC0" w14:textId="7FB18319" w:rsidR="00E53DCE" w:rsidRPr="003A4B28" w:rsidRDefault="00AA781A" w:rsidP="00793884">
            <w:pPr>
              <w:spacing w:before="0"/>
              <w:jc w:val="left"/>
              <w:rPr>
                <w:b/>
                <w:bCs/>
                <w:sz w:val="28"/>
                <w:szCs w:val="28"/>
                <w:lang w:val="fr-FR"/>
              </w:rPr>
            </w:pPr>
            <w:r w:rsidRPr="003A4B28">
              <w:rPr>
                <w:b/>
                <w:bCs/>
                <w:szCs w:val="24"/>
                <w:lang w:val="fr-FR"/>
              </w:rPr>
              <w:t>CR</w:t>
            </w:r>
            <w:r w:rsidR="0066605A" w:rsidRPr="003A4B28">
              <w:rPr>
                <w:b/>
                <w:bCs/>
                <w:szCs w:val="24"/>
                <w:lang w:val="fr-FR"/>
              </w:rPr>
              <w:t>/472</w:t>
            </w:r>
          </w:p>
        </w:tc>
        <w:tc>
          <w:tcPr>
            <w:tcW w:w="3085" w:type="dxa"/>
            <w:shd w:val="clear" w:color="auto" w:fill="auto"/>
          </w:tcPr>
          <w:p w14:paraId="28A2CA3E" w14:textId="459BB616" w:rsidR="00E53DCE" w:rsidRPr="003A4B28" w:rsidRDefault="0066605A" w:rsidP="0066605A">
            <w:pPr>
              <w:spacing w:before="0"/>
              <w:jc w:val="right"/>
              <w:rPr>
                <w:sz w:val="28"/>
                <w:szCs w:val="28"/>
                <w:lang w:val="fr-FR"/>
              </w:rPr>
            </w:pPr>
            <w:r w:rsidRPr="003A4B28">
              <w:rPr>
                <w:szCs w:val="24"/>
                <w:lang w:val="fr-FR"/>
              </w:rPr>
              <w:t>Genève, le 8 décembre 2020</w:t>
            </w:r>
          </w:p>
        </w:tc>
      </w:tr>
      <w:tr w:rsidR="00E53DCE" w:rsidRPr="003A4B28" w14:paraId="768089E6" w14:textId="77777777" w:rsidTr="004228FA">
        <w:trPr>
          <w:jc w:val="center"/>
        </w:trPr>
        <w:tc>
          <w:tcPr>
            <w:tcW w:w="9889" w:type="dxa"/>
            <w:gridSpan w:val="3"/>
            <w:shd w:val="clear" w:color="auto" w:fill="auto"/>
          </w:tcPr>
          <w:p w14:paraId="05AA6F68" w14:textId="77777777" w:rsidR="00E53DCE" w:rsidRPr="003A4B28" w:rsidRDefault="00E53DCE" w:rsidP="00793884">
            <w:pPr>
              <w:spacing w:before="0"/>
              <w:jc w:val="left"/>
              <w:rPr>
                <w:rFonts w:cs="Arial"/>
                <w:szCs w:val="24"/>
                <w:lang w:val="fr-FR"/>
              </w:rPr>
            </w:pPr>
          </w:p>
        </w:tc>
      </w:tr>
      <w:tr w:rsidR="00E53DCE" w:rsidRPr="003A4B28" w14:paraId="2A069F8F" w14:textId="77777777" w:rsidTr="004228FA">
        <w:trPr>
          <w:jc w:val="center"/>
        </w:trPr>
        <w:tc>
          <w:tcPr>
            <w:tcW w:w="9889" w:type="dxa"/>
            <w:gridSpan w:val="3"/>
            <w:shd w:val="clear" w:color="auto" w:fill="auto"/>
          </w:tcPr>
          <w:p w14:paraId="3C372155" w14:textId="77777777" w:rsidR="00E53DCE" w:rsidRPr="003A4B28" w:rsidRDefault="00E53DCE" w:rsidP="00793884">
            <w:pPr>
              <w:spacing w:before="0"/>
              <w:jc w:val="left"/>
              <w:rPr>
                <w:szCs w:val="24"/>
                <w:lang w:val="fr-FR"/>
              </w:rPr>
            </w:pPr>
          </w:p>
        </w:tc>
      </w:tr>
      <w:tr w:rsidR="00E53DCE" w:rsidRPr="00281B39" w14:paraId="35775E3B" w14:textId="77777777" w:rsidTr="004228FA">
        <w:trPr>
          <w:jc w:val="center"/>
        </w:trPr>
        <w:tc>
          <w:tcPr>
            <w:tcW w:w="9889" w:type="dxa"/>
            <w:gridSpan w:val="3"/>
            <w:shd w:val="clear" w:color="auto" w:fill="auto"/>
          </w:tcPr>
          <w:p w14:paraId="5B23F715" w14:textId="3CDD3A8A" w:rsidR="00E53DCE" w:rsidRPr="003A4B28" w:rsidRDefault="00EE1A57" w:rsidP="00793884">
            <w:pPr>
              <w:spacing w:before="0"/>
              <w:jc w:val="left"/>
              <w:rPr>
                <w:b/>
                <w:bCs/>
                <w:szCs w:val="24"/>
                <w:lang w:val="fr-FR"/>
              </w:rPr>
            </w:pPr>
            <w:r w:rsidRPr="003A4B28">
              <w:rPr>
                <w:b/>
                <w:bCs/>
                <w:szCs w:val="24"/>
                <w:lang w:val="fr-FR"/>
              </w:rPr>
              <w:t xml:space="preserve">Aux Administrations des </w:t>
            </w:r>
            <w:r w:rsidR="00793884" w:rsidRPr="003A4B28">
              <w:rPr>
                <w:b/>
                <w:bCs/>
                <w:szCs w:val="24"/>
                <w:lang w:val="fr-FR"/>
              </w:rPr>
              <w:t>États</w:t>
            </w:r>
            <w:r w:rsidRPr="003A4B28">
              <w:rPr>
                <w:b/>
                <w:bCs/>
                <w:szCs w:val="24"/>
                <w:lang w:val="fr-FR"/>
              </w:rPr>
              <w:t xml:space="preserve"> Membres de l'UIT</w:t>
            </w:r>
          </w:p>
          <w:p w14:paraId="0DCABB12" w14:textId="77777777" w:rsidR="00E53DCE" w:rsidRPr="003A4B28" w:rsidRDefault="00E53DCE" w:rsidP="00793884">
            <w:pPr>
              <w:spacing w:before="0"/>
              <w:jc w:val="left"/>
              <w:rPr>
                <w:b/>
                <w:bCs/>
                <w:szCs w:val="24"/>
                <w:lang w:val="fr-FR"/>
              </w:rPr>
            </w:pPr>
          </w:p>
        </w:tc>
      </w:tr>
      <w:tr w:rsidR="00E53DCE" w:rsidRPr="00281B39" w14:paraId="681B2190" w14:textId="77777777" w:rsidTr="004228FA">
        <w:trPr>
          <w:jc w:val="center"/>
        </w:trPr>
        <w:tc>
          <w:tcPr>
            <w:tcW w:w="9889" w:type="dxa"/>
            <w:gridSpan w:val="3"/>
            <w:shd w:val="clear" w:color="auto" w:fill="auto"/>
          </w:tcPr>
          <w:p w14:paraId="3F66DC38" w14:textId="77777777" w:rsidR="00E53DCE" w:rsidRPr="003A4B28" w:rsidRDefault="00E53DCE" w:rsidP="00793884">
            <w:pPr>
              <w:spacing w:before="0"/>
              <w:jc w:val="left"/>
              <w:rPr>
                <w:szCs w:val="24"/>
                <w:lang w:val="fr-FR"/>
              </w:rPr>
            </w:pPr>
          </w:p>
        </w:tc>
      </w:tr>
      <w:tr w:rsidR="00E53DCE" w:rsidRPr="00281B39" w14:paraId="7BBCCD59" w14:textId="77777777" w:rsidTr="004228FA">
        <w:trPr>
          <w:jc w:val="center"/>
        </w:trPr>
        <w:tc>
          <w:tcPr>
            <w:tcW w:w="9889" w:type="dxa"/>
            <w:gridSpan w:val="3"/>
            <w:shd w:val="clear" w:color="auto" w:fill="auto"/>
          </w:tcPr>
          <w:p w14:paraId="73E38D9E" w14:textId="77777777" w:rsidR="00E53DCE" w:rsidRPr="003A4B28" w:rsidRDefault="00E53DCE" w:rsidP="00793884">
            <w:pPr>
              <w:spacing w:before="0"/>
              <w:jc w:val="left"/>
              <w:rPr>
                <w:szCs w:val="24"/>
                <w:lang w:val="fr-FR"/>
              </w:rPr>
            </w:pPr>
          </w:p>
        </w:tc>
      </w:tr>
      <w:tr w:rsidR="00E53DCE" w:rsidRPr="00281B39" w14:paraId="230E2BEE" w14:textId="77777777" w:rsidTr="004228FA">
        <w:trPr>
          <w:jc w:val="center"/>
        </w:trPr>
        <w:tc>
          <w:tcPr>
            <w:tcW w:w="1526" w:type="dxa"/>
            <w:shd w:val="clear" w:color="auto" w:fill="auto"/>
          </w:tcPr>
          <w:p w14:paraId="151EBF5A" w14:textId="77777777" w:rsidR="00E53DCE" w:rsidRPr="003A4B28" w:rsidRDefault="003471C9" w:rsidP="00793884">
            <w:pPr>
              <w:tabs>
                <w:tab w:val="clear" w:pos="1588"/>
                <w:tab w:val="left" w:pos="1560"/>
              </w:tabs>
              <w:spacing w:before="0"/>
              <w:jc w:val="left"/>
              <w:rPr>
                <w:szCs w:val="24"/>
                <w:lang w:val="fr-FR"/>
              </w:rPr>
            </w:pPr>
            <w:proofErr w:type="gramStart"/>
            <w:r w:rsidRPr="003A4B28">
              <w:rPr>
                <w:lang w:val="fr-FR"/>
              </w:rPr>
              <w:t>Objet</w:t>
            </w:r>
            <w:r w:rsidR="00E53DCE" w:rsidRPr="003A4B28">
              <w:rPr>
                <w:szCs w:val="24"/>
                <w:lang w:val="fr-FR"/>
              </w:rPr>
              <w:t>:</w:t>
            </w:r>
            <w:proofErr w:type="gramEnd"/>
          </w:p>
        </w:tc>
        <w:tc>
          <w:tcPr>
            <w:tcW w:w="8363" w:type="dxa"/>
            <w:gridSpan w:val="2"/>
            <w:vMerge w:val="restart"/>
            <w:shd w:val="clear" w:color="auto" w:fill="auto"/>
          </w:tcPr>
          <w:p w14:paraId="579FA873" w14:textId="02272381" w:rsidR="00E53DCE" w:rsidRPr="003A4B28" w:rsidRDefault="0066605A" w:rsidP="00CB301A">
            <w:pPr>
              <w:tabs>
                <w:tab w:val="clear" w:pos="1588"/>
                <w:tab w:val="left" w:pos="1560"/>
              </w:tabs>
              <w:spacing w:before="0"/>
              <w:jc w:val="left"/>
              <w:rPr>
                <w:b/>
                <w:bCs/>
                <w:szCs w:val="24"/>
                <w:lang w:val="fr-FR"/>
              </w:rPr>
            </w:pPr>
            <w:r w:rsidRPr="003A4B28">
              <w:rPr>
                <w:b/>
                <w:bCs/>
                <w:szCs w:val="24"/>
                <w:lang w:val="fr-FR"/>
              </w:rPr>
              <w:t>Vue d</w:t>
            </w:r>
            <w:r w:rsidR="00793884" w:rsidRPr="003A4B28">
              <w:rPr>
                <w:b/>
                <w:bCs/>
                <w:szCs w:val="24"/>
                <w:lang w:val="fr-FR"/>
              </w:rPr>
              <w:t>'</w:t>
            </w:r>
            <w:r w:rsidRPr="003A4B28">
              <w:rPr>
                <w:b/>
                <w:bCs/>
                <w:szCs w:val="24"/>
                <w:lang w:val="fr-FR"/>
              </w:rPr>
              <w:t xml:space="preserve">ensemble des principales décisions de la Conférence mondiale des radiocommunications </w:t>
            </w:r>
            <w:bookmarkStart w:id="0" w:name="_Hlk57875791"/>
            <w:r w:rsidRPr="003A4B28">
              <w:rPr>
                <w:b/>
                <w:bCs/>
                <w:szCs w:val="24"/>
                <w:lang w:val="fr-FR"/>
              </w:rPr>
              <w:t>(Charm el-Cheikh, 2019) (CMR</w:t>
            </w:r>
            <w:r w:rsidRPr="003A4B28">
              <w:rPr>
                <w:b/>
                <w:bCs/>
                <w:szCs w:val="24"/>
                <w:lang w:val="fr-FR"/>
              </w:rPr>
              <w:noBreakHyphen/>
              <w:t xml:space="preserve">19) </w:t>
            </w:r>
            <w:bookmarkEnd w:id="0"/>
            <w:r w:rsidRPr="003A4B28">
              <w:rPr>
                <w:b/>
                <w:bCs/>
                <w:szCs w:val="24"/>
                <w:lang w:val="fr-FR"/>
              </w:rPr>
              <w:t>relatives aux services de</w:t>
            </w:r>
            <w:r w:rsidR="00CB301A">
              <w:rPr>
                <w:b/>
                <w:bCs/>
                <w:szCs w:val="24"/>
                <w:lang w:val="fr-FR"/>
              </w:rPr>
              <w:t> </w:t>
            </w:r>
            <w:r w:rsidRPr="003A4B28">
              <w:rPr>
                <w:b/>
                <w:bCs/>
                <w:szCs w:val="24"/>
                <w:lang w:val="fr-FR"/>
              </w:rPr>
              <w:t>Terre</w:t>
            </w:r>
          </w:p>
        </w:tc>
      </w:tr>
      <w:tr w:rsidR="00E53DCE" w:rsidRPr="00281B39" w14:paraId="53C1166A" w14:textId="77777777" w:rsidTr="004228FA">
        <w:trPr>
          <w:jc w:val="center"/>
        </w:trPr>
        <w:tc>
          <w:tcPr>
            <w:tcW w:w="1526" w:type="dxa"/>
            <w:shd w:val="clear" w:color="auto" w:fill="auto"/>
          </w:tcPr>
          <w:p w14:paraId="71B80F5E" w14:textId="77777777" w:rsidR="00E53DCE" w:rsidRPr="003A4B28" w:rsidRDefault="00E53DCE" w:rsidP="00793884">
            <w:pPr>
              <w:tabs>
                <w:tab w:val="clear" w:pos="1588"/>
                <w:tab w:val="left" w:pos="1560"/>
              </w:tabs>
              <w:spacing w:before="0"/>
              <w:jc w:val="left"/>
              <w:rPr>
                <w:b/>
                <w:bCs/>
                <w:szCs w:val="24"/>
                <w:lang w:val="fr-FR"/>
              </w:rPr>
            </w:pPr>
          </w:p>
        </w:tc>
        <w:tc>
          <w:tcPr>
            <w:tcW w:w="8363" w:type="dxa"/>
            <w:gridSpan w:val="2"/>
            <w:vMerge/>
            <w:shd w:val="clear" w:color="auto" w:fill="auto"/>
          </w:tcPr>
          <w:p w14:paraId="3D32750C" w14:textId="77777777" w:rsidR="00E53DCE" w:rsidRPr="003A4B28" w:rsidRDefault="00E53DCE" w:rsidP="00793884">
            <w:pPr>
              <w:tabs>
                <w:tab w:val="clear" w:pos="1588"/>
                <w:tab w:val="left" w:pos="1560"/>
              </w:tabs>
              <w:spacing w:before="0"/>
              <w:rPr>
                <w:b/>
                <w:bCs/>
                <w:szCs w:val="24"/>
                <w:lang w:val="fr-FR"/>
              </w:rPr>
            </w:pPr>
          </w:p>
        </w:tc>
      </w:tr>
      <w:tr w:rsidR="00E53DCE" w:rsidRPr="00281B39" w14:paraId="2FD5AA2E" w14:textId="77777777" w:rsidTr="004228FA">
        <w:trPr>
          <w:jc w:val="center"/>
        </w:trPr>
        <w:tc>
          <w:tcPr>
            <w:tcW w:w="1526" w:type="dxa"/>
            <w:shd w:val="clear" w:color="auto" w:fill="auto"/>
          </w:tcPr>
          <w:p w14:paraId="3185BE2B" w14:textId="77777777" w:rsidR="00E53DCE" w:rsidRPr="003A4B28" w:rsidRDefault="00E53DCE" w:rsidP="00793884">
            <w:pPr>
              <w:tabs>
                <w:tab w:val="clear" w:pos="1588"/>
                <w:tab w:val="left" w:pos="1560"/>
              </w:tabs>
              <w:spacing w:before="0"/>
              <w:jc w:val="left"/>
              <w:rPr>
                <w:b/>
                <w:bCs/>
                <w:szCs w:val="24"/>
                <w:lang w:val="fr-FR"/>
              </w:rPr>
            </w:pPr>
          </w:p>
        </w:tc>
        <w:tc>
          <w:tcPr>
            <w:tcW w:w="8363" w:type="dxa"/>
            <w:gridSpan w:val="2"/>
            <w:vMerge/>
            <w:shd w:val="clear" w:color="auto" w:fill="auto"/>
          </w:tcPr>
          <w:p w14:paraId="72DD5368" w14:textId="77777777" w:rsidR="00E53DCE" w:rsidRPr="003A4B28" w:rsidRDefault="00E53DCE" w:rsidP="00793884">
            <w:pPr>
              <w:tabs>
                <w:tab w:val="clear" w:pos="1588"/>
                <w:tab w:val="left" w:pos="1560"/>
              </w:tabs>
              <w:spacing w:before="0"/>
              <w:rPr>
                <w:b/>
                <w:bCs/>
                <w:szCs w:val="24"/>
                <w:lang w:val="fr-FR"/>
              </w:rPr>
            </w:pPr>
          </w:p>
        </w:tc>
      </w:tr>
      <w:tr w:rsidR="00E53DCE" w:rsidRPr="00281B39" w14:paraId="7E26282C" w14:textId="77777777" w:rsidTr="004228FA">
        <w:trPr>
          <w:jc w:val="center"/>
        </w:trPr>
        <w:tc>
          <w:tcPr>
            <w:tcW w:w="9889" w:type="dxa"/>
            <w:gridSpan w:val="3"/>
            <w:shd w:val="clear" w:color="auto" w:fill="auto"/>
          </w:tcPr>
          <w:p w14:paraId="32EE61AE" w14:textId="77777777" w:rsidR="00E53DCE" w:rsidRPr="003A4B28" w:rsidRDefault="00E53DCE" w:rsidP="00E53DCE">
            <w:pPr>
              <w:tabs>
                <w:tab w:val="clear" w:pos="1588"/>
                <w:tab w:val="left" w:pos="1560"/>
              </w:tabs>
              <w:spacing w:before="0"/>
              <w:jc w:val="left"/>
              <w:rPr>
                <w:szCs w:val="24"/>
                <w:lang w:val="fr-FR"/>
              </w:rPr>
            </w:pPr>
          </w:p>
        </w:tc>
      </w:tr>
      <w:tr w:rsidR="00E53DCE" w:rsidRPr="00281B39" w14:paraId="6AA9D2E3" w14:textId="77777777" w:rsidTr="004228FA">
        <w:trPr>
          <w:jc w:val="center"/>
        </w:trPr>
        <w:tc>
          <w:tcPr>
            <w:tcW w:w="9889" w:type="dxa"/>
            <w:gridSpan w:val="3"/>
            <w:shd w:val="clear" w:color="auto" w:fill="auto"/>
          </w:tcPr>
          <w:p w14:paraId="18E029A1" w14:textId="77777777" w:rsidR="00E53DCE" w:rsidRPr="003A4B28" w:rsidRDefault="00E53DCE" w:rsidP="00793884">
            <w:pPr>
              <w:spacing w:before="0"/>
              <w:jc w:val="left"/>
              <w:rPr>
                <w:b/>
                <w:bCs/>
                <w:szCs w:val="24"/>
                <w:lang w:val="fr-FR"/>
              </w:rPr>
            </w:pPr>
          </w:p>
        </w:tc>
      </w:tr>
    </w:tbl>
    <w:p w14:paraId="125B91A3" w14:textId="7890EE49" w:rsidR="0066605A" w:rsidRPr="003A4B28" w:rsidRDefault="0066605A" w:rsidP="00281B39">
      <w:pPr>
        <w:spacing w:before="240"/>
        <w:rPr>
          <w:szCs w:val="24"/>
          <w:lang w:val="fr-FR"/>
        </w:rPr>
      </w:pPr>
      <w:r w:rsidRPr="003A4B28">
        <w:rPr>
          <w:szCs w:val="24"/>
          <w:lang w:val="fr-FR"/>
        </w:rPr>
        <w:t>La Conférence mondiale des radiocommunications (Charm el-Cheikh, 2019) (CMR-19)</w:t>
      </w:r>
      <w:r w:rsidR="00793884" w:rsidRPr="003A4B28">
        <w:rPr>
          <w:szCs w:val="24"/>
          <w:lang w:val="fr-FR"/>
        </w:rPr>
        <w:t xml:space="preserve"> </w:t>
      </w:r>
      <w:r w:rsidRPr="003A4B28">
        <w:rPr>
          <w:szCs w:val="24"/>
          <w:lang w:val="fr-FR"/>
        </w:rPr>
        <w:t xml:space="preserve">a adopté une révision partielle du Règlement des radiocommunications (RR) et décidé que les dispositions révisées entreraient en vigueur le 1er janvier 2021, à l'exception des dispositions pour lesquelles une autre date a été expressément indiquée. Suite aux Lettres circulaires </w:t>
      </w:r>
      <w:hyperlink r:id="rId8" w:history="1">
        <w:r w:rsidR="00793884" w:rsidRPr="003A4B28">
          <w:rPr>
            <w:rStyle w:val="Hyperlink"/>
            <w:szCs w:val="24"/>
            <w:lang w:val="fr-FR"/>
          </w:rPr>
          <w:t>CR/455</w:t>
        </w:r>
      </w:hyperlink>
      <w:r w:rsidR="00793884" w:rsidRPr="003A4B28">
        <w:rPr>
          <w:szCs w:val="24"/>
          <w:lang w:val="fr-FR"/>
        </w:rPr>
        <w:t xml:space="preserve">, </w:t>
      </w:r>
      <w:hyperlink r:id="rId9" w:history="1">
        <w:r w:rsidR="00793884" w:rsidRPr="003A4B28">
          <w:rPr>
            <w:rStyle w:val="Hyperlink"/>
            <w:szCs w:val="24"/>
            <w:lang w:val="fr-FR"/>
          </w:rPr>
          <w:t>CR/461</w:t>
        </w:r>
      </w:hyperlink>
      <w:r w:rsidRPr="003A4B28">
        <w:rPr>
          <w:szCs w:val="24"/>
          <w:lang w:val="fr-FR"/>
        </w:rPr>
        <w:t xml:space="preserve"> et</w:t>
      </w:r>
      <w:r w:rsidR="00CB301A">
        <w:rPr>
          <w:szCs w:val="24"/>
          <w:lang w:val="fr-FR"/>
        </w:rPr>
        <w:t> </w:t>
      </w:r>
      <w:hyperlink r:id="rId10" w:history="1">
        <w:r w:rsidR="00793884" w:rsidRPr="003A4B28">
          <w:rPr>
            <w:rStyle w:val="Hyperlink"/>
            <w:szCs w:val="24"/>
            <w:lang w:val="fr-FR"/>
          </w:rPr>
          <w:t>CR/464</w:t>
        </w:r>
      </w:hyperlink>
      <w:r w:rsidR="00793884" w:rsidRPr="003A4B28">
        <w:rPr>
          <w:szCs w:val="24"/>
          <w:lang w:val="fr-FR"/>
        </w:rPr>
        <w:t xml:space="preserve"> </w:t>
      </w:r>
      <w:r w:rsidRPr="003A4B28">
        <w:rPr>
          <w:szCs w:val="24"/>
          <w:lang w:val="fr-FR"/>
        </w:rPr>
        <w:t>relatives aux services spatiaux, la présente Lettre circulaire a pour objet de mettre en lumière les décisions les plus importantes prises par la Confér</w:t>
      </w:r>
      <w:r w:rsidR="00CB301A">
        <w:rPr>
          <w:szCs w:val="24"/>
          <w:lang w:val="fr-FR"/>
        </w:rPr>
        <w:t>ence concernant les services de </w:t>
      </w:r>
      <w:r w:rsidRPr="003A4B28">
        <w:rPr>
          <w:szCs w:val="24"/>
          <w:lang w:val="fr-FR"/>
        </w:rPr>
        <w:t>Terre.</w:t>
      </w:r>
    </w:p>
    <w:p w14:paraId="3049CEF6" w14:textId="38178CF8" w:rsidR="0066605A" w:rsidRPr="003A4B28" w:rsidRDefault="0066605A" w:rsidP="00281B39">
      <w:pPr>
        <w:spacing w:before="120"/>
        <w:rPr>
          <w:b/>
          <w:bCs/>
          <w:szCs w:val="24"/>
          <w:lang w:val="fr-FR"/>
        </w:rPr>
      </w:pPr>
      <w:r w:rsidRPr="003A4B28">
        <w:rPr>
          <w:szCs w:val="24"/>
          <w:lang w:val="fr-FR"/>
        </w:rPr>
        <w:t xml:space="preserve">La présente Lettre circulaire doit être lue conjointement avec les Lettres circulaires </w:t>
      </w:r>
      <w:hyperlink r:id="rId11" w:history="1">
        <w:r w:rsidR="00793884" w:rsidRPr="003A4B28">
          <w:rPr>
            <w:rStyle w:val="Hyperlink"/>
            <w:szCs w:val="24"/>
            <w:lang w:val="fr-FR"/>
          </w:rPr>
          <w:t>CR/456</w:t>
        </w:r>
      </w:hyperlink>
      <w:r w:rsidR="00793884" w:rsidRPr="003A4B28">
        <w:rPr>
          <w:szCs w:val="24"/>
          <w:lang w:val="fr-FR"/>
        </w:rPr>
        <w:t xml:space="preserve"> </w:t>
      </w:r>
      <w:proofErr w:type="gramStart"/>
      <w:r w:rsidR="00CB301A">
        <w:rPr>
          <w:szCs w:val="24"/>
          <w:lang w:val="fr-FR"/>
        </w:rPr>
        <w:t>du</w:t>
      </w:r>
      <w:proofErr w:type="gramEnd"/>
      <w:r w:rsidR="00CB301A">
        <w:rPr>
          <w:szCs w:val="24"/>
          <w:lang w:val="fr-FR"/>
        </w:rPr>
        <w:t> </w:t>
      </w:r>
      <w:r w:rsidRPr="003A4B28">
        <w:rPr>
          <w:szCs w:val="24"/>
          <w:lang w:val="fr-FR"/>
        </w:rPr>
        <w:t>6</w:t>
      </w:r>
      <w:r w:rsidR="00793884" w:rsidRPr="003A4B28">
        <w:rPr>
          <w:szCs w:val="24"/>
          <w:lang w:val="fr-FR"/>
        </w:rPr>
        <w:t> </w:t>
      </w:r>
      <w:r w:rsidRPr="003A4B28">
        <w:rPr>
          <w:szCs w:val="24"/>
          <w:lang w:val="fr-FR"/>
        </w:rPr>
        <w:t>mars 2020, relative aux décisions de la CMR-19 qui ont</w:t>
      </w:r>
      <w:r w:rsidR="00CB301A">
        <w:rPr>
          <w:szCs w:val="24"/>
          <w:lang w:val="fr-FR"/>
        </w:rPr>
        <w:t xml:space="preserve"> été consignées dans les procès</w:t>
      </w:r>
      <w:r w:rsidR="00CB301A">
        <w:rPr>
          <w:szCs w:val="24"/>
          <w:lang w:val="fr-FR"/>
        </w:rPr>
        <w:noBreakHyphen/>
      </w:r>
      <w:r w:rsidRPr="003A4B28">
        <w:rPr>
          <w:szCs w:val="24"/>
          <w:lang w:val="fr-FR"/>
        </w:rPr>
        <w:t xml:space="preserve">verbaux des séances plénières, et </w:t>
      </w:r>
      <w:hyperlink r:id="rId12" w:history="1">
        <w:r w:rsidR="00793884" w:rsidRPr="003A4B28">
          <w:rPr>
            <w:rStyle w:val="Hyperlink"/>
            <w:szCs w:val="24"/>
            <w:lang w:val="fr-FR"/>
          </w:rPr>
          <w:t>CR/467</w:t>
        </w:r>
      </w:hyperlink>
      <w:r w:rsidRPr="003A4B28">
        <w:rPr>
          <w:szCs w:val="24"/>
          <w:lang w:val="fr-FR"/>
        </w:rPr>
        <w:t xml:space="preserve"> du 18 août 2020, relative à l</w:t>
      </w:r>
      <w:r w:rsidR="00793884" w:rsidRPr="003A4B28">
        <w:rPr>
          <w:szCs w:val="24"/>
          <w:lang w:val="fr-FR"/>
        </w:rPr>
        <w:t>'</w:t>
      </w:r>
      <w:r w:rsidRPr="003A4B28">
        <w:rPr>
          <w:szCs w:val="24"/>
          <w:lang w:val="fr-FR"/>
        </w:rPr>
        <w:t>utilisation du symbole «IM» pour la notification d'assignations de fréquence aux stations IMT.</w:t>
      </w:r>
    </w:p>
    <w:p w14:paraId="1A958318" w14:textId="16EE808D" w:rsidR="0066605A" w:rsidRPr="003A4B28" w:rsidRDefault="0066605A" w:rsidP="00281B39">
      <w:pPr>
        <w:pStyle w:val="Headingb"/>
        <w:spacing w:before="160"/>
        <w:rPr>
          <w:lang w:val="fr-FR"/>
        </w:rPr>
      </w:pPr>
      <w:r w:rsidRPr="003A4B28">
        <w:rPr>
          <w:lang w:val="fr-FR"/>
        </w:rPr>
        <w:t>Décisions qui sont entrées en vigueur le 23 novembre 2019</w:t>
      </w:r>
    </w:p>
    <w:p w14:paraId="74D2ED62" w14:textId="578BBCC5" w:rsidR="0066605A" w:rsidRPr="003A4B28" w:rsidRDefault="0066605A" w:rsidP="00281B39">
      <w:pPr>
        <w:spacing w:before="120"/>
        <w:rPr>
          <w:szCs w:val="24"/>
          <w:lang w:val="fr-FR"/>
        </w:rPr>
      </w:pPr>
      <w:r w:rsidRPr="003A4B28">
        <w:rPr>
          <w:szCs w:val="24"/>
          <w:lang w:val="fr-FR"/>
        </w:rPr>
        <w:t>Le 23 novembre 2019, les dispositions suivantes du RR relatives aux services de Terre</w:t>
      </w:r>
      <w:r w:rsidR="00CB301A">
        <w:rPr>
          <w:szCs w:val="24"/>
          <w:lang w:val="fr-FR"/>
        </w:rPr>
        <w:t>, ou ayant </w:t>
      </w:r>
      <w:r w:rsidRPr="003A4B28">
        <w:rPr>
          <w:szCs w:val="24"/>
          <w:lang w:val="fr-FR"/>
        </w:rPr>
        <w:t>des incidences sur ces services, sont entrées en vigueu</w:t>
      </w:r>
      <w:r w:rsidR="00CB301A">
        <w:rPr>
          <w:szCs w:val="24"/>
          <w:lang w:val="fr-FR"/>
        </w:rPr>
        <w:t>r, conformément à la Résolution </w:t>
      </w:r>
      <w:r w:rsidRPr="003A4B28">
        <w:rPr>
          <w:b/>
          <w:bCs/>
          <w:szCs w:val="24"/>
          <w:lang w:val="fr-FR"/>
        </w:rPr>
        <w:t>99</w:t>
      </w:r>
      <w:r w:rsidR="00D1162F" w:rsidRPr="003A4B28">
        <w:rPr>
          <w:b/>
          <w:bCs/>
          <w:szCs w:val="24"/>
          <w:lang w:val="fr-FR"/>
        </w:rPr>
        <w:t> </w:t>
      </w:r>
      <w:r w:rsidRPr="003A4B28">
        <w:rPr>
          <w:b/>
          <w:bCs/>
          <w:szCs w:val="24"/>
          <w:lang w:val="fr-FR"/>
        </w:rPr>
        <w:t>(Rév.CMR-19</w:t>
      </w:r>
      <w:proofErr w:type="gramStart"/>
      <w:r w:rsidRPr="003A4B28">
        <w:rPr>
          <w:b/>
          <w:bCs/>
          <w:szCs w:val="24"/>
          <w:lang w:val="fr-FR"/>
        </w:rPr>
        <w:t>)</w:t>
      </w:r>
      <w:r w:rsidR="00793884" w:rsidRPr="003A4B28">
        <w:rPr>
          <w:szCs w:val="24"/>
          <w:lang w:val="fr-FR"/>
        </w:rPr>
        <w:t>:</w:t>
      </w:r>
      <w:proofErr w:type="gramEnd"/>
      <w:r w:rsidRPr="003A4B28">
        <w:rPr>
          <w:szCs w:val="24"/>
          <w:lang w:val="fr-FR"/>
        </w:rPr>
        <w:t xml:space="preserve"> numéro </w:t>
      </w:r>
      <w:r w:rsidRPr="003A4B28">
        <w:rPr>
          <w:b/>
          <w:bCs/>
          <w:szCs w:val="24"/>
          <w:lang w:val="fr-FR"/>
        </w:rPr>
        <w:t>5.441B</w:t>
      </w:r>
      <w:r w:rsidRPr="003A4B28">
        <w:rPr>
          <w:szCs w:val="24"/>
          <w:lang w:val="fr-FR"/>
        </w:rPr>
        <w:t xml:space="preserve">, Appendices </w:t>
      </w:r>
      <w:r w:rsidRPr="003A4B28">
        <w:rPr>
          <w:b/>
          <w:bCs/>
          <w:szCs w:val="24"/>
          <w:lang w:val="fr-FR"/>
        </w:rPr>
        <w:t>4</w:t>
      </w:r>
      <w:r w:rsidRPr="003A4B28">
        <w:rPr>
          <w:szCs w:val="24"/>
          <w:lang w:val="fr-FR"/>
        </w:rPr>
        <w:t xml:space="preserve">, </w:t>
      </w:r>
      <w:r w:rsidRPr="003A4B28">
        <w:rPr>
          <w:b/>
          <w:bCs/>
          <w:szCs w:val="24"/>
          <w:lang w:val="fr-FR"/>
        </w:rPr>
        <w:t>5</w:t>
      </w:r>
      <w:r w:rsidRPr="003A4B28">
        <w:rPr>
          <w:szCs w:val="24"/>
          <w:lang w:val="fr-FR"/>
        </w:rPr>
        <w:t xml:space="preserve"> et </w:t>
      </w:r>
      <w:r w:rsidRPr="003A4B28">
        <w:rPr>
          <w:b/>
          <w:bCs/>
          <w:szCs w:val="24"/>
          <w:lang w:val="fr-FR"/>
        </w:rPr>
        <w:t>15</w:t>
      </w:r>
      <w:r w:rsidR="00793884" w:rsidRPr="003A4B28">
        <w:rPr>
          <w:szCs w:val="24"/>
          <w:lang w:val="fr-FR"/>
        </w:rPr>
        <w:t>:</w:t>
      </w:r>
    </w:p>
    <w:p w14:paraId="5AE9B53F" w14:textId="71004537" w:rsidR="0066605A" w:rsidRPr="003A4B28" w:rsidRDefault="00793884" w:rsidP="00281B39">
      <w:pPr>
        <w:pStyle w:val="enumlev1"/>
        <w:rPr>
          <w:lang w:val="fr-FR"/>
        </w:rPr>
      </w:pPr>
      <w:r w:rsidRPr="003A4B28">
        <w:rPr>
          <w:lang w:val="fr-FR"/>
        </w:rPr>
        <w:t>•</w:t>
      </w:r>
      <w:r w:rsidRPr="003A4B28">
        <w:rPr>
          <w:lang w:val="fr-FR"/>
        </w:rPr>
        <w:tab/>
      </w:r>
      <w:r w:rsidR="0066605A" w:rsidRPr="003A4B28">
        <w:rPr>
          <w:lang w:val="fr-FR"/>
        </w:rPr>
        <w:t xml:space="preserve">La CMR-19 a modifié le numéro </w:t>
      </w:r>
      <w:r w:rsidR="0066605A" w:rsidRPr="003A4B28">
        <w:rPr>
          <w:b/>
          <w:bCs/>
          <w:lang w:val="fr-FR"/>
        </w:rPr>
        <w:t>5.441B</w:t>
      </w:r>
      <w:r w:rsidR="0066605A" w:rsidRPr="003A4B28">
        <w:rPr>
          <w:lang w:val="fr-FR"/>
        </w:rPr>
        <w:t>, en vertu duquel</w:t>
      </w:r>
      <w:r w:rsidRPr="003A4B28">
        <w:rPr>
          <w:lang w:val="fr-FR"/>
        </w:rPr>
        <w:t xml:space="preserve"> </w:t>
      </w:r>
      <w:r w:rsidR="0066605A" w:rsidRPr="003A4B28">
        <w:rPr>
          <w:lang w:val="fr-FR"/>
        </w:rPr>
        <w:t>la bande de fréquences 4</w:t>
      </w:r>
      <w:r w:rsidRPr="003A4B28">
        <w:rPr>
          <w:lang w:val="fr-FR"/>
        </w:rPr>
        <w:t> </w:t>
      </w:r>
      <w:r w:rsidR="0066605A" w:rsidRPr="003A4B28">
        <w:rPr>
          <w:lang w:val="fr-FR"/>
        </w:rPr>
        <w:t>800</w:t>
      </w:r>
      <w:r w:rsidRPr="003A4B28">
        <w:rPr>
          <w:lang w:val="fr-FR"/>
        </w:rPr>
        <w:noBreakHyphen/>
      </w:r>
      <w:r w:rsidR="0066605A" w:rsidRPr="003A4B28">
        <w:rPr>
          <w:lang w:val="fr-FR"/>
        </w:rPr>
        <w:t>4</w:t>
      </w:r>
      <w:r w:rsidRPr="003A4B28">
        <w:rPr>
          <w:lang w:val="fr-FR"/>
        </w:rPr>
        <w:t> </w:t>
      </w:r>
      <w:r w:rsidR="0066605A" w:rsidRPr="003A4B28">
        <w:rPr>
          <w:lang w:val="fr-FR"/>
        </w:rPr>
        <w:t xml:space="preserve">990 MHz a été identifiée pour les IMT dans un certain nombre de pays, sous réserve des dispositions du numéro </w:t>
      </w:r>
      <w:r w:rsidR="0066605A" w:rsidRPr="003A4B28">
        <w:rPr>
          <w:b/>
          <w:bCs/>
          <w:lang w:val="fr-FR"/>
        </w:rPr>
        <w:t>9.21</w:t>
      </w:r>
      <w:r w:rsidR="0066605A" w:rsidRPr="003A4B28">
        <w:rPr>
          <w:lang w:val="fr-FR"/>
        </w:rPr>
        <w:t xml:space="preserve"> et d</w:t>
      </w:r>
      <w:r w:rsidRPr="003A4B28">
        <w:rPr>
          <w:lang w:val="fr-FR"/>
        </w:rPr>
        <w:t>'</w:t>
      </w:r>
      <w:r w:rsidR="0066605A" w:rsidRPr="003A4B28">
        <w:rPr>
          <w:lang w:val="fr-FR"/>
        </w:rPr>
        <w:t>une limite de puissance</w:t>
      </w:r>
      <w:r w:rsidRPr="003A4B28">
        <w:rPr>
          <w:lang w:val="fr-FR"/>
        </w:rPr>
        <w:t xml:space="preserve"> </w:t>
      </w:r>
      <w:r w:rsidR="0066605A" w:rsidRPr="003A4B28">
        <w:rPr>
          <w:lang w:val="fr-FR"/>
        </w:rPr>
        <w:t xml:space="preserve">surfacique (pfd). La Résolution </w:t>
      </w:r>
      <w:r w:rsidR="00CB301A">
        <w:rPr>
          <w:b/>
          <w:bCs/>
          <w:lang w:val="fr-FR"/>
        </w:rPr>
        <w:t>223 (Rév.</w:t>
      </w:r>
      <w:r w:rsidR="0066605A" w:rsidRPr="003A4B28">
        <w:rPr>
          <w:b/>
          <w:bCs/>
          <w:lang w:val="fr-FR"/>
        </w:rPr>
        <w:t>CMR-19)</w:t>
      </w:r>
      <w:r w:rsidR="0066605A" w:rsidRPr="003A4B28">
        <w:rPr>
          <w:lang w:val="fr-FR"/>
        </w:rPr>
        <w:t xml:space="preserve"> révisée détermine les critères de coordination applicables à la procédure du numéro </w:t>
      </w:r>
      <w:r w:rsidR="0066605A" w:rsidRPr="003A4B28">
        <w:rPr>
          <w:b/>
          <w:bCs/>
          <w:lang w:val="fr-FR"/>
        </w:rPr>
        <w:t>9.21</w:t>
      </w:r>
      <w:r w:rsidR="0066605A" w:rsidRPr="003A4B28">
        <w:rPr>
          <w:lang w:val="fr-FR"/>
        </w:rPr>
        <w:t xml:space="preserve"> dans cette bande et dispense plusieurs pays énumérés au numéro </w:t>
      </w:r>
      <w:r w:rsidR="0066605A" w:rsidRPr="003A4B28">
        <w:rPr>
          <w:b/>
          <w:bCs/>
          <w:lang w:val="fr-FR"/>
        </w:rPr>
        <w:t>5.441B</w:t>
      </w:r>
      <w:r w:rsidR="0066605A" w:rsidRPr="003A4B28">
        <w:rPr>
          <w:lang w:val="fr-FR"/>
        </w:rPr>
        <w:t xml:space="preserve"> de l'application de la limite de puissance surfacique</w:t>
      </w:r>
      <w:r w:rsidRPr="003A4B28">
        <w:rPr>
          <w:lang w:val="fr-FR"/>
        </w:rPr>
        <w:t>.</w:t>
      </w:r>
    </w:p>
    <w:p w14:paraId="52DB1A69" w14:textId="508E9418" w:rsidR="0066605A" w:rsidRPr="003A4B28" w:rsidRDefault="00793884" w:rsidP="00281B39">
      <w:pPr>
        <w:pStyle w:val="enumlev1"/>
        <w:rPr>
          <w:lang w:val="fr-FR"/>
        </w:rPr>
      </w:pPr>
      <w:r w:rsidRPr="003A4B28">
        <w:rPr>
          <w:lang w:val="fr-FR"/>
        </w:rPr>
        <w:t>•</w:t>
      </w:r>
      <w:r w:rsidRPr="003A4B28">
        <w:rPr>
          <w:lang w:val="fr-FR"/>
        </w:rPr>
        <w:tab/>
      </w:r>
      <w:r w:rsidR="0066605A" w:rsidRPr="003A4B28">
        <w:rPr>
          <w:lang w:val="fr-FR"/>
        </w:rPr>
        <w:t xml:space="preserve">La CMR-19 a supprimé la bande de fréquences 620-790 MHz de la liste des bandes du SRS figurant dans l'Appendice </w:t>
      </w:r>
      <w:r w:rsidR="0066605A" w:rsidRPr="003A4B28">
        <w:rPr>
          <w:b/>
          <w:bCs/>
          <w:lang w:val="fr-FR"/>
        </w:rPr>
        <w:t>5</w:t>
      </w:r>
      <w:r w:rsidR="0066605A" w:rsidRPr="003A4B28">
        <w:rPr>
          <w:lang w:val="fr-FR"/>
        </w:rPr>
        <w:t xml:space="preserve"> (Tableau 5-1). Par conséquent, la coordination des stations d'émission de Terre avec le SRS dans cette bande conformément au numéro </w:t>
      </w:r>
      <w:r w:rsidR="0066605A" w:rsidRPr="003A4B28">
        <w:rPr>
          <w:b/>
          <w:bCs/>
          <w:lang w:val="fr-FR"/>
        </w:rPr>
        <w:t>9.19</w:t>
      </w:r>
      <w:r w:rsidR="0066605A" w:rsidRPr="003A4B28">
        <w:rPr>
          <w:lang w:val="fr-FR"/>
        </w:rPr>
        <w:t xml:space="preserve"> n'est plus nécessaire. Cette suppression découle de la suppression du numéro </w:t>
      </w:r>
      <w:r w:rsidR="0066605A" w:rsidRPr="003A4B28">
        <w:rPr>
          <w:b/>
          <w:bCs/>
          <w:lang w:val="fr-FR"/>
        </w:rPr>
        <w:t>5.311A</w:t>
      </w:r>
      <w:r w:rsidR="0066605A" w:rsidRPr="003A4B28">
        <w:rPr>
          <w:lang w:val="fr-FR"/>
        </w:rPr>
        <w:t xml:space="preserve"> et de la Résolution </w:t>
      </w:r>
      <w:r w:rsidR="0066605A" w:rsidRPr="003A4B28">
        <w:rPr>
          <w:b/>
          <w:bCs/>
          <w:lang w:val="fr-FR"/>
        </w:rPr>
        <w:t>549 (CMR-07)</w:t>
      </w:r>
      <w:r w:rsidR="0066605A" w:rsidRPr="003A4B28">
        <w:rPr>
          <w:lang w:val="fr-FR"/>
        </w:rPr>
        <w:t>.</w:t>
      </w:r>
    </w:p>
    <w:p w14:paraId="0A60C10F" w14:textId="77777777" w:rsidR="00550380" w:rsidRPr="003A4B28" w:rsidRDefault="00550380" w:rsidP="00281B39">
      <w:pPr>
        <w:rPr>
          <w:szCs w:val="24"/>
          <w:lang w:val="fr-FR"/>
        </w:rPr>
      </w:pPr>
      <w:r w:rsidRPr="003A4B28">
        <w:rPr>
          <w:szCs w:val="24"/>
          <w:lang w:val="fr-FR"/>
        </w:rPr>
        <w:br w:type="page"/>
      </w:r>
    </w:p>
    <w:p w14:paraId="3A9116E5" w14:textId="5C1F6A1D" w:rsidR="0066605A" w:rsidRPr="003A4B28" w:rsidRDefault="0066605A" w:rsidP="00281B39">
      <w:pPr>
        <w:rPr>
          <w:szCs w:val="24"/>
          <w:lang w:val="fr-FR"/>
        </w:rPr>
      </w:pPr>
      <w:r w:rsidRPr="003A4B28">
        <w:rPr>
          <w:szCs w:val="24"/>
          <w:lang w:val="fr-FR"/>
        </w:rPr>
        <w:lastRenderedPageBreak/>
        <w:t>La CMR-19 a révisé plusieurs Résolutions et Recommandations de conférences antérieures et a adopté plusieurs nouvelles Résolutions. En règle générale, les Résolutions et Recommandations nouvelles ou révisées entrent en vigueur au moment de la signature des Actes finals d'une conférence. Toutefois, les Résolutions qui résultent des renvois modifiés de l'Article 5 entrent en vigueur en même temps que ces renvois. La présente sous-section ne contient que les Résolutions qui sont entrées en vigueur le 23 novembre 2019. Les autres Résolutions sont décrites dans la Section 3.</w:t>
      </w:r>
    </w:p>
    <w:p w14:paraId="6B28267B" w14:textId="1AD2229F" w:rsidR="0066605A" w:rsidRPr="003A4B28" w:rsidRDefault="00B20214" w:rsidP="00281B39">
      <w:pPr>
        <w:pStyle w:val="enumlev1"/>
        <w:rPr>
          <w:lang w:val="fr-FR"/>
        </w:rPr>
      </w:pPr>
      <w:r w:rsidRPr="003A4B28">
        <w:rPr>
          <w:lang w:val="fr-FR"/>
        </w:rPr>
        <w:t>•</w:t>
      </w:r>
      <w:r w:rsidRPr="003A4B28">
        <w:rPr>
          <w:lang w:val="fr-FR"/>
        </w:rPr>
        <w:tab/>
      </w:r>
      <w:r w:rsidR="0066605A" w:rsidRPr="003A4B28">
        <w:rPr>
          <w:lang w:val="fr-FR"/>
        </w:rPr>
        <w:t xml:space="preserve">La CMR-19 a modifié les Résolutions </w:t>
      </w:r>
      <w:r w:rsidR="0066605A" w:rsidRPr="003A4B28">
        <w:rPr>
          <w:b/>
          <w:bCs/>
          <w:lang w:val="fr-FR"/>
        </w:rPr>
        <w:t>12</w:t>
      </w:r>
      <w:r w:rsidR="0066605A" w:rsidRPr="00CB301A">
        <w:rPr>
          <w:bCs/>
          <w:lang w:val="fr-FR"/>
        </w:rPr>
        <w:t>,</w:t>
      </w:r>
      <w:r w:rsidR="0066605A" w:rsidRPr="003A4B28">
        <w:rPr>
          <w:b/>
          <w:bCs/>
          <w:lang w:val="fr-FR"/>
        </w:rPr>
        <w:t xml:space="preserve"> 212</w:t>
      </w:r>
      <w:r w:rsidR="0066605A" w:rsidRPr="00CB301A">
        <w:rPr>
          <w:bCs/>
          <w:lang w:val="fr-FR"/>
        </w:rPr>
        <w:t>,</w:t>
      </w:r>
      <w:r w:rsidR="0066605A" w:rsidRPr="003A4B28">
        <w:rPr>
          <w:b/>
          <w:bCs/>
          <w:lang w:val="fr-FR"/>
        </w:rPr>
        <w:t xml:space="preserve"> 224</w:t>
      </w:r>
      <w:r w:rsidR="0066605A" w:rsidRPr="00CB301A">
        <w:rPr>
          <w:bCs/>
          <w:lang w:val="fr-FR"/>
        </w:rPr>
        <w:t xml:space="preserve">, </w:t>
      </w:r>
      <w:r w:rsidR="0066605A" w:rsidRPr="003A4B28">
        <w:rPr>
          <w:b/>
          <w:bCs/>
          <w:lang w:val="fr-FR"/>
        </w:rPr>
        <w:t>229</w:t>
      </w:r>
      <w:r w:rsidR="0066605A" w:rsidRPr="00CB301A">
        <w:rPr>
          <w:bCs/>
          <w:lang w:val="fr-FR"/>
        </w:rPr>
        <w:t xml:space="preserve">, </w:t>
      </w:r>
      <w:r w:rsidR="0066605A" w:rsidRPr="003A4B28">
        <w:rPr>
          <w:b/>
          <w:bCs/>
          <w:lang w:val="fr-FR"/>
        </w:rPr>
        <w:t>344</w:t>
      </w:r>
      <w:r w:rsidR="0066605A" w:rsidRPr="00CB301A">
        <w:rPr>
          <w:bCs/>
          <w:lang w:val="fr-FR"/>
        </w:rPr>
        <w:t xml:space="preserve">, </w:t>
      </w:r>
      <w:r w:rsidR="0066605A" w:rsidRPr="003A4B28">
        <w:rPr>
          <w:b/>
          <w:bCs/>
          <w:lang w:val="fr-FR"/>
        </w:rPr>
        <w:t>349</w:t>
      </w:r>
      <w:r w:rsidR="0066605A" w:rsidRPr="00CB301A">
        <w:rPr>
          <w:bCs/>
          <w:lang w:val="fr-FR"/>
        </w:rPr>
        <w:t xml:space="preserve">, </w:t>
      </w:r>
      <w:r w:rsidR="0066605A" w:rsidRPr="003A4B28">
        <w:rPr>
          <w:b/>
          <w:bCs/>
          <w:lang w:val="fr-FR"/>
        </w:rPr>
        <w:t>356</w:t>
      </w:r>
      <w:r w:rsidR="0066605A" w:rsidRPr="00CB301A">
        <w:rPr>
          <w:bCs/>
          <w:lang w:val="fr-FR"/>
        </w:rPr>
        <w:t xml:space="preserve">, </w:t>
      </w:r>
      <w:r w:rsidR="0066605A" w:rsidRPr="003A4B28">
        <w:rPr>
          <w:b/>
          <w:bCs/>
          <w:lang w:val="fr-FR"/>
        </w:rPr>
        <w:t>361</w:t>
      </w:r>
      <w:r w:rsidR="0066605A" w:rsidRPr="00CB301A">
        <w:rPr>
          <w:bCs/>
          <w:lang w:val="fr-FR"/>
        </w:rPr>
        <w:t xml:space="preserve">, </w:t>
      </w:r>
      <w:r w:rsidR="0066605A" w:rsidRPr="003A4B28">
        <w:rPr>
          <w:b/>
          <w:bCs/>
          <w:lang w:val="fr-FR"/>
        </w:rPr>
        <w:t>418</w:t>
      </w:r>
      <w:r w:rsidR="0066605A" w:rsidRPr="00CB301A">
        <w:rPr>
          <w:bCs/>
          <w:lang w:val="fr-FR"/>
        </w:rPr>
        <w:t xml:space="preserve">, </w:t>
      </w:r>
      <w:r w:rsidR="0066605A" w:rsidRPr="003A4B28">
        <w:rPr>
          <w:b/>
          <w:bCs/>
          <w:lang w:val="fr-FR"/>
        </w:rPr>
        <w:t>517</w:t>
      </w:r>
      <w:r w:rsidR="0066605A" w:rsidRPr="00CB301A">
        <w:rPr>
          <w:bCs/>
          <w:lang w:val="fr-FR"/>
        </w:rPr>
        <w:t xml:space="preserve">, </w:t>
      </w:r>
      <w:r w:rsidR="0066605A" w:rsidRPr="003A4B28">
        <w:rPr>
          <w:b/>
          <w:bCs/>
          <w:lang w:val="fr-FR"/>
        </w:rPr>
        <w:t>535</w:t>
      </w:r>
      <w:r w:rsidR="0066605A" w:rsidRPr="00CB301A">
        <w:rPr>
          <w:bCs/>
          <w:lang w:val="fr-FR"/>
        </w:rPr>
        <w:t xml:space="preserve">, </w:t>
      </w:r>
      <w:r w:rsidR="0066605A" w:rsidRPr="003A4B28">
        <w:rPr>
          <w:b/>
          <w:bCs/>
          <w:lang w:val="fr-FR"/>
        </w:rPr>
        <w:t>543</w:t>
      </w:r>
      <w:r w:rsidR="0066605A" w:rsidRPr="00CB301A">
        <w:rPr>
          <w:bCs/>
          <w:lang w:val="fr-FR"/>
        </w:rPr>
        <w:t xml:space="preserve">, </w:t>
      </w:r>
      <w:r w:rsidR="0066605A" w:rsidRPr="003A4B28">
        <w:rPr>
          <w:b/>
          <w:bCs/>
          <w:lang w:val="fr-FR"/>
        </w:rPr>
        <w:t>550</w:t>
      </w:r>
      <w:r w:rsidR="0066605A" w:rsidRPr="00CB301A">
        <w:rPr>
          <w:bCs/>
          <w:lang w:val="fr-FR"/>
        </w:rPr>
        <w:t xml:space="preserve">, </w:t>
      </w:r>
      <w:r w:rsidR="0066605A" w:rsidRPr="003A4B28">
        <w:rPr>
          <w:b/>
          <w:bCs/>
          <w:lang w:val="fr-FR"/>
        </w:rPr>
        <w:t>646</w:t>
      </w:r>
      <w:r w:rsidR="0066605A" w:rsidRPr="00CB301A">
        <w:rPr>
          <w:bCs/>
          <w:lang w:val="fr-FR"/>
        </w:rPr>
        <w:t xml:space="preserve">, </w:t>
      </w:r>
      <w:r w:rsidR="0066605A" w:rsidRPr="003A4B28">
        <w:rPr>
          <w:b/>
          <w:bCs/>
          <w:lang w:val="fr-FR"/>
        </w:rPr>
        <w:t>647</w:t>
      </w:r>
      <w:r w:rsidR="0066605A" w:rsidRPr="00CB301A">
        <w:rPr>
          <w:bCs/>
          <w:lang w:val="fr-FR"/>
        </w:rPr>
        <w:t xml:space="preserve">, </w:t>
      </w:r>
      <w:r w:rsidR="0066605A" w:rsidRPr="003A4B28">
        <w:rPr>
          <w:b/>
          <w:bCs/>
          <w:lang w:val="fr-FR"/>
        </w:rPr>
        <w:t>731</w:t>
      </w:r>
      <w:r w:rsidR="0066605A" w:rsidRPr="00CB301A">
        <w:rPr>
          <w:bCs/>
          <w:lang w:val="fr-FR"/>
        </w:rPr>
        <w:t xml:space="preserve">, </w:t>
      </w:r>
      <w:r w:rsidR="0066605A" w:rsidRPr="003A4B28">
        <w:rPr>
          <w:b/>
          <w:bCs/>
          <w:lang w:val="fr-FR"/>
        </w:rPr>
        <w:t>748</w:t>
      </w:r>
      <w:r w:rsidR="0066605A" w:rsidRPr="00CB301A">
        <w:rPr>
          <w:bCs/>
          <w:lang w:val="fr-FR"/>
        </w:rPr>
        <w:t xml:space="preserve">, </w:t>
      </w:r>
      <w:r w:rsidR="0066605A" w:rsidRPr="003A4B28">
        <w:rPr>
          <w:b/>
          <w:bCs/>
          <w:lang w:val="fr-FR"/>
        </w:rPr>
        <w:t>749</w:t>
      </w:r>
      <w:r w:rsidR="0066605A" w:rsidRPr="003A4B28">
        <w:rPr>
          <w:lang w:val="fr-FR"/>
        </w:rPr>
        <w:t xml:space="preserve"> et </w:t>
      </w:r>
      <w:r w:rsidR="0066605A" w:rsidRPr="003A4B28">
        <w:rPr>
          <w:b/>
          <w:bCs/>
          <w:lang w:val="fr-FR"/>
        </w:rPr>
        <w:t>760</w:t>
      </w:r>
      <w:r w:rsidR="0066605A" w:rsidRPr="003A4B28">
        <w:rPr>
          <w:lang w:val="fr-FR"/>
        </w:rPr>
        <w:t>, qui concernent les services de Terre. Toutefois, ces modifications sont d'ordre rédactionnel et n'ont aucune incidence sur les activités des administrations et du BR.</w:t>
      </w:r>
    </w:p>
    <w:p w14:paraId="3E459BDF" w14:textId="4ECBB4E2" w:rsidR="0066605A" w:rsidRPr="003A4B28" w:rsidRDefault="00B20214" w:rsidP="00281B39">
      <w:pPr>
        <w:pStyle w:val="enumlev1"/>
        <w:rPr>
          <w:lang w:val="fr-FR"/>
        </w:rPr>
      </w:pPr>
      <w:r w:rsidRPr="003A4B28">
        <w:rPr>
          <w:lang w:val="fr-FR"/>
        </w:rPr>
        <w:t>•</w:t>
      </w:r>
      <w:r w:rsidRPr="003A4B28">
        <w:rPr>
          <w:lang w:val="fr-FR"/>
        </w:rPr>
        <w:tab/>
      </w:r>
      <w:r w:rsidR="0066605A" w:rsidRPr="003A4B28">
        <w:rPr>
          <w:lang w:val="fr-FR"/>
        </w:rPr>
        <w:t xml:space="preserve">La CMR-19 a abrogé les Résolutions suivantes relatives aux services de Terre – </w:t>
      </w:r>
      <w:r w:rsidR="0066605A" w:rsidRPr="003A4B28">
        <w:rPr>
          <w:b/>
          <w:bCs/>
          <w:lang w:val="fr-FR"/>
        </w:rPr>
        <w:t>236</w:t>
      </w:r>
      <w:r w:rsidR="0066605A" w:rsidRPr="00CB301A">
        <w:rPr>
          <w:bCs/>
          <w:lang w:val="fr-FR"/>
        </w:rPr>
        <w:t xml:space="preserve">, </w:t>
      </w:r>
      <w:r w:rsidR="0066605A" w:rsidRPr="003A4B28">
        <w:rPr>
          <w:b/>
          <w:bCs/>
          <w:lang w:val="fr-FR"/>
        </w:rPr>
        <w:t>237</w:t>
      </w:r>
      <w:r w:rsidR="0066605A" w:rsidRPr="00CB301A">
        <w:rPr>
          <w:bCs/>
          <w:lang w:val="fr-FR"/>
        </w:rPr>
        <w:t xml:space="preserve">, </w:t>
      </w:r>
      <w:r w:rsidR="0066605A" w:rsidRPr="003A4B28">
        <w:rPr>
          <w:b/>
          <w:bCs/>
          <w:lang w:val="fr-FR"/>
        </w:rPr>
        <w:t>238</w:t>
      </w:r>
      <w:r w:rsidR="0066605A" w:rsidRPr="00CB301A">
        <w:rPr>
          <w:bCs/>
          <w:lang w:val="fr-FR"/>
        </w:rPr>
        <w:t xml:space="preserve">, </w:t>
      </w:r>
      <w:r w:rsidR="0066605A" w:rsidRPr="003A4B28">
        <w:rPr>
          <w:b/>
          <w:bCs/>
          <w:lang w:val="fr-FR"/>
        </w:rPr>
        <w:t>239</w:t>
      </w:r>
      <w:r w:rsidR="0066605A" w:rsidRPr="00CB301A">
        <w:rPr>
          <w:bCs/>
          <w:lang w:val="fr-FR"/>
        </w:rPr>
        <w:t xml:space="preserve">, </w:t>
      </w:r>
      <w:r w:rsidR="0066605A" w:rsidRPr="003A4B28">
        <w:rPr>
          <w:b/>
          <w:bCs/>
          <w:lang w:val="fr-FR"/>
        </w:rPr>
        <w:t>359</w:t>
      </w:r>
      <w:r w:rsidR="0066605A" w:rsidRPr="00CB301A">
        <w:rPr>
          <w:bCs/>
          <w:lang w:val="fr-FR"/>
        </w:rPr>
        <w:t xml:space="preserve">, </w:t>
      </w:r>
      <w:r w:rsidR="0066605A" w:rsidRPr="003A4B28">
        <w:rPr>
          <w:b/>
          <w:bCs/>
          <w:lang w:val="fr-FR"/>
        </w:rPr>
        <w:t>360</w:t>
      </w:r>
      <w:r w:rsidR="0066605A" w:rsidRPr="00CB301A">
        <w:rPr>
          <w:bCs/>
          <w:lang w:val="fr-FR"/>
        </w:rPr>
        <w:t xml:space="preserve">, </w:t>
      </w:r>
      <w:r w:rsidR="0066605A" w:rsidRPr="003A4B28">
        <w:rPr>
          <w:b/>
          <w:bCs/>
          <w:lang w:val="fr-FR"/>
        </w:rPr>
        <w:t>362</w:t>
      </w:r>
      <w:r w:rsidR="0066605A" w:rsidRPr="00CB301A">
        <w:rPr>
          <w:bCs/>
          <w:lang w:val="fr-FR"/>
        </w:rPr>
        <w:t xml:space="preserve">, </w:t>
      </w:r>
      <w:r w:rsidR="0066605A" w:rsidRPr="003A4B28">
        <w:rPr>
          <w:b/>
          <w:bCs/>
          <w:lang w:val="fr-FR"/>
        </w:rPr>
        <w:t>426</w:t>
      </w:r>
      <w:r w:rsidR="0066605A" w:rsidRPr="00CB301A">
        <w:rPr>
          <w:bCs/>
          <w:lang w:val="fr-FR"/>
        </w:rPr>
        <w:t xml:space="preserve">, </w:t>
      </w:r>
      <w:r w:rsidR="0066605A" w:rsidRPr="003A4B28">
        <w:rPr>
          <w:b/>
          <w:bCs/>
          <w:lang w:val="fr-FR"/>
        </w:rPr>
        <w:t>641</w:t>
      </w:r>
      <w:r w:rsidR="0066605A" w:rsidRPr="00CB301A">
        <w:rPr>
          <w:bCs/>
          <w:lang w:val="fr-FR"/>
        </w:rPr>
        <w:t xml:space="preserve">, </w:t>
      </w:r>
      <w:r w:rsidR="0066605A" w:rsidRPr="003A4B28">
        <w:rPr>
          <w:b/>
          <w:bCs/>
          <w:lang w:val="fr-FR"/>
        </w:rPr>
        <w:t>658</w:t>
      </w:r>
      <w:r w:rsidR="0066605A" w:rsidRPr="00CB301A">
        <w:rPr>
          <w:bCs/>
          <w:lang w:val="fr-FR"/>
        </w:rPr>
        <w:t xml:space="preserve">, </w:t>
      </w:r>
      <w:r w:rsidR="0066605A" w:rsidRPr="003A4B28">
        <w:rPr>
          <w:b/>
          <w:bCs/>
          <w:lang w:val="fr-FR"/>
        </w:rPr>
        <w:t>763</w:t>
      </w:r>
      <w:r w:rsidR="0066605A" w:rsidRPr="00CB301A">
        <w:rPr>
          <w:bCs/>
          <w:lang w:val="fr-FR"/>
        </w:rPr>
        <w:t xml:space="preserve">, </w:t>
      </w:r>
      <w:r w:rsidR="0066605A" w:rsidRPr="003A4B28">
        <w:rPr>
          <w:b/>
          <w:bCs/>
          <w:lang w:val="fr-FR"/>
        </w:rPr>
        <w:t>764</w:t>
      </w:r>
      <w:r w:rsidR="0066605A" w:rsidRPr="003A4B28">
        <w:rPr>
          <w:lang w:val="fr-FR"/>
        </w:rPr>
        <w:t xml:space="preserve"> </w:t>
      </w:r>
      <w:r w:rsidRPr="003A4B28">
        <w:rPr>
          <w:lang w:val="fr-FR"/>
        </w:rPr>
        <w:t>et</w:t>
      </w:r>
      <w:r w:rsidR="0066605A" w:rsidRPr="003A4B28">
        <w:rPr>
          <w:lang w:val="fr-FR"/>
        </w:rPr>
        <w:t xml:space="preserve"> </w:t>
      </w:r>
      <w:r w:rsidR="0066605A" w:rsidRPr="003A4B28">
        <w:rPr>
          <w:b/>
          <w:bCs/>
          <w:lang w:val="fr-FR"/>
        </w:rPr>
        <w:t>767</w:t>
      </w:r>
      <w:r w:rsidR="0066605A" w:rsidRPr="003A4B28">
        <w:rPr>
          <w:lang w:val="fr-FR"/>
        </w:rPr>
        <w:t xml:space="preserve"> –</w:t>
      </w:r>
      <w:r w:rsidR="00793884" w:rsidRPr="003A4B28">
        <w:rPr>
          <w:lang w:val="fr-FR"/>
        </w:rPr>
        <w:t xml:space="preserve"> </w:t>
      </w:r>
      <w:r w:rsidR="0066605A" w:rsidRPr="003A4B28">
        <w:rPr>
          <w:lang w:val="fr-FR"/>
        </w:rPr>
        <w:t>étant donné que les activités concernées avaient été menées à bien ou que les objectifs ne sont plus pertinents.</w:t>
      </w:r>
    </w:p>
    <w:p w14:paraId="48464B8E" w14:textId="1D5D2A1B" w:rsidR="0066605A" w:rsidRPr="003A4B28" w:rsidRDefault="0066605A" w:rsidP="00281B39">
      <w:pPr>
        <w:pStyle w:val="Headingb"/>
        <w:spacing w:before="160"/>
        <w:rPr>
          <w:lang w:val="fr-FR"/>
        </w:rPr>
      </w:pPr>
      <w:r w:rsidRPr="003A4B28">
        <w:rPr>
          <w:lang w:val="fr-FR"/>
        </w:rPr>
        <w:t>Décisions qui entreront en vigueur le 1er janvier 2021</w:t>
      </w:r>
    </w:p>
    <w:p w14:paraId="4BCD587B" w14:textId="1A251704" w:rsidR="0066605A" w:rsidRPr="003A4B28" w:rsidRDefault="0066605A" w:rsidP="00281B39">
      <w:pPr>
        <w:spacing w:before="120"/>
        <w:rPr>
          <w:szCs w:val="24"/>
          <w:lang w:val="fr-FR"/>
        </w:rPr>
      </w:pPr>
      <w:r w:rsidRPr="003A4B28">
        <w:rPr>
          <w:szCs w:val="24"/>
          <w:lang w:val="fr-FR"/>
        </w:rPr>
        <w:t>La CMR</w:t>
      </w:r>
      <w:r w:rsidRPr="003A4B28">
        <w:rPr>
          <w:szCs w:val="24"/>
          <w:lang w:val="fr-FR"/>
        </w:rPr>
        <w:noBreakHyphen/>
        <w:t>19 a apporté</w:t>
      </w:r>
      <w:r w:rsidR="00793884" w:rsidRPr="003A4B28">
        <w:rPr>
          <w:szCs w:val="24"/>
          <w:lang w:val="fr-FR"/>
        </w:rPr>
        <w:t xml:space="preserve"> </w:t>
      </w:r>
      <w:r w:rsidRPr="003A4B28">
        <w:rPr>
          <w:szCs w:val="24"/>
          <w:lang w:val="fr-FR"/>
        </w:rPr>
        <w:t>plusieurs modifications aux attributions concernant les services de Terre et aux identifications de bandes pour des applications bien précises, ainsi qu'aux conditions associées régissant l</w:t>
      </w:r>
      <w:r w:rsidR="00793884" w:rsidRPr="003A4B28">
        <w:rPr>
          <w:szCs w:val="24"/>
          <w:lang w:val="fr-FR"/>
        </w:rPr>
        <w:t>'</w:t>
      </w:r>
      <w:r w:rsidRPr="003A4B28">
        <w:rPr>
          <w:szCs w:val="24"/>
          <w:lang w:val="fr-FR"/>
        </w:rPr>
        <w:t>exploitation des services concernés.</w:t>
      </w:r>
    </w:p>
    <w:p w14:paraId="6370E30B" w14:textId="444C3E31" w:rsidR="0066605A" w:rsidRPr="00CB301A" w:rsidRDefault="0066605A" w:rsidP="00281B39">
      <w:pPr>
        <w:pStyle w:val="Headingb"/>
        <w:spacing w:before="160"/>
        <w:rPr>
          <w:i/>
          <w:lang w:val="fr-FR"/>
        </w:rPr>
      </w:pPr>
      <w:bookmarkStart w:id="1" w:name="lt_pId041"/>
      <w:r w:rsidRPr="00CB301A">
        <w:rPr>
          <w:i/>
          <w:lang w:val="fr-FR"/>
        </w:rPr>
        <w:t>Décisions de la CMR-19 relatives aux IMT</w:t>
      </w:r>
      <w:bookmarkEnd w:id="1"/>
    </w:p>
    <w:p w14:paraId="6252B592" w14:textId="60BE4AED" w:rsidR="0066605A" w:rsidRPr="003A4B28" w:rsidRDefault="00B20214" w:rsidP="00281B39">
      <w:pPr>
        <w:pStyle w:val="enumlev1"/>
        <w:rPr>
          <w:lang w:val="fr-FR"/>
        </w:rPr>
      </w:pPr>
      <w:bookmarkStart w:id="2" w:name="lt_pId042"/>
      <w:r w:rsidRPr="003A4B28">
        <w:rPr>
          <w:lang w:val="fr-FR"/>
        </w:rPr>
        <w:t>•</w:t>
      </w:r>
      <w:r w:rsidRPr="003A4B28">
        <w:rPr>
          <w:lang w:val="fr-FR"/>
        </w:rPr>
        <w:tab/>
      </w:r>
      <w:r w:rsidR="0066605A" w:rsidRPr="003A4B28">
        <w:rPr>
          <w:lang w:val="fr-FR"/>
        </w:rPr>
        <w:t xml:space="preserve">Identification à l'échelle mondiale de la </w:t>
      </w:r>
      <w:r w:rsidR="0066605A" w:rsidRPr="003A4B28">
        <w:rPr>
          <w:b/>
          <w:bCs/>
          <w:lang w:val="fr-FR"/>
        </w:rPr>
        <w:t>bande de fréquences 24,25-27,5 GHz</w:t>
      </w:r>
      <w:r w:rsidR="00CB301A">
        <w:rPr>
          <w:lang w:val="fr-FR"/>
        </w:rPr>
        <w:t xml:space="preserve"> pour les </w:t>
      </w:r>
      <w:r w:rsidR="0066605A" w:rsidRPr="003A4B28">
        <w:rPr>
          <w:lang w:val="fr-FR"/>
        </w:rPr>
        <w:t xml:space="preserve">IMT, conformément au numéro </w:t>
      </w:r>
      <w:r w:rsidR="0066605A" w:rsidRPr="003A4B28">
        <w:rPr>
          <w:b/>
          <w:bCs/>
          <w:lang w:val="fr-FR"/>
        </w:rPr>
        <w:t>5.532AB</w:t>
      </w:r>
      <w:r w:rsidR="0066605A" w:rsidRPr="003A4B28">
        <w:rPr>
          <w:lang w:val="fr-FR"/>
        </w:rPr>
        <w:t>. Attribution de la bande de fréquences 24,25</w:t>
      </w:r>
      <w:r w:rsidRPr="003A4B28">
        <w:rPr>
          <w:lang w:val="fr-FR"/>
        </w:rPr>
        <w:noBreakHyphen/>
      </w:r>
      <w:r w:rsidR="0066605A" w:rsidRPr="003A4B28">
        <w:rPr>
          <w:lang w:val="fr-FR"/>
        </w:rPr>
        <w:t>25,25 GHz au service mobile, sauf mobile aéronautique, dans les Régions 1 et 2.</w:t>
      </w:r>
      <w:r w:rsidR="00793884" w:rsidRPr="003A4B28">
        <w:rPr>
          <w:lang w:val="fr-FR"/>
        </w:rPr>
        <w:t xml:space="preserve"> </w:t>
      </w:r>
      <w:r w:rsidR="0066605A" w:rsidRPr="003A4B28">
        <w:rPr>
          <w:lang w:val="fr-FR"/>
        </w:rPr>
        <w:t xml:space="preserve">Adoption de la Résolution </w:t>
      </w:r>
      <w:r w:rsidR="0066605A" w:rsidRPr="003A4B28">
        <w:rPr>
          <w:b/>
          <w:bCs/>
          <w:lang w:val="fr-FR"/>
        </w:rPr>
        <w:t>242 (CMR-19)</w:t>
      </w:r>
      <w:r w:rsidR="0066605A" w:rsidRPr="003A4B28">
        <w:rPr>
          <w:lang w:val="fr-FR"/>
        </w:rPr>
        <w:t xml:space="preserve"> relative aux conditions d'utilisation des IMT dans la bande de fréquences 24,25-27,5 GHz</w:t>
      </w:r>
      <w:r w:rsidR="00793884" w:rsidRPr="003A4B28">
        <w:rPr>
          <w:lang w:val="fr-FR"/>
        </w:rPr>
        <w:t>,</w:t>
      </w:r>
      <w:r w:rsidR="0066605A" w:rsidRPr="003A4B28">
        <w:rPr>
          <w:lang w:val="fr-FR"/>
        </w:rPr>
        <w:t xml:space="preserve"> qui prévoit notamment que l</w:t>
      </w:r>
      <w:r w:rsidR="00793884" w:rsidRPr="003A4B28">
        <w:rPr>
          <w:lang w:val="fr-FR"/>
        </w:rPr>
        <w:t>'</w:t>
      </w:r>
      <w:r w:rsidR="0066605A" w:rsidRPr="003A4B28">
        <w:rPr>
          <w:lang w:val="fr-FR"/>
        </w:rPr>
        <w:t>utilisation des IMT est limitée aux applications du service mobile terrestre.</w:t>
      </w:r>
      <w:bookmarkEnd w:id="2"/>
    </w:p>
    <w:p w14:paraId="1A0C91E9" w14:textId="6F2ADA3F" w:rsidR="0066605A" w:rsidRPr="003A4B28" w:rsidRDefault="00B20214" w:rsidP="00281B39">
      <w:pPr>
        <w:pStyle w:val="enumlev1"/>
        <w:rPr>
          <w:b/>
          <w:lang w:val="fr-FR"/>
        </w:rPr>
      </w:pPr>
      <w:bookmarkStart w:id="3" w:name="lt_pId046"/>
      <w:r w:rsidRPr="003A4B28">
        <w:rPr>
          <w:bCs/>
          <w:lang w:val="fr-FR"/>
        </w:rPr>
        <w:tab/>
        <w:t>Établissement</w:t>
      </w:r>
      <w:r w:rsidR="0066605A" w:rsidRPr="003A4B28">
        <w:rPr>
          <w:bCs/>
          <w:lang w:val="fr-FR"/>
        </w:rPr>
        <w:t>, en vertu de la Résolution</w:t>
      </w:r>
      <w:r w:rsidR="0066605A" w:rsidRPr="003A4B28">
        <w:rPr>
          <w:b/>
          <w:lang w:val="fr-FR"/>
        </w:rPr>
        <w:t xml:space="preserve"> 750 </w:t>
      </w:r>
      <w:r w:rsidR="0066605A" w:rsidRPr="003A4B28">
        <w:rPr>
          <w:b/>
          <w:bCs/>
          <w:lang w:val="fr-FR"/>
        </w:rPr>
        <w:t>(R</w:t>
      </w:r>
      <w:r w:rsidRPr="003A4B28">
        <w:rPr>
          <w:b/>
          <w:bCs/>
          <w:lang w:val="fr-FR"/>
        </w:rPr>
        <w:t>é</w:t>
      </w:r>
      <w:r w:rsidR="00CB301A">
        <w:rPr>
          <w:b/>
          <w:bCs/>
          <w:lang w:val="fr-FR"/>
        </w:rPr>
        <w:t>v.</w:t>
      </w:r>
      <w:r w:rsidR="0066605A" w:rsidRPr="003A4B28">
        <w:rPr>
          <w:b/>
          <w:bCs/>
          <w:lang w:val="fr-FR"/>
        </w:rPr>
        <w:t>CMR-19)</w:t>
      </w:r>
      <w:r w:rsidR="0066605A" w:rsidRPr="003A4B28">
        <w:rPr>
          <w:bCs/>
          <w:lang w:val="fr-FR"/>
        </w:rPr>
        <w:t>,</w:t>
      </w:r>
      <w:r w:rsidR="0066605A" w:rsidRPr="003A4B28">
        <w:rPr>
          <w:b/>
          <w:lang w:val="fr-FR"/>
        </w:rPr>
        <w:t xml:space="preserve"> </w:t>
      </w:r>
      <w:r w:rsidR="0066605A" w:rsidRPr="003A4B28">
        <w:rPr>
          <w:bCs/>
          <w:lang w:val="fr-FR"/>
        </w:rPr>
        <w:t>de</w:t>
      </w:r>
      <w:r w:rsidR="0066605A" w:rsidRPr="003A4B28">
        <w:rPr>
          <w:b/>
          <w:lang w:val="fr-FR"/>
        </w:rPr>
        <w:t xml:space="preserve"> </w:t>
      </w:r>
      <w:r w:rsidR="0066605A" w:rsidRPr="003A4B28">
        <w:rPr>
          <w:bCs/>
          <w:lang w:val="fr-FR"/>
        </w:rPr>
        <w:t>limites de puissance obligatoires pour les rayonnements non désirés dans la bande de fréquences 23</w:t>
      </w:r>
      <w:r w:rsidRPr="003A4B28">
        <w:rPr>
          <w:bCs/>
          <w:lang w:val="fr-FR"/>
        </w:rPr>
        <w:t>,</w:t>
      </w:r>
      <w:r w:rsidR="0066605A" w:rsidRPr="003A4B28">
        <w:rPr>
          <w:bCs/>
          <w:lang w:val="fr-FR"/>
        </w:rPr>
        <w:t>6-24 GHz produits par les stations de base et les stations mobiles IMT fonctionnant dans la bande de fréquences 24</w:t>
      </w:r>
      <w:r w:rsidRPr="003A4B28">
        <w:rPr>
          <w:bCs/>
          <w:lang w:val="fr-FR"/>
        </w:rPr>
        <w:t>,</w:t>
      </w:r>
      <w:r w:rsidR="0066605A" w:rsidRPr="003A4B28">
        <w:rPr>
          <w:bCs/>
          <w:lang w:val="fr-FR"/>
        </w:rPr>
        <w:t>25-27</w:t>
      </w:r>
      <w:r w:rsidRPr="003A4B28">
        <w:rPr>
          <w:bCs/>
          <w:lang w:val="fr-FR"/>
        </w:rPr>
        <w:t>,</w:t>
      </w:r>
      <w:r w:rsidR="0066605A" w:rsidRPr="003A4B28">
        <w:rPr>
          <w:bCs/>
          <w:lang w:val="fr-FR"/>
        </w:rPr>
        <w:t>5 GHz pour protéger le SETS (passive) dans les bandes de fréquences adjacentes</w:t>
      </w:r>
      <w:bookmarkStart w:id="4" w:name="lt_pId047"/>
      <w:bookmarkEnd w:id="3"/>
      <w:r w:rsidR="0066605A" w:rsidRPr="003A4B28">
        <w:rPr>
          <w:bCs/>
          <w:lang w:val="fr-FR"/>
        </w:rPr>
        <w:t xml:space="preserve">. Ces limites sont imposées à la puissance totale rayonnée (TRP) produite par les stations IMT et sont mises en œuvre en deux </w:t>
      </w:r>
      <w:proofErr w:type="gramStart"/>
      <w:r w:rsidR="0066605A" w:rsidRPr="003A4B28">
        <w:rPr>
          <w:bCs/>
          <w:lang w:val="fr-FR"/>
        </w:rPr>
        <w:t>temps:</w:t>
      </w:r>
      <w:bookmarkEnd w:id="4"/>
      <w:proofErr w:type="gramEnd"/>
    </w:p>
    <w:p w14:paraId="6F465263" w14:textId="6504FB29" w:rsidR="0066605A" w:rsidRPr="003A4B28" w:rsidRDefault="00B20214" w:rsidP="00281B39">
      <w:pPr>
        <w:pStyle w:val="enumlev2"/>
        <w:rPr>
          <w:lang w:val="fr-FR"/>
        </w:rPr>
      </w:pPr>
      <w:r w:rsidRPr="003A4B28">
        <w:rPr>
          <w:lang w:val="fr-FR"/>
        </w:rPr>
        <w:t>–</w:t>
      </w:r>
      <w:r w:rsidRPr="003A4B28">
        <w:rPr>
          <w:lang w:val="fr-FR"/>
        </w:rPr>
        <w:tab/>
      </w:r>
      <w:r w:rsidR="0066605A" w:rsidRPr="003A4B28">
        <w:rPr>
          <w:lang w:val="fr-FR"/>
        </w:rPr>
        <w:t xml:space="preserve">Avant le 1er septembre </w:t>
      </w:r>
      <w:proofErr w:type="gramStart"/>
      <w:r w:rsidR="0066605A" w:rsidRPr="003A4B28">
        <w:rPr>
          <w:lang w:val="fr-FR"/>
        </w:rPr>
        <w:t>2027</w:t>
      </w:r>
      <w:r w:rsidR="00793884" w:rsidRPr="003A4B28">
        <w:rPr>
          <w:lang w:val="fr-FR"/>
        </w:rPr>
        <w:t>:</w:t>
      </w:r>
      <w:proofErr w:type="gramEnd"/>
      <w:r w:rsidR="0066605A" w:rsidRPr="003A4B28">
        <w:rPr>
          <w:lang w:val="fr-FR"/>
        </w:rPr>
        <w:t xml:space="preserve"> </w:t>
      </w:r>
      <w:r w:rsidRPr="003A4B28">
        <w:rPr>
          <w:lang w:val="fr-FR"/>
        </w:rPr>
        <w:t>–</w:t>
      </w:r>
      <w:r w:rsidR="0066605A" w:rsidRPr="003A4B28">
        <w:rPr>
          <w:lang w:val="fr-FR"/>
        </w:rPr>
        <w:t>33/</w:t>
      </w:r>
      <w:r w:rsidRPr="003A4B28">
        <w:rPr>
          <w:lang w:val="fr-FR"/>
        </w:rPr>
        <w:t>–</w:t>
      </w:r>
      <w:r w:rsidR="0066605A" w:rsidRPr="003A4B28">
        <w:rPr>
          <w:lang w:val="fr-FR"/>
        </w:rPr>
        <w:t>29 dB(W/200 MHz) pour les stations de base/mobiles</w:t>
      </w:r>
      <w:r w:rsidRPr="003A4B28">
        <w:rPr>
          <w:lang w:val="fr-FR"/>
        </w:rPr>
        <w:t>.</w:t>
      </w:r>
    </w:p>
    <w:p w14:paraId="094A8AB0" w14:textId="5F624F55" w:rsidR="0066605A" w:rsidRPr="003A4B28" w:rsidRDefault="00B20214" w:rsidP="00281B39">
      <w:pPr>
        <w:pStyle w:val="enumlev2"/>
        <w:rPr>
          <w:i/>
          <w:lang w:val="fr-FR"/>
        </w:rPr>
      </w:pPr>
      <w:r w:rsidRPr="003A4B28">
        <w:rPr>
          <w:lang w:val="fr-FR"/>
        </w:rPr>
        <w:t>–</w:t>
      </w:r>
      <w:r w:rsidRPr="003A4B28">
        <w:rPr>
          <w:lang w:val="fr-FR"/>
        </w:rPr>
        <w:tab/>
      </w:r>
      <w:r w:rsidR="0066605A" w:rsidRPr="003A4B28">
        <w:rPr>
          <w:lang w:val="fr-FR"/>
        </w:rPr>
        <w:t xml:space="preserve">À partir du 1er septembre </w:t>
      </w:r>
      <w:proofErr w:type="gramStart"/>
      <w:r w:rsidR="0066605A" w:rsidRPr="003A4B28">
        <w:rPr>
          <w:lang w:val="fr-FR"/>
        </w:rPr>
        <w:t>2027</w:t>
      </w:r>
      <w:r w:rsidR="00793884" w:rsidRPr="003A4B28">
        <w:rPr>
          <w:lang w:val="fr-FR"/>
        </w:rPr>
        <w:t>:</w:t>
      </w:r>
      <w:proofErr w:type="gramEnd"/>
      <w:r w:rsidR="0066605A" w:rsidRPr="003A4B28">
        <w:rPr>
          <w:lang w:val="fr-FR"/>
        </w:rPr>
        <w:t xml:space="preserve"> </w:t>
      </w:r>
      <w:r w:rsidRPr="003A4B28">
        <w:rPr>
          <w:lang w:val="fr-FR"/>
        </w:rPr>
        <w:t>–</w:t>
      </w:r>
      <w:r w:rsidR="0066605A" w:rsidRPr="003A4B28">
        <w:rPr>
          <w:lang w:val="fr-FR"/>
        </w:rPr>
        <w:t>39/</w:t>
      </w:r>
      <w:r w:rsidRPr="003A4B28">
        <w:rPr>
          <w:lang w:val="fr-FR"/>
        </w:rPr>
        <w:t>–</w:t>
      </w:r>
      <w:r w:rsidR="0066605A" w:rsidRPr="003A4B28">
        <w:rPr>
          <w:lang w:val="fr-FR"/>
        </w:rPr>
        <w:t>35 dB(W/200 MHz) pour toutes les nouvelles stations de base/mobiles.</w:t>
      </w:r>
    </w:p>
    <w:p w14:paraId="0D8C0090" w14:textId="2B386593" w:rsidR="0066605A" w:rsidRPr="003A4B28" w:rsidRDefault="00B20214" w:rsidP="00281B39">
      <w:pPr>
        <w:pStyle w:val="enumlev1"/>
        <w:rPr>
          <w:lang w:val="fr-FR"/>
        </w:rPr>
      </w:pPr>
      <w:bookmarkStart w:id="5" w:name="lt_pId050"/>
      <w:r w:rsidRPr="003A4B28">
        <w:rPr>
          <w:lang w:val="fr-FR"/>
        </w:rPr>
        <w:t>•</w:t>
      </w:r>
      <w:r w:rsidRPr="003A4B28">
        <w:rPr>
          <w:lang w:val="fr-FR"/>
        </w:rPr>
        <w:tab/>
      </w:r>
      <w:r w:rsidR="0066605A" w:rsidRPr="003A4B28">
        <w:rPr>
          <w:lang w:val="fr-FR"/>
        </w:rPr>
        <w:t xml:space="preserve">Identification à l'échelle mondiale de la </w:t>
      </w:r>
      <w:r w:rsidR="0066605A" w:rsidRPr="003A4B28">
        <w:rPr>
          <w:b/>
          <w:bCs/>
          <w:lang w:val="fr-FR"/>
        </w:rPr>
        <w:t>bande de fréquences</w:t>
      </w:r>
      <w:r w:rsidR="0066605A" w:rsidRPr="003A4B28">
        <w:rPr>
          <w:lang w:val="fr-FR"/>
        </w:rPr>
        <w:t xml:space="preserve"> </w:t>
      </w:r>
      <w:r w:rsidR="0066605A" w:rsidRPr="003A4B28">
        <w:rPr>
          <w:b/>
          <w:lang w:val="fr-FR"/>
        </w:rPr>
        <w:t>37-43</w:t>
      </w:r>
      <w:r w:rsidRPr="003A4B28">
        <w:rPr>
          <w:b/>
          <w:lang w:val="fr-FR"/>
        </w:rPr>
        <w:t>,</w:t>
      </w:r>
      <w:r w:rsidR="0066605A" w:rsidRPr="003A4B28">
        <w:rPr>
          <w:b/>
          <w:lang w:val="fr-FR"/>
        </w:rPr>
        <w:t>5 GHz</w:t>
      </w:r>
      <w:r w:rsidR="0066605A" w:rsidRPr="003A4B28">
        <w:rPr>
          <w:bCs/>
          <w:lang w:val="fr-FR"/>
        </w:rPr>
        <w:t xml:space="preserve"> pour les IMT, conformément au numéro </w:t>
      </w:r>
      <w:r w:rsidR="0066605A" w:rsidRPr="003A4B28">
        <w:rPr>
          <w:b/>
          <w:lang w:val="fr-FR"/>
        </w:rPr>
        <w:t>5.550B</w:t>
      </w:r>
      <w:r w:rsidR="0066605A" w:rsidRPr="003A4B28">
        <w:rPr>
          <w:bCs/>
          <w:lang w:val="fr-FR"/>
        </w:rPr>
        <w:t>.</w:t>
      </w:r>
      <w:bookmarkEnd w:id="5"/>
      <w:r w:rsidR="0066605A" w:rsidRPr="003A4B28">
        <w:rPr>
          <w:bCs/>
          <w:lang w:val="fr-FR"/>
        </w:rPr>
        <w:t xml:space="preserve"> </w:t>
      </w:r>
      <w:bookmarkStart w:id="6" w:name="lt_pId051"/>
      <w:r w:rsidR="0066605A" w:rsidRPr="003A4B28">
        <w:rPr>
          <w:lang w:val="fr-FR"/>
        </w:rPr>
        <w:t>Relèvement au statut primaire de l'attribution à titre secondaire au service mobile terrestre dans la bande de fréquences 40,5-42,5 GHz</w:t>
      </w:r>
      <w:bookmarkStart w:id="7" w:name="lt_pId052"/>
      <w:bookmarkEnd w:id="6"/>
      <w:r w:rsidR="0066605A" w:rsidRPr="003A4B28">
        <w:rPr>
          <w:lang w:val="fr-FR"/>
        </w:rPr>
        <w:t>.</w:t>
      </w:r>
      <w:bookmarkEnd w:id="7"/>
      <w:r w:rsidR="0066605A" w:rsidRPr="003A4B28">
        <w:rPr>
          <w:lang w:val="fr-FR"/>
        </w:rPr>
        <w:t xml:space="preserve"> </w:t>
      </w:r>
      <w:bookmarkStart w:id="8" w:name="lt_pId053"/>
      <w:r w:rsidR="0066605A" w:rsidRPr="003A4B28">
        <w:rPr>
          <w:lang w:val="fr-FR"/>
        </w:rPr>
        <w:t>L'utilisation des IMT dans cette bande de fréquences doi</w:t>
      </w:r>
      <w:r w:rsidR="00CB301A">
        <w:rPr>
          <w:lang w:val="fr-FR"/>
        </w:rPr>
        <w:t>t être conforme à la Résolution </w:t>
      </w:r>
      <w:r w:rsidR="0066605A" w:rsidRPr="003A4B28">
        <w:rPr>
          <w:b/>
          <w:bCs/>
          <w:lang w:val="fr-FR"/>
        </w:rPr>
        <w:t>243 (CMR-19)</w:t>
      </w:r>
      <w:r w:rsidR="0066605A" w:rsidRPr="003A4B28">
        <w:rPr>
          <w:lang w:val="fr-FR"/>
        </w:rPr>
        <w:t xml:space="preserve"> et est limitée aux applications du service mobile terrestre.</w:t>
      </w:r>
      <w:r w:rsidR="00793884" w:rsidRPr="003A4B28">
        <w:rPr>
          <w:lang w:val="fr-FR"/>
        </w:rPr>
        <w:t xml:space="preserve"> </w:t>
      </w:r>
      <w:r w:rsidR="0066605A" w:rsidRPr="003A4B28">
        <w:rPr>
          <w:lang w:val="fr-FR"/>
        </w:rPr>
        <w:t>Aux termes de cette Résolution, des limites de puissance sont imposées aux rayonnements non désirés dans la bande de fréquences 36-37 GHz produits par les stations de base et les stations mobiles IMT</w:t>
      </w:r>
      <w:r w:rsidR="00793884" w:rsidRPr="003A4B28">
        <w:rPr>
          <w:lang w:val="fr-FR"/>
        </w:rPr>
        <w:t xml:space="preserve"> </w:t>
      </w:r>
      <w:r w:rsidR="0066605A" w:rsidRPr="003A4B28">
        <w:rPr>
          <w:lang w:val="fr-FR"/>
        </w:rPr>
        <w:t>dans la bande de fréquences 37-40,5 GHz</w:t>
      </w:r>
      <w:r w:rsidR="0066605A" w:rsidRPr="003A4B28">
        <w:rPr>
          <w:bCs/>
          <w:lang w:val="fr-FR"/>
        </w:rPr>
        <w:t xml:space="preserve"> pour protéger le SETS (passive) dans les bandes de fréquences adjacentes</w:t>
      </w:r>
      <w:r w:rsidR="0066605A" w:rsidRPr="003A4B28">
        <w:rPr>
          <w:lang w:val="fr-FR"/>
        </w:rPr>
        <w:t>.</w:t>
      </w:r>
      <w:bookmarkEnd w:id="8"/>
    </w:p>
    <w:p w14:paraId="0E9E84D5" w14:textId="172713DA" w:rsidR="0066605A" w:rsidRPr="003A4B28" w:rsidRDefault="00B20214" w:rsidP="00281B39">
      <w:pPr>
        <w:pStyle w:val="enumlev1"/>
        <w:rPr>
          <w:lang w:val="fr-FR"/>
        </w:rPr>
      </w:pPr>
      <w:bookmarkStart w:id="9" w:name="lt_pId055"/>
      <w:r w:rsidRPr="003A4B28">
        <w:rPr>
          <w:bCs/>
          <w:lang w:val="fr-FR"/>
        </w:rPr>
        <w:t>•</w:t>
      </w:r>
      <w:r w:rsidRPr="003A4B28">
        <w:rPr>
          <w:bCs/>
          <w:lang w:val="fr-FR"/>
        </w:rPr>
        <w:tab/>
      </w:r>
      <w:r w:rsidR="0066605A" w:rsidRPr="003A4B28">
        <w:rPr>
          <w:bCs/>
          <w:lang w:val="fr-FR"/>
        </w:rPr>
        <w:t xml:space="preserve">Identification de la </w:t>
      </w:r>
      <w:r w:rsidR="0066605A" w:rsidRPr="003A4B28">
        <w:rPr>
          <w:b/>
          <w:lang w:val="fr-FR"/>
        </w:rPr>
        <w:t>bande de fréquences 45,5-47,0 GHz</w:t>
      </w:r>
      <w:r w:rsidR="0066605A" w:rsidRPr="003A4B28">
        <w:rPr>
          <w:bCs/>
          <w:lang w:val="fr-FR"/>
        </w:rPr>
        <w:t xml:space="preserve"> pour les IMT dans un certain nombre de pays sous réserve des dispositions du numéro </w:t>
      </w:r>
      <w:r w:rsidR="0066605A" w:rsidRPr="003A4B28">
        <w:rPr>
          <w:b/>
          <w:lang w:val="fr-FR"/>
        </w:rPr>
        <w:t>9.21</w:t>
      </w:r>
      <w:r w:rsidR="0066605A" w:rsidRPr="003A4B28">
        <w:rPr>
          <w:bCs/>
          <w:lang w:val="fr-FR"/>
        </w:rPr>
        <w:t>, conformément au numér</w:t>
      </w:r>
      <w:r w:rsidR="00CB301A">
        <w:rPr>
          <w:bCs/>
          <w:lang w:val="fr-FR"/>
        </w:rPr>
        <w:t>o </w:t>
      </w:r>
      <w:r w:rsidR="0066605A" w:rsidRPr="003A4B28">
        <w:rPr>
          <w:b/>
          <w:lang w:val="fr-FR"/>
        </w:rPr>
        <w:t>5.553A</w:t>
      </w:r>
      <w:r w:rsidR="0066605A" w:rsidRPr="003A4B28">
        <w:rPr>
          <w:bCs/>
          <w:lang w:val="fr-FR"/>
        </w:rPr>
        <w:t xml:space="preserve">. La Résolution </w:t>
      </w:r>
      <w:r w:rsidR="0066605A" w:rsidRPr="003A4B28">
        <w:rPr>
          <w:b/>
          <w:lang w:val="fr-FR"/>
        </w:rPr>
        <w:t>244 (CMR-19)</w:t>
      </w:r>
      <w:r w:rsidR="0066605A" w:rsidRPr="003A4B28">
        <w:rPr>
          <w:bCs/>
          <w:lang w:val="fr-FR"/>
        </w:rPr>
        <w:t xml:space="preserve"> s'applique dans cette bande.</w:t>
      </w:r>
      <w:bookmarkEnd w:id="9"/>
    </w:p>
    <w:p w14:paraId="725A87C3" w14:textId="692003A9" w:rsidR="0066605A" w:rsidRPr="003A4B28" w:rsidRDefault="00B20214" w:rsidP="00281B39">
      <w:pPr>
        <w:pStyle w:val="enumlev1"/>
        <w:rPr>
          <w:lang w:val="fr-FR"/>
        </w:rPr>
      </w:pPr>
      <w:bookmarkStart w:id="10" w:name="lt_pId057"/>
      <w:r w:rsidRPr="003A4B28">
        <w:rPr>
          <w:bCs/>
          <w:lang w:val="fr-FR"/>
        </w:rPr>
        <w:lastRenderedPageBreak/>
        <w:t>•</w:t>
      </w:r>
      <w:r w:rsidRPr="003A4B28">
        <w:rPr>
          <w:bCs/>
          <w:lang w:val="fr-FR"/>
        </w:rPr>
        <w:tab/>
      </w:r>
      <w:r w:rsidR="0066605A" w:rsidRPr="003A4B28">
        <w:rPr>
          <w:bCs/>
          <w:lang w:val="fr-FR"/>
        </w:rPr>
        <w:t xml:space="preserve">Identification de la </w:t>
      </w:r>
      <w:r w:rsidR="0066605A" w:rsidRPr="003A4B28">
        <w:rPr>
          <w:b/>
          <w:lang w:val="fr-FR"/>
        </w:rPr>
        <w:t>bande de fréquences 47,2-48,2 GHz</w:t>
      </w:r>
      <w:r w:rsidR="0066605A" w:rsidRPr="003A4B28">
        <w:rPr>
          <w:bCs/>
          <w:lang w:val="fr-FR"/>
        </w:rPr>
        <w:t xml:space="preserve"> pour les IMT dans la Région 2 et plusieurs pays des Régions 1 et 3, conformément au numéro </w:t>
      </w:r>
      <w:r w:rsidR="0066605A" w:rsidRPr="003A4B28">
        <w:rPr>
          <w:b/>
          <w:lang w:val="fr-FR"/>
        </w:rPr>
        <w:t>5.553B</w:t>
      </w:r>
      <w:r w:rsidR="0066605A" w:rsidRPr="003A4B28">
        <w:rPr>
          <w:bCs/>
          <w:lang w:val="fr-FR"/>
        </w:rPr>
        <w:t xml:space="preserve">. L'utilisation des IMT est régie par la Résolution </w:t>
      </w:r>
      <w:r w:rsidR="0066605A" w:rsidRPr="003A4B28">
        <w:rPr>
          <w:b/>
          <w:lang w:val="fr-FR"/>
        </w:rPr>
        <w:t>243 (CMR-19)</w:t>
      </w:r>
      <w:r w:rsidR="0066605A" w:rsidRPr="003A4B28">
        <w:rPr>
          <w:bCs/>
          <w:lang w:val="fr-FR"/>
        </w:rPr>
        <w:t xml:space="preserve"> et limitée aux applications du service mobile terrestre.</w:t>
      </w:r>
      <w:bookmarkEnd w:id="10"/>
    </w:p>
    <w:p w14:paraId="16174060" w14:textId="0C394EE0" w:rsidR="0066605A" w:rsidRPr="003A4B28" w:rsidRDefault="00B20214" w:rsidP="00281B39">
      <w:pPr>
        <w:pStyle w:val="enumlev1"/>
        <w:rPr>
          <w:lang w:val="fr-FR"/>
        </w:rPr>
      </w:pPr>
      <w:bookmarkStart w:id="11" w:name="lt_pId059"/>
      <w:r w:rsidRPr="003A4B28">
        <w:rPr>
          <w:lang w:val="fr-FR"/>
        </w:rPr>
        <w:t>•</w:t>
      </w:r>
      <w:r w:rsidRPr="003A4B28">
        <w:rPr>
          <w:lang w:val="fr-FR"/>
        </w:rPr>
        <w:tab/>
      </w:r>
      <w:r w:rsidR="0066605A" w:rsidRPr="003A4B28">
        <w:rPr>
          <w:lang w:val="fr-FR"/>
        </w:rPr>
        <w:t xml:space="preserve">Identification à l'échelle mondiale de la </w:t>
      </w:r>
      <w:r w:rsidR="0066605A" w:rsidRPr="003A4B28">
        <w:rPr>
          <w:b/>
          <w:bCs/>
          <w:lang w:val="fr-FR"/>
        </w:rPr>
        <w:t>bande de fréquences</w:t>
      </w:r>
      <w:r w:rsidR="0066605A" w:rsidRPr="003A4B28">
        <w:rPr>
          <w:lang w:val="fr-FR"/>
        </w:rPr>
        <w:t xml:space="preserve"> </w:t>
      </w:r>
      <w:r w:rsidR="0066605A" w:rsidRPr="003A4B28">
        <w:rPr>
          <w:b/>
          <w:lang w:val="fr-FR"/>
        </w:rPr>
        <w:t>66-71 GHz</w:t>
      </w:r>
      <w:r w:rsidR="0066605A" w:rsidRPr="003A4B28">
        <w:rPr>
          <w:bCs/>
          <w:lang w:val="fr-FR"/>
        </w:rPr>
        <w:t xml:space="preserve"> pour les IMT, conformément au numéro </w:t>
      </w:r>
      <w:r w:rsidR="0066605A" w:rsidRPr="003A4B28">
        <w:rPr>
          <w:b/>
          <w:lang w:val="fr-FR"/>
        </w:rPr>
        <w:t>5.559AA</w:t>
      </w:r>
      <w:r w:rsidR="0066605A" w:rsidRPr="003A4B28">
        <w:rPr>
          <w:lang w:val="fr-FR"/>
        </w:rPr>
        <w:t>.</w:t>
      </w:r>
      <w:bookmarkEnd w:id="11"/>
      <w:r w:rsidR="0066605A" w:rsidRPr="003A4B28">
        <w:rPr>
          <w:lang w:val="fr-FR"/>
        </w:rPr>
        <w:t xml:space="preserve"> La Résolution </w:t>
      </w:r>
      <w:r w:rsidR="0066605A" w:rsidRPr="003A4B28">
        <w:rPr>
          <w:b/>
          <w:bCs/>
          <w:lang w:val="fr-FR"/>
        </w:rPr>
        <w:t>241 (CMR-19)</w:t>
      </w:r>
      <w:r w:rsidR="0066605A" w:rsidRPr="003A4B28">
        <w:rPr>
          <w:lang w:val="fr-FR"/>
        </w:rPr>
        <w:t xml:space="preserve"> s'applique dans cette bande de fréquences et envisage, notamment, la coexistence entre les IMT et d'autres applications du service mobile, par exemple les systèmes hertziens à plusieurs gigabits.</w:t>
      </w:r>
    </w:p>
    <w:p w14:paraId="150D5228" w14:textId="77777777" w:rsidR="0066605A" w:rsidRPr="00CB301A" w:rsidRDefault="0066605A" w:rsidP="00281B39">
      <w:pPr>
        <w:pStyle w:val="Headingb"/>
        <w:spacing w:before="160"/>
        <w:rPr>
          <w:i/>
          <w:lang w:val="fr-FR"/>
        </w:rPr>
      </w:pPr>
      <w:bookmarkStart w:id="12" w:name="lt_pId061"/>
      <w:r w:rsidRPr="00CB301A">
        <w:rPr>
          <w:i/>
          <w:lang w:val="fr-FR"/>
        </w:rPr>
        <w:t>Décisions de la CMR-19 relatives aux stations HAPS</w:t>
      </w:r>
      <w:bookmarkEnd w:id="12"/>
    </w:p>
    <w:p w14:paraId="3B15939C" w14:textId="039BBA35" w:rsidR="0066605A" w:rsidRPr="003A4B28" w:rsidRDefault="00B20214" w:rsidP="00281B39">
      <w:pPr>
        <w:pStyle w:val="enumlev1"/>
        <w:rPr>
          <w:lang w:val="fr-FR"/>
        </w:rPr>
      </w:pPr>
      <w:bookmarkStart w:id="13" w:name="lt_pId062"/>
      <w:r w:rsidRPr="003A4B28">
        <w:rPr>
          <w:lang w:val="fr-FR"/>
        </w:rPr>
        <w:t>•</w:t>
      </w:r>
      <w:r w:rsidRPr="003A4B28">
        <w:rPr>
          <w:lang w:val="fr-FR"/>
        </w:rPr>
        <w:tab/>
      </w:r>
      <w:r w:rsidR="0066605A" w:rsidRPr="003A4B28">
        <w:rPr>
          <w:lang w:val="fr-FR"/>
        </w:rPr>
        <w:t xml:space="preserve">Identification de la </w:t>
      </w:r>
      <w:r w:rsidR="0066605A" w:rsidRPr="003A4B28">
        <w:rPr>
          <w:b/>
          <w:bCs/>
          <w:lang w:val="fr-FR"/>
        </w:rPr>
        <w:t>bande de fréquences 21,4-22 GHz</w:t>
      </w:r>
      <w:r w:rsidR="0066605A" w:rsidRPr="003A4B28">
        <w:rPr>
          <w:lang w:val="fr-FR"/>
        </w:rPr>
        <w:t xml:space="preserve"> pour les stations HAPS dans la Région 2, limitée au sens station HAPS vers sol, conformément au numéro </w:t>
      </w:r>
      <w:r w:rsidR="0066605A" w:rsidRPr="003A4B28">
        <w:rPr>
          <w:b/>
          <w:bCs/>
          <w:lang w:val="fr-FR"/>
        </w:rPr>
        <w:t>5.530E</w:t>
      </w:r>
      <w:r w:rsidR="0066605A" w:rsidRPr="003A4B28">
        <w:rPr>
          <w:lang w:val="fr-FR"/>
        </w:rPr>
        <w:t xml:space="preserve">. La Résolution </w:t>
      </w:r>
      <w:r w:rsidR="0066605A" w:rsidRPr="003A4B28">
        <w:rPr>
          <w:b/>
          <w:bCs/>
          <w:lang w:val="fr-FR"/>
        </w:rPr>
        <w:t>165 (CMR-19)</w:t>
      </w:r>
      <w:r w:rsidR="0066605A" w:rsidRPr="003A4B28">
        <w:rPr>
          <w:lang w:val="fr-FR"/>
        </w:rPr>
        <w:t xml:space="preserve"> s'applique dans cette bande.</w:t>
      </w:r>
      <w:bookmarkEnd w:id="13"/>
    </w:p>
    <w:p w14:paraId="5662B001" w14:textId="0E35157B" w:rsidR="0066605A" w:rsidRPr="003A4B28" w:rsidRDefault="00B20214" w:rsidP="00281B39">
      <w:pPr>
        <w:pStyle w:val="enumlev1"/>
        <w:rPr>
          <w:lang w:val="fr-FR"/>
        </w:rPr>
      </w:pPr>
      <w:bookmarkStart w:id="14" w:name="lt_pId064"/>
      <w:r w:rsidRPr="003A4B28">
        <w:rPr>
          <w:lang w:val="fr-FR"/>
        </w:rPr>
        <w:t>•</w:t>
      </w:r>
      <w:r w:rsidRPr="003A4B28">
        <w:rPr>
          <w:lang w:val="fr-FR"/>
        </w:rPr>
        <w:tab/>
      </w:r>
      <w:r w:rsidR="0066605A" w:rsidRPr="003A4B28">
        <w:rPr>
          <w:lang w:val="fr-FR"/>
        </w:rPr>
        <w:t xml:space="preserve">Identification de la </w:t>
      </w:r>
      <w:r w:rsidR="0066605A" w:rsidRPr="003A4B28">
        <w:rPr>
          <w:b/>
          <w:bCs/>
          <w:lang w:val="fr-FR"/>
        </w:rPr>
        <w:t>bande de fréquences</w:t>
      </w:r>
      <w:r w:rsidR="0066605A" w:rsidRPr="003A4B28">
        <w:rPr>
          <w:lang w:val="fr-FR"/>
        </w:rPr>
        <w:t xml:space="preserve"> </w:t>
      </w:r>
      <w:r w:rsidR="0066605A" w:rsidRPr="003A4B28">
        <w:rPr>
          <w:b/>
          <w:lang w:val="fr-FR"/>
        </w:rPr>
        <w:t>24</w:t>
      </w:r>
      <w:r w:rsidR="00E819C0" w:rsidRPr="003A4B28">
        <w:rPr>
          <w:b/>
          <w:lang w:val="fr-FR"/>
        </w:rPr>
        <w:t>,</w:t>
      </w:r>
      <w:r w:rsidR="0066605A" w:rsidRPr="003A4B28">
        <w:rPr>
          <w:b/>
          <w:lang w:val="fr-FR"/>
        </w:rPr>
        <w:t>25-27</w:t>
      </w:r>
      <w:r w:rsidR="00E819C0" w:rsidRPr="003A4B28">
        <w:rPr>
          <w:b/>
          <w:lang w:val="fr-FR"/>
        </w:rPr>
        <w:t>,</w:t>
      </w:r>
      <w:r w:rsidR="0066605A" w:rsidRPr="003A4B28">
        <w:rPr>
          <w:b/>
          <w:lang w:val="fr-FR"/>
        </w:rPr>
        <w:t>5 GHz</w:t>
      </w:r>
      <w:r w:rsidR="0066605A" w:rsidRPr="003A4B28">
        <w:rPr>
          <w:lang w:val="fr-FR"/>
        </w:rPr>
        <w:t xml:space="preserve"> pour les stations HAPS dans la Région 2, conformément aux numéros </w:t>
      </w:r>
      <w:r w:rsidR="0066605A" w:rsidRPr="003A4B28">
        <w:rPr>
          <w:b/>
          <w:lang w:val="fr-FR"/>
        </w:rPr>
        <w:t xml:space="preserve">5.532AA </w:t>
      </w:r>
      <w:r w:rsidR="0066605A" w:rsidRPr="003A4B28">
        <w:rPr>
          <w:lang w:val="fr-FR"/>
        </w:rPr>
        <w:t xml:space="preserve">et </w:t>
      </w:r>
      <w:r w:rsidR="0066605A" w:rsidRPr="003A4B28">
        <w:rPr>
          <w:b/>
          <w:lang w:val="fr-FR"/>
        </w:rPr>
        <w:t>5.534A</w:t>
      </w:r>
      <w:r w:rsidR="0066605A" w:rsidRPr="003A4B28">
        <w:rPr>
          <w:lang w:val="fr-FR"/>
        </w:rPr>
        <w:t>.</w:t>
      </w:r>
      <w:bookmarkEnd w:id="14"/>
      <w:r w:rsidR="0066605A" w:rsidRPr="003A4B28">
        <w:rPr>
          <w:lang w:val="fr-FR"/>
        </w:rPr>
        <w:t xml:space="preserve"> </w:t>
      </w:r>
      <w:bookmarkStart w:id="15" w:name="lt_pId065"/>
      <w:r w:rsidR="0066605A" w:rsidRPr="003A4B28">
        <w:rPr>
          <w:lang w:val="fr-FR"/>
        </w:rPr>
        <w:t xml:space="preserve">Attribution des bandes de fréquences 24,25-25,25 GHz au service fixe dans la Région 2, pour permettre l'identification des stations HAPS. La Résolution </w:t>
      </w:r>
      <w:r w:rsidR="0066605A" w:rsidRPr="003A4B28">
        <w:rPr>
          <w:b/>
          <w:bCs/>
          <w:lang w:val="fr-FR"/>
        </w:rPr>
        <w:t>166 (CMR-19)</w:t>
      </w:r>
      <w:r w:rsidR="0066605A" w:rsidRPr="003A4B28">
        <w:rPr>
          <w:lang w:val="fr-FR"/>
        </w:rPr>
        <w:t xml:space="preserve"> s'applique dans cette bande.</w:t>
      </w:r>
      <w:bookmarkEnd w:id="15"/>
    </w:p>
    <w:p w14:paraId="5AEC5B90" w14:textId="71728F25" w:rsidR="0066605A" w:rsidRPr="003A4B28" w:rsidRDefault="00B20214" w:rsidP="00281B39">
      <w:pPr>
        <w:pStyle w:val="enumlev1"/>
        <w:rPr>
          <w:lang w:val="fr-FR"/>
        </w:rPr>
      </w:pPr>
      <w:bookmarkStart w:id="16" w:name="lt_pId067"/>
      <w:r w:rsidRPr="003A4B28">
        <w:rPr>
          <w:lang w:val="fr-FR"/>
        </w:rPr>
        <w:t>•</w:t>
      </w:r>
      <w:r w:rsidRPr="003A4B28">
        <w:rPr>
          <w:lang w:val="fr-FR"/>
        </w:rPr>
        <w:tab/>
      </w:r>
      <w:r w:rsidR="0066605A" w:rsidRPr="003A4B28">
        <w:rPr>
          <w:lang w:val="fr-FR"/>
        </w:rPr>
        <w:t xml:space="preserve">Adjonction d'une administration au numéro </w:t>
      </w:r>
      <w:r w:rsidR="0066605A" w:rsidRPr="003A4B28">
        <w:rPr>
          <w:b/>
          <w:bCs/>
          <w:lang w:val="fr-FR"/>
        </w:rPr>
        <w:t>5.537A</w:t>
      </w:r>
      <w:r w:rsidR="0066605A" w:rsidRPr="003A4B28">
        <w:rPr>
          <w:lang w:val="fr-FR"/>
        </w:rPr>
        <w:t xml:space="preserve">, relatif à l'identification des stations HAPS dans un certain nombre de pays dans la </w:t>
      </w:r>
      <w:r w:rsidR="0066605A" w:rsidRPr="003A4B28">
        <w:rPr>
          <w:b/>
          <w:bCs/>
          <w:lang w:val="fr-FR"/>
        </w:rPr>
        <w:t>bande de fréquences 27,9-28,2 GHz</w:t>
      </w:r>
      <w:r w:rsidR="0066605A" w:rsidRPr="003A4B28">
        <w:rPr>
          <w:lang w:val="fr-FR"/>
        </w:rPr>
        <w:t xml:space="preserve">. Maintien dans la Résolution </w:t>
      </w:r>
      <w:r w:rsidR="0066605A" w:rsidRPr="003A4B28">
        <w:rPr>
          <w:b/>
          <w:bCs/>
          <w:lang w:val="fr-FR"/>
        </w:rPr>
        <w:t>145 (</w:t>
      </w:r>
      <w:r w:rsidR="00DD4226">
        <w:rPr>
          <w:b/>
          <w:bCs/>
          <w:lang w:val="fr-FR"/>
        </w:rPr>
        <w:t>Rév.CMR</w:t>
      </w:r>
      <w:r w:rsidR="0066605A" w:rsidRPr="003A4B28">
        <w:rPr>
          <w:b/>
          <w:bCs/>
          <w:lang w:val="fr-FR"/>
        </w:rPr>
        <w:t>-19)</w:t>
      </w:r>
      <w:r w:rsidR="0066605A" w:rsidRPr="003A4B28">
        <w:rPr>
          <w:lang w:val="fr-FR"/>
        </w:rPr>
        <w:t xml:space="preserve"> des conditions d'utilisation actuelles des stations HAPS dans la bande de fréquences 27,9-28,2 GHz. Suppression de la partie de cette Résolution traitant de la bande de fréquences 31-31,3 GHz.</w:t>
      </w:r>
      <w:bookmarkEnd w:id="16"/>
    </w:p>
    <w:p w14:paraId="5D403518" w14:textId="28C0F2AE" w:rsidR="0066605A" w:rsidRPr="003A4B28" w:rsidRDefault="00B20214" w:rsidP="00281B39">
      <w:pPr>
        <w:pStyle w:val="enumlev1"/>
        <w:rPr>
          <w:lang w:val="fr-FR"/>
        </w:rPr>
      </w:pPr>
      <w:bookmarkStart w:id="17" w:name="lt_pId070"/>
      <w:r w:rsidRPr="003A4B28">
        <w:rPr>
          <w:lang w:val="fr-FR"/>
        </w:rPr>
        <w:t>•</w:t>
      </w:r>
      <w:r w:rsidRPr="003A4B28">
        <w:rPr>
          <w:lang w:val="fr-FR"/>
        </w:rPr>
        <w:tab/>
      </w:r>
      <w:r w:rsidR="0066605A" w:rsidRPr="003A4B28">
        <w:rPr>
          <w:lang w:val="fr-FR"/>
        </w:rPr>
        <w:t xml:space="preserve">Identification à l'échelle mondiale de la </w:t>
      </w:r>
      <w:r w:rsidR="0066605A" w:rsidRPr="003A4B28">
        <w:rPr>
          <w:b/>
          <w:bCs/>
          <w:lang w:val="fr-FR"/>
        </w:rPr>
        <w:t>bande de fréquences 31-31</w:t>
      </w:r>
      <w:r w:rsidR="00E819C0" w:rsidRPr="003A4B28">
        <w:rPr>
          <w:b/>
          <w:bCs/>
          <w:lang w:val="fr-FR"/>
        </w:rPr>
        <w:t>,</w:t>
      </w:r>
      <w:r w:rsidR="0066605A" w:rsidRPr="003A4B28">
        <w:rPr>
          <w:b/>
          <w:bCs/>
          <w:lang w:val="fr-FR"/>
        </w:rPr>
        <w:t>3 GHz</w:t>
      </w:r>
      <w:r w:rsidR="0066605A" w:rsidRPr="003A4B28">
        <w:rPr>
          <w:lang w:val="fr-FR"/>
        </w:rPr>
        <w:t xml:space="preserve"> pour les stations HAPS, conformément au numéro </w:t>
      </w:r>
      <w:r w:rsidR="0066605A" w:rsidRPr="003A4B28">
        <w:rPr>
          <w:b/>
          <w:lang w:val="fr-FR"/>
        </w:rPr>
        <w:t>5.543B</w:t>
      </w:r>
      <w:r w:rsidR="0066605A" w:rsidRPr="003A4B28">
        <w:rPr>
          <w:lang w:val="fr-FR"/>
        </w:rPr>
        <w:t>.</w:t>
      </w:r>
      <w:bookmarkEnd w:id="17"/>
      <w:r w:rsidR="0066605A" w:rsidRPr="003A4B28">
        <w:rPr>
          <w:lang w:val="fr-FR"/>
        </w:rPr>
        <w:t xml:space="preserve"> </w:t>
      </w:r>
      <w:bookmarkStart w:id="18" w:name="lt_pId071"/>
      <w:r w:rsidR="0066605A" w:rsidRPr="003A4B28">
        <w:rPr>
          <w:lang w:val="fr-FR"/>
        </w:rPr>
        <w:t xml:space="preserve">La Résolution </w:t>
      </w:r>
      <w:r w:rsidR="0066605A" w:rsidRPr="003A4B28">
        <w:rPr>
          <w:b/>
          <w:bCs/>
          <w:lang w:val="fr-FR"/>
        </w:rPr>
        <w:t>167 (CMR-19)</w:t>
      </w:r>
      <w:r w:rsidR="0066605A" w:rsidRPr="003A4B28">
        <w:rPr>
          <w:lang w:val="fr-FR"/>
        </w:rPr>
        <w:t xml:space="preserve"> précise les conditions d'utilisation des stations HAPS dans cette bande.</w:t>
      </w:r>
      <w:bookmarkEnd w:id="18"/>
    </w:p>
    <w:p w14:paraId="3047AB69" w14:textId="2C5B12E1" w:rsidR="0066605A" w:rsidRPr="003A4B28" w:rsidRDefault="00B20214" w:rsidP="00281B39">
      <w:pPr>
        <w:pStyle w:val="enumlev1"/>
        <w:rPr>
          <w:lang w:val="fr-FR"/>
        </w:rPr>
      </w:pPr>
      <w:bookmarkStart w:id="19" w:name="lt_pId072"/>
      <w:r w:rsidRPr="003A4B28">
        <w:rPr>
          <w:lang w:val="fr-FR"/>
        </w:rPr>
        <w:t>•</w:t>
      </w:r>
      <w:r w:rsidRPr="003A4B28">
        <w:rPr>
          <w:lang w:val="fr-FR"/>
        </w:rPr>
        <w:tab/>
      </w:r>
      <w:r w:rsidR="0066605A" w:rsidRPr="003A4B28">
        <w:rPr>
          <w:lang w:val="fr-FR"/>
        </w:rPr>
        <w:t xml:space="preserve">Identification à l'échelle mondiale de la </w:t>
      </w:r>
      <w:r w:rsidR="0066605A" w:rsidRPr="003A4B28">
        <w:rPr>
          <w:b/>
          <w:bCs/>
          <w:lang w:val="fr-FR"/>
        </w:rPr>
        <w:t>bande de fréquences 38-39</w:t>
      </w:r>
      <w:r w:rsidR="00E819C0" w:rsidRPr="003A4B28">
        <w:rPr>
          <w:b/>
          <w:bCs/>
          <w:lang w:val="fr-FR"/>
        </w:rPr>
        <w:t>,</w:t>
      </w:r>
      <w:r w:rsidR="0066605A" w:rsidRPr="003A4B28">
        <w:rPr>
          <w:b/>
          <w:bCs/>
          <w:lang w:val="fr-FR"/>
        </w:rPr>
        <w:t>5 GHz</w:t>
      </w:r>
      <w:r w:rsidR="0066605A" w:rsidRPr="003A4B28">
        <w:rPr>
          <w:lang w:val="fr-FR"/>
        </w:rPr>
        <w:t xml:space="preserve"> pour les stations HAPS, conformément au numéro </w:t>
      </w:r>
      <w:r w:rsidR="0066605A" w:rsidRPr="003A4B28">
        <w:rPr>
          <w:b/>
          <w:lang w:val="fr-FR"/>
        </w:rPr>
        <w:t>5.550D</w:t>
      </w:r>
      <w:r w:rsidR="0066605A" w:rsidRPr="003A4B28">
        <w:rPr>
          <w:lang w:val="fr-FR"/>
        </w:rPr>
        <w:t>.</w:t>
      </w:r>
      <w:bookmarkEnd w:id="19"/>
      <w:r w:rsidR="0066605A" w:rsidRPr="003A4B28">
        <w:rPr>
          <w:lang w:val="fr-FR"/>
        </w:rPr>
        <w:t xml:space="preserve"> </w:t>
      </w:r>
      <w:bookmarkStart w:id="20" w:name="lt_pId073"/>
      <w:r w:rsidR="0066605A" w:rsidRPr="003A4B28">
        <w:rPr>
          <w:lang w:val="fr-FR"/>
        </w:rPr>
        <w:t xml:space="preserve">La Résolution </w:t>
      </w:r>
      <w:r w:rsidR="0066605A" w:rsidRPr="003A4B28">
        <w:rPr>
          <w:b/>
          <w:bCs/>
          <w:lang w:val="fr-FR"/>
        </w:rPr>
        <w:t>168 (CMR-19)</w:t>
      </w:r>
      <w:r w:rsidR="0066605A" w:rsidRPr="003A4B28">
        <w:rPr>
          <w:lang w:val="fr-FR"/>
        </w:rPr>
        <w:t xml:space="preserve"> précise les conditions d'utilisation des stations HAPS dans cette bande.</w:t>
      </w:r>
      <w:bookmarkEnd w:id="20"/>
    </w:p>
    <w:p w14:paraId="4887A996" w14:textId="476F3F93" w:rsidR="0066605A" w:rsidRPr="003A4B28" w:rsidRDefault="00B20214" w:rsidP="00281B39">
      <w:pPr>
        <w:pStyle w:val="enumlev1"/>
        <w:rPr>
          <w:lang w:val="fr-FR"/>
        </w:rPr>
      </w:pPr>
      <w:bookmarkStart w:id="21" w:name="lt_pId074"/>
      <w:r w:rsidRPr="003A4B28">
        <w:rPr>
          <w:lang w:val="fr-FR"/>
        </w:rPr>
        <w:t>•</w:t>
      </w:r>
      <w:r w:rsidRPr="003A4B28">
        <w:rPr>
          <w:lang w:val="fr-FR"/>
        </w:rPr>
        <w:tab/>
      </w:r>
      <w:r w:rsidR="0066605A" w:rsidRPr="003A4B28">
        <w:rPr>
          <w:lang w:val="fr-FR"/>
        </w:rPr>
        <w:t>Modification des conditions d</w:t>
      </w:r>
      <w:r w:rsidR="00793884" w:rsidRPr="003A4B28">
        <w:rPr>
          <w:lang w:val="fr-FR"/>
        </w:rPr>
        <w:t>'</w:t>
      </w:r>
      <w:r w:rsidR="0066605A" w:rsidRPr="003A4B28">
        <w:rPr>
          <w:lang w:val="fr-FR"/>
        </w:rPr>
        <w:t xml:space="preserve">exploitation des stations HAPS dans les </w:t>
      </w:r>
      <w:r w:rsidR="0066605A" w:rsidRPr="003A4B28">
        <w:rPr>
          <w:b/>
          <w:bCs/>
          <w:lang w:val="fr-FR"/>
        </w:rPr>
        <w:t>bandes de fréquences 47,2-47,5 GHz</w:t>
      </w:r>
      <w:r w:rsidR="0066605A" w:rsidRPr="003A4B28">
        <w:rPr>
          <w:lang w:val="fr-FR"/>
        </w:rPr>
        <w:t xml:space="preserve"> et </w:t>
      </w:r>
      <w:r w:rsidR="0066605A" w:rsidRPr="003A4B28">
        <w:rPr>
          <w:b/>
          <w:bCs/>
          <w:lang w:val="fr-FR"/>
        </w:rPr>
        <w:t>47,9-48,2 GHz</w:t>
      </w:r>
      <w:r w:rsidR="0066605A" w:rsidRPr="003A4B28">
        <w:rPr>
          <w:lang w:val="fr-FR"/>
        </w:rPr>
        <w:t xml:space="preserve">, conformément au numéro </w:t>
      </w:r>
      <w:r w:rsidR="0066605A" w:rsidRPr="003A4B28">
        <w:rPr>
          <w:b/>
          <w:bCs/>
          <w:lang w:val="fr-FR"/>
        </w:rPr>
        <w:t>5.552A</w:t>
      </w:r>
      <w:r w:rsidR="0066605A" w:rsidRPr="003A4B28">
        <w:rPr>
          <w:lang w:val="fr-FR"/>
        </w:rPr>
        <w:t xml:space="preserve"> révisé et à la Résolution </w:t>
      </w:r>
      <w:r w:rsidR="0066605A" w:rsidRPr="003A4B28">
        <w:rPr>
          <w:b/>
          <w:bCs/>
          <w:lang w:val="fr-FR"/>
        </w:rPr>
        <w:t>122 (</w:t>
      </w:r>
      <w:r w:rsidR="00DD4226">
        <w:rPr>
          <w:b/>
          <w:bCs/>
          <w:lang w:val="fr-FR"/>
        </w:rPr>
        <w:t>Rév.CMR</w:t>
      </w:r>
      <w:r w:rsidR="0066605A" w:rsidRPr="003A4B28">
        <w:rPr>
          <w:b/>
          <w:bCs/>
          <w:lang w:val="fr-FR"/>
        </w:rPr>
        <w:t>-19)</w:t>
      </w:r>
      <w:r w:rsidR="0066605A" w:rsidRPr="003A4B28">
        <w:rPr>
          <w:lang w:val="fr-FR"/>
        </w:rPr>
        <w:t>.</w:t>
      </w:r>
      <w:bookmarkEnd w:id="21"/>
    </w:p>
    <w:p w14:paraId="656C6223" w14:textId="6B782A8B" w:rsidR="0066605A" w:rsidRPr="003A4B28" w:rsidRDefault="00B20214" w:rsidP="00281B39">
      <w:pPr>
        <w:pStyle w:val="enumlev1"/>
        <w:rPr>
          <w:lang w:val="fr-FR"/>
        </w:rPr>
      </w:pPr>
      <w:bookmarkStart w:id="22" w:name="lt_pId075"/>
      <w:r w:rsidRPr="003A4B28">
        <w:rPr>
          <w:lang w:val="fr-FR"/>
        </w:rPr>
        <w:t>•</w:t>
      </w:r>
      <w:r w:rsidRPr="003A4B28">
        <w:rPr>
          <w:lang w:val="fr-FR"/>
        </w:rPr>
        <w:tab/>
      </w:r>
      <w:r w:rsidR="0066605A" w:rsidRPr="003A4B28">
        <w:rPr>
          <w:lang w:val="fr-FR"/>
        </w:rPr>
        <w:t>Adjonction de plusieurs nouveaux éléments de données pour la notification de stations HAPS au titre de l</w:t>
      </w:r>
      <w:r w:rsidR="00793884" w:rsidRPr="003A4B28">
        <w:rPr>
          <w:lang w:val="fr-FR"/>
        </w:rPr>
        <w:t>'</w:t>
      </w:r>
      <w:r w:rsidR="0066605A" w:rsidRPr="003A4B28">
        <w:rPr>
          <w:lang w:val="fr-FR"/>
        </w:rPr>
        <w:t xml:space="preserve">Appendice </w:t>
      </w:r>
      <w:r w:rsidR="0066605A" w:rsidRPr="003A4B28">
        <w:rPr>
          <w:b/>
          <w:bCs/>
          <w:lang w:val="fr-FR"/>
        </w:rPr>
        <w:t>4</w:t>
      </w:r>
      <w:r w:rsidR="0066605A" w:rsidRPr="003A4B28">
        <w:rPr>
          <w:lang w:val="fr-FR"/>
        </w:rPr>
        <w:t>, notamment les éléments de données 2.</w:t>
      </w:r>
      <w:proofErr w:type="gramStart"/>
      <w:r w:rsidR="00DD4226">
        <w:rPr>
          <w:lang w:val="fr-FR"/>
        </w:rPr>
        <w:t>9.e</w:t>
      </w:r>
      <w:proofErr w:type="gramEnd"/>
      <w:r w:rsidR="00DD4226">
        <w:rPr>
          <w:lang w:val="fr-FR"/>
        </w:rPr>
        <w:t>, 2.9.f, 2.9.j et </w:t>
      </w:r>
      <w:r w:rsidR="0066605A" w:rsidRPr="003A4B28">
        <w:rPr>
          <w:lang w:val="fr-FR"/>
        </w:rPr>
        <w:t>3.8.BA</w:t>
      </w:r>
      <w:bookmarkEnd w:id="22"/>
      <w:r w:rsidR="00E819C0" w:rsidRPr="003A4B28">
        <w:rPr>
          <w:lang w:val="fr-FR"/>
        </w:rPr>
        <w:t>.</w:t>
      </w:r>
    </w:p>
    <w:p w14:paraId="65A93864" w14:textId="63AD9A90" w:rsidR="0066605A" w:rsidRPr="003A4B28" w:rsidRDefault="0066605A" w:rsidP="00281B39">
      <w:pPr>
        <w:spacing w:before="120"/>
        <w:rPr>
          <w:szCs w:val="24"/>
          <w:lang w:val="fr-FR"/>
        </w:rPr>
      </w:pPr>
      <w:bookmarkStart w:id="23" w:name="lt_pId076"/>
      <w:r w:rsidRPr="003A4B28">
        <w:rPr>
          <w:szCs w:val="24"/>
          <w:lang w:val="fr-FR"/>
        </w:rPr>
        <w:t>Il convient de noter que la mise en œuvre des décisions de la CMR-19 relatives aux</w:t>
      </w:r>
      <w:r w:rsidRPr="003A4B28">
        <w:rPr>
          <w:bCs/>
          <w:szCs w:val="24"/>
          <w:lang w:val="fr-FR"/>
        </w:rPr>
        <w:t xml:space="preserve"> stations</w:t>
      </w:r>
      <w:r w:rsidRPr="003A4B28">
        <w:rPr>
          <w:szCs w:val="24"/>
          <w:lang w:val="fr-FR"/>
        </w:rPr>
        <w:t xml:space="preserve"> HAPS</w:t>
      </w:r>
      <w:r w:rsidR="00793884" w:rsidRPr="003A4B28">
        <w:rPr>
          <w:szCs w:val="24"/>
          <w:lang w:val="fr-FR"/>
        </w:rPr>
        <w:t xml:space="preserve"> </w:t>
      </w:r>
      <w:r w:rsidRPr="003A4B28">
        <w:rPr>
          <w:szCs w:val="24"/>
          <w:lang w:val="fr-FR"/>
        </w:rPr>
        <w:t>nécessite d'importants travaux de mise au point. Le BR informera les administrations de la date à laquelle il sera en mesure de traiter les soumissions au titre des</w:t>
      </w:r>
      <w:r w:rsidR="00793884" w:rsidRPr="003A4B28">
        <w:rPr>
          <w:szCs w:val="24"/>
          <w:lang w:val="fr-FR"/>
        </w:rPr>
        <w:t xml:space="preserve"> </w:t>
      </w:r>
      <w:r w:rsidRPr="003A4B28">
        <w:rPr>
          <w:szCs w:val="24"/>
          <w:lang w:val="fr-FR"/>
        </w:rPr>
        <w:t>Résolutions précitées concernant les stations</w:t>
      </w:r>
      <w:bookmarkStart w:id="24" w:name="lt_pId077"/>
      <w:bookmarkEnd w:id="23"/>
      <w:r w:rsidR="00793884" w:rsidRPr="003A4B28">
        <w:rPr>
          <w:szCs w:val="24"/>
          <w:lang w:val="fr-FR"/>
        </w:rPr>
        <w:t xml:space="preserve"> </w:t>
      </w:r>
      <w:r w:rsidRPr="003A4B28">
        <w:rPr>
          <w:szCs w:val="24"/>
          <w:lang w:val="fr-FR"/>
        </w:rPr>
        <w:t>HAPS.</w:t>
      </w:r>
      <w:bookmarkEnd w:id="24"/>
    </w:p>
    <w:p w14:paraId="23B4F968" w14:textId="1DA44BB1" w:rsidR="0066605A" w:rsidRPr="00DD4226" w:rsidRDefault="0066605A" w:rsidP="00281B39">
      <w:pPr>
        <w:pStyle w:val="Headingb"/>
        <w:spacing w:before="160"/>
        <w:rPr>
          <w:i/>
          <w:lang w:val="fr-FR"/>
        </w:rPr>
      </w:pPr>
      <w:r w:rsidRPr="00DD4226">
        <w:rPr>
          <w:i/>
          <w:lang w:val="fr-FR"/>
        </w:rPr>
        <w:t>Décisions de la CMR-19 relatives à d'autres services et applications</w:t>
      </w:r>
    </w:p>
    <w:p w14:paraId="186C7E9C" w14:textId="771CB76E" w:rsidR="0066605A" w:rsidRPr="003A4B28" w:rsidRDefault="00E819C0" w:rsidP="00281B39">
      <w:pPr>
        <w:pStyle w:val="enumlev1"/>
        <w:rPr>
          <w:lang w:val="fr-FR"/>
        </w:rPr>
      </w:pPr>
      <w:bookmarkStart w:id="25" w:name="lt_pId079"/>
      <w:r w:rsidRPr="003A4B28">
        <w:rPr>
          <w:lang w:val="fr-FR"/>
        </w:rPr>
        <w:t>•</w:t>
      </w:r>
      <w:r w:rsidRPr="003A4B28">
        <w:rPr>
          <w:lang w:val="fr-FR"/>
        </w:rPr>
        <w:tab/>
      </w:r>
      <w:r w:rsidR="0066605A" w:rsidRPr="003A4B28">
        <w:rPr>
          <w:lang w:val="fr-FR"/>
        </w:rPr>
        <w:t xml:space="preserve">Attribution de la bande de fréquences 50-52 MHz au service d'amateur dans la Région 1 et adjonction des numéros associés </w:t>
      </w:r>
      <w:r w:rsidR="0066605A" w:rsidRPr="003A4B28">
        <w:rPr>
          <w:b/>
          <w:bCs/>
          <w:lang w:val="fr-FR"/>
        </w:rPr>
        <w:t>5.166A</w:t>
      </w:r>
      <w:r w:rsidR="0066605A" w:rsidRPr="00DD4226">
        <w:rPr>
          <w:bCs/>
          <w:lang w:val="fr-FR"/>
        </w:rPr>
        <w:t>,</w:t>
      </w:r>
      <w:r w:rsidR="0066605A" w:rsidRPr="003A4B28">
        <w:rPr>
          <w:b/>
          <w:bCs/>
          <w:lang w:val="fr-FR"/>
        </w:rPr>
        <w:t xml:space="preserve"> 5.166B</w:t>
      </w:r>
      <w:r w:rsidR="0066605A" w:rsidRPr="00DD4226">
        <w:rPr>
          <w:bCs/>
          <w:lang w:val="fr-FR"/>
        </w:rPr>
        <w:t>,</w:t>
      </w:r>
      <w:r w:rsidR="0066605A" w:rsidRPr="003A4B28">
        <w:rPr>
          <w:b/>
          <w:bCs/>
          <w:lang w:val="fr-FR"/>
        </w:rPr>
        <w:t xml:space="preserve"> 5.166C</w:t>
      </w:r>
      <w:r w:rsidR="0066605A" w:rsidRPr="00DD4226">
        <w:rPr>
          <w:bCs/>
          <w:lang w:val="fr-FR"/>
        </w:rPr>
        <w:t>,</w:t>
      </w:r>
      <w:r w:rsidR="0066605A" w:rsidRPr="003A4B28">
        <w:rPr>
          <w:b/>
          <w:bCs/>
          <w:lang w:val="fr-FR"/>
        </w:rPr>
        <w:t xml:space="preserve"> 5.166D</w:t>
      </w:r>
      <w:r w:rsidR="0066605A" w:rsidRPr="00DD4226">
        <w:rPr>
          <w:bCs/>
          <w:lang w:val="fr-FR"/>
        </w:rPr>
        <w:t>,</w:t>
      </w:r>
      <w:r w:rsidR="0066605A" w:rsidRPr="003A4B28">
        <w:rPr>
          <w:b/>
          <w:bCs/>
          <w:lang w:val="fr-FR"/>
        </w:rPr>
        <w:t xml:space="preserve"> 5.166E</w:t>
      </w:r>
      <w:r w:rsidR="0066605A" w:rsidRPr="00DD4226">
        <w:rPr>
          <w:bCs/>
          <w:lang w:val="fr-FR"/>
        </w:rPr>
        <w:t>,</w:t>
      </w:r>
      <w:r w:rsidR="0066605A" w:rsidRPr="003A4B28">
        <w:rPr>
          <w:b/>
          <w:bCs/>
          <w:lang w:val="fr-FR"/>
        </w:rPr>
        <w:t xml:space="preserve"> 5.169A</w:t>
      </w:r>
      <w:r w:rsidR="0066605A" w:rsidRPr="003A4B28">
        <w:rPr>
          <w:lang w:val="fr-FR"/>
        </w:rPr>
        <w:t xml:space="preserve"> (</w:t>
      </w:r>
      <w:r w:rsidR="0066605A" w:rsidRPr="003A4B28">
        <w:rPr>
          <w:i/>
          <w:iCs/>
          <w:lang w:val="fr-FR"/>
        </w:rPr>
        <w:t>attribution de remplacement</w:t>
      </w:r>
      <w:r w:rsidR="0066605A" w:rsidRPr="003A4B28">
        <w:rPr>
          <w:lang w:val="fr-FR"/>
        </w:rPr>
        <w:t xml:space="preserve">) et </w:t>
      </w:r>
      <w:r w:rsidR="0066605A" w:rsidRPr="003A4B28">
        <w:rPr>
          <w:b/>
          <w:bCs/>
          <w:lang w:val="fr-FR"/>
        </w:rPr>
        <w:t>5.169B</w:t>
      </w:r>
      <w:r w:rsidR="0066605A" w:rsidRPr="003A4B28">
        <w:rPr>
          <w:lang w:val="fr-FR"/>
        </w:rPr>
        <w:t xml:space="preserve">. Modifications apportées aux numéros </w:t>
      </w:r>
      <w:r w:rsidR="0066605A" w:rsidRPr="003A4B28">
        <w:rPr>
          <w:b/>
          <w:bCs/>
          <w:lang w:val="fr-FR"/>
        </w:rPr>
        <w:t>5.278</w:t>
      </w:r>
      <w:r w:rsidR="00DD4226">
        <w:rPr>
          <w:lang w:val="fr-FR"/>
        </w:rPr>
        <w:t xml:space="preserve"> et </w:t>
      </w:r>
      <w:r w:rsidR="0066605A" w:rsidRPr="003A4B28">
        <w:rPr>
          <w:b/>
          <w:bCs/>
          <w:lang w:val="fr-FR"/>
        </w:rPr>
        <w:t>5.431</w:t>
      </w:r>
      <w:r w:rsidR="0066605A" w:rsidRPr="003A4B28">
        <w:rPr>
          <w:lang w:val="fr-FR"/>
        </w:rPr>
        <w:t xml:space="preserve"> relatifs au service d'amateur</w:t>
      </w:r>
      <w:bookmarkEnd w:id="25"/>
      <w:r w:rsidRPr="003A4B28">
        <w:rPr>
          <w:lang w:val="fr-FR"/>
        </w:rPr>
        <w:t>.</w:t>
      </w:r>
    </w:p>
    <w:p w14:paraId="1C042257" w14:textId="323FCEE1" w:rsidR="0066605A" w:rsidRPr="003A4B28" w:rsidRDefault="00E819C0" w:rsidP="00281B39">
      <w:pPr>
        <w:pStyle w:val="enumlev1"/>
        <w:rPr>
          <w:bCs/>
          <w:lang w:val="fr-FR"/>
        </w:rPr>
      </w:pPr>
      <w:bookmarkStart w:id="26" w:name="lt_pId081"/>
      <w:r w:rsidRPr="003A4B28">
        <w:rPr>
          <w:bCs/>
          <w:lang w:val="fr-FR"/>
        </w:rPr>
        <w:t>•</w:t>
      </w:r>
      <w:r w:rsidRPr="003A4B28">
        <w:rPr>
          <w:bCs/>
          <w:lang w:val="fr-FR"/>
        </w:rPr>
        <w:tab/>
      </w:r>
      <w:r w:rsidR="0066605A" w:rsidRPr="003A4B28">
        <w:rPr>
          <w:bCs/>
          <w:lang w:val="fr-FR"/>
        </w:rPr>
        <w:t xml:space="preserve">Modification </w:t>
      </w:r>
      <w:r w:rsidR="0066605A" w:rsidRPr="003A4B28">
        <w:rPr>
          <w:lang w:val="fr-FR"/>
        </w:rPr>
        <w:t xml:space="preserve">apportée au </w:t>
      </w:r>
      <w:r w:rsidR="0066605A" w:rsidRPr="003A4B28">
        <w:rPr>
          <w:bCs/>
          <w:lang w:val="fr-FR"/>
        </w:rPr>
        <w:t xml:space="preserve">numéro </w:t>
      </w:r>
      <w:r w:rsidR="0066605A" w:rsidRPr="003A4B28">
        <w:rPr>
          <w:b/>
          <w:lang w:val="fr-FR"/>
        </w:rPr>
        <w:t>5.279</w:t>
      </w:r>
      <w:r w:rsidR="0066605A" w:rsidRPr="003A4B28">
        <w:rPr>
          <w:bCs/>
          <w:lang w:val="fr-FR"/>
        </w:rPr>
        <w:t>, qui donne lieu à des attributions additionnelles des bandes</w:t>
      </w:r>
      <w:r w:rsidR="0066605A" w:rsidRPr="003A4B28">
        <w:rPr>
          <w:lang w:val="fr-FR"/>
        </w:rPr>
        <w:t xml:space="preserve"> de fréquences</w:t>
      </w:r>
      <w:r w:rsidR="0066605A" w:rsidRPr="003A4B28">
        <w:rPr>
          <w:bCs/>
          <w:lang w:val="fr-FR"/>
        </w:rPr>
        <w:t xml:space="preserve"> 430-435 MHz et 438-440 MHz au service mobile maritime à titre primaire et au service fixe à titre secondaire au Mexique, sous réserve de l'accord obtenu au titre du numéro </w:t>
      </w:r>
      <w:r w:rsidR="0066605A" w:rsidRPr="003A4B28">
        <w:rPr>
          <w:b/>
          <w:lang w:val="fr-FR"/>
        </w:rPr>
        <w:t>9.21</w:t>
      </w:r>
      <w:r w:rsidR="0066605A" w:rsidRPr="003A4B28">
        <w:rPr>
          <w:bCs/>
          <w:lang w:val="fr-FR"/>
        </w:rPr>
        <w:t>.</w:t>
      </w:r>
      <w:bookmarkEnd w:id="26"/>
    </w:p>
    <w:p w14:paraId="30548C5A" w14:textId="4F07B109" w:rsidR="0066605A" w:rsidRPr="003A4B28" w:rsidRDefault="00E819C0" w:rsidP="00281B39">
      <w:pPr>
        <w:pStyle w:val="enumlev1"/>
        <w:rPr>
          <w:lang w:val="fr-FR"/>
        </w:rPr>
      </w:pPr>
      <w:bookmarkStart w:id="27" w:name="lt_pId083"/>
      <w:r w:rsidRPr="003A4B28">
        <w:rPr>
          <w:bCs/>
          <w:lang w:val="fr-FR"/>
        </w:rPr>
        <w:lastRenderedPageBreak/>
        <w:t>•</w:t>
      </w:r>
      <w:r w:rsidRPr="003A4B28">
        <w:rPr>
          <w:bCs/>
          <w:lang w:val="fr-FR"/>
        </w:rPr>
        <w:tab/>
      </w:r>
      <w:r w:rsidR="0066605A" w:rsidRPr="003A4B28">
        <w:rPr>
          <w:bCs/>
          <w:lang w:val="fr-FR"/>
        </w:rPr>
        <w:t xml:space="preserve">Modification </w:t>
      </w:r>
      <w:r w:rsidR="0066605A" w:rsidRPr="003A4B28">
        <w:rPr>
          <w:lang w:val="fr-FR"/>
        </w:rPr>
        <w:t xml:space="preserve">apportée aux </w:t>
      </w:r>
      <w:r w:rsidR="0066605A" w:rsidRPr="003A4B28">
        <w:rPr>
          <w:bCs/>
          <w:lang w:val="fr-FR"/>
        </w:rPr>
        <w:t xml:space="preserve">numéros </w:t>
      </w:r>
      <w:r w:rsidR="0066605A" w:rsidRPr="003A4B28">
        <w:rPr>
          <w:b/>
          <w:lang w:val="fr-FR"/>
        </w:rPr>
        <w:t>5.308</w:t>
      </w:r>
      <w:r w:rsidR="0066605A" w:rsidRPr="00DD4226">
        <w:rPr>
          <w:lang w:val="fr-FR"/>
        </w:rPr>
        <w:t xml:space="preserve">, </w:t>
      </w:r>
      <w:r w:rsidR="0066605A" w:rsidRPr="003A4B28">
        <w:rPr>
          <w:b/>
          <w:lang w:val="fr-FR"/>
        </w:rPr>
        <w:t>5.308A</w:t>
      </w:r>
      <w:r w:rsidR="0066605A" w:rsidRPr="00DD4226">
        <w:rPr>
          <w:lang w:val="fr-FR"/>
        </w:rPr>
        <w:t xml:space="preserve">, </w:t>
      </w:r>
      <w:r w:rsidR="0066605A" w:rsidRPr="003A4B28">
        <w:rPr>
          <w:b/>
          <w:lang w:val="fr-FR"/>
        </w:rPr>
        <w:t>5.429D</w:t>
      </w:r>
      <w:r w:rsidR="0066605A" w:rsidRPr="00DD4226">
        <w:rPr>
          <w:lang w:val="fr-FR"/>
        </w:rPr>
        <w:t xml:space="preserve">, </w:t>
      </w:r>
      <w:r w:rsidR="0066605A" w:rsidRPr="003A4B28">
        <w:rPr>
          <w:b/>
          <w:lang w:val="fr-FR"/>
        </w:rPr>
        <w:t>5.429F</w:t>
      </w:r>
      <w:r w:rsidR="0066605A" w:rsidRPr="00DD4226">
        <w:rPr>
          <w:lang w:val="fr-FR"/>
        </w:rPr>
        <w:t xml:space="preserve">, </w:t>
      </w:r>
      <w:r w:rsidR="0066605A" w:rsidRPr="003A4B28">
        <w:rPr>
          <w:b/>
          <w:lang w:val="fr-FR"/>
        </w:rPr>
        <w:t>5.432B</w:t>
      </w:r>
      <w:r w:rsidR="0066605A" w:rsidRPr="00DD4226">
        <w:rPr>
          <w:lang w:val="fr-FR"/>
        </w:rPr>
        <w:t xml:space="preserve">, </w:t>
      </w:r>
      <w:r w:rsidR="0066605A" w:rsidRPr="003A4B28">
        <w:rPr>
          <w:b/>
          <w:lang w:val="fr-FR"/>
        </w:rPr>
        <w:t>5.434</w:t>
      </w:r>
      <w:r w:rsidR="00793884" w:rsidRPr="003A4B28">
        <w:rPr>
          <w:b/>
          <w:lang w:val="fr-FR"/>
        </w:rPr>
        <w:t xml:space="preserve"> </w:t>
      </w:r>
      <w:r w:rsidR="00DD4226">
        <w:rPr>
          <w:bCs/>
          <w:lang w:val="fr-FR"/>
        </w:rPr>
        <w:t>et </w:t>
      </w:r>
      <w:r w:rsidR="0066605A" w:rsidRPr="003A4B28">
        <w:rPr>
          <w:b/>
          <w:lang w:val="fr-FR"/>
        </w:rPr>
        <w:t>5.447</w:t>
      </w:r>
      <w:r w:rsidR="0066605A" w:rsidRPr="0030578F">
        <w:rPr>
          <w:lang w:val="fr-FR"/>
        </w:rPr>
        <w:t xml:space="preserve">, </w:t>
      </w:r>
      <w:r w:rsidR="0066605A" w:rsidRPr="003A4B28">
        <w:rPr>
          <w:bCs/>
          <w:lang w:val="fr-FR"/>
        </w:rPr>
        <w:t xml:space="preserve">qui entraîne la modification de la liste des administrations dont les </w:t>
      </w:r>
      <w:r w:rsidR="0066605A" w:rsidRPr="003A4B28">
        <w:rPr>
          <w:lang w:val="fr-FR"/>
        </w:rPr>
        <w:t>stations du service mobile</w:t>
      </w:r>
      <w:r w:rsidR="00793884" w:rsidRPr="003A4B28">
        <w:rPr>
          <w:lang w:val="fr-FR"/>
        </w:rPr>
        <w:t xml:space="preserve"> </w:t>
      </w:r>
      <w:r w:rsidR="0066605A" w:rsidRPr="003A4B28">
        <w:rPr>
          <w:lang w:val="fr-FR"/>
        </w:rPr>
        <w:t xml:space="preserve">sont assujetties à l'accord obtenu au titre du numéro </w:t>
      </w:r>
      <w:r w:rsidR="0066605A" w:rsidRPr="003A4B28">
        <w:rPr>
          <w:b/>
          <w:bCs/>
          <w:lang w:val="fr-FR"/>
        </w:rPr>
        <w:t>9.21</w:t>
      </w:r>
      <w:r w:rsidR="0066605A" w:rsidRPr="003A4B28">
        <w:rPr>
          <w:lang w:val="fr-FR"/>
        </w:rPr>
        <w:t>.</w:t>
      </w:r>
      <w:bookmarkEnd w:id="27"/>
    </w:p>
    <w:p w14:paraId="36993455" w14:textId="77A9228C" w:rsidR="0066605A" w:rsidRPr="003A4B28" w:rsidRDefault="00E819C0" w:rsidP="00281B39">
      <w:pPr>
        <w:pStyle w:val="enumlev1"/>
        <w:rPr>
          <w:lang w:val="fr-FR"/>
        </w:rPr>
      </w:pPr>
      <w:bookmarkStart w:id="28" w:name="lt_pId084"/>
      <w:r w:rsidRPr="003A4B28">
        <w:rPr>
          <w:bCs/>
          <w:lang w:val="fr-FR"/>
        </w:rPr>
        <w:t>•</w:t>
      </w:r>
      <w:r w:rsidRPr="003A4B28">
        <w:rPr>
          <w:bCs/>
          <w:lang w:val="fr-FR"/>
        </w:rPr>
        <w:tab/>
      </w:r>
      <w:r w:rsidR="0066605A" w:rsidRPr="003A4B28">
        <w:rPr>
          <w:bCs/>
          <w:lang w:val="fr-FR"/>
        </w:rPr>
        <w:t xml:space="preserve">Modifications </w:t>
      </w:r>
      <w:r w:rsidR="0066605A" w:rsidRPr="003A4B28">
        <w:rPr>
          <w:lang w:val="fr-FR"/>
        </w:rPr>
        <w:t>apportées aux</w:t>
      </w:r>
      <w:r w:rsidR="0066605A" w:rsidRPr="003A4B28">
        <w:rPr>
          <w:bCs/>
          <w:lang w:val="fr-FR"/>
        </w:rPr>
        <w:t xml:space="preserve"> numéros </w:t>
      </w:r>
      <w:r w:rsidR="0066605A" w:rsidRPr="003A4B28">
        <w:rPr>
          <w:b/>
          <w:lang w:val="fr-FR"/>
        </w:rPr>
        <w:t>5.312</w:t>
      </w:r>
      <w:r w:rsidR="0066605A" w:rsidRPr="003A4B28">
        <w:rPr>
          <w:bCs/>
          <w:lang w:val="fr-FR"/>
        </w:rPr>
        <w:t xml:space="preserve"> et </w:t>
      </w:r>
      <w:r w:rsidR="0066605A" w:rsidRPr="003A4B28">
        <w:rPr>
          <w:b/>
          <w:lang w:val="fr-FR"/>
        </w:rPr>
        <w:t>5.323</w:t>
      </w:r>
      <w:r w:rsidR="0066605A" w:rsidRPr="003A4B28">
        <w:rPr>
          <w:bCs/>
          <w:lang w:val="fr-FR"/>
        </w:rPr>
        <w:t xml:space="preserve"> relatifs</w:t>
      </w:r>
      <w:r w:rsidR="00DD4226">
        <w:rPr>
          <w:bCs/>
          <w:lang w:val="fr-FR"/>
        </w:rPr>
        <w:t xml:space="preserve"> aux attributions au service de </w:t>
      </w:r>
      <w:r w:rsidR="0066605A" w:rsidRPr="003A4B28">
        <w:rPr>
          <w:bCs/>
          <w:lang w:val="fr-FR"/>
        </w:rPr>
        <w:t>radionavigation aéronautique dans les bandes</w:t>
      </w:r>
      <w:r w:rsidR="0066605A" w:rsidRPr="003A4B28">
        <w:rPr>
          <w:lang w:val="fr-FR"/>
        </w:rPr>
        <w:t xml:space="preserve"> de fréquences</w:t>
      </w:r>
      <w:r w:rsidR="00DD4226">
        <w:rPr>
          <w:bCs/>
          <w:lang w:val="fr-FR"/>
        </w:rPr>
        <w:t xml:space="preserve"> 645-862 MHz et </w:t>
      </w:r>
      <w:r w:rsidR="0066605A" w:rsidRPr="003A4B28">
        <w:rPr>
          <w:bCs/>
          <w:lang w:val="fr-FR"/>
        </w:rPr>
        <w:t>862</w:t>
      </w:r>
      <w:r w:rsidRPr="003A4B28">
        <w:rPr>
          <w:bCs/>
          <w:lang w:val="fr-FR"/>
        </w:rPr>
        <w:noBreakHyphen/>
      </w:r>
      <w:r w:rsidR="0066605A" w:rsidRPr="003A4B28">
        <w:rPr>
          <w:bCs/>
          <w:lang w:val="fr-FR"/>
        </w:rPr>
        <w:t>925</w:t>
      </w:r>
      <w:r w:rsidRPr="003A4B28">
        <w:rPr>
          <w:bCs/>
          <w:lang w:val="fr-FR"/>
        </w:rPr>
        <w:t> </w:t>
      </w:r>
      <w:r w:rsidR="0066605A" w:rsidRPr="003A4B28">
        <w:rPr>
          <w:bCs/>
          <w:lang w:val="fr-FR"/>
        </w:rPr>
        <w:t>MHz respectivement. Ces modifications consistent à modifier les limites pour les bandes de fréquences et les noms de pays figurant dans ces renvois.</w:t>
      </w:r>
      <w:r w:rsidR="0066605A" w:rsidRPr="003A4B28">
        <w:rPr>
          <w:lang w:val="fr-FR"/>
        </w:rPr>
        <w:t xml:space="preserve"> </w:t>
      </w:r>
      <w:r w:rsidR="0066605A" w:rsidRPr="003A4B28">
        <w:rPr>
          <w:bCs/>
          <w:lang w:val="fr-FR"/>
        </w:rPr>
        <w:t xml:space="preserve">Elles ont des incidences sur l'application du numéro </w:t>
      </w:r>
      <w:r w:rsidR="0066605A" w:rsidRPr="003A4B28">
        <w:rPr>
          <w:b/>
          <w:lang w:val="fr-FR"/>
        </w:rPr>
        <w:t>9.21</w:t>
      </w:r>
      <w:r w:rsidR="0066605A" w:rsidRPr="003A4B28">
        <w:rPr>
          <w:bCs/>
          <w:lang w:val="fr-FR"/>
        </w:rPr>
        <w:t xml:space="preserve"> aux stations assujetties aux dispositions des numéros </w:t>
      </w:r>
      <w:r w:rsidR="0066605A" w:rsidRPr="003A4B28">
        <w:rPr>
          <w:b/>
          <w:lang w:val="fr-FR"/>
        </w:rPr>
        <w:t>5.312A</w:t>
      </w:r>
      <w:r w:rsidR="0066605A" w:rsidRPr="003A4B28">
        <w:rPr>
          <w:bCs/>
          <w:lang w:val="fr-FR"/>
        </w:rPr>
        <w:t xml:space="preserve"> et </w:t>
      </w:r>
      <w:r w:rsidR="0066605A" w:rsidRPr="003A4B28">
        <w:rPr>
          <w:b/>
          <w:lang w:val="fr-FR"/>
        </w:rPr>
        <w:t>5.316B</w:t>
      </w:r>
      <w:r w:rsidR="0066605A" w:rsidRPr="003A4B28">
        <w:rPr>
          <w:bCs/>
          <w:lang w:val="fr-FR"/>
        </w:rPr>
        <w:t>.</w:t>
      </w:r>
      <w:bookmarkEnd w:id="28"/>
      <w:r w:rsidR="00793884" w:rsidRPr="003A4B28">
        <w:rPr>
          <w:bCs/>
          <w:lang w:val="fr-FR"/>
        </w:rPr>
        <w:t xml:space="preserve"> </w:t>
      </w:r>
    </w:p>
    <w:p w14:paraId="063D4CD2" w14:textId="3126A50F" w:rsidR="0066605A" w:rsidRPr="003A4B28" w:rsidRDefault="00E819C0" w:rsidP="00281B39">
      <w:pPr>
        <w:pStyle w:val="enumlev1"/>
        <w:rPr>
          <w:lang w:val="fr-FR"/>
        </w:rPr>
      </w:pPr>
      <w:bookmarkStart w:id="29" w:name="lt_pId087"/>
      <w:r w:rsidRPr="003A4B28">
        <w:rPr>
          <w:lang w:val="fr-FR"/>
        </w:rPr>
        <w:t>•</w:t>
      </w:r>
      <w:r w:rsidRPr="003A4B28">
        <w:rPr>
          <w:lang w:val="fr-FR"/>
        </w:rPr>
        <w:tab/>
      </w:r>
      <w:r w:rsidR="0066605A" w:rsidRPr="003A4B28">
        <w:rPr>
          <w:lang w:val="fr-FR"/>
        </w:rPr>
        <w:t xml:space="preserve">Établissement des conditions régissant la coexistence entre les IMT et le service de radiodiffusion par satellite (sonore) dans la bande de fréquences 1 452-1 492 MHz dans les Régions 1 et 3 dans le cadre de la Résolution </w:t>
      </w:r>
      <w:r w:rsidR="0066605A" w:rsidRPr="003A4B28">
        <w:rPr>
          <w:b/>
          <w:bCs/>
          <w:lang w:val="fr-FR"/>
        </w:rPr>
        <w:t>761 (</w:t>
      </w:r>
      <w:r w:rsidR="00DD4226">
        <w:rPr>
          <w:b/>
          <w:bCs/>
          <w:lang w:val="fr-FR"/>
        </w:rPr>
        <w:t>Rév.CMR</w:t>
      </w:r>
      <w:r w:rsidR="0066605A" w:rsidRPr="003A4B28">
        <w:rPr>
          <w:b/>
          <w:bCs/>
          <w:lang w:val="fr-FR"/>
        </w:rPr>
        <w:t>-19)</w:t>
      </w:r>
      <w:r w:rsidR="0066605A" w:rsidRPr="003A4B28">
        <w:rPr>
          <w:lang w:val="fr-FR"/>
        </w:rPr>
        <w:t xml:space="preserve">. Ces conditions comprennent une limite de puissance surfacique applicable aux stations IMT pour protéger les stations de réception du SRS. Cette limite pourrait être utilisée pour la coordination des émetteurs de Terre avec le SRS au titre </w:t>
      </w:r>
      <w:bookmarkStart w:id="30" w:name="lt_pId089"/>
      <w:bookmarkEnd w:id="29"/>
      <w:r w:rsidR="0066605A" w:rsidRPr="003A4B28">
        <w:rPr>
          <w:lang w:val="fr-FR"/>
        </w:rPr>
        <w:t xml:space="preserve">du numéro </w:t>
      </w:r>
      <w:r w:rsidR="0066605A" w:rsidRPr="003A4B28">
        <w:rPr>
          <w:b/>
          <w:bCs/>
          <w:lang w:val="fr-FR"/>
        </w:rPr>
        <w:t>9.19</w:t>
      </w:r>
      <w:r w:rsidR="0066605A" w:rsidRPr="003A4B28">
        <w:rPr>
          <w:lang w:val="fr-FR"/>
        </w:rPr>
        <w:t>.</w:t>
      </w:r>
      <w:bookmarkEnd w:id="30"/>
    </w:p>
    <w:p w14:paraId="78B8C524" w14:textId="682A0AAB" w:rsidR="0066605A" w:rsidRPr="003A4B28" w:rsidRDefault="00E819C0" w:rsidP="00281B39">
      <w:pPr>
        <w:pStyle w:val="enumlev1"/>
        <w:rPr>
          <w:lang w:val="fr-FR"/>
        </w:rPr>
      </w:pPr>
      <w:bookmarkStart w:id="31" w:name="lt_pId090"/>
      <w:r w:rsidRPr="003A4B28">
        <w:rPr>
          <w:bCs/>
          <w:lang w:val="fr-FR"/>
        </w:rPr>
        <w:t>•</w:t>
      </w:r>
      <w:r w:rsidRPr="003A4B28">
        <w:rPr>
          <w:bCs/>
          <w:lang w:val="fr-FR"/>
        </w:rPr>
        <w:tab/>
      </w:r>
      <w:r w:rsidR="0066605A" w:rsidRPr="003A4B28">
        <w:rPr>
          <w:bCs/>
          <w:lang w:val="fr-FR"/>
        </w:rPr>
        <w:t xml:space="preserve">Modification </w:t>
      </w:r>
      <w:r w:rsidR="0066605A" w:rsidRPr="003A4B28">
        <w:rPr>
          <w:lang w:val="fr-FR"/>
        </w:rPr>
        <w:t xml:space="preserve">apportée au </w:t>
      </w:r>
      <w:r w:rsidR="0066605A" w:rsidRPr="003A4B28">
        <w:rPr>
          <w:bCs/>
          <w:lang w:val="fr-FR"/>
        </w:rPr>
        <w:t xml:space="preserve">numéro </w:t>
      </w:r>
      <w:r w:rsidR="0066605A" w:rsidRPr="003A4B28">
        <w:rPr>
          <w:b/>
          <w:lang w:val="fr-FR"/>
        </w:rPr>
        <w:t>5.453</w:t>
      </w:r>
      <w:r w:rsidR="0066605A" w:rsidRPr="003A4B28">
        <w:rPr>
          <w:bCs/>
          <w:lang w:val="fr-FR"/>
        </w:rPr>
        <w:t>, qui donne lieu à l</w:t>
      </w:r>
      <w:r w:rsidR="00793884" w:rsidRPr="003A4B28">
        <w:rPr>
          <w:bCs/>
          <w:lang w:val="fr-FR"/>
        </w:rPr>
        <w:t>'</w:t>
      </w:r>
      <w:r w:rsidR="0066605A" w:rsidRPr="003A4B28">
        <w:rPr>
          <w:bCs/>
          <w:lang w:val="fr-FR"/>
        </w:rPr>
        <w:t>adjonction</w:t>
      </w:r>
      <w:r w:rsidR="0066605A" w:rsidRPr="003A4B28">
        <w:rPr>
          <w:lang w:val="fr-FR"/>
        </w:rPr>
        <w:t xml:space="preserve"> </w:t>
      </w:r>
      <w:r w:rsidR="0066605A" w:rsidRPr="003A4B28">
        <w:rPr>
          <w:bCs/>
          <w:lang w:val="fr-FR"/>
        </w:rPr>
        <w:t>d'une attribution au service fixe dans la bande de fréquences 5 725-5 850 MHz dans certains pays,</w:t>
      </w:r>
      <w:r w:rsidR="0066605A" w:rsidRPr="003A4B28">
        <w:rPr>
          <w:lang w:val="fr-FR"/>
        </w:rPr>
        <w:t xml:space="preserve"> sous réserve qu'il n'en résulte pas de brouillage</w:t>
      </w:r>
      <w:bookmarkEnd w:id="31"/>
      <w:r w:rsidRPr="003A4B28">
        <w:rPr>
          <w:lang w:val="fr-FR"/>
        </w:rPr>
        <w:t>.</w:t>
      </w:r>
    </w:p>
    <w:p w14:paraId="636FE066" w14:textId="1FBFB8E6" w:rsidR="0066605A" w:rsidRPr="003A4B28" w:rsidRDefault="00E819C0" w:rsidP="00281B39">
      <w:pPr>
        <w:pStyle w:val="enumlev1"/>
        <w:rPr>
          <w:lang w:val="fr-FR"/>
        </w:rPr>
      </w:pPr>
      <w:bookmarkStart w:id="32" w:name="lt_pId091"/>
      <w:r w:rsidRPr="003A4B28">
        <w:rPr>
          <w:bCs/>
          <w:lang w:val="fr-FR"/>
        </w:rPr>
        <w:t>•</w:t>
      </w:r>
      <w:r w:rsidRPr="003A4B28">
        <w:rPr>
          <w:bCs/>
          <w:lang w:val="fr-FR"/>
        </w:rPr>
        <w:tab/>
      </w:r>
      <w:r w:rsidR="0066605A" w:rsidRPr="003A4B28">
        <w:rPr>
          <w:bCs/>
          <w:lang w:val="fr-FR"/>
        </w:rPr>
        <w:t xml:space="preserve">Identification de la bande </w:t>
      </w:r>
      <w:r w:rsidR="0066605A" w:rsidRPr="003A4B28">
        <w:rPr>
          <w:lang w:val="fr-FR"/>
        </w:rPr>
        <w:t xml:space="preserve">de fréquences </w:t>
      </w:r>
      <w:r w:rsidR="0066605A" w:rsidRPr="003A4B28">
        <w:rPr>
          <w:bCs/>
          <w:lang w:val="fr-FR"/>
        </w:rPr>
        <w:t>275-450 GHz pour les applications des services mobile terrestre et fixe</w:t>
      </w:r>
      <w:r w:rsidR="00793884" w:rsidRPr="003A4B28">
        <w:rPr>
          <w:bCs/>
          <w:lang w:val="fr-FR"/>
        </w:rPr>
        <w:t xml:space="preserve"> </w:t>
      </w:r>
      <w:r w:rsidR="0066605A" w:rsidRPr="003A4B28">
        <w:rPr>
          <w:bCs/>
          <w:lang w:val="fr-FR"/>
        </w:rPr>
        <w:t xml:space="preserve">sous certaines conditions en ce qui concerne les services passifs, conformément au numéro </w:t>
      </w:r>
      <w:r w:rsidR="0066605A" w:rsidRPr="003A4B28">
        <w:rPr>
          <w:b/>
          <w:lang w:val="fr-FR"/>
        </w:rPr>
        <w:t>5.564A</w:t>
      </w:r>
      <w:bookmarkEnd w:id="32"/>
      <w:r w:rsidRPr="003A4B28">
        <w:rPr>
          <w:bCs/>
          <w:lang w:val="fr-FR"/>
        </w:rPr>
        <w:t>.</w:t>
      </w:r>
    </w:p>
    <w:p w14:paraId="7BAA0002" w14:textId="7FC410F8" w:rsidR="0066605A" w:rsidRPr="003A4B28" w:rsidRDefault="0066605A" w:rsidP="00281B39">
      <w:pPr>
        <w:spacing w:before="120"/>
        <w:rPr>
          <w:szCs w:val="24"/>
          <w:lang w:val="fr-FR"/>
        </w:rPr>
      </w:pPr>
      <w:r w:rsidRPr="003A4B28">
        <w:rPr>
          <w:szCs w:val="24"/>
          <w:lang w:val="fr-FR"/>
        </w:rPr>
        <w:t xml:space="preserve">La CMR-19 a également apporté des modifications aux attributions concernant les services spatiaux, qui ont modifié les conditions d'exploitation des services de </w:t>
      </w:r>
      <w:proofErr w:type="gramStart"/>
      <w:r w:rsidRPr="003A4B28">
        <w:rPr>
          <w:szCs w:val="24"/>
          <w:lang w:val="fr-FR"/>
        </w:rPr>
        <w:t>Terre</w:t>
      </w:r>
      <w:r w:rsidR="00793884" w:rsidRPr="003A4B28">
        <w:rPr>
          <w:szCs w:val="24"/>
          <w:lang w:val="fr-FR"/>
        </w:rPr>
        <w:t>:</w:t>
      </w:r>
      <w:proofErr w:type="gramEnd"/>
      <w:r w:rsidRPr="003A4B28">
        <w:rPr>
          <w:szCs w:val="24"/>
          <w:lang w:val="fr-FR"/>
        </w:rPr>
        <w:t xml:space="preserve"> attribution de la bande de fréquences 51,4-52,4 GHz au service fixe par satellite (Terre vers espace) à titre primaire conformément au numéro </w:t>
      </w:r>
      <w:r w:rsidRPr="003A4B28">
        <w:rPr>
          <w:b/>
          <w:bCs/>
          <w:szCs w:val="24"/>
          <w:lang w:val="fr-FR"/>
        </w:rPr>
        <w:t>5.555C</w:t>
      </w:r>
      <w:r w:rsidRPr="003A4B28">
        <w:rPr>
          <w:szCs w:val="24"/>
          <w:lang w:val="fr-FR"/>
        </w:rPr>
        <w:t xml:space="preserve"> et modification du Tableau </w:t>
      </w:r>
      <w:r w:rsidRPr="003A4B28">
        <w:rPr>
          <w:b/>
          <w:bCs/>
          <w:szCs w:val="24"/>
          <w:lang w:val="fr-FR"/>
        </w:rPr>
        <w:t>21-2</w:t>
      </w:r>
      <w:r w:rsidRPr="003A4B28">
        <w:rPr>
          <w:szCs w:val="24"/>
          <w:lang w:val="fr-FR"/>
        </w:rPr>
        <w:t>, ce qui conduit à l'application des limites prescrites dans l'Article 21 aux services fixe et mobile.</w:t>
      </w:r>
    </w:p>
    <w:p w14:paraId="004614FA" w14:textId="636D9308" w:rsidR="0066605A" w:rsidRPr="003A4B28" w:rsidRDefault="0066605A" w:rsidP="00281B39">
      <w:pPr>
        <w:spacing w:before="120"/>
        <w:rPr>
          <w:szCs w:val="24"/>
          <w:lang w:val="fr-FR"/>
        </w:rPr>
      </w:pPr>
      <w:bookmarkStart w:id="33" w:name="lt_pId093"/>
      <w:r w:rsidRPr="003A4B28">
        <w:rPr>
          <w:szCs w:val="24"/>
          <w:lang w:val="fr-FR"/>
        </w:rPr>
        <w:t>La CMR-19 a modifié les dispositions</w:t>
      </w:r>
      <w:r w:rsidR="00793884" w:rsidRPr="003A4B28">
        <w:rPr>
          <w:szCs w:val="24"/>
          <w:lang w:val="fr-FR"/>
        </w:rPr>
        <w:t xml:space="preserve"> </w:t>
      </w:r>
      <w:r w:rsidRPr="003A4B28">
        <w:rPr>
          <w:szCs w:val="24"/>
          <w:lang w:val="fr-FR"/>
        </w:rPr>
        <w:t>des</w:t>
      </w:r>
      <w:r w:rsidRPr="003A4B28">
        <w:rPr>
          <w:bCs/>
          <w:szCs w:val="24"/>
          <w:lang w:val="fr-FR"/>
        </w:rPr>
        <w:t xml:space="preserve"> numéros</w:t>
      </w:r>
      <w:r w:rsidRPr="003A4B28">
        <w:rPr>
          <w:szCs w:val="24"/>
          <w:lang w:val="fr-FR"/>
        </w:rPr>
        <w:t xml:space="preserve"> </w:t>
      </w:r>
      <w:r w:rsidRPr="003A4B28">
        <w:rPr>
          <w:b/>
          <w:bCs/>
          <w:szCs w:val="24"/>
          <w:lang w:val="fr-FR"/>
        </w:rPr>
        <w:t>11.9</w:t>
      </w:r>
      <w:r w:rsidRPr="003A4B28">
        <w:rPr>
          <w:szCs w:val="24"/>
          <w:lang w:val="fr-FR"/>
        </w:rPr>
        <w:t xml:space="preserve"> et </w:t>
      </w:r>
      <w:r w:rsidRPr="003A4B28">
        <w:rPr>
          <w:b/>
          <w:bCs/>
          <w:szCs w:val="24"/>
          <w:lang w:val="fr-FR"/>
        </w:rPr>
        <w:t>11.26</w:t>
      </w:r>
      <w:r w:rsidRPr="003A4B28">
        <w:rPr>
          <w:szCs w:val="24"/>
          <w:lang w:val="fr-FR"/>
        </w:rPr>
        <w:t xml:space="preserve"> relatifs aux notifications d</w:t>
      </w:r>
      <w:r w:rsidR="00793884" w:rsidRPr="003A4B28">
        <w:rPr>
          <w:szCs w:val="24"/>
          <w:lang w:val="fr-FR"/>
        </w:rPr>
        <w:t>'</w:t>
      </w:r>
      <w:r w:rsidRPr="003A4B28">
        <w:rPr>
          <w:szCs w:val="24"/>
          <w:lang w:val="fr-FR"/>
        </w:rPr>
        <w:t>assignations de fréquence aux stations HAPS du service fixe.</w:t>
      </w:r>
      <w:bookmarkEnd w:id="33"/>
      <w:r w:rsidRPr="003A4B28">
        <w:rPr>
          <w:szCs w:val="24"/>
          <w:lang w:val="fr-FR"/>
        </w:rPr>
        <w:t xml:space="preserve"> </w:t>
      </w:r>
      <w:bookmarkStart w:id="34" w:name="lt_pId094"/>
      <w:r w:rsidRPr="003A4B28">
        <w:rPr>
          <w:szCs w:val="24"/>
          <w:lang w:val="fr-FR"/>
        </w:rPr>
        <w:t>Les administrations sont invitées à tenir compte de ces modifications pour la notification de leurs assignations de fréquence.</w:t>
      </w:r>
      <w:bookmarkEnd w:id="34"/>
    </w:p>
    <w:p w14:paraId="1B9F6C20" w14:textId="2CD914AB" w:rsidR="0066605A" w:rsidRPr="003A4B28" w:rsidRDefault="0066605A" w:rsidP="00281B39">
      <w:pPr>
        <w:spacing w:before="120"/>
        <w:rPr>
          <w:szCs w:val="24"/>
          <w:lang w:val="fr-FR"/>
        </w:rPr>
      </w:pPr>
      <w:bookmarkStart w:id="35" w:name="lt_pId095"/>
      <w:r w:rsidRPr="003A4B28">
        <w:rPr>
          <w:szCs w:val="24"/>
          <w:lang w:val="fr-FR"/>
        </w:rPr>
        <w:t xml:space="preserve">La CMR-19 a modifié les dispositions des numéros </w:t>
      </w:r>
      <w:r w:rsidRPr="003A4B28">
        <w:rPr>
          <w:b/>
          <w:bCs/>
          <w:szCs w:val="24"/>
          <w:lang w:val="fr-FR"/>
        </w:rPr>
        <w:t>19.36</w:t>
      </w:r>
      <w:r w:rsidRPr="00DD4226">
        <w:rPr>
          <w:bCs/>
          <w:szCs w:val="24"/>
          <w:lang w:val="fr-FR"/>
        </w:rPr>
        <w:t xml:space="preserve">, </w:t>
      </w:r>
      <w:r w:rsidRPr="003A4B28">
        <w:rPr>
          <w:b/>
          <w:bCs/>
          <w:szCs w:val="24"/>
          <w:lang w:val="fr-FR"/>
        </w:rPr>
        <w:t>19.99, 19.102</w:t>
      </w:r>
      <w:r w:rsidRPr="00DD4226">
        <w:rPr>
          <w:bCs/>
          <w:szCs w:val="24"/>
          <w:lang w:val="fr-FR"/>
        </w:rPr>
        <w:t xml:space="preserve">, </w:t>
      </w:r>
      <w:r w:rsidRPr="003A4B28">
        <w:rPr>
          <w:b/>
          <w:bCs/>
          <w:szCs w:val="24"/>
          <w:lang w:val="fr-FR"/>
        </w:rPr>
        <w:t xml:space="preserve">19.111 </w:t>
      </w:r>
      <w:r w:rsidRPr="003A4B28">
        <w:rPr>
          <w:szCs w:val="24"/>
          <w:lang w:val="fr-FR"/>
        </w:rPr>
        <w:t xml:space="preserve">et </w:t>
      </w:r>
      <w:r w:rsidRPr="003A4B28">
        <w:rPr>
          <w:b/>
          <w:bCs/>
          <w:szCs w:val="24"/>
          <w:lang w:val="fr-FR"/>
        </w:rPr>
        <w:t>19.114</w:t>
      </w:r>
      <w:r w:rsidRPr="003A4B28">
        <w:rPr>
          <w:szCs w:val="24"/>
          <w:lang w:val="fr-FR"/>
        </w:rPr>
        <w:t>.</w:t>
      </w:r>
      <w:bookmarkEnd w:id="35"/>
      <w:r w:rsidRPr="003A4B28">
        <w:rPr>
          <w:szCs w:val="24"/>
          <w:lang w:val="fr-FR"/>
        </w:rPr>
        <w:t xml:space="preserve"> </w:t>
      </w:r>
      <w:bookmarkStart w:id="36" w:name="lt_pId096"/>
      <w:r w:rsidRPr="003A4B28">
        <w:rPr>
          <w:szCs w:val="24"/>
          <w:lang w:val="fr-FR"/>
        </w:rPr>
        <w:t>Les administrations sont invitées à tenir compte de ces modifications pour l</w:t>
      </w:r>
      <w:r w:rsidR="00793884" w:rsidRPr="003A4B28">
        <w:rPr>
          <w:szCs w:val="24"/>
          <w:lang w:val="fr-FR"/>
        </w:rPr>
        <w:t>'</w:t>
      </w:r>
      <w:r w:rsidRPr="003A4B28">
        <w:rPr>
          <w:szCs w:val="24"/>
          <w:lang w:val="fr-FR"/>
        </w:rPr>
        <w:t>attribution des chiffres d'identification maritime</w:t>
      </w:r>
      <w:bookmarkEnd w:id="36"/>
      <w:r w:rsidRPr="003A4B28">
        <w:rPr>
          <w:szCs w:val="24"/>
          <w:lang w:val="fr-FR"/>
        </w:rPr>
        <w:t>.</w:t>
      </w:r>
    </w:p>
    <w:p w14:paraId="032A521B" w14:textId="50C10FD3" w:rsidR="0066605A" w:rsidRPr="003A4B28" w:rsidRDefault="0066605A" w:rsidP="00281B39">
      <w:pPr>
        <w:spacing w:before="120"/>
        <w:rPr>
          <w:szCs w:val="24"/>
          <w:lang w:val="fr-FR"/>
        </w:rPr>
      </w:pPr>
      <w:r w:rsidRPr="003A4B28">
        <w:rPr>
          <w:szCs w:val="24"/>
          <w:lang w:val="fr-FR"/>
        </w:rPr>
        <w:t xml:space="preserve">En ce qui concerne la Résolution </w:t>
      </w:r>
      <w:r w:rsidRPr="003A4B28">
        <w:rPr>
          <w:b/>
          <w:bCs/>
          <w:szCs w:val="24"/>
          <w:lang w:val="fr-FR"/>
        </w:rPr>
        <w:t>811 (CMR-19)</w:t>
      </w:r>
      <w:r w:rsidRPr="003A4B28">
        <w:rPr>
          <w:szCs w:val="24"/>
          <w:lang w:val="fr-FR"/>
        </w:rPr>
        <w:t xml:space="preserve">, relative à l'ordre du jour de la Conférence mondiale des radiocommunications de 2023, et la Résolution </w:t>
      </w:r>
      <w:r w:rsidRPr="003A4B28">
        <w:rPr>
          <w:b/>
          <w:bCs/>
          <w:szCs w:val="24"/>
          <w:lang w:val="fr-FR"/>
        </w:rPr>
        <w:t>812 (CMR-19)</w:t>
      </w:r>
      <w:r w:rsidRPr="003A4B28">
        <w:rPr>
          <w:szCs w:val="24"/>
          <w:lang w:val="fr-FR"/>
        </w:rPr>
        <w:t xml:space="preserve">, relative à l'ordre du jour préliminaire de la Conférence mondiale des radiocommunications de 2027, conformément à la pratique actuellement suivie, les mesures préparatoires nécessaires ont été engagées et les résultats de la première session de la Réunion de préparation à la Conférence de 2023 (RPC23-1) ont été communiqués aux membres (voir la </w:t>
      </w:r>
      <w:hyperlink r:id="rId13" w:history="1">
        <w:r w:rsidRPr="003A4B28">
          <w:rPr>
            <w:rStyle w:val="Hyperlink"/>
            <w:szCs w:val="24"/>
            <w:lang w:val="fr-FR"/>
          </w:rPr>
          <w:t>Circulaire administrative CA/251</w:t>
        </w:r>
      </w:hyperlink>
      <w:r w:rsidR="00DD4226">
        <w:rPr>
          <w:szCs w:val="24"/>
          <w:lang w:val="fr-FR"/>
        </w:rPr>
        <w:t xml:space="preserve"> du </w:t>
      </w:r>
      <w:r w:rsidRPr="003A4B28">
        <w:rPr>
          <w:szCs w:val="24"/>
          <w:lang w:val="fr-FR"/>
        </w:rPr>
        <w:t>19</w:t>
      </w:r>
      <w:r w:rsidR="00CD23C1" w:rsidRPr="003A4B28">
        <w:rPr>
          <w:szCs w:val="24"/>
          <w:lang w:val="fr-FR"/>
        </w:rPr>
        <w:t> </w:t>
      </w:r>
      <w:r w:rsidRPr="003A4B28">
        <w:rPr>
          <w:szCs w:val="24"/>
          <w:lang w:val="fr-FR"/>
        </w:rPr>
        <w:t>décembre</w:t>
      </w:r>
      <w:r w:rsidR="00CD23C1" w:rsidRPr="003A4B28">
        <w:rPr>
          <w:szCs w:val="24"/>
          <w:lang w:val="fr-FR"/>
        </w:rPr>
        <w:t> </w:t>
      </w:r>
      <w:r w:rsidRPr="003A4B28">
        <w:rPr>
          <w:szCs w:val="24"/>
          <w:lang w:val="fr-FR"/>
        </w:rPr>
        <w:t>2019).</w:t>
      </w:r>
      <w:bookmarkStart w:id="37" w:name="lt_pId098"/>
      <w:r w:rsidRPr="003A4B28">
        <w:rPr>
          <w:szCs w:val="24"/>
          <w:lang w:val="fr-FR"/>
        </w:rPr>
        <w:t xml:space="preserve"> En outre, la Circulaire administrative </w:t>
      </w:r>
      <w:hyperlink r:id="rId14" w:history="1">
        <w:r w:rsidRPr="003A4B28">
          <w:rPr>
            <w:rStyle w:val="Hyperlink"/>
            <w:szCs w:val="24"/>
            <w:lang w:val="fr-FR"/>
          </w:rPr>
          <w:t>CACE/955</w:t>
        </w:r>
      </w:hyperlink>
      <w:r w:rsidR="00793884" w:rsidRPr="003A4B28">
        <w:rPr>
          <w:szCs w:val="24"/>
          <w:lang w:val="fr-FR"/>
        </w:rPr>
        <w:t>,</w:t>
      </w:r>
      <w:r w:rsidRPr="003A4B28">
        <w:rPr>
          <w:szCs w:val="24"/>
          <w:lang w:val="fr-FR"/>
        </w:rPr>
        <w:t xml:space="preserve"> qui porte sur les</w:t>
      </w:r>
      <w:r w:rsidRPr="003A4B28">
        <w:rPr>
          <w:b/>
          <w:bCs/>
          <w:szCs w:val="24"/>
          <w:lang w:val="fr-FR"/>
        </w:rPr>
        <w:t xml:space="preserve"> </w:t>
      </w:r>
      <w:r w:rsidRPr="003A4B28">
        <w:rPr>
          <w:szCs w:val="24"/>
          <w:lang w:val="fr-FR"/>
        </w:rPr>
        <w:t>caractéristiques techniques, les paramètres d'exploitation et les critères de protection à utiliser pour les études de partage et de compatibilité demandées en vue</w:t>
      </w:r>
      <w:r w:rsidR="00DD4226">
        <w:rPr>
          <w:szCs w:val="24"/>
          <w:lang w:val="fr-FR"/>
        </w:rPr>
        <w:t xml:space="preserve"> de la CMR-23, a été publiée le </w:t>
      </w:r>
      <w:r w:rsidRPr="003A4B28">
        <w:rPr>
          <w:szCs w:val="24"/>
          <w:lang w:val="fr-FR"/>
        </w:rPr>
        <w:t>18 septembre 2020.</w:t>
      </w:r>
      <w:bookmarkEnd w:id="37"/>
    </w:p>
    <w:p w14:paraId="099C9461" w14:textId="2F9B4A58" w:rsidR="0066605A" w:rsidRPr="003A4B28" w:rsidRDefault="0066605A" w:rsidP="00281B39">
      <w:pPr>
        <w:spacing w:before="120"/>
        <w:rPr>
          <w:szCs w:val="24"/>
          <w:lang w:val="fr-FR"/>
        </w:rPr>
      </w:pPr>
      <w:r w:rsidRPr="003A4B28">
        <w:rPr>
          <w:szCs w:val="24"/>
          <w:lang w:val="fr-FR"/>
        </w:rPr>
        <w:t xml:space="preserve">Enfin, je souhaite attirer votre attention sur les dispositions de l'article </w:t>
      </w:r>
      <w:r w:rsidRPr="003A4B28">
        <w:rPr>
          <w:b/>
          <w:bCs/>
          <w:szCs w:val="24"/>
          <w:lang w:val="fr-FR"/>
        </w:rPr>
        <w:t>54</w:t>
      </w:r>
      <w:r w:rsidRPr="003A4B28">
        <w:rPr>
          <w:szCs w:val="24"/>
          <w:lang w:val="fr-FR"/>
        </w:rPr>
        <w:t xml:space="preserve"> de la Constitution, en vertu duquel les </w:t>
      </w:r>
      <w:r w:rsidR="00CD23C1" w:rsidRPr="003A4B28">
        <w:rPr>
          <w:szCs w:val="24"/>
          <w:lang w:val="fr-FR"/>
        </w:rPr>
        <w:t>États</w:t>
      </w:r>
      <w:r w:rsidRPr="003A4B28">
        <w:rPr>
          <w:szCs w:val="24"/>
          <w:lang w:val="fr-FR"/>
        </w:rPr>
        <w:t xml:space="preserve"> Membres sont invités à indiquer au Secrétaire général leur consentement à être liés par les révisions du Règlement des radiocommunications.</w:t>
      </w:r>
    </w:p>
    <w:p w14:paraId="56F4F40D" w14:textId="77777777" w:rsidR="0066605A" w:rsidRPr="003A4B28" w:rsidRDefault="0066605A" w:rsidP="00281B39">
      <w:pPr>
        <w:rPr>
          <w:szCs w:val="24"/>
          <w:lang w:val="fr-FR"/>
        </w:rPr>
      </w:pPr>
      <w:r w:rsidRPr="003A4B28">
        <w:rPr>
          <w:szCs w:val="24"/>
          <w:lang w:val="fr-FR"/>
        </w:rPr>
        <w:br w:type="page"/>
      </w:r>
    </w:p>
    <w:p w14:paraId="0E438B01" w14:textId="0DBFB34A" w:rsidR="0066605A" w:rsidRPr="003A4B28" w:rsidRDefault="0066605A" w:rsidP="00281B39">
      <w:pPr>
        <w:rPr>
          <w:szCs w:val="24"/>
          <w:lang w:val="fr-FR"/>
        </w:rPr>
      </w:pPr>
      <w:r w:rsidRPr="003A4B28">
        <w:rPr>
          <w:szCs w:val="24"/>
          <w:lang w:val="fr-FR"/>
        </w:rPr>
        <w:lastRenderedPageBreak/>
        <w:t>Le Bureau reste à la disposition de votre Administration pour toute précision dont elle pourrait avoir besoin en ce qui concerne les sujets traités dans la présente Lettre circulaire.</w:t>
      </w:r>
    </w:p>
    <w:p w14:paraId="7E7ECAFF" w14:textId="77777777" w:rsidR="00281B39" w:rsidRDefault="00281B39" w:rsidP="00CD23C1">
      <w:pPr>
        <w:spacing w:before="840"/>
        <w:jc w:val="left"/>
        <w:rPr>
          <w:szCs w:val="24"/>
          <w:lang w:val="fr-FR"/>
        </w:rPr>
      </w:pPr>
      <w:bookmarkStart w:id="38" w:name="lt_pId101"/>
    </w:p>
    <w:p w14:paraId="03C20BBA" w14:textId="17BB10C3" w:rsidR="0066605A" w:rsidRPr="003A4B28" w:rsidRDefault="0066605A" w:rsidP="00CD23C1">
      <w:pPr>
        <w:spacing w:before="840"/>
        <w:jc w:val="left"/>
        <w:rPr>
          <w:szCs w:val="24"/>
          <w:lang w:val="fr-FR"/>
        </w:rPr>
      </w:pPr>
      <w:r w:rsidRPr="003A4B28">
        <w:rPr>
          <w:szCs w:val="24"/>
          <w:lang w:val="fr-FR"/>
        </w:rPr>
        <w:t>Mario Maniewicz</w:t>
      </w:r>
      <w:bookmarkEnd w:id="38"/>
      <w:r w:rsidRPr="003A4B28">
        <w:rPr>
          <w:szCs w:val="24"/>
          <w:lang w:val="fr-FR"/>
        </w:rPr>
        <w:br/>
        <w:t>Directeur</w:t>
      </w:r>
    </w:p>
    <w:p w14:paraId="5DD79F58" w14:textId="77777777" w:rsidR="0066605A" w:rsidRPr="003A4B28" w:rsidRDefault="0066605A" w:rsidP="00774C12">
      <w:pPr>
        <w:spacing w:before="6360" w:line="240" w:lineRule="auto"/>
        <w:jc w:val="left"/>
        <w:rPr>
          <w:b/>
          <w:bCs/>
          <w:sz w:val="18"/>
          <w:szCs w:val="18"/>
          <w:u w:val="single"/>
          <w:lang w:val="fr-FR"/>
        </w:rPr>
      </w:pPr>
      <w:proofErr w:type="gramStart"/>
      <w:r w:rsidRPr="003A4B28">
        <w:rPr>
          <w:b/>
          <w:bCs/>
          <w:sz w:val="18"/>
          <w:szCs w:val="18"/>
          <w:u w:val="single"/>
          <w:lang w:val="fr-FR"/>
        </w:rPr>
        <w:t>Distribution:</w:t>
      </w:r>
      <w:proofErr w:type="gramEnd"/>
    </w:p>
    <w:p w14:paraId="3408EBE7" w14:textId="7A3C88C3" w:rsidR="0066605A" w:rsidRPr="003A4B28" w:rsidRDefault="0066605A" w:rsidP="00DD4226">
      <w:pPr>
        <w:pStyle w:val="enumlev1"/>
        <w:spacing w:before="60"/>
        <w:jc w:val="left"/>
        <w:rPr>
          <w:sz w:val="18"/>
          <w:szCs w:val="18"/>
          <w:lang w:val="fr-FR"/>
        </w:rPr>
      </w:pPr>
      <w:r w:rsidRPr="003A4B28">
        <w:rPr>
          <w:sz w:val="18"/>
          <w:szCs w:val="18"/>
          <w:lang w:val="fr-FR"/>
        </w:rPr>
        <w:t>–</w:t>
      </w:r>
      <w:r w:rsidRPr="003A4B28">
        <w:rPr>
          <w:sz w:val="18"/>
          <w:szCs w:val="18"/>
          <w:lang w:val="fr-FR"/>
        </w:rPr>
        <w:tab/>
        <w:t xml:space="preserve">Administrations des </w:t>
      </w:r>
      <w:r w:rsidR="00CD23C1" w:rsidRPr="003A4B28">
        <w:rPr>
          <w:sz w:val="18"/>
          <w:szCs w:val="18"/>
          <w:lang w:val="fr-FR"/>
        </w:rPr>
        <w:t>États</w:t>
      </w:r>
      <w:r w:rsidRPr="003A4B28">
        <w:rPr>
          <w:sz w:val="18"/>
          <w:szCs w:val="18"/>
          <w:lang w:val="fr-FR"/>
        </w:rPr>
        <w:t xml:space="preserve"> Membres de l'UIT</w:t>
      </w:r>
    </w:p>
    <w:p w14:paraId="554EDD33" w14:textId="77777777" w:rsidR="0066605A" w:rsidRPr="003A4B28" w:rsidRDefault="0066605A" w:rsidP="00DB07AD">
      <w:pPr>
        <w:pStyle w:val="enumlev1"/>
        <w:spacing w:before="0"/>
        <w:jc w:val="left"/>
        <w:rPr>
          <w:szCs w:val="24"/>
          <w:lang w:val="fr-FR"/>
        </w:rPr>
      </w:pPr>
      <w:r w:rsidRPr="003A4B28">
        <w:rPr>
          <w:sz w:val="18"/>
          <w:szCs w:val="18"/>
          <w:lang w:val="fr-FR"/>
        </w:rPr>
        <w:t>–</w:t>
      </w:r>
      <w:r w:rsidRPr="003A4B28">
        <w:rPr>
          <w:sz w:val="18"/>
          <w:szCs w:val="18"/>
          <w:lang w:val="fr-FR"/>
        </w:rPr>
        <w:tab/>
        <w:t>Membres du Comité du Règlement des radiocommunications</w:t>
      </w:r>
    </w:p>
    <w:sectPr w:rsidR="0066605A" w:rsidRPr="003A4B28" w:rsidSect="003F2F3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43C23" w14:textId="77777777" w:rsidR="00793884" w:rsidRDefault="00793884">
      <w:r>
        <w:separator/>
      </w:r>
    </w:p>
  </w:endnote>
  <w:endnote w:type="continuationSeparator" w:id="0">
    <w:p w14:paraId="4A9C4C8E" w14:textId="77777777" w:rsidR="00793884" w:rsidRDefault="0079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D67C" w14:textId="15708D3F" w:rsidR="00793884" w:rsidRPr="00304636" w:rsidRDefault="00793884" w:rsidP="00304636">
    <w:pPr>
      <w:pStyle w:val="FirstFooter"/>
      <w:spacing w:line="240" w:lineRule="auto"/>
      <w:ind w:left="-397" w:right="-397"/>
      <w:jc w:val="center"/>
      <w:rPr>
        <w:color w:val="4F81BD"/>
        <w:sz w:val="18"/>
        <w:szCs w:val="18"/>
        <w:lang w:val="fr-FR"/>
      </w:rPr>
    </w:pPr>
    <w:r w:rsidRPr="00085B3E">
      <w:rPr>
        <w:rFonts w:asciiTheme="minorHAnsi" w:hAnsiTheme="minorHAnsi"/>
        <w:color w:val="4F81BD"/>
        <w:sz w:val="18"/>
        <w:szCs w:val="18"/>
        <w:lang w:val="fr-CH"/>
      </w:rPr>
      <w:t>Union internationale des télécommunications • Place des Nations, CH</w:t>
    </w:r>
    <w:r w:rsidRPr="00085B3E">
      <w:rPr>
        <w:rFonts w:asciiTheme="minorHAnsi" w:hAnsiTheme="minorHAnsi"/>
        <w:color w:val="4F81BD"/>
        <w:sz w:val="18"/>
        <w:szCs w:val="18"/>
        <w:lang w:val="fr-CH"/>
      </w:rPr>
      <w:noBreakHyphen/>
      <w:t xml:space="preserve">1211 Genève 20, Suisse </w:t>
    </w:r>
    <w:r w:rsidRPr="00085B3E">
      <w:rPr>
        <w:rFonts w:asciiTheme="minorHAnsi" w:hAnsiTheme="minorHAnsi"/>
        <w:color w:val="4F81BD"/>
        <w:sz w:val="18"/>
        <w:szCs w:val="18"/>
        <w:lang w:val="fr-CH"/>
      </w:rPr>
      <w:br/>
    </w:r>
    <w:proofErr w:type="gramStart"/>
    <w:r w:rsidRPr="00085B3E">
      <w:rPr>
        <w:rFonts w:asciiTheme="minorHAnsi" w:hAnsiTheme="minorHAnsi"/>
        <w:color w:val="4F81BD"/>
        <w:sz w:val="18"/>
        <w:szCs w:val="18"/>
        <w:lang w:val="fr-CH"/>
      </w:rPr>
      <w:t>Tél</w:t>
    </w:r>
    <w:r w:rsidR="00CB301A">
      <w:rPr>
        <w:rFonts w:asciiTheme="minorHAnsi" w:hAnsiTheme="minorHAnsi"/>
        <w:color w:val="4F81BD"/>
        <w:sz w:val="18"/>
        <w:szCs w:val="18"/>
        <w:lang w:val="fr-CH"/>
      </w:rPr>
      <w:t>.</w:t>
    </w:r>
    <w:r w:rsidRPr="00085B3E">
      <w:rPr>
        <w:rFonts w:asciiTheme="minorHAnsi" w:hAnsiTheme="minorHAnsi"/>
        <w:color w:val="4F81BD"/>
        <w:sz w:val="18"/>
        <w:szCs w:val="18"/>
        <w:lang w:val="fr-CH"/>
      </w:rPr>
      <w:t>:</w:t>
    </w:r>
    <w:proofErr w:type="gramEnd"/>
    <w:r w:rsidRPr="00085B3E">
      <w:rPr>
        <w:rFonts w:asciiTheme="minorHAnsi" w:hAnsiTheme="minorHAnsi"/>
        <w:color w:val="4F81BD"/>
        <w:sz w:val="18"/>
        <w:szCs w:val="18"/>
        <w:lang w:val="fr-CH"/>
      </w:rPr>
      <w:t xml:space="preserve"> +41 22 730 5111 • courriel: </w:t>
    </w:r>
    <w:hyperlink r:id="rId1" w:history="1">
      <w:r w:rsidRPr="00304636">
        <w:rPr>
          <w:rStyle w:val="Hyperlink"/>
          <w:rFonts w:asciiTheme="minorHAnsi" w:hAnsiTheme="minorHAnsi"/>
          <w:sz w:val="18"/>
          <w:szCs w:val="18"/>
          <w:lang w:val="fr-FR"/>
        </w:rPr>
        <w:t>itumail@itu.int</w:t>
      </w:r>
    </w:hyperlink>
    <w:r w:rsidRPr="00F632E9">
      <w:rPr>
        <w:rFonts w:asciiTheme="minorHAnsi" w:hAnsiTheme="minorHAnsi"/>
        <w:sz w:val="18"/>
        <w:szCs w:val="18"/>
        <w:lang w:val="fr-CH"/>
      </w:rPr>
      <w:t xml:space="preserve"> </w:t>
    </w:r>
    <w:r w:rsidRPr="00085B3E">
      <w:rPr>
        <w:rFonts w:asciiTheme="minorHAnsi" w:hAnsiTheme="minorHAnsi"/>
        <w:color w:val="4F81BD"/>
        <w:sz w:val="18"/>
        <w:szCs w:val="18"/>
        <w:lang w:val="fr-CH"/>
      </w:rPr>
      <w:t xml:space="preserve">• Fax: +41 22 733 7256 •  </w:t>
    </w:r>
    <w:hyperlink r:id="rId2" w:history="1">
      <w:r w:rsidRPr="00304636">
        <w:rPr>
          <w:rStyle w:val="Hyperlink"/>
          <w:rFonts w:asciiTheme="minorHAnsi" w:hAnsiTheme="minorHAnsi"/>
          <w:color w:val="4F81BD"/>
          <w:sz w:val="18"/>
          <w:szCs w:val="18"/>
          <w:u w:val="none"/>
          <w:lang w:val="fr-FR"/>
        </w:rPr>
        <w:t>www.itu.int</w:t>
      </w:r>
    </w:hyperlink>
    <w:r w:rsidRPr="00304636">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003E5" w14:textId="77777777" w:rsidR="00793884" w:rsidRDefault="00793884">
      <w:r>
        <w:t>____________________</w:t>
      </w:r>
    </w:p>
  </w:footnote>
  <w:footnote w:type="continuationSeparator" w:id="0">
    <w:p w14:paraId="3884877C" w14:textId="77777777" w:rsidR="00793884" w:rsidRDefault="00793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D14E" w14:textId="77777777" w:rsidR="00793884" w:rsidRPr="002569F7" w:rsidRDefault="00793884"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7951B" w14:textId="1A413C5B" w:rsidR="00793884" w:rsidRPr="003F2F34" w:rsidRDefault="0079388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774C12">
      <w:rPr>
        <w:noProof/>
        <w:sz w:val="18"/>
        <w:szCs w:val="16"/>
      </w:rPr>
      <w:t>5</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793884" w14:paraId="1D2E4DC0" w14:textId="77777777" w:rsidTr="00304636">
      <w:tc>
        <w:tcPr>
          <w:tcW w:w="10042" w:type="dxa"/>
          <w:tcMar>
            <w:left w:w="0" w:type="dxa"/>
          </w:tcMar>
        </w:tcPr>
        <w:p w14:paraId="64503164" w14:textId="77777777" w:rsidR="00793884" w:rsidRDefault="00793884"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24ED9D62" wp14:editId="4ABB7D0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383AA6F" w14:textId="77777777" w:rsidR="00793884" w:rsidRDefault="00793884" w:rsidP="00304636">
          <w:pPr>
            <w:pStyle w:val="Header"/>
            <w:spacing w:before="240" w:line="360" w:lineRule="auto"/>
            <w:ind w:left="4065" w:hanging="4065"/>
            <w:jc w:val="right"/>
          </w:pPr>
        </w:p>
      </w:tc>
    </w:tr>
  </w:tbl>
  <w:p w14:paraId="1469881C" w14:textId="77777777" w:rsidR="00793884" w:rsidRPr="004F47EA" w:rsidRDefault="00793884"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222A1"/>
    <w:multiLevelType w:val="hybridMultilevel"/>
    <w:tmpl w:val="669A9A02"/>
    <w:lvl w:ilvl="0" w:tplc="3F98F43E">
      <w:start w:val="1"/>
      <w:numFmt w:val="bullet"/>
      <w:lvlText w:val=""/>
      <w:lvlJc w:val="left"/>
      <w:pPr>
        <w:ind w:left="720" w:hanging="360"/>
      </w:pPr>
      <w:rPr>
        <w:rFonts w:ascii="Symbol" w:hAnsi="Symbol" w:hint="default"/>
      </w:rPr>
    </w:lvl>
    <w:lvl w:ilvl="1" w:tplc="76003A04" w:tentative="1">
      <w:start w:val="1"/>
      <w:numFmt w:val="bullet"/>
      <w:lvlText w:val="o"/>
      <w:lvlJc w:val="left"/>
      <w:pPr>
        <w:ind w:left="1440" w:hanging="360"/>
      </w:pPr>
      <w:rPr>
        <w:rFonts w:ascii="Courier New" w:hAnsi="Courier New" w:cs="Courier New" w:hint="default"/>
      </w:rPr>
    </w:lvl>
    <w:lvl w:ilvl="2" w:tplc="01A67DCE" w:tentative="1">
      <w:start w:val="1"/>
      <w:numFmt w:val="bullet"/>
      <w:lvlText w:val=""/>
      <w:lvlJc w:val="left"/>
      <w:pPr>
        <w:ind w:left="2160" w:hanging="360"/>
      </w:pPr>
      <w:rPr>
        <w:rFonts w:ascii="Wingdings" w:hAnsi="Wingdings" w:hint="default"/>
      </w:rPr>
    </w:lvl>
    <w:lvl w:ilvl="3" w:tplc="D37AA324" w:tentative="1">
      <w:start w:val="1"/>
      <w:numFmt w:val="bullet"/>
      <w:lvlText w:val=""/>
      <w:lvlJc w:val="left"/>
      <w:pPr>
        <w:ind w:left="2880" w:hanging="360"/>
      </w:pPr>
      <w:rPr>
        <w:rFonts w:ascii="Symbol" w:hAnsi="Symbol" w:hint="default"/>
      </w:rPr>
    </w:lvl>
    <w:lvl w:ilvl="4" w:tplc="0E286B02" w:tentative="1">
      <w:start w:val="1"/>
      <w:numFmt w:val="bullet"/>
      <w:lvlText w:val="o"/>
      <w:lvlJc w:val="left"/>
      <w:pPr>
        <w:ind w:left="3600" w:hanging="360"/>
      </w:pPr>
      <w:rPr>
        <w:rFonts w:ascii="Courier New" w:hAnsi="Courier New" w:cs="Courier New" w:hint="default"/>
      </w:rPr>
    </w:lvl>
    <w:lvl w:ilvl="5" w:tplc="81EE0998" w:tentative="1">
      <w:start w:val="1"/>
      <w:numFmt w:val="bullet"/>
      <w:lvlText w:val=""/>
      <w:lvlJc w:val="left"/>
      <w:pPr>
        <w:ind w:left="4320" w:hanging="360"/>
      </w:pPr>
      <w:rPr>
        <w:rFonts w:ascii="Wingdings" w:hAnsi="Wingdings" w:hint="default"/>
      </w:rPr>
    </w:lvl>
    <w:lvl w:ilvl="6" w:tplc="6B9229CE" w:tentative="1">
      <w:start w:val="1"/>
      <w:numFmt w:val="bullet"/>
      <w:lvlText w:val=""/>
      <w:lvlJc w:val="left"/>
      <w:pPr>
        <w:ind w:left="5040" w:hanging="360"/>
      </w:pPr>
      <w:rPr>
        <w:rFonts w:ascii="Symbol" w:hAnsi="Symbol" w:hint="default"/>
      </w:rPr>
    </w:lvl>
    <w:lvl w:ilvl="7" w:tplc="2F483BFA" w:tentative="1">
      <w:start w:val="1"/>
      <w:numFmt w:val="bullet"/>
      <w:lvlText w:val="o"/>
      <w:lvlJc w:val="left"/>
      <w:pPr>
        <w:ind w:left="5760" w:hanging="360"/>
      </w:pPr>
      <w:rPr>
        <w:rFonts w:ascii="Courier New" w:hAnsi="Courier New" w:cs="Courier New" w:hint="default"/>
      </w:rPr>
    </w:lvl>
    <w:lvl w:ilvl="8" w:tplc="5D308762" w:tentative="1">
      <w:start w:val="1"/>
      <w:numFmt w:val="bullet"/>
      <w:lvlText w:val=""/>
      <w:lvlJc w:val="left"/>
      <w:pPr>
        <w:ind w:left="6480" w:hanging="360"/>
      </w:pPr>
      <w:rPr>
        <w:rFonts w:ascii="Wingdings" w:hAnsi="Wingdings" w:hint="default"/>
      </w:rPr>
    </w:lvl>
  </w:abstractNum>
  <w:abstractNum w:abstractNumId="5" w15:restartNumberingAfterBreak="0">
    <w:nsid w:val="2AEA1BE7"/>
    <w:multiLevelType w:val="hybridMultilevel"/>
    <w:tmpl w:val="48460668"/>
    <w:lvl w:ilvl="0" w:tplc="4AA28F26">
      <w:start w:val="1"/>
      <w:numFmt w:val="bullet"/>
      <w:lvlText w:val=""/>
      <w:lvlJc w:val="left"/>
      <w:pPr>
        <w:ind w:left="720" w:hanging="360"/>
      </w:pPr>
      <w:rPr>
        <w:rFonts w:ascii="Symbol" w:hAnsi="Symbol" w:hint="default"/>
      </w:rPr>
    </w:lvl>
    <w:lvl w:ilvl="1" w:tplc="20CA5512" w:tentative="1">
      <w:start w:val="1"/>
      <w:numFmt w:val="bullet"/>
      <w:lvlText w:val="o"/>
      <w:lvlJc w:val="left"/>
      <w:pPr>
        <w:ind w:left="1440" w:hanging="360"/>
      </w:pPr>
      <w:rPr>
        <w:rFonts w:ascii="Courier New" w:hAnsi="Courier New" w:cs="Courier New" w:hint="default"/>
      </w:rPr>
    </w:lvl>
    <w:lvl w:ilvl="2" w:tplc="0632E72E" w:tentative="1">
      <w:start w:val="1"/>
      <w:numFmt w:val="bullet"/>
      <w:lvlText w:val=""/>
      <w:lvlJc w:val="left"/>
      <w:pPr>
        <w:ind w:left="2160" w:hanging="360"/>
      </w:pPr>
      <w:rPr>
        <w:rFonts w:ascii="Wingdings" w:hAnsi="Wingdings" w:hint="default"/>
      </w:rPr>
    </w:lvl>
    <w:lvl w:ilvl="3" w:tplc="7DAE09CA" w:tentative="1">
      <w:start w:val="1"/>
      <w:numFmt w:val="bullet"/>
      <w:lvlText w:val=""/>
      <w:lvlJc w:val="left"/>
      <w:pPr>
        <w:ind w:left="2880" w:hanging="360"/>
      </w:pPr>
      <w:rPr>
        <w:rFonts w:ascii="Symbol" w:hAnsi="Symbol" w:hint="default"/>
      </w:rPr>
    </w:lvl>
    <w:lvl w:ilvl="4" w:tplc="FCFCFB30" w:tentative="1">
      <w:start w:val="1"/>
      <w:numFmt w:val="bullet"/>
      <w:lvlText w:val="o"/>
      <w:lvlJc w:val="left"/>
      <w:pPr>
        <w:ind w:left="3600" w:hanging="360"/>
      </w:pPr>
      <w:rPr>
        <w:rFonts w:ascii="Courier New" w:hAnsi="Courier New" w:cs="Courier New" w:hint="default"/>
      </w:rPr>
    </w:lvl>
    <w:lvl w:ilvl="5" w:tplc="1BB6994C" w:tentative="1">
      <w:start w:val="1"/>
      <w:numFmt w:val="bullet"/>
      <w:lvlText w:val=""/>
      <w:lvlJc w:val="left"/>
      <w:pPr>
        <w:ind w:left="4320" w:hanging="360"/>
      </w:pPr>
      <w:rPr>
        <w:rFonts w:ascii="Wingdings" w:hAnsi="Wingdings" w:hint="default"/>
      </w:rPr>
    </w:lvl>
    <w:lvl w:ilvl="6" w:tplc="7E88BB18" w:tentative="1">
      <w:start w:val="1"/>
      <w:numFmt w:val="bullet"/>
      <w:lvlText w:val=""/>
      <w:lvlJc w:val="left"/>
      <w:pPr>
        <w:ind w:left="5040" w:hanging="360"/>
      </w:pPr>
      <w:rPr>
        <w:rFonts w:ascii="Symbol" w:hAnsi="Symbol" w:hint="default"/>
      </w:rPr>
    </w:lvl>
    <w:lvl w:ilvl="7" w:tplc="3B826094" w:tentative="1">
      <w:start w:val="1"/>
      <w:numFmt w:val="bullet"/>
      <w:lvlText w:val="o"/>
      <w:lvlJc w:val="left"/>
      <w:pPr>
        <w:ind w:left="5760" w:hanging="360"/>
      </w:pPr>
      <w:rPr>
        <w:rFonts w:ascii="Courier New" w:hAnsi="Courier New" w:cs="Courier New" w:hint="default"/>
      </w:rPr>
    </w:lvl>
    <w:lvl w:ilvl="8" w:tplc="7BDAF190" w:tentative="1">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7C604C14"/>
    <w:multiLevelType w:val="hybridMultilevel"/>
    <w:tmpl w:val="BA7A70D2"/>
    <w:lvl w:ilvl="0" w:tplc="81B690D6">
      <w:start w:val="1"/>
      <w:numFmt w:val="bullet"/>
      <w:lvlText w:val=""/>
      <w:lvlJc w:val="left"/>
      <w:pPr>
        <w:ind w:left="720" w:hanging="360"/>
      </w:pPr>
      <w:rPr>
        <w:rFonts w:ascii="Symbol" w:hAnsi="Symbol" w:hint="default"/>
      </w:rPr>
    </w:lvl>
    <w:lvl w:ilvl="1" w:tplc="F13AF9C2" w:tentative="1">
      <w:start w:val="1"/>
      <w:numFmt w:val="bullet"/>
      <w:lvlText w:val="o"/>
      <w:lvlJc w:val="left"/>
      <w:pPr>
        <w:ind w:left="1440" w:hanging="360"/>
      </w:pPr>
      <w:rPr>
        <w:rFonts w:ascii="Courier New" w:hAnsi="Courier New" w:cs="Courier New" w:hint="default"/>
      </w:rPr>
    </w:lvl>
    <w:lvl w:ilvl="2" w:tplc="39E2DE22" w:tentative="1">
      <w:start w:val="1"/>
      <w:numFmt w:val="bullet"/>
      <w:lvlText w:val=""/>
      <w:lvlJc w:val="left"/>
      <w:pPr>
        <w:ind w:left="2160" w:hanging="360"/>
      </w:pPr>
      <w:rPr>
        <w:rFonts w:ascii="Wingdings" w:hAnsi="Wingdings" w:hint="default"/>
      </w:rPr>
    </w:lvl>
    <w:lvl w:ilvl="3" w:tplc="6DB8BD7E" w:tentative="1">
      <w:start w:val="1"/>
      <w:numFmt w:val="bullet"/>
      <w:lvlText w:val=""/>
      <w:lvlJc w:val="left"/>
      <w:pPr>
        <w:ind w:left="2880" w:hanging="360"/>
      </w:pPr>
      <w:rPr>
        <w:rFonts w:ascii="Symbol" w:hAnsi="Symbol" w:hint="default"/>
      </w:rPr>
    </w:lvl>
    <w:lvl w:ilvl="4" w:tplc="362EF32E" w:tentative="1">
      <w:start w:val="1"/>
      <w:numFmt w:val="bullet"/>
      <w:lvlText w:val="o"/>
      <w:lvlJc w:val="left"/>
      <w:pPr>
        <w:ind w:left="3600" w:hanging="360"/>
      </w:pPr>
      <w:rPr>
        <w:rFonts w:ascii="Courier New" w:hAnsi="Courier New" w:cs="Courier New" w:hint="default"/>
      </w:rPr>
    </w:lvl>
    <w:lvl w:ilvl="5" w:tplc="B696451A" w:tentative="1">
      <w:start w:val="1"/>
      <w:numFmt w:val="bullet"/>
      <w:lvlText w:val=""/>
      <w:lvlJc w:val="left"/>
      <w:pPr>
        <w:ind w:left="4320" w:hanging="360"/>
      </w:pPr>
      <w:rPr>
        <w:rFonts w:ascii="Wingdings" w:hAnsi="Wingdings" w:hint="default"/>
      </w:rPr>
    </w:lvl>
    <w:lvl w:ilvl="6" w:tplc="567E7FC8" w:tentative="1">
      <w:start w:val="1"/>
      <w:numFmt w:val="bullet"/>
      <w:lvlText w:val=""/>
      <w:lvlJc w:val="left"/>
      <w:pPr>
        <w:ind w:left="5040" w:hanging="360"/>
      </w:pPr>
      <w:rPr>
        <w:rFonts w:ascii="Symbol" w:hAnsi="Symbol" w:hint="default"/>
      </w:rPr>
    </w:lvl>
    <w:lvl w:ilvl="7" w:tplc="98D0E854" w:tentative="1">
      <w:start w:val="1"/>
      <w:numFmt w:val="bullet"/>
      <w:lvlText w:val="o"/>
      <w:lvlJc w:val="left"/>
      <w:pPr>
        <w:ind w:left="5760" w:hanging="360"/>
      </w:pPr>
      <w:rPr>
        <w:rFonts w:ascii="Courier New" w:hAnsi="Courier New" w:cs="Courier New" w:hint="default"/>
      </w:rPr>
    </w:lvl>
    <w:lvl w:ilvl="8" w:tplc="9DFEC094"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5"/>
  </w:num>
  <w:num w:numId="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1B39"/>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78F"/>
    <w:rsid w:val="00316935"/>
    <w:rsid w:val="003266ED"/>
    <w:rsid w:val="00326C68"/>
    <w:rsid w:val="003370B8"/>
    <w:rsid w:val="00345D38"/>
    <w:rsid w:val="003471C9"/>
    <w:rsid w:val="00352097"/>
    <w:rsid w:val="003666FF"/>
    <w:rsid w:val="0037309C"/>
    <w:rsid w:val="00380A6E"/>
    <w:rsid w:val="003836D4"/>
    <w:rsid w:val="00387AE4"/>
    <w:rsid w:val="003A1F49"/>
    <w:rsid w:val="003A4B28"/>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0380"/>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0900"/>
    <w:rsid w:val="005F3CB6"/>
    <w:rsid w:val="005F657C"/>
    <w:rsid w:val="00602D53"/>
    <w:rsid w:val="006047E5"/>
    <w:rsid w:val="00642050"/>
    <w:rsid w:val="0064371D"/>
    <w:rsid w:val="00650543"/>
    <w:rsid w:val="00650B2A"/>
    <w:rsid w:val="00651777"/>
    <w:rsid w:val="006550F8"/>
    <w:rsid w:val="0066605A"/>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4C12"/>
    <w:rsid w:val="00775DB8"/>
    <w:rsid w:val="00782354"/>
    <w:rsid w:val="007921A7"/>
    <w:rsid w:val="00793884"/>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2021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01A"/>
    <w:rsid w:val="00CB3771"/>
    <w:rsid w:val="00CB44BF"/>
    <w:rsid w:val="00CB5153"/>
    <w:rsid w:val="00CD23C1"/>
    <w:rsid w:val="00CE076A"/>
    <w:rsid w:val="00CE463D"/>
    <w:rsid w:val="00D10BA0"/>
    <w:rsid w:val="00D1162F"/>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07AD"/>
    <w:rsid w:val="00DD4226"/>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9C0"/>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DCA7DE"/>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66605A"/>
    <w:rPr>
      <w:color w:val="605E5C"/>
      <w:shd w:val="clear" w:color="auto" w:fill="E1DFDD"/>
    </w:rPr>
  </w:style>
  <w:style w:type="character" w:styleId="FollowedHyperlink">
    <w:name w:val="FollowedHyperlink"/>
    <w:basedOn w:val="DefaultParagraphFont"/>
    <w:semiHidden/>
    <w:unhideWhenUsed/>
    <w:rsid w:val="00793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55/en" TargetMode="External"/><Relationship Id="rId13" Type="http://schemas.openxmlformats.org/officeDocument/2006/relationships/hyperlink" Target="https://www.itu.int/md/R00-CA-CIR-0251/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00-CR-CIR-0467/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R-CIR-0456/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00-CR-CIR-046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R-CIR-0461/en" TargetMode="External"/><Relationship Id="rId14" Type="http://schemas.openxmlformats.org/officeDocument/2006/relationships/hyperlink" Target="https://www.itu.int/md/R00-CACE-CIR-0955/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D8B1-F300-40C3-A100-8770CB49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2046</Words>
  <Characters>11875</Characters>
  <Application>Microsoft Office Word</Application>
  <DocSecurity>0</DocSecurity>
  <Lines>439</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Chanavat, Emilie</dc:creator>
  <cp:lastModifiedBy>Demoulin, Na</cp:lastModifiedBy>
  <cp:revision>9</cp:revision>
  <cp:lastPrinted>2013-03-08T10:15:00Z</cp:lastPrinted>
  <dcterms:created xsi:type="dcterms:W3CDTF">2020-12-04T06:38:00Z</dcterms:created>
  <dcterms:modified xsi:type="dcterms:W3CDTF">2020-12-08T08:37:00Z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