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278"/>
        <w:gridCol w:w="3085"/>
      </w:tblGrid>
      <w:tr w:rsidR="00F14A72" w:rsidRPr="00454553" w14:paraId="36960AB4" w14:textId="77777777" w:rsidTr="00306452">
        <w:trPr>
          <w:jc w:val="center"/>
        </w:trPr>
        <w:tc>
          <w:tcPr>
            <w:tcW w:w="9889" w:type="dxa"/>
            <w:gridSpan w:val="3"/>
            <w:shd w:val="clear" w:color="auto" w:fill="auto"/>
          </w:tcPr>
          <w:p w14:paraId="3D6CD85F" w14:textId="007A28B6" w:rsidR="00F14A72" w:rsidRPr="00454553" w:rsidRDefault="00F14A72" w:rsidP="00345ED8">
            <w:pPr>
              <w:spacing w:before="0"/>
              <w:jc w:val="left"/>
              <w:rPr>
                <w:rFonts w:cstheme="minorHAnsi"/>
                <w:b/>
                <w:bCs/>
                <w:color w:val="808080"/>
                <w:sz w:val="28"/>
                <w:szCs w:val="28"/>
              </w:rPr>
            </w:pPr>
            <w:r w:rsidRPr="00454553">
              <w:rPr>
                <w:rFonts w:cstheme="minorHAnsi"/>
                <w:b/>
                <w:bCs/>
                <w:color w:val="808080"/>
                <w:sz w:val="28"/>
                <w:szCs w:val="28"/>
              </w:rPr>
              <w:t>Oficina de Radiocomunicaciones (BR)</w:t>
            </w:r>
          </w:p>
          <w:p w14:paraId="13B58AAF" w14:textId="77777777" w:rsidR="00F14A72" w:rsidRPr="00454553" w:rsidRDefault="00F14A72" w:rsidP="00345ED8">
            <w:pPr>
              <w:spacing w:before="0"/>
              <w:jc w:val="left"/>
              <w:rPr>
                <w:rFonts w:cs="Times New Roman Bold"/>
                <w:b/>
                <w:bCs/>
                <w:color w:val="808080"/>
                <w:sz w:val="28"/>
                <w:szCs w:val="28"/>
              </w:rPr>
            </w:pPr>
          </w:p>
        </w:tc>
      </w:tr>
      <w:tr w:rsidR="00F14A72" w:rsidRPr="00454553" w14:paraId="3094080F" w14:textId="77777777" w:rsidTr="002C27D7">
        <w:trPr>
          <w:jc w:val="center"/>
        </w:trPr>
        <w:tc>
          <w:tcPr>
            <w:tcW w:w="6804" w:type="dxa"/>
            <w:gridSpan w:val="2"/>
            <w:shd w:val="clear" w:color="auto" w:fill="auto"/>
          </w:tcPr>
          <w:p w14:paraId="35257EE5" w14:textId="77777777" w:rsidR="00F14A72" w:rsidRPr="00454553" w:rsidRDefault="00F14A72" w:rsidP="00345ED8">
            <w:pPr>
              <w:spacing w:before="0"/>
              <w:jc w:val="left"/>
              <w:rPr>
                <w:szCs w:val="24"/>
              </w:rPr>
            </w:pPr>
            <w:r w:rsidRPr="00454553">
              <w:t>Carta Circular</w:t>
            </w:r>
          </w:p>
          <w:p w14:paraId="7A81F96B" w14:textId="29772E16" w:rsidR="00F14A72" w:rsidRPr="00454553" w:rsidRDefault="00F14A72" w:rsidP="00345ED8">
            <w:pPr>
              <w:spacing w:before="0"/>
              <w:jc w:val="left"/>
              <w:rPr>
                <w:b/>
                <w:bCs/>
                <w:szCs w:val="24"/>
              </w:rPr>
            </w:pPr>
            <w:r w:rsidRPr="00454553">
              <w:rPr>
                <w:b/>
                <w:bCs/>
                <w:szCs w:val="24"/>
              </w:rPr>
              <w:t>CR/467</w:t>
            </w:r>
          </w:p>
        </w:tc>
        <w:tc>
          <w:tcPr>
            <w:tcW w:w="3085" w:type="dxa"/>
            <w:shd w:val="clear" w:color="auto" w:fill="auto"/>
          </w:tcPr>
          <w:p w14:paraId="674A8317" w14:textId="27327990" w:rsidR="00F14A72" w:rsidRPr="00454553" w:rsidRDefault="002C27D7" w:rsidP="00345ED8">
            <w:pPr>
              <w:spacing w:before="0"/>
              <w:jc w:val="right"/>
              <w:rPr>
                <w:szCs w:val="24"/>
              </w:rPr>
            </w:pPr>
            <w:r w:rsidRPr="00454553">
              <w:rPr>
                <w:bCs/>
                <w:szCs w:val="24"/>
              </w:rPr>
              <w:t xml:space="preserve">Ginebra, </w:t>
            </w:r>
            <w:r w:rsidR="00F14A72" w:rsidRPr="00454553">
              <w:rPr>
                <w:bCs/>
                <w:szCs w:val="24"/>
              </w:rPr>
              <w:t>18 de agosto de 2020</w:t>
            </w:r>
          </w:p>
        </w:tc>
      </w:tr>
      <w:tr w:rsidR="00F14A72" w:rsidRPr="00454553" w14:paraId="144F5B57" w14:textId="77777777" w:rsidTr="00306452">
        <w:trPr>
          <w:jc w:val="center"/>
        </w:trPr>
        <w:tc>
          <w:tcPr>
            <w:tcW w:w="9889" w:type="dxa"/>
            <w:gridSpan w:val="3"/>
            <w:shd w:val="clear" w:color="auto" w:fill="auto"/>
          </w:tcPr>
          <w:p w14:paraId="3A060735" w14:textId="77777777" w:rsidR="00F14A72" w:rsidRPr="00454553" w:rsidRDefault="00F14A72" w:rsidP="00345ED8">
            <w:pPr>
              <w:spacing w:before="0"/>
              <w:jc w:val="left"/>
              <w:rPr>
                <w:rFonts w:cs="Arial"/>
                <w:szCs w:val="24"/>
              </w:rPr>
            </w:pPr>
          </w:p>
        </w:tc>
      </w:tr>
      <w:tr w:rsidR="00F14A72" w:rsidRPr="00454553" w14:paraId="35D7D211" w14:textId="77777777" w:rsidTr="00306452">
        <w:trPr>
          <w:jc w:val="center"/>
        </w:trPr>
        <w:tc>
          <w:tcPr>
            <w:tcW w:w="9889" w:type="dxa"/>
            <w:gridSpan w:val="3"/>
            <w:shd w:val="clear" w:color="auto" w:fill="auto"/>
          </w:tcPr>
          <w:p w14:paraId="436FDF57" w14:textId="77777777" w:rsidR="00F14A72" w:rsidRPr="00454553" w:rsidRDefault="00F14A72" w:rsidP="00345ED8">
            <w:pPr>
              <w:spacing w:before="0"/>
              <w:jc w:val="left"/>
              <w:rPr>
                <w:szCs w:val="24"/>
              </w:rPr>
            </w:pPr>
          </w:p>
        </w:tc>
      </w:tr>
      <w:tr w:rsidR="00F14A72" w:rsidRPr="00454553" w14:paraId="564E94AC" w14:textId="77777777" w:rsidTr="00306452">
        <w:trPr>
          <w:jc w:val="center"/>
        </w:trPr>
        <w:tc>
          <w:tcPr>
            <w:tcW w:w="9889" w:type="dxa"/>
            <w:gridSpan w:val="3"/>
            <w:shd w:val="clear" w:color="auto" w:fill="auto"/>
          </w:tcPr>
          <w:p w14:paraId="33A29843" w14:textId="77777777" w:rsidR="00F14A72" w:rsidRPr="00454553" w:rsidRDefault="00F14A72" w:rsidP="00345ED8">
            <w:pPr>
              <w:spacing w:before="0"/>
              <w:jc w:val="left"/>
              <w:rPr>
                <w:b/>
                <w:bCs/>
                <w:szCs w:val="24"/>
              </w:rPr>
            </w:pPr>
            <w:r w:rsidRPr="00454553">
              <w:rPr>
                <w:b/>
                <w:szCs w:val="24"/>
              </w:rPr>
              <w:t>A las Administraciones de los Estados Miembros de la UIT</w:t>
            </w:r>
          </w:p>
          <w:p w14:paraId="7FB8241E" w14:textId="77777777" w:rsidR="00F14A72" w:rsidRPr="00454553" w:rsidRDefault="00F14A72" w:rsidP="00345ED8">
            <w:pPr>
              <w:spacing w:before="0"/>
              <w:jc w:val="left"/>
              <w:rPr>
                <w:b/>
                <w:bCs/>
                <w:szCs w:val="24"/>
              </w:rPr>
            </w:pPr>
          </w:p>
        </w:tc>
      </w:tr>
      <w:tr w:rsidR="00F14A72" w:rsidRPr="00454553" w14:paraId="6A4CEDFD" w14:textId="77777777" w:rsidTr="00306452">
        <w:trPr>
          <w:jc w:val="center"/>
        </w:trPr>
        <w:tc>
          <w:tcPr>
            <w:tcW w:w="9889" w:type="dxa"/>
            <w:gridSpan w:val="3"/>
            <w:shd w:val="clear" w:color="auto" w:fill="auto"/>
          </w:tcPr>
          <w:p w14:paraId="1FAA7B67" w14:textId="77777777" w:rsidR="00F14A72" w:rsidRPr="00454553" w:rsidRDefault="00F14A72" w:rsidP="00345ED8">
            <w:pPr>
              <w:spacing w:before="0"/>
              <w:jc w:val="left"/>
              <w:rPr>
                <w:szCs w:val="24"/>
              </w:rPr>
            </w:pPr>
          </w:p>
        </w:tc>
      </w:tr>
      <w:tr w:rsidR="00F14A72" w:rsidRPr="00454553" w14:paraId="1F1B87AD" w14:textId="77777777" w:rsidTr="00306452">
        <w:trPr>
          <w:jc w:val="center"/>
        </w:trPr>
        <w:tc>
          <w:tcPr>
            <w:tcW w:w="9889" w:type="dxa"/>
            <w:gridSpan w:val="3"/>
            <w:shd w:val="clear" w:color="auto" w:fill="auto"/>
          </w:tcPr>
          <w:p w14:paraId="2452FF5E" w14:textId="77777777" w:rsidR="00F14A72" w:rsidRPr="00454553" w:rsidRDefault="00F14A72" w:rsidP="00345ED8">
            <w:pPr>
              <w:spacing w:before="0"/>
              <w:jc w:val="left"/>
              <w:rPr>
                <w:szCs w:val="24"/>
              </w:rPr>
            </w:pPr>
          </w:p>
        </w:tc>
      </w:tr>
      <w:tr w:rsidR="00F14A72" w:rsidRPr="00454553" w14:paraId="0D107414" w14:textId="77777777" w:rsidTr="00306452">
        <w:trPr>
          <w:jc w:val="center"/>
        </w:trPr>
        <w:tc>
          <w:tcPr>
            <w:tcW w:w="1526" w:type="dxa"/>
            <w:shd w:val="clear" w:color="auto" w:fill="auto"/>
          </w:tcPr>
          <w:p w14:paraId="7E30B91B" w14:textId="77777777" w:rsidR="00F14A72" w:rsidRPr="00454553" w:rsidRDefault="00F14A72" w:rsidP="00345ED8">
            <w:pPr>
              <w:tabs>
                <w:tab w:val="clear" w:pos="1588"/>
                <w:tab w:val="left" w:pos="1560"/>
              </w:tabs>
              <w:spacing w:before="0"/>
              <w:jc w:val="left"/>
              <w:rPr>
                <w:sz w:val="24"/>
                <w:szCs w:val="24"/>
              </w:rPr>
            </w:pPr>
            <w:r w:rsidRPr="00454553">
              <w:rPr>
                <w:sz w:val="24"/>
                <w:szCs w:val="24"/>
              </w:rPr>
              <w:t>Asunto:</w:t>
            </w:r>
          </w:p>
        </w:tc>
        <w:tc>
          <w:tcPr>
            <w:tcW w:w="8363" w:type="dxa"/>
            <w:gridSpan w:val="2"/>
            <w:vMerge w:val="restart"/>
            <w:shd w:val="clear" w:color="auto" w:fill="auto"/>
          </w:tcPr>
          <w:p w14:paraId="2E3A4908" w14:textId="0307B54E" w:rsidR="00F14A72" w:rsidRPr="00454553" w:rsidRDefault="002C27D7" w:rsidP="00BB16FB">
            <w:pPr>
              <w:tabs>
                <w:tab w:val="clear" w:pos="1588"/>
                <w:tab w:val="left" w:pos="1560"/>
              </w:tabs>
              <w:spacing w:before="0"/>
              <w:rPr>
                <w:b/>
                <w:bCs/>
                <w:sz w:val="24"/>
                <w:szCs w:val="24"/>
              </w:rPr>
            </w:pPr>
            <w:bookmarkStart w:id="0" w:name="lt_pId022"/>
            <w:r w:rsidRPr="00454553">
              <w:rPr>
                <w:b/>
                <w:bCs/>
                <w:sz w:val="24"/>
                <w:szCs w:val="24"/>
              </w:rPr>
              <w:t xml:space="preserve">Utilización del símbolo </w:t>
            </w:r>
            <w:r w:rsidR="00BB16FB" w:rsidRPr="00BB16FB">
              <w:rPr>
                <w:b/>
                <w:bCs/>
                <w:sz w:val="24"/>
                <w:szCs w:val="24"/>
              </w:rPr>
              <w:t>«IM»</w:t>
            </w:r>
            <w:r w:rsidRPr="00454553">
              <w:rPr>
                <w:b/>
                <w:bCs/>
                <w:sz w:val="24"/>
                <w:szCs w:val="24"/>
              </w:rPr>
              <w:t xml:space="preserve"> para la notificación de asignaciones de frecuencias a estaciones IMT</w:t>
            </w:r>
            <w:bookmarkEnd w:id="0"/>
          </w:p>
        </w:tc>
      </w:tr>
      <w:tr w:rsidR="00F14A72" w:rsidRPr="00454553" w14:paraId="03BE3C0A" w14:textId="77777777" w:rsidTr="00306452">
        <w:trPr>
          <w:jc w:val="center"/>
        </w:trPr>
        <w:tc>
          <w:tcPr>
            <w:tcW w:w="1526" w:type="dxa"/>
            <w:shd w:val="clear" w:color="auto" w:fill="auto"/>
          </w:tcPr>
          <w:p w14:paraId="4B41D145" w14:textId="77777777" w:rsidR="00F14A72" w:rsidRPr="00454553" w:rsidRDefault="00F14A72" w:rsidP="00345ED8">
            <w:pPr>
              <w:tabs>
                <w:tab w:val="clear" w:pos="1588"/>
                <w:tab w:val="left" w:pos="1560"/>
              </w:tabs>
              <w:spacing w:before="0"/>
              <w:jc w:val="left"/>
              <w:rPr>
                <w:b/>
                <w:bCs/>
                <w:sz w:val="24"/>
                <w:szCs w:val="24"/>
              </w:rPr>
            </w:pPr>
          </w:p>
        </w:tc>
        <w:tc>
          <w:tcPr>
            <w:tcW w:w="8363" w:type="dxa"/>
            <w:gridSpan w:val="2"/>
            <w:vMerge/>
            <w:shd w:val="clear" w:color="auto" w:fill="auto"/>
          </w:tcPr>
          <w:p w14:paraId="37063223" w14:textId="77777777" w:rsidR="00F14A72" w:rsidRPr="00454553" w:rsidRDefault="00F14A72" w:rsidP="00345ED8">
            <w:pPr>
              <w:tabs>
                <w:tab w:val="clear" w:pos="1588"/>
                <w:tab w:val="left" w:pos="1560"/>
              </w:tabs>
              <w:spacing w:before="0"/>
              <w:rPr>
                <w:b/>
                <w:bCs/>
                <w:sz w:val="24"/>
                <w:szCs w:val="24"/>
              </w:rPr>
            </w:pPr>
          </w:p>
        </w:tc>
      </w:tr>
      <w:tr w:rsidR="00F14A72" w:rsidRPr="00454553" w14:paraId="70FE36BB" w14:textId="77777777" w:rsidTr="00306452">
        <w:trPr>
          <w:jc w:val="center"/>
        </w:trPr>
        <w:tc>
          <w:tcPr>
            <w:tcW w:w="1526" w:type="dxa"/>
            <w:shd w:val="clear" w:color="auto" w:fill="auto"/>
          </w:tcPr>
          <w:p w14:paraId="3411FE83" w14:textId="77777777" w:rsidR="00F14A72" w:rsidRPr="00454553" w:rsidRDefault="00F14A72" w:rsidP="00345ED8">
            <w:pPr>
              <w:tabs>
                <w:tab w:val="clear" w:pos="1588"/>
                <w:tab w:val="left" w:pos="1560"/>
              </w:tabs>
              <w:spacing w:before="0"/>
              <w:jc w:val="left"/>
              <w:rPr>
                <w:b/>
                <w:bCs/>
                <w:sz w:val="24"/>
                <w:szCs w:val="24"/>
              </w:rPr>
            </w:pPr>
          </w:p>
        </w:tc>
        <w:tc>
          <w:tcPr>
            <w:tcW w:w="8363" w:type="dxa"/>
            <w:gridSpan w:val="2"/>
            <w:vMerge/>
            <w:shd w:val="clear" w:color="auto" w:fill="auto"/>
          </w:tcPr>
          <w:p w14:paraId="315DA7E1" w14:textId="77777777" w:rsidR="00F14A72" w:rsidRPr="00454553" w:rsidRDefault="00F14A72" w:rsidP="00345ED8">
            <w:pPr>
              <w:tabs>
                <w:tab w:val="clear" w:pos="1588"/>
                <w:tab w:val="left" w:pos="1560"/>
              </w:tabs>
              <w:spacing w:before="0"/>
              <w:rPr>
                <w:b/>
                <w:bCs/>
                <w:sz w:val="24"/>
                <w:szCs w:val="24"/>
              </w:rPr>
            </w:pPr>
          </w:p>
        </w:tc>
      </w:tr>
      <w:tr w:rsidR="00F14A72" w:rsidRPr="00454553" w14:paraId="3D231D9B" w14:textId="77777777" w:rsidTr="00306452">
        <w:trPr>
          <w:jc w:val="center"/>
        </w:trPr>
        <w:tc>
          <w:tcPr>
            <w:tcW w:w="9889" w:type="dxa"/>
            <w:gridSpan w:val="3"/>
            <w:shd w:val="clear" w:color="auto" w:fill="auto"/>
          </w:tcPr>
          <w:p w14:paraId="63869586" w14:textId="77777777" w:rsidR="00F14A72" w:rsidRPr="00454553" w:rsidRDefault="00F14A72" w:rsidP="00E53DCE">
            <w:pPr>
              <w:tabs>
                <w:tab w:val="clear" w:pos="1588"/>
                <w:tab w:val="left" w:pos="1560"/>
              </w:tabs>
              <w:spacing w:before="0"/>
              <w:jc w:val="left"/>
              <w:rPr>
                <w:sz w:val="24"/>
                <w:szCs w:val="24"/>
              </w:rPr>
            </w:pPr>
          </w:p>
        </w:tc>
      </w:tr>
      <w:tr w:rsidR="00F14A72" w:rsidRPr="00454553" w14:paraId="61C1B0BE" w14:textId="77777777" w:rsidTr="00306452">
        <w:trPr>
          <w:jc w:val="center"/>
        </w:trPr>
        <w:tc>
          <w:tcPr>
            <w:tcW w:w="9889" w:type="dxa"/>
            <w:gridSpan w:val="3"/>
            <w:shd w:val="clear" w:color="auto" w:fill="auto"/>
          </w:tcPr>
          <w:p w14:paraId="07339AAE" w14:textId="77777777" w:rsidR="00F14A72" w:rsidRPr="00454553" w:rsidRDefault="00F14A72" w:rsidP="00345ED8">
            <w:pPr>
              <w:spacing w:before="0"/>
              <w:jc w:val="left"/>
              <w:rPr>
                <w:b/>
                <w:bCs/>
                <w:sz w:val="24"/>
                <w:szCs w:val="24"/>
              </w:rPr>
            </w:pPr>
          </w:p>
        </w:tc>
      </w:tr>
    </w:tbl>
    <w:p w14:paraId="5EA65751" w14:textId="10E06B18" w:rsidR="00F14A72" w:rsidRPr="00454553" w:rsidRDefault="002C27D7" w:rsidP="002C27D7">
      <w:pPr>
        <w:pStyle w:val="Normalaftertitle"/>
        <w:spacing w:before="120"/>
        <w:rPr>
          <w:sz w:val="24"/>
          <w:szCs w:val="24"/>
        </w:rPr>
      </w:pPr>
      <w:bookmarkStart w:id="1" w:name="lt_pId023"/>
      <w:r w:rsidRPr="00454553">
        <w:rPr>
          <w:rFonts w:asciiTheme="minorHAnsi" w:hAnsiTheme="minorHAnsi" w:cstheme="minorHAnsi"/>
          <w:sz w:val="24"/>
          <w:szCs w:val="24"/>
        </w:rPr>
        <w:t xml:space="preserve">De conformidad con la decisión adoptada por la CMR-19 en su 6ª sesión plenaria y reflejada en los § 2.4 a 2.13 del </w:t>
      </w:r>
      <w:hyperlink r:id="rId7" w:history="1">
        <w:r w:rsidRPr="00454553">
          <w:rPr>
            <w:rFonts w:asciiTheme="minorHAnsi" w:hAnsiTheme="minorHAnsi" w:cstheme="minorHAnsi"/>
            <w:color w:val="0000FF"/>
            <w:sz w:val="24"/>
            <w:szCs w:val="24"/>
            <w:u w:val="single"/>
          </w:rPr>
          <w:t>d</w:t>
        </w:r>
        <w:r w:rsidR="00F14A72" w:rsidRPr="00454553">
          <w:rPr>
            <w:rFonts w:asciiTheme="minorHAnsi" w:hAnsiTheme="minorHAnsi" w:cstheme="minorHAnsi"/>
            <w:color w:val="0000FF"/>
            <w:sz w:val="24"/>
            <w:szCs w:val="24"/>
            <w:u w:val="single"/>
          </w:rPr>
          <w:t>ocument</w:t>
        </w:r>
        <w:r w:rsidRPr="00454553">
          <w:rPr>
            <w:rFonts w:asciiTheme="minorHAnsi" w:hAnsiTheme="minorHAnsi" w:cstheme="minorHAnsi"/>
            <w:color w:val="0000FF"/>
            <w:sz w:val="24"/>
            <w:szCs w:val="24"/>
            <w:u w:val="single"/>
          </w:rPr>
          <w:t>o</w:t>
        </w:r>
        <w:r w:rsidR="00F14A72" w:rsidRPr="00454553">
          <w:rPr>
            <w:rFonts w:asciiTheme="minorHAnsi" w:hAnsiTheme="minorHAnsi" w:cstheme="minorHAnsi"/>
            <w:color w:val="0000FF"/>
            <w:sz w:val="24"/>
            <w:szCs w:val="24"/>
            <w:u w:val="single"/>
          </w:rPr>
          <w:t xml:space="preserve"> CMR/469</w:t>
        </w:r>
      </w:hyperlink>
      <w:r w:rsidR="00F14A72" w:rsidRPr="00454553">
        <w:rPr>
          <w:rFonts w:asciiTheme="minorHAnsi" w:hAnsiTheme="minorHAnsi" w:cstheme="minorHAnsi"/>
          <w:sz w:val="24"/>
          <w:szCs w:val="24"/>
        </w:rPr>
        <w:t xml:space="preserve">, </w:t>
      </w:r>
      <w:r w:rsidR="00F14A72" w:rsidRPr="00454553">
        <w:rPr>
          <w:sz w:val="24"/>
          <w:szCs w:val="24"/>
        </w:rPr>
        <w:t xml:space="preserve">se invita a las Administraciones </w:t>
      </w:r>
      <w:r w:rsidRPr="00454553">
        <w:rPr>
          <w:sz w:val="24"/>
          <w:szCs w:val="24"/>
        </w:rPr>
        <w:t xml:space="preserve">a aplicar los siguientes principios </w:t>
      </w:r>
      <w:r w:rsidR="00F14A72" w:rsidRPr="00454553">
        <w:rPr>
          <w:sz w:val="24"/>
          <w:szCs w:val="24"/>
        </w:rPr>
        <w:t>cuando notifiquen asignaciones de frecuencias a estaciones IMT para su inscripción en el Registro Internacional de Frecuencias</w:t>
      </w:r>
      <w:bookmarkEnd w:id="1"/>
      <w:r w:rsidRPr="00454553">
        <w:rPr>
          <w:sz w:val="24"/>
          <w:szCs w:val="24"/>
        </w:rPr>
        <w:t>:</w:t>
      </w:r>
    </w:p>
    <w:p w14:paraId="2E70A6A7" w14:textId="0839528B" w:rsidR="00F14A72" w:rsidRPr="00454553" w:rsidRDefault="00F14A72" w:rsidP="00E85700">
      <w:pPr>
        <w:pStyle w:val="enumlev1"/>
        <w:rPr>
          <w:rFonts w:eastAsia="SimSun"/>
          <w:sz w:val="24"/>
          <w:szCs w:val="24"/>
          <w:lang w:eastAsia="zh-CN"/>
        </w:rPr>
      </w:pPr>
      <w:bookmarkStart w:id="2" w:name="_Hlk48128081"/>
      <w:r w:rsidRPr="00454553">
        <w:rPr>
          <w:sz w:val="24"/>
          <w:szCs w:val="24"/>
        </w:rPr>
        <w:t>•</w:t>
      </w:r>
      <w:r w:rsidRPr="00454553">
        <w:rPr>
          <w:sz w:val="24"/>
          <w:szCs w:val="24"/>
        </w:rPr>
        <w:tab/>
      </w:r>
      <w:bookmarkStart w:id="3" w:name="lt_pId024"/>
      <w:bookmarkEnd w:id="2"/>
      <w:r w:rsidR="00BB16FB" w:rsidRPr="00454553">
        <w:rPr>
          <w:rFonts w:eastAsia="SimSun"/>
          <w:sz w:val="24"/>
          <w:szCs w:val="24"/>
          <w:lang w:eastAsia="zh-CN"/>
        </w:rPr>
        <w:t>La naturaleza del servicio «IM»</w:t>
      </w:r>
      <w:r w:rsidR="00060B9E">
        <w:rPr>
          <w:rFonts w:eastAsia="SimSun"/>
          <w:sz w:val="24"/>
          <w:szCs w:val="24"/>
          <w:lang w:eastAsia="zh-CN"/>
        </w:rPr>
        <w:t xml:space="preserve"> </w:t>
      </w:r>
      <w:r w:rsidR="00060B9E" w:rsidRPr="00060B9E">
        <w:rPr>
          <w:rFonts w:eastAsia="SimSun"/>
          <w:sz w:val="24"/>
          <w:szCs w:val="24"/>
          <w:lang w:eastAsia="zh-CN"/>
        </w:rPr>
        <w:t xml:space="preserve">puede utilizarse para </w:t>
      </w:r>
      <w:r w:rsidR="00060B9E">
        <w:rPr>
          <w:rFonts w:eastAsia="SimSun"/>
          <w:sz w:val="24"/>
          <w:szCs w:val="24"/>
          <w:lang w:eastAsia="zh-CN"/>
        </w:rPr>
        <w:t>notificar</w:t>
      </w:r>
      <w:r w:rsidR="00E85700" w:rsidRPr="00454553">
        <w:rPr>
          <w:rFonts w:eastAsia="SimSun"/>
          <w:sz w:val="24"/>
          <w:szCs w:val="24"/>
        </w:rPr>
        <w:t xml:space="preserve"> </w:t>
      </w:r>
      <w:r w:rsidRPr="00454553">
        <w:rPr>
          <w:rFonts w:eastAsia="SimSun"/>
          <w:sz w:val="24"/>
          <w:szCs w:val="24"/>
          <w:lang w:eastAsia="zh-CN"/>
        </w:rPr>
        <w:t xml:space="preserve">asignaciones a estaciones </w:t>
      </w:r>
      <w:r w:rsidR="00E85700" w:rsidRPr="00454553">
        <w:rPr>
          <w:rFonts w:eastAsia="SimSun"/>
          <w:sz w:val="24"/>
          <w:szCs w:val="24"/>
          <w:lang w:eastAsia="zh-CN"/>
        </w:rPr>
        <w:t xml:space="preserve">IMT </w:t>
      </w:r>
      <w:r w:rsidR="00060B9E">
        <w:rPr>
          <w:rFonts w:eastAsia="SimSun"/>
          <w:sz w:val="24"/>
          <w:szCs w:val="24"/>
          <w:lang w:eastAsia="zh-CN"/>
        </w:rPr>
        <w:t xml:space="preserve">únicamente </w:t>
      </w:r>
      <w:r w:rsidRPr="00454553">
        <w:rPr>
          <w:rFonts w:eastAsia="SimSun"/>
          <w:sz w:val="24"/>
          <w:szCs w:val="24"/>
          <w:lang w:eastAsia="zh-CN"/>
        </w:rPr>
        <w:t>en</w:t>
      </w:r>
      <w:r w:rsidR="00E85700" w:rsidRPr="00454553">
        <w:rPr>
          <w:rFonts w:eastAsia="SimSun"/>
          <w:sz w:val="24"/>
          <w:szCs w:val="24"/>
          <w:lang w:eastAsia="zh-CN"/>
        </w:rPr>
        <w:t xml:space="preserve"> las</w:t>
      </w:r>
      <w:r w:rsidRPr="00454553">
        <w:rPr>
          <w:rFonts w:eastAsia="SimSun"/>
          <w:sz w:val="24"/>
          <w:szCs w:val="24"/>
          <w:lang w:eastAsia="zh-CN"/>
        </w:rPr>
        <w:t xml:space="preserve"> bandas de frecuencias identificadas para las IMT en el país que presenta la notificación.</w:t>
      </w:r>
      <w:bookmarkEnd w:id="3"/>
    </w:p>
    <w:p w14:paraId="32B6218C" w14:textId="3527FD41" w:rsidR="00F14A72" w:rsidRPr="00454553" w:rsidRDefault="00F14A72" w:rsidP="00E85700">
      <w:pPr>
        <w:pStyle w:val="enumlev1"/>
        <w:rPr>
          <w:b/>
          <w:color w:val="800000"/>
          <w:sz w:val="24"/>
          <w:szCs w:val="24"/>
        </w:rPr>
      </w:pPr>
      <w:r w:rsidRPr="00454553">
        <w:rPr>
          <w:rFonts w:eastAsia="SimSun"/>
          <w:sz w:val="24"/>
          <w:szCs w:val="24"/>
          <w:lang w:eastAsia="zh-CN"/>
        </w:rPr>
        <w:t>•</w:t>
      </w:r>
      <w:r w:rsidRPr="00454553">
        <w:rPr>
          <w:rFonts w:eastAsia="SimSun"/>
          <w:sz w:val="24"/>
          <w:szCs w:val="24"/>
          <w:lang w:eastAsia="zh-CN"/>
        </w:rPr>
        <w:tab/>
      </w:r>
      <w:bookmarkStart w:id="4" w:name="lt_pId025"/>
      <w:r w:rsidR="00E85700" w:rsidRPr="00454553">
        <w:rPr>
          <w:sz w:val="24"/>
          <w:szCs w:val="24"/>
        </w:rPr>
        <w:t>Si la banda de frecuencias en cuestión no está identificada para las IMT en el país que presenta la notificación</w:t>
      </w:r>
      <w:r w:rsidRPr="00454553">
        <w:rPr>
          <w:sz w:val="24"/>
          <w:szCs w:val="24"/>
        </w:rPr>
        <w:t xml:space="preserve">, </w:t>
      </w:r>
      <w:r w:rsidR="00E85700" w:rsidRPr="00454553">
        <w:rPr>
          <w:sz w:val="24"/>
          <w:szCs w:val="24"/>
        </w:rPr>
        <w:t>el símbolo</w:t>
      </w:r>
      <w:r w:rsidRPr="00454553">
        <w:rPr>
          <w:sz w:val="24"/>
          <w:szCs w:val="24"/>
        </w:rPr>
        <w:t xml:space="preserve"> </w:t>
      </w:r>
      <w:r w:rsidR="00E85700" w:rsidRPr="00454553">
        <w:rPr>
          <w:sz w:val="24"/>
          <w:szCs w:val="24"/>
        </w:rPr>
        <w:t>«IM» no podrá utilizarse</w:t>
      </w:r>
      <w:r w:rsidRPr="00454553">
        <w:rPr>
          <w:sz w:val="24"/>
          <w:szCs w:val="24"/>
        </w:rPr>
        <w:t>.</w:t>
      </w:r>
      <w:bookmarkEnd w:id="4"/>
      <w:r w:rsidRPr="00454553">
        <w:rPr>
          <w:sz w:val="24"/>
          <w:szCs w:val="24"/>
        </w:rPr>
        <w:t xml:space="preserve"> </w:t>
      </w:r>
      <w:bookmarkStart w:id="5" w:name="lt_pId026"/>
      <w:r w:rsidRPr="00454553">
        <w:rPr>
          <w:rFonts w:asciiTheme="minorHAnsi" w:eastAsia="SimSun" w:hAnsiTheme="minorHAnsi" w:cstheme="minorHAnsi"/>
          <w:sz w:val="24"/>
          <w:szCs w:val="24"/>
          <w:lang w:eastAsia="zh-CN"/>
        </w:rPr>
        <w:t>Si</w:t>
      </w:r>
      <w:r w:rsidR="00E85700" w:rsidRPr="00454553">
        <w:rPr>
          <w:rFonts w:asciiTheme="minorHAnsi" w:eastAsia="SimSun" w:hAnsiTheme="minorHAnsi" w:cstheme="minorHAnsi"/>
          <w:sz w:val="24"/>
          <w:szCs w:val="24"/>
          <w:lang w:eastAsia="zh-CN"/>
        </w:rPr>
        <w:t xml:space="preserve"> se notifica</w:t>
      </w:r>
      <w:r w:rsidRPr="00454553">
        <w:rPr>
          <w:rFonts w:asciiTheme="minorHAnsi" w:eastAsia="SimSun" w:hAnsiTheme="minorHAnsi" w:cstheme="minorHAnsi"/>
          <w:sz w:val="24"/>
          <w:szCs w:val="24"/>
          <w:lang w:eastAsia="zh-CN"/>
        </w:rPr>
        <w:t xml:space="preserve"> </w:t>
      </w:r>
      <w:r w:rsidR="00E85700" w:rsidRPr="00454553">
        <w:rPr>
          <w:rFonts w:asciiTheme="minorHAnsi" w:eastAsia="SimSun" w:hAnsiTheme="minorHAnsi" w:cstheme="minorHAnsi"/>
          <w:sz w:val="24"/>
          <w:szCs w:val="24"/>
          <w:lang w:eastAsia="zh-CN"/>
        </w:rPr>
        <w:t xml:space="preserve">una asignación a una estación base en una de esas bandas con </w:t>
      </w:r>
      <w:r w:rsidR="00E85700" w:rsidRPr="00454553">
        <w:rPr>
          <w:sz w:val="24"/>
          <w:szCs w:val="24"/>
        </w:rPr>
        <w:t>el símbolo «IM»</w:t>
      </w:r>
      <w:r w:rsidRPr="00454553">
        <w:rPr>
          <w:rFonts w:asciiTheme="minorHAnsi" w:eastAsia="SimSun" w:hAnsiTheme="minorHAnsi" w:cstheme="minorHAnsi"/>
          <w:sz w:val="24"/>
          <w:szCs w:val="24"/>
          <w:lang w:eastAsia="zh-CN"/>
        </w:rPr>
        <w:t xml:space="preserve">, la notificación </w:t>
      </w:r>
      <w:r w:rsidR="00E85700" w:rsidRPr="00454553">
        <w:rPr>
          <w:rFonts w:asciiTheme="minorHAnsi" w:eastAsia="SimSun" w:hAnsiTheme="minorHAnsi" w:cstheme="minorHAnsi"/>
          <w:sz w:val="24"/>
          <w:szCs w:val="24"/>
          <w:lang w:eastAsia="zh-CN"/>
        </w:rPr>
        <w:t xml:space="preserve">no se considerará admisible y </w:t>
      </w:r>
      <w:r w:rsidRPr="00454553">
        <w:rPr>
          <w:rFonts w:asciiTheme="minorHAnsi" w:eastAsia="SimSun" w:hAnsiTheme="minorHAnsi" w:cstheme="minorHAnsi"/>
          <w:sz w:val="24"/>
          <w:szCs w:val="24"/>
          <w:lang w:eastAsia="zh-CN"/>
        </w:rPr>
        <w:t>se devolverá a la administración notificante.</w:t>
      </w:r>
      <w:bookmarkEnd w:id="5"/>
    </w:p>
    <w:p w14:paraId="1031B946" w14:textId="77777777" w:rsidR="00F14A72" w:rsidRPr="00454553" w:rsidRDefault="00F14A72" w:rsidP="0026314C">
      <w:pPr>
        <w:pStyle w:val="enumlev1"/>
        <w:rPr>
          <w:sz w:val="24"/>
          <w:szCs w:val="24"/>
        </w:rPr>
      </w:pPr>
      <w:r w:rsidRPr="00454553">
        <w:rPr>
          <w:sz w:val="24"/>
          <w:szCs w:val="24"/>
        </w:rPr>
        <w:t>•</w:t>
      </w:r>
      <w:r w:rsidRPr="00454553">
        <w:rPr>
          <w:b/>
          <w:color w:val="800000"/>
          <w:sz w:val="24"/>
          <w:szCs w:val="24"/>
        </w:rPr>
        <w:tab/>
      </w:r>
      <w:bookmarkStart w:id="6" w:name="lt_pId027"/>
      <w:r w:rsidRPr="00454553">
        <w:rPr>
          <w:sz w:val="24"/>
          <w:szCs w:val="24"/>
        </w:rPr>
        <w:t>Las asignaciones a estaciones base en bandas de frecuencias atribuidas al servicio móvil, que no están identificadas para las IMT en el país que presenta la notificación, se pueden notificar con una naturaleza del servicio distinta de «IM».</w:t>
      </w:r>
      <w:bookmarkEnd w:id="6"/>
    </w:p>
    <w:p w14:paraId="5E9D7BDC" w14:textId="7FB798AC" w:rsidR="00F14A72" w:rsidRPr="00454553" w:rsidRDefault="000501B7" w:rsidP="00CF74E4">
      <w:pPr>
        <w:rPr>
          <w:sz w:val="24"/>
          <w:szCs w:val="24"/>
        </w:rPr>
      </w:pPr>
      <w:bookmarkStart w:id="7" w:name="lt_pId028"/>
      <w:r w:rsidRPr="00454553">
        <w:rPr>
          <w:sz w:val="24"/>
          <w:szCs w:val="24"/>
        </w:rPr>
        <w:t>El objetivo de la introducción</w:t>
      </w:r>
      <w:r w:rsidR="00F14A72" w:rsidRPr="00454553">
        <w:rPr>
          <w:sz w:val="24"/>
          <w:szCs w:val="24"/>
        </w:rPr>
        <w:t xml:space="preserve"> </w:t>
      </w:r>
      <w:r w:rsidRPr="00454553">
        <w:rPr>
          <w:sz w:val="24"/>
          <w:szCs w:val="24"/>
        </w:rPr>
        <w:t>de</w:t>
      </w:r>
      <w:r w:rsidR="00F14A72" w:rsidRPr="00454553">
        <w:rPr>
          <w:sz w:val="24"/>
          <w:szCs w:val="24"/>
        </w:rPr>
        <w:t xml:space="preserve">l símbolo «IM» </w:t>
      </w:r>
      <w:r w:rsidRPr="00454553">
        <w:rPr>
          <w:sz w:val="24"/>
          <w:szCs w:val="24"/>
        </w:rPr>
        <w:t>para</w:t>
      </w:r>
      <w:r w:rsidR="00F14A72" w:rsidRPr="00454553">
        <w:rPr>
          <w:sz w:val="24"/>
          <w:szCs w:val="24"/>
        </w:rPr>
        <w:t xml:space="preserve"> las estaciones IMT </w:t>
      </w:r>
      <w:r w:rsidR="00060B9E">
        <w:rPr>
          <w:sz w:val="24"/>
          <w:szCs w:val="24"/>
        </w:rPr>
        <w:t>d</w:t>
      </w:r>
      <w:r w:rsidR="00F14A72" w:rsidRPr="00454553">
        <w:rPr>
          <w:sz w:val="24"/>
          <w:szCs w:val="24"/>
        </w:rPr>
        <w:t>el servicio móvil se</w:t>
      </w:r>
      <w:r w:rsidRPr="00454553">
        <w:rPr>
          <w:sz w:val="24"/>
          <w:szCs w:val="24"/>
        </w:rPr>
        <w:t xml:space="preserve"> detalla</w:t>
      </w:r>
      <w:r w:rsidR="00F14A72" w:rsidRPr="00454553">
        <w:rPr>
          <w:sz w:val="24"/>
          <w:szCs w:val="24"/>
        </w:rPr>
        <w:t xml:space="preserve"> en </w:t>
      </w:r>
      <w:r w:rsidR="00F14A72" w:rsidRPr="00CE777B">
        <w:rPr>
          <w:sz w:val="24"/>
          <w:szCs w:val="24"/>
        </w:rPr>
        <w:t xml:space="preserve">la </w:t>
      </w:r>
      <w:r w:rsidR="00F14A72" w:rsidRPr="00CE777B">
        <w:rPr>
          <w:rStyle w:val="Hyperlink"/>
          <w:sz w:val="24"/>
          <w:szCs w:val="24"/>
        </w:rPr>
        <w:t>Carta Circular </w:t>
      </w:r>
      <w:hyperlink r:id="rId8" w:history="1">
        <w:r w:rsidR="00F14A72" w:rsidRPr="00CE777B">
          <w:rPr>
            <w:rStyle w:val="Hyperlink"/>
            <w:rFonts w:eastAsiaTheme="majorEastAsia"/>
            <w:sz w:val="24"/>
            <w:szCs w:val="24"/>
          </w:rPr>
          <w:t>CR/391</w:t>
        </w:r>
      </w:hyperlink>
      <w:r w:rsidR="00F14A72" w:rsidRPr="00454553">
        <w:rPr>
          <w:sz w:val="24"/>
          <w:szCs w:val="24"/>
        </w:rPr>
        <w:t xml:space="preserve"> de 26/02/2016.</w:t>
      </w:r>
      <w:bookmarkEnd w:id="7"/>
    </w:p>
    <w:p w14:paraId="1A5509FF" w14:textId="36B3CBBD" w:rsidR="00F14A72" w:rsidRPr="00454553" w:rsidRDefault="00F14A72" w:rsidP="00CF74E4">
      <w:pPr>
        <w:rPr>
          <w:sz w:val="24"/>
          <w:szCs w:val="24"/>
        </w:rPr>
      </w:pPr>
      <w:bookmarkStart w:id="8" w:name="lt_pId029"/>
      <w:r w:rsidRPr="00454553">
        <w:rPr>
          <w:sz w:val="24"/>
          <w:szCs w:val="24"/>
        </w:rPr>
        <w:t xml:space="preserve">La Oficina de Radiocomunicaciones queda a disposición de su Administración para cualquier aclaración que </w:t>
      </w:r>
      <w:r w:rsidR="000501B7" w:rsidRPr="00454553">
        <w:rPr>
          <w:sz w:val="24"/>
          <w:szCs w:val="24"/>
        </w:rPr>
        <w:t>pudiera necesitar</w:t>
      </w:r>
      <w:r w:rsidRPr="00454553">
        <w:rPr>
          <w:sz w:val="24"/>
          <w:szCs w:val="24"/>
        </w:rPr>
        <w:t>.</w:t>
      </w:r>
    </w:p>
    <w:p w14:paraId="5706BE1F" w14:textId="0DBF7D51" w:rsidR="00F14A72" w:rsidRPr="00454553" w:rsidRDefault="00F14A72" w:rsidP="00F12786">
      <w:pPr>
        <w:pStyle w:val="Normalaftertitle"/>
        <w:spacing w:before="960"/>
        <w:jc w:val="left"/>
        <w:rPr>
          <w:sz w:val="24"/>
          <w:szCs w:val="24"/>
        </w:rPr>
      </w:pPr>
      <w:bookmarkStart w:id="9" w:name="lt_pId030"/>
      <w:bookmarkEnd w:id="8"/>
      <w:r w:rsidRPr="00454553">
        <w:rPr>
          <w:rFonts w:asciiTheme="minorHAnsi" w:hAnsiTheme="minorHAnsi" w:cstheme="minorHAnsi"/>
          <w:sz w:val="24"/>
          <w:szCs w:val="24"/>
          <w:lang w:eastAsia="zh-CN"/>
        </w:rPr>
        <w:t>Mario Maniewicz</w:t>
      </w:r>
      <w:bookmarkEnd w:id="9"/>
      <w:r w:rsidR="00CF74E4" w:rsidRPr="00454553">
        <w:rPr>
          <w:rFonts w:asciiTheme="minorHAnsi" w:hAnsiTheme="minorHAnsi" w:cstheme="minorHAnsi"/>
          <w:sz w:val="24"/>
          <w:szCs w:val="24"/>
          <w:lang w:eastAsia="zh-CN"/>
        </w:rPr>
        <w:br/>
      </w:r>
      <w:bookmarkStart w:id="10" w:name="lt_pId031"/>
      <w:proofErr w:type="gramStart"/>
      <w:r w:rsidRPr="00454553">
        <w:rPr>
          <w:sz w:val="24"/>
          <w:szCs w:val="24"/>
        </w:rPr>
        <w:t>Director</w:t>
      </w:r>
      <w:bookmarkEnd w:id="10"/>
      <w:proofErr w:type="gramEnd"/>
    </w:p>
    <w:p w14:paraId="6B998177" w14:textId="77777777" w:rsidR="00CF74E4" w:rsidRPr="00454553" w:rsidRDefault="00CF74E4" w:rsidP="00CF74E4">
      <w:pPr>
        <w:spacing w:before="1200"/>
        <w:rPr>
          <w:sz w:val="18"/>
          <w:szCs w:val="18"/>
        </w:rPr>
      </w:pPr>
      <w:bookmarkStart w:id="11" w:name="ddistribution"/>
      <w:bookmarkStart w:id="12" w:name="lt_pId032"/>
      <w:bookmarkEnd w:id="11"/>
      <w:r w:rsidRPr="00454553">
        <w:rPr>
          <w:sz w:val="18"/>
          <w:szCs w:val="18"/>
          <w:u w:val="single"/>
        </w:rPr>
        <w:t>Distribución</w:t>
      </w:r>
      <w:r w:rsidRPr="00454553">
        <w:rPr>
          <w:sz w:val="18"/>
          <w:szCs w:val="18"/>
        </w:rPr>
        <w:t>:</w:t>
      </w:r>
    </w:p>
    <w:p w14:paraId="7B08A145" w14:textId="77777777" w:rsidR="00CF74E4" w:rsidRPr="00454553" w:rsidRDefault="00CF74E4" w:rsidP="001B3BFA">
      <w:pPr>
        <w:tabs>
          <w:tab w:val="clear" w:pos="794"/>
          <w:tab w:val="clear" w:pos="1191"/>
          <w:tab w:val="clear" w:pos="1588"/>
          <w:tab w:val="clear" w:pos="1985"/>
        </w:tabs>
        <w:spacing w:before="80" w:line="240" w:lineRule="auto"/>
        <w:ind w:left="426" w:hanging="426"/>
        <w:rPr>
          <w:b/>
          <w:sz w:val="18"/>
          <w:szCs w:val="18"/>
        </w:rPr>
      </w:pPr>
      <w:r w:rsidRPr="00454553">
        <w:rPr>
          <w:sz w:val="18"/>
          <w:szCs w:val="18"/>
        </w:rPr>
        <w:t>–</w:t>
      </w:r>
      <w:r w:rsidRPr="00454553">
        <w:rPr>
          <w:sz w:val="18"/>
          <w:szCs w:val="18"/>
        </w:rPr>
        <w:tab/>
        <w:t>Administraciones de los Estados Miembros de la UIT</w:t>
      </w:r>
      <w:bookmarkStart w:id="13" w:name="_GoBack"/>
      <w:bookmarkEnd w:id="13"/>
    </w:p>
    <w:p w14:paraId="151FDBC4" w14:textId="77777777" w:rsidR="00CF74E4" w:rsidRPr="00454553" w:rsidRDefault="00CF74E4" w:rsidP="001B3BFA">
      <w:pPr>
        <w:tabs>
          <w:tab w:val="clear" w:pos="794"/>
          <w:tab w:val="left" w:pos="426"/>
        </w:tabs>
        <w:spacing w:before="0" w:line="240" w:lineRule="auto"/>
        <w:ind w:left="794" w:hanging="794"/>
        <w:rPr>
          <w:sz w:val="18"/>
          <w:szCs w:val="18"/>
        </w:rPr>
      </w:pPr>
      <w:r w:rsidRPr="00454553">
        <w:rPr>
          <w:sz w:val="18"/>
          <w:szCs w:val="18"/>
        </w:rPr>
        <w:t>–</w:t>
      </w:r>
      <w:r w:rsidRPr="00454553">
        <w:rPr>
          <w:sz w:val="18"/>
          <w:szCs w:val="18"/>
        </w:rPr>
        <w:tab/>
        <w:t>Miembros de la Junta del Reglamento de Radiocomunicaciones</w:t>
      </w:r>
      <w:bookmarkEnd w:id="12"/>
    </w:p>
    <w:sectPr w:rsidR="00CF74E4" w:rsidRPr="00454553" w:rsidSect="00235A29">
      <w:headerReference w:type="even" r:id="rId9"/>
      <w:headerReference w:type="default" r:id="rId10"/>
      <w:headerReference w:type="first" r:id="rId11"/>
      <w:footerReference w:type="first" r:id="rId12"/>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07AD7" w14:textId="77777777" w:rsidR="00E419DA" w:rsidRDefault="00E419DA">
      <w:r>
        <w:separator/>
      </w:r>
    </w:p>
  </w:endnote>
  <w:endnote w:type="continuationSeparator" w:id="0">
    <w:p w14:paraId="48A59A71" w14:textId="77777777" w:rsidR="00E419DA" w:rsidRDefault="00E4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575A" w14:textId="12620CF1" w:rsidR="00026CF8" w:rsidRDefault="00F42C8C" w:rsidP="00F914DD">
    <w:pPr>
      <w:pStyle w:val="FirstFooter"/>
      <w:spacing w:line="240" w:lineRule="auto"/>
      <w:ind w:left="-397" w:right="-397"/>
      <w:jc w:val="center"/>
      <w:rPr>
        <w:color w:val="0070C0"/>
        <w:sz w:val="18"/>
        <w:szCs w:val="18"/>
      </w:rPr>
    </w:pPr>
    <w:r w:rsidRPr="00B37E9B">
      <w:rPr>
        <w:color w:val="0070C0"/>
        <w:sz w:val="18"/>
        <w:szCs w:val="18"/>
      </w:rPr>
      <w:t>Unión Internacional de Telecomunicaciones • Place des Nations • CH</w:t>
    </w:r>
    <w:r w:rsidRPr="00B37E9B">
      <w:rPr>
        <w:color w:val="0070C0"/>
        <w:sz w:val="18"/>
        <w:szCs w:val="18"/>
      </w:rPr>
      <w:noBreakHyphen/>
      <w:t>1211 Ginebra 20 • Suiza</w:t>
    </w:r>
    <w:r w:rsidRPr="00B37E9B">
      <w:rPr>
        <w:color w:val="0070C0"/>
        <w:sz w:val="18"/>
        <w:szCs w:val="18"/>
      </w:rPr>
      <w:br/>
      <w:t>Tel</w:t>
    </w:r>
    <w:r w:rsidR="003539BA">
      <w:rPr>
        <w:color w:val="0070C0"/>
        <w:sz w:val="18"/>
        <w:szCs w:val="18"/>
      </w:rPr>
      <w:t>.</w:t>
    </w:r>
    <w:r w:rsidRPr="00B37E9B">
      <w:rPr>
        <w:color w:val="0070C0"/>
        <w:sz w:val="18"/>
        <w:szCs w:val="18"/>
      </w:rPr>
      <w:t>: +41 22 730 5111 •</w:t>
    </w:r>
    <w:r w:rsidR="00FC2051" w:rsidRPr="00FC2051">
      <w:rPr>
        <w:color w:val="0070C0"/>
        <w:sz w:val="18"/>
        <w:szCs w:val="18"/>
      </w:rPr>
      <w:t xml:space="preserve"> </w:t>
    </w:r>
    <w:r w:rsidR="00FC2051" w:rsidRPr="00B37E9B">
      <w:rPr>
        <w:color w:val="0070C0"/>
        <w:sz w:val="18"/>
        <w:szCs w:val="18"/>
      </w:rPr>
      <w:t xml:space="preserve">Correo-e: </w:t>
    </w:r>
    <w:hyperlink r:id="rId1" w:history="1">
      <w:r w:rsidR="00FC2051" w:rsidRPr="00F42C8C">
        <w:rPr>
          <w:rStyle w:val="Hyperlink"/>
          <w:rFonts w:cs="Calibri"/>
          <w:sz w:val="18"/>
          <w:szCs w:val="18"/>
        </w:rPr>
        <w:t>itumail@itu.int</w:t>
      </w:r>
    </w:hyperlink>
    <w:r w:rsidRPr="00B37E9B">
      <w:rPr>
        <w:color w:val="0070C0"/>
        <w:sz w:val="18"/>
        <w:szCs w:val="18"/>
      </w:rPr>
      <w:t xml:space="preserve"> </w:t>
    </w:r>
    <w:r w:rsidR="00FC2051" w:rsidRPr="00B37E9B">
      <w:rPr>
        <w:color w:val="0070C0"/>
        <w:sz w:val="18"/>
        <w:szCs w:val="18"/>
      </w:rPr>
      <w:t>•</w:t>
    </w:r>
    <w:r w:rsidR="00FC2051">
      <w:rPr>
        <w:color w:val="0070C0"/>
        <w:sz w:val="18"/>
        <w:szCs w:val="18"/>
      </w:rPr>
      <w:t xml:space="preserve"> </w:t>
    </w:r>
    <w:r w:rsidRPr="00B37E9B">
      <w:rPr>
        <w:color w:val="0070C0"/>
        <w:sz w:val="18"/>
        <w:szCs w:val="18"/>
      </w:rPr>
      <w:t xml:space="preserve">Fax: +41 22 733 7256 </w:t>
    </w:r>
    <w:r w:rsidRPr="00FC2051">
      <w:rPr>
        <w:color w:val="0070C0"/>
        <w:sz w:val="18"/>
        <w:szCs w:val="18"/>
      </w:rPr>
      <w:t xml:space="preserve">• </w:t>
    </w:r>
    <w:hyperlink r:id="rId2" w:history="1">
      <w:r w:rsidRPr="00FC2051">
        <w:rPr>
          <w:rStyle w:val="Hyperlink"/>
          <w:rFonts w:cs="Calibri"/>
          <w:color w:val="0070C0"/>
          <w:sz w:val="18"/>
          <w:szCs w:val="18"/>
          <w:u w:val="none"/>
        </w:rPr>
        <w:t>www.itu.int</w:t>
      </w:r>
    </w:hyperlink>
    <w:r w:rsidR="00F55EAB" w:rsidRPr="00FC2051">
      <w:rPr>
        <w:color w:val="0070C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8856" w14:textId="77777777" w:rsidR="00E419DA" w:rsidRDefault="00E419DA">
      <w:r>
        <w:t>____________________</w:t>
      </w:r>
    </w:p>
  </w:footnote>
  <w:footnote w:type="continuationSeparator" w:id="0">
    <w:p w14:paraId="62452C4B" w14:textId="77777777" w:rsidR="00E419DA" w:rsidRDefault="00E4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BC44" w14:textId="77777777" w:rsidR="00026CF8" w:rsidRPr="00235A29" w:rsidRDefault="00026CF8">
    <w:pPr>
      <w:pStyle w:val="Header"/>
    </w:pPr>
    <w:r>
      <w:tab/>
    </w:r>
    <w:r>
      <w:tab/>
      <w:t xml:space="preserve">– </w:t>
    </w:r>
    <w:r>
      <w:rPr>
        <w:rStyle w:val="PageNumber"/>
        <w:rFonts w:cs="Calibri"/>
      </w:rPr>
      <w:fldChar w:fldCharType="begin"/>
    </w:r>
    <w:r>
      <w:rPr>
        <w:rStyle w:val="PageNumber"/>
        <w:rFonts w:cs="Calibri"/>
      </w:rPr>
      <w:instrText xml:space="preserve"> PAGE </w:instrText>
    </w:r>
    <w:r>
      <w:rPr>
        <w:rStyle w:val="PageNumber"/>
        <w:rFonts w:cs="Calibri"/>
      </w:rPr>
      <w:fldChar w:fldCharType="separate"/>
    </w:r>
    <w:r>
      <w:rPr>
        <w:rStyle w:val="PageNumber"/>
        <w:rFonts w:cs="Calibri"/>
        <w:noProof/>
      </w:rPr>
      <w:t>2</w:t>
    </w:r>
    <w:r>
      <w:rPr>
        <w:rStyle w:val="PageNumber"/>
        <w:rFonts w:cs="Calibri"/>
      </w:rPr>
      <w:fldChar w:fldCharType="end"/>
    </w:r>
    <w:r>
      <w:rPr>
        <w:rStyle w:val="PageNumber"/>
        <w:rFonts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DACE" w14:textId="77777777" w:rsidR="00026CF8" w:rsidRPr="00AF3325" w:rsidRDefault="00026CF8">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1</w:t>
    </w:r>
    <w:r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F644" w14:textId="77777777" w:rsidR="00026CF8" w:rsidRPr="00EA15B3" w:rsidRDefault="00026CF8" w:rsidP="00EA15B3">
    <w:pPr>
      <w:pStyle w:val="Header"/>
      <w:spacing w:line="360" w:lineRule="auto"/>
    </w:pPr>
    <w:r>
      <w:tab/>
    </w:r>
    <w:r>
      <w:tab/>
    </w:r>
    <w:r w:rsidR="00B37E9B">
      <w:rPr>
        <w:noProof/>
        <w:lang w:val="en-GB" w:eastAsia="en-GB"/>
      </w:rPr>
      <w:drawing>
        <wp:inline distT="0" distB="0" distL="0" distR="0" wp14:anchorId="04BED9FC" wp14:editId="28BD435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3E9D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380A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CCDF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E06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2223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1E7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6CE7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72D0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7647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B8AD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1803CE1"/>
    <w:multiLevelType w:val="hybridMultilevel"/>
    <w:tmpl w:val="1B54D8BE"/>
    <w:lvl w:ilvl="0" w:tplc="3218108C">
      <w:numFmt w:val="bullet"/>
      <w:lvlText w:val="-"/>
      <w:lvlJc w:val="left"/>
      <w:pPr>
        <w:ind w:left="1592" w:hanging="360"/>
      </w:pPr>
      <w:rPr>
        <w:rFonts w:ascii="Calibri" w:eastAsia="Times New Roman" w:hAnsi="Calibri" w:cs="Calibri" w:hint="default"/>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15" w15:restartNumberingAfterBreak="0">
    <w:nsid w:val="3A161F3B"/>
    <w:multiLevelType w:val="hybridMultilevel"/>
    <w:tmpl w:val="50A08870"/>
    <w:lvl w:ilvl="0" w:tplc="C838B626">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94AE1"/>
    <w:multiLevelType w:val="hybridMultilevel"/>
    <w:tmpl w:val="80E08F72"/>
    <w:lvl w:ilvl="0" w:tplc="C5A4A44C">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6"/>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s-ES_tradnl" w:vendorID="64" w:dllVersion="6" w:nlCheck="1" w:checkStyle="0"/>
  <w:activeWritingStyle w:appName="MSWord" w:lang="en-US"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774B2A"/>
    <w:rsid w:val="00010E30"/>
    <w:rsid w:val="00026CF8"/>
    <w:rsid w:val="00031E64"/>
    <w:rsid w:val="00040DF5"/>
    <w:rsid w:val="000501B7"/>
    <w:rsid w:val="00054534"/>
    <w:rsid w:val="00060B9E"/>
    <w:rsid w:val="00070258"/>
    <w:rsid w:val="00072B9B"/>
    <w:rsid w:val="00072E16"/>
    <w:rsid w:val="0007323C"/>
    <w:rsid w:val="00086D03"/>
    <w:rsid w:val="000A7051"/>
    <w:rsid w:val="000C03C7"/>
    <w:rsid w:val="000D786F"/>
    <w:rsid w:val="000E3DEE"/>
    <w:rsid w:val="00103C76"/>
    <w:rsid w:val="0011265F"/>
    <w:rsid w:val="00145AA2"/>
    <w:rsid w:val="0016308F"/>
    <w:rsid w:val="00196710"/>
    <w:rsid w:val="00197324"/>
    <w:rsid w:val="001B1CE8"/>
    <w:rsid w:val="001B3BFA"/>
    <w:rsid w:val="001D7070"/>
    <w:rsid w:val="001F5A49"/>
    <w:rsid w:val="00200936"/>
    <w:rsid w:val="00201097"/>
    <w:rsid w:val="00201B6E"/>
    <w:rsid w:val="002240B2"/>
    <w:rsid w:val="00235A29"/>
    <w:rsid w:val="002861E6"/>
    <w:rsid w:val="002A2700"/>
    <w:rsid w:val="002C27D7"/>
    <w:rsid w:val="002D6688"/>
    <w:rsid w:val="002F0890"/>
    <w:rsid w:val="003370B8"/>
    <w:rsid w:val="003539BA"/>
    <w:rsid w:val="003666FF"/>
    <w:rsid w:val="003741EE"/>
    <w:rsid w:val="003949A0"/>
    <w:rsid w:val="003B2BDA"/>
    <w:rsid w:val="003B55EC"/>
    <w:rsid w:val="003C4471"/>
    <w:rsid w:val="003C7DA2"/>
    <w:rsid w:val="003E504F"/>
    <w:rsid w:val="004326DB"/>
    <w:rsid w:val="0043682E"/>
    <w:rsid w:val="00454553"/>
    <w:rsid w:val="004815EB"/>
    <w:rsid w:val="00496920"/>
    <w:rsid w:val="004B7C9A"/>
    <w:rsid w:val="004E0DC4"/>
    <w:rsid w:val="004E0FB5"/>
    <w:rsid w:val="004E43BB"/>
    <w:rsid w:val="004F178E"/>
    <w:rsid w:val="004F6466"/>
    <w:rsid w:val="00505309"/>
    <w:rsid w:val="0050789B"/>
    <w:rsid w:val="00515771"/>
    <w:rsid w:val="00542A47"/>
    <w:rsid w:val="00543DF8"/>
    <w:rsid w:val="00546101"/>
    <w:rsid w:val="00553DD7"/>
    <w:rsid w:val="0057469A"/>
    <w:rsid w:val="00580814"/>
    <w:rsid w:val="005A03A3"/>
    <w:rsid w:val="005B214C"/>
    <w:rsid w:val="00602D53"/>
    <w:rsid w:val="00651777"/>
    <w:rsid w:val="00674F4F"/>
    <w:rsid w:val="006B0590"/>
    <w:rsid w:val="006B49DA"/>
    <w:rsid w:val="00700636"/>
    <w:rsid w:val="00707216"/>
    <w:rsid w:val="007234B1"/>
    <w:rsid w:val="00730B9A"/>
    <w:rsid w:val="00774B2A"/>
    <w:rsid w:val="00783681"/>
    <w:rsid w:val="007921A7"/>
    <w:rsid w:val="007A5C27"/>
    <w:rsid w:val="007B3DB1"/>
    <w:rsid w:val="007D183E"/>
    <w:rsid w:val="007E304D"/>
    <w:rsid w:val="007E3F13"/>
    <w:rsid w:val="00800012"/>
    <w:rsid w:val="0081513E"/>
    <w:rsid w:val="00823210"/>
    <w:rsid w:val="00843445"/>
    <w:rsid w:val="00847D46"/>
    <w:rsid w:val="00854131"/>
    <w:rsid w:val="0085652D"/>
    <w:rsid w:val="0087694B"/>
    <w:rsid w:val="00896AB6"/>
    <w:rsid w:val="008F4F21"/>
    <w:rsid w:val="00904D4A"/>
    <w:rsid w:val="009151BA"/>
    <w:rsid w:val="009277BC"/>
    <w:rsid w:val="00927D57"/>
    <w:rsid w:val="00941D23"/>
    <w:rsid w:val="0095010C"/>
    <w:rsid w:val="00963D9D"/>
    <w:rsid w:val="00976AAD"/>
    <w:rsid w:val="00981B54"/>
    <w:rsid w:val="009842C3"/>
    <w:rsid w:val="009A6BB6"/>
    <w:rsid w:val="009B3F43"/>
    <w:rsid w:val="009C161F"/>
    <w:rsid w:val="009E4AEC"/>
    <w:rsid w:val="009E5BD8"/>
    <w:rsid w:val="009E681E"/>
    <w:rsid w:val="00A123D2"/>
    <w:rsid w:val="00A34D6F"/>
    <w:rsid w:val="00A41F91"/>
    <w:rsid w:val="00A963DF"/>
    <w:rsid w:val="00AC3896"/>
    <w:rsid w:val="00AD2D7A"/>
    <w:rsid w:val="00AE6CFA"/>
    <w:rsid w:val="00AF3325"/>
    <w:rsid w:val="00B34CF9"/>
    <w:rsid w:val="00B37E9B"/>
    <w:rsid w:val="00B67004"/>
    <w:rsid w:val="00B90C45"/>
    <w:rsid w:val="00B933BE"/>
    <w:rsid w:val="00BB16FB"/>
    <w:rsid w:val="00BB4069"/>
    <w:rsid w:val="00BD7E5E"/>
    <w:rsid w:val="00BE6574"/>
    <w:rsid w:val="00C522EC"/>
    <w:rsid w:val="00C57E2C"/>
    <w:rsid w:val="00C608B7"/>
    <w:rsid w:val="00C66F24"/>
    <w:rsid w:val="00C764BA"/>
    <w:rsid w:val="00C9291E"/>
    <w:rsid w:val="00CA3F44"/>
    <w:rsid w:val="00CA4E58"/>
    <w:rsid w:val="00CB3771"/>
    <w:rsid w:val="00CB5153"/>
    <w:rsid w:val="00CC0DA0"/>
    <w:rsid w:val="00CE777B"/>
    <w:rsid w:val="00CF6752"/>
    <w:rsid w:val="00CF74E4"/>
    <w:rsid w:val="00D10BA0"/>
    <w:rsid w:val="00D2339B"/>
    <w:rsid w:val="00D24EB5"/>
    <w:rsid w:val="00D41571"/>
    <w:rsid w:val="00D416A0"/>
    <w:rsid w:val="00D47672"/>
    <w:rsid w:val="00D5123C"/>
    <w:rsid w:val="00D51C9E"/>
    <w:rsid w:val="00D55560"/>
    <w:rsid w:val="00D61C5A"/>
    <w:rsid w:val="00DB3A18"/>
    <w:rsid w:val="00DE66A5"/>
    <w:rsid w:val="00DF2B50"/>
    <w:rsid w:val="00E003F5"/>
    <w:rsid w:val="00E04C86"/>
    <w:rsid w:val="00E154B9"/>
    <w:rsid w:val="00E20F30"/>
    <w:rsid w:val="00E27BBA"/>
    <w:rsid w:val="00E34CD1"/>
    <w:rsid w:val="00E35E8F"/>
    <w:rsid w:val="00E419DA"/>
    <w:rsid w:val="00E438E8"/>
    <w:rsid w:val="00E520E2"/>
    <w:rsid w:val="00E64254"/>
    <w:rsid w:val="00E85700"/>
    <w:rsid w:val="00EA15B3"/>
    <w:rsid w:val="00EB2358"/>
    <w:rsid w:val="00EB3EB8"/>
    <w:rsid w:val="00EE2AB0"/>
    <w:rsid w:val="00F12786"/>
    <w:rsid w:val="00F14A72"/>
    <w:rsid w:val="00F42C8C"/>
    <w:rsid w:val="00F468C5"/>
    <w:rsid w:val="00F52F39"/>
    <w:rsid w:val="00F55EAB"/>
    <w:rsid w:val="00F914DD"/>
    <w:rsid w:val="00F938C0"/>
    <w:rsid w:val="00FA2358"/>
    <w:rsid w:val="00FB2592"/>
    <w:rsid w:val="00FB2810"/>
    <w:rsid w:val="00FC2051"/>
    <w:rsid w:val="00FC2947"/>
    <w:rsid w:val="00FE0818"/>
    <w:rsid w:val="00FF70B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27B044"/>
  <w14:defaultImageDpi w14:val="0"/>
  <w15:docId w15:val="{B3167757-1B77-47D3-8D26-E069E70D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Pr>
      <w:sz w:val="22"/>
      <w:szCs w:val="22"/>
      <w:lang w:val="es-ES_tradnl" w:eastAsia="en-US"/>
    </w:rPr>
  </w:style>
  <w:style w:type="character" w:styleId="FootnoteReference">
    <w:name w:val="footnote reference"/>
    <w:aliases w:val="Appel note de bas de p,Footnote Reference/... + (Latin) Ca...,Footnote Reference/"/>
    <w:basedOn w:val="DefaultParagraphFont"/>
    <w:rsid w:val="004326DB"/>
    <w:rPr>
      <w:rFonts w:cs="Times New Roman"/>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rFonts w:cs="Times New Roman"/>
      <w:color w:val="0000FF"/>
      <w:u w:val="single"/>
    </w:rPr>
  </w:style>
  <w:style w:type="character" w:styleId="CommentReference">
    <w:name w:val="annotation reference"/>
    <w:basedOn w:val="DefaultParagraphFont"/>
    <w:semiHidden/>
    <w:rsid w:val="004326DB"/>
    <w:rPr>
      <w:rFonts w:cs="Times New Roman"/>
      <w:sz w:val="16"/>
      <w:szCs w:val="16"/>
    </w:rPr>
  </w:style>
  <w:style w:type="paragraph" w:styleId="CommentText">
    <w:name w:val="annotation text"/>
    <w:basedOn w:val="Normal"/>
    <w:link w:val="CommentTextChar"/>
    <w:semiHidden/>
    <w:rsid w:val="004326DB"/>
    <w:rPr>
      <w:sz w:val="20"/>
    </w:rPr>
  </w:style>
  <w:style w:type="character" w:customStyle="1" w:styleId="CommentTextChar">
    <w:name w:val="Comment Text Char"/>
    <w:basedOn w:val="DefaultParagraphFont"/>
    <w:link w:val="CommentText"/>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PlainText">
    <w:name w:val="Plain Text"/>
    <w:basedOn w:val="Normal"/>
    <w:link w:val="PlainTextChar"/>
    <w:uiPriority w:val="99"/>
    <w:unhideWhenUsed/>
    <w:rsid w:val="00E419DA"/>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sz w:val="24"/>
      <w:lang w:val="en-US" w:eastAsia="zh-CN"/>
    </w:rPr>
  </w:style>
  <w:style w:type="character" w:customStyle="1" w:styleId="PlainTextChar">
    <w:name w:val="Plain Text Char"/>
    <w:basedOn w:val="DefaultParagraphFont"/>
    <w:link w:val="PlainText"/>
    <w:uiPriority w:val="99"/>
    <w:rsid w:val="00E419DA"/>
    <w:rPr>
      <w:rFonts w:eastAsia="SimSun"/>
      <w:sz w:val="24"/>
      <w:szCs w:val="22"/>
      <w:lang w:val="en-US"/>
    </w:rPr>
  </w:style>
  <w:style w:type="character" w:styleId="Strong">
    <w:name w:val="Strong"/>
    <w:basedOn w:val="DefaultParagraphFont"/>
    <w:uiPriority w:val="22"/>
    <w:qFormat/>
    <w:rsid w:val="00E419DA"/>
    <w:rPr>
      <w:b/>
      <w:bCs/>
    </w:rPr>
  </w:style>
  <w:style w:type="paragraph" w:customStyle="1" w:styleId="FigureLegend0">
    <w:name w:val="Figure_Legend"/>
    <w:basedOn w:val="Normal"/>
    <w:rsid w:val="00E419D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rPr>
  </w:style>
  <w:style w:type="table" w:styleId="TableGrid">
    <w:name w:val="Table Grid"/>
    <w:basedOn w:val="TableNormal"/>
    <w:rsid w:val="00E41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9DA"/>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lang w:val="en-US" w:eastAsia="zh-CN"/>
    </w:rPr>
  </w:style>
  <w:style w:type="character" w:styleId="UnresolvedMention">
    <w:name w:val="Unresolved Mention"/>
    <w:basedOn w:val="DefaultParagraphFont"/>
    <w:uiPriority w:val="99"/>
    <w:semiHidden/>
    <w:unhideWhenUsed/>
    <w:rsid w:val="00E419DA"/>
    <w:rPr>
      <w:color w:val="605E5C"/>
      <w:shd w:val="clear" w:color="auto" w:fill="E1DFDD"/>
    </w:rPr>
  </w:style>
  <w:style w:type="character" w:customStyle="1" w:styleId="enumlev1Char">
    <w:name w:val="enumlev1 Char"/>
    <w:basedOn w:val="DefaultParagraphFont"/>
    <w:link w:val="enumlev1"/>
    <w:locked/>
    <w:rsid w:val="00E419DA"/>
    <w:rPr>
      <w:sz w:val="22"/>
      <w:szCs w:val="22"/>
      <w:lang w:val="es-ES_tradnl" w:eastAsia="en-US"/>
    </w:rPr>
  </w:style>
  <w:style w:type="paragraph" w:styleId="TableofFigures">
    <w:name w:val="table of figures"/>
    <w:basedOn w:val="Normal"/>
    <w:next w:val="Normal"/>
    <w:rsid w:val="00E419DA"/>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lang w:val="en-US"/>
    </w:rPr>
  </w:style>
  <w:style w:type="character" w:customStyle="1" w:styleId="Artref">
    <w:name w:val="Art_ref"/>
    <w:basedOn w:val="DefaultParagraphFont"/>
    <w:rsid w:val="00E419DA"/>
    <w:rPr>
      <w:color w:val="3366FF"/>
    </w:rPr>
  </w:style>
  <w:style w:type="character" w:customStyle="1" w:styleId="Artref0">
    <w:name w:val="Art#_ref"/>
    <w:basedOn w:val="DefaultParagraphFont"/>
    <w:rsid w:val="00E419DA"/>
  </w:style>
  <w:style w:type="paragraph" w:customStyle="1" w:styleId="Tabletitle">
    <w:name w:val="Table_title"/>
    <w:basedOn w:val="Normal"/>
    <w:next w:val="Tablehead"/>
    <w:rsid w:val="00E419DA"/>
    <w:pPr>
      <w:keepNext/>
      <w:keepLines/>
      <w:spacing w:before="0" w:after="120" w:line="240" w:lineRule="auto"/>
      <w:jc w:val="center"/>
    </w:pPr>
    <w:rPr>
      <w:rFonts w:ascii="Times New Roman" w:hAnsi="Times New Roman" w:cs="Times New Roman"/>
      <w:b/>
      <w:sz w:val="24"/>
      <w:szCs w:val="20"/>
    </w:rPr>
  </w:style>
  <w:style w:type="character" w:customStyle="1" w:styleId="href2">
    <w:name w:val="href2"/>
    <w:basedOn w:val="href"/>
    <w:rsid w:val="00E419DA"/>
    <w:rPr>
      <w:rFonts w:cs="Times New Roman"/>
    </w:rPr>
  </w:style>
  <w:style w:type="paragraph" w:customStyle="1" w:styleId="TableText0">
    <w:name w:val="Table_Text"/>
    <w:basedOn w:val="Normal"/>
    <w:rsid w:val="00E419DA"/>
    <w:pPr>
      <w:tabs>
        <w:tab w:val="clear" w:pos="794"/>
        <w:tab w:val="clear" w:pos="1191"/>
        <w:tab w:val="clear" w:pos="1588"/>
        <w:tab w:val="clear" w:pos="1985"/>
      </w:tabs>
      <w:spacing w:before="40" w:after="40" w:line="240" w:lineRule="auto"/>
    </w:pPr>
    <w:rPr>
      <w:rFonts w:ascii="Times New Roman" w:hAnsi="Times New Roman" w:cs="Times New Roman"/>
      <w:sz w:val="20"/>
      <w:szCs w:val="20"/>
      <w:lang w:val="en-GB"/>
    </w:rPr>
  </w:style>
  <w:style w:type="paragraph" w:customStyle="1" w:styleId="TableTitle0">
    <w:name w:val="Table_Title"/>
    <w:basedOn w:val="Normal"/>
    <w:next w:val="TableText0"/>
    <w:rsid w:val="00E419DA"/>
    <w:pPr>
      <w:keepNext/>
      <w:tabs>
        <w:tab w:val="clear" w:pos="794"/>
        <w:tab w:val="clear" w:pos="1191"/>
        <w:tab w:val="clear" w:pos="1588"/>
        <w:tab w:val="clear" w:pos="1985"/>
      </w:tabs>
      <w:spacing w:before="0" w:after="120" w:line="240" w:lineRule="auto"/>
      <w:jc w:val="center"/>
    </w:pPr>
    <w:rPr>
      <w:rFonts w:ascii="Times New Roman" w:hAnsi="Times New Roman" w:cs="Times New Roman"/>
      <w:b/>
      <w:sz w:val="20"/>
      <w:szCs w:val="20"/>
      <w:lang w:val="en-GB"/>
    </w:rPr>
  </w:style>
  <w:style w:type="paragraph" w:customStyle="1" w:styleId="TableHead0">
    <w:name w:val="Table_Head"/>
    <w:basedOn w:val="TableText0"/>
    <w:next w:val="TableText0"/>
    <w:rsid w:val="00E419DA"/>
    <w:pPr>
      <w:spacing w:before="80" w:after="80"/>
      <w:jc w:val="center"/>
    </w:pPr>
    <w:rPr>
      <w:b/>
    </w:rPr>
  </w:style>
  <w:style w:type="paragraph" w:customStyle="1" w:styleId="TableNo">
    <w:name w:val="Table_No"/>
    <w:basedOn w:val="Normal"/>
    <w:next w:val="TableTitle0"/>
    <w:rsid w:val="00E419D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character" w:customStyle="1" w:styleId="Recdef">
    <w:name w:val="Rec_def"/>
    <w:basedOn w:val="DefaultParagraphFont"/>
    <w:rsid w:val="00E419DA"/>
    <w:rPr>
      <w:b/>
      <w:color w:val="FFCC00"/>
    </w:rPr>
  </w:style>
  <w:style w:type="paragraph" w:styleId="EndnoteText">
    <w:name w:val="endnote text"/>
    <w:basedOn w:val="Normal"/>
    <w:link w:val="EndnoteTextChar"/>
    <w:semiHidden/>
    <w:unhideWhenUsed/>
    <w:rsid w:val="00E419DA"/>
    <w:pPr>
      <w:spacing w:before="0" w:line="240" w:lineRule="auto"/>
    </w:pPr>
    <w:rPr>
      <w:sz w:val="20"/>
      <w:szCs w:val="20"/>
      <w:lang w:val="en-US"/>
    </w:rPr>
  </w:style>
  <w:style w:type="character" w:customStyle="1" w:styleId="EndnoteTextChar">
    <w:name w:val="Endnote Text Char"/>
    <w:basedOn w:val="DefaultParagraphFont"/>
    <w:link w:val="EndnoteText"/>
    <w:semiHidden/>
    <w:rsid w:val="00E419DA"/>
    <w:rPr>
      <w:lang w:val="en-US" w:eastAsia="en-US"/>
    </w:rPr>
  </w:style>
  <w:style w:type="character" w:styleId="EndnoteReference">
    <w:name w:val="endnote reference"/>
    <w:basedOn w:val="DefaultParagraphFont"/>
    <w:semiHidden/>
    <w:unhideWhenUsed/>
    <w:rsid w:val="00E419DA"/>
    <w:rPr>
      <w:vertAlign w:val="superscript"/>
    </w:rPr>
  </w:style>
  <w:style w:type="table" w:customStyle="1" w:styleId="TableGrid11">
    <w:name w:val="Table Grid11"/>
    <w:basedOn w:val="TableNormal"/>
    <w:rsid w:val="00E419DA"/>
    <w:rPr>
      <w:rFonts w:ascii="Times New Roman" w:eastAsia="SimSu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E419D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semiHidden/>
    <w:unhideWhenUsed/>
    <w:rsid w:val="00E419DA"/>
    <w:rPr>
      <w:color w:val="800080" w:themeColor="followedHyperlink"/>
      <w:u w:val="single"/>
    </w:rPr>
  </w:style>
  <w:style w:type="paragraph" w:styleId="CommentSubject">
    <w:name w:val="annotation subject"/>
    <w:basedOn w:val="CommentText"/>
    <w:next w:val="CommentText"/>
    <w:link w:val="CommentSubjectChar"/>
    <w:semiHidden/>
    <w:unhideWhenUsed/>
    <w:rsid w:val="00E419DA"/>
    <w:pPr>
      <w:spacing w:line="240" w:lineRule="auto"/>
    </w:pPr>
    <w:rPr>
      <w:b/>
      <w:bCs/>
      <w:szCs w:val="20"/>
      <w:lang w:val="en-US"/>
    </w:rPr>
  </w:style>
  <w:style w:type="character" w:customStyle="1" w:styleId="CommentSubjectChar">
    <w:name w:val="Comment Subject Char"/>
    <w:basedOn w:val="CommentTextChar"/>
    <w:link w:val="CommentSubject"/>
    <w:semiHidden/>
    <w:rsid w:val="00E419DA"/>
    <w:rPr>
      <w:b/>
      <w:bCs/>
      <w:lang w:val="en-US" w:eastAsia="en-US"/>
    </w:rPr>
  </w:style>
  <w:style w:type="paragraph" w:styleId="Revision">
    <w:name w:val="Revision"/>
    <w:hidden/>
    <w:uiPriority w:val="99"/>
    <w:semiHidden/>
    <w:rsid w:val="00E419DA"/>
    <w:rPr>
      <w:sz w:val="24"/>
      <w:szCs w:val="22"/>
      <w:lang w:val="en-US" w:eastAsia="en-US"/>
    </w:rPr>
  </w:style>
  <w:style w:type="paragraph" w:customStyle="1" w:styleId="Default">
    <w:name w:val="Default"/>
    <w:rsid w:val="00F14A72"/>
    <w:pPr>
      <w:autoSpaceDE w:val="0"/>
      <w:autoSpaceDN w:val="0"/>
      <w:adjustRightInd w:val="0"/>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391/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R16-WRC19-C-0469/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Spanish1</dc:creator>
  <cp:lastModifiedBy>Panoussopoulos, Sonia</cp:lastModifiedBy>
  <cp:revision>5</cp:revision>
  <cp:lastPrinted>2010-01-19T09:33:00Z</cp:lastPrinted>
  <dcterms:created xsi:type="dcterms:W3CDTF">2020-08-12T14:12:00Z</dcterms:created>
  <dcterms:modified xsi:type="dcterms:W3CDTF">2020-08-18T08:36:00Z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