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314"/>
        <w:gridCol w:w="3049"/>
      </w:tblGrid>
      <w:tr w:rsidR="00E53DCE" w:rsidRPr="006D03DD" w14:paraId="5C8D2018" w14:textId="77777777" w:rsidTr="00306452">
        <w:trPr>
          <w:jc w:val="center"/>
        </w:trPr>
        <w:tc>
          <w:tcPr>
            <w:tcW w:w="9889" w:type="dxa"/>
            <w:gridSpan w:val="3"/>
            <w:shd w:val="clear" w:color="auto" w:fill="auto"/>
          </w:tcPr>
          <w:p w14:paraId="43FD1188" w14:textId="77777777" w:rsidR="00E53DCE" w:rsidRPr="006D03DD" w:rsidRDefault="00A96D3A" w:rsidP="006160CB">
            <w:pPr>
              <w:spacing w:before="0"/>
              <w:jc w:val="left"/>
              <w:rPr>
                <w:rFonts w:cstheme="minorHAnsi"/>
                <w:b/>
                <w:bCs/>
                <w:color w:val="808080"/>
                <w:sz w:val="28"/>
                <w:szCs w:val="28"/>
                <w:lang w:val="es-ES_tradnl"/>
              </w:rPr>
            </w:pPr>
            <w:r w:rsidRPr="006D03DD">
              <w:rPr>
                <w:rFonts w:cstheme="minorHAnsi"/>
                <w:b/>
                <w:bCs/>
                <w:color w:val="808080"/>
                <w:sz w:val="28"/>
                <w:szCs w:val="28"/>
                <w:lang w:val="es-ES_tradnl"/>
              </w:rPr>
              <w:t>Oficina de Radiocomunicaciones (BR)</w:t>
            </w:r>
          </w:p>
          <w:p w14:paraId="5E96548A" w14:textId="77777777" w:rsidR="00E53DCE" w:rsidRPr="006D03DD" w:rsidRDefault="00E53DCE" w:rsidP="006160CB">
            <w:pPr>
              <w:spacing w:before="0"/>
              <w:jc w:val="left"/>
              <w:rPr>
                <w:rFonts w:cstheme="minorHAnsi"/>
                <w:b/>
                <w:bCs/>
                <w:color w:val="808080"/>
                <w:sz w:val="28"/>
                <w:szCs w:val="28"/>
                <w:lang w:val="es-ES_tradnl"/>
              </w:rPr>
            </w:pPr>
          </w:p>
          <w:p w14:paraId="48360C92" w14:textId="77777777" w:rsidR="00E53DCE" w:rsidRPr="006D03DD" w:rsidRDefault="00E53DCE" w:rsidP="006160CB">
            <w:pPr>
              <w:spacing w:before="0"/>
              <w:jc w:val="left"/>
              <w:rPr>
                <w:rFonts w:cs="Times New Roman Bold"/>
                <w:b/>
                <w:bCs/>
                <w:color w:val="808080"/>
                <w:sz w:val="28"/>
                <w:szCs w:val="28"/>
                <w:lang w:val="es-ES_tradnl"/>
              </w:rPr>
            </w:pPr>
          </w:p>
        </w:tc>
      </w:tr>
      <w:tr w:rsidR="00E53DCE" w:rsidRPr="00365D6F" w14:paraId="079FFDC8" w14:textId="77777777" w:rsidTr="00852ABE">
        <w:trPr>
          <w:jc w:val="center"/>
        </w:trPr>
        <w:tc>
          <w:tcPr>
            <w:tcW w:w="6840" w:type="dxa"/>
            <w:gridSpan w:val="2"/>
            <w:shd w:val="clear" w:color="auto" w:fill="auto"/>
          </w:tcPr>
          <w:p w14:paraId="2D151781" w14:textId="77777777" w:rsidR="00A354E4" w:rsidRPr="006D03DD" w:rsidRDefault="00A354E4" w:rsidP="00A354E4">
            <w:pPr>
              <w:spacing w:before="0"/>
              <w:jc w:val="left"/>
              <w:rPr>
                <w:rFonts w:asciiTheme="minorHAnsi" w:hAnsiTheme="minorHAnsi"/>
                <w:szCs w:val="24"/>
                <w:lang w:val="es-ES_tradnl"/>
              </w:rPr>
            </w:pPr>
            <w:r w:rsidRPr="006D03DD">
              <w:rPr>
                <w:rFonts w:asciiTheme="minorHAnsi" w:hAnsiTheme="minorHAnsi"/>
                <w:szCs w:val="24"/>
                <w:lang w:val="es-ES_tradnl"/>
              </w:rPr>
              <w:t>Carta Circular</w:t>
            </w:r>
          </w:p>
          <w:p w14:paraId="1D338117" w14:textId="0DB51507" w:rsidR="00E53DCE" w:rsidRPr="006D03DD" w:rsidRDefault="00A354E4" w:rsidP="00A354E4">
            <w:pPr>
              <w:spacing w:before="0"/>
              <w:jc w:val="left"/>
              <w:rPr>
                <w:b/>
                <w:bCs/>
                <w:szCs w:val="24"/>
                <w:lang w:val="es-ES_tradnl"/>
              </w:rPr>
            </w:pPr>
            <w:r w:rsidRPr="006D03DD">
              <w:rPr>
                <w:rFonts w:asciiTheme="minorHAnsi" w:hAnsiTheme="minorHAnsi"/>
                <w:b/>
                <w:bCs/>
                <w:szCs w:val="24"/>
                <w:lang w:val="es-ES_tradnl"/>
              </w:rPr>
              <w:t>CR/</w:t>
            </w:r>
            <w:bookmarkStart w:id="0" w:name="lt_pId017"/>
            <w:r w:rsidR="00CE5BCA" w:rsidRPr="006D03DD">
              <w:rPr>
                <w:rFonts w:asciiTheme="minorHAnsi" w:hAnsiTheme="minorHAnsi"/>
                <w:b/>
                <w:bCs/>
                <w:szCs w:val="24"/>
                <w:lang w:val="es-ES_tradnl"/>
              </w:rPr>
              <w:t>46</w:t>
            </w:r>
            <w:bookmarkEnd w:id="0"/>
            <w:r w:rsidR="00852ABE" w:rsidRPr="006D03DD">
              <w:rPr>
                <w:rFonts w:asciiTheme="minorHAnsi" w:hAnsiTheme="minorHAnsi"/>
                <w:b/>
                <w:bCs/>
                <w:szCs w:val="24"/>
                <w:lang w:val="es-ES_tradnl"/>
              </w:rPr>
              <w:t>3</w:t>
            </w:r>
          </w:p>
        </w:tc>
        <w:tc>
          <w:tcPr>
            <w:tcW w:w="3049" w:type="dxa"/>
            <w:shd w:val="clear" w:color="auto" w:fill="auto"/>
          </w:tcPr>
          <w:p w14:paraId="5BEBFEEF" w14:textId="062D55F0" w:rsidR="00E53DCE" w:rsidRPr="006D03DD" w:rsidRDefault="00852ABE" w:rsidP="00365D6F">
            <w:pPr>
              <w:spacing w:before="0"/>
              <w:ind w:left="-200"/>
              <w:jc w:val="right"/>
              <w:rPr>
                <w:szCs w:val="24"/>
                <w:lang w:val="es-ES_tradnl"/>
              </w:rPr>
            </w:pPr>
            <w:r w:rsidRPr="006D03DD">
              <w:rPr>
                <w:rFonts w:asciiTheme="minorHAnsi" w:hAnsiTheme="minorHAnsi"/>
                <w:szCs w:val="24"/>
                <w:lang w:val="es-ES_tradnl"/>
              </w:rPr>
              <w:t xml:space="preserve">Ginebra, </w:t>
            </w:r>
            <w:r w:rsidR="00583FF5">
              <w:rPr>
                <w:rFonts w:asciiTheme="minorHAnsi" w:hAnsiTheme="minorHAnsi"/>
                <w:szCs w:val="24"/>
                <w:lang w:val="es-ES_tradnl"/>
              </w:rPr>
              <w:t>6</w:t>
            </w:r>
            <w:r w:rsidR="00A354E4" w:rsidRPr="006D03DD">
              <w:rPr>
                <w:rFonts w:asciiTheme="minorHAnsi" w:hAnsiTheme="minorHAnsi"/>
                <w:szCs w:val="24"/>
                <w:lang w:val="es-ES_tradnl"/>
              </w:rPr>
              <w:t xml:space="preserve"> de </w:t>
            </w:r>
            <w:r w:rsidR="00365D6F">
              <w:rPr>
                <w:rFonts w:asciiTheme="minorHAnsi" w:hAnsiTheme="minorHAnsi"/>
                <w:szCs w:val="24"/>
                <w:lang w:val="es-ES_tradnl"/>
              </w:rPr>
              <w:t>agosto</w:t>
            </w:r>
            <w:r w:rsidR="00A354E4" w:rsidRPr="006D03DD">
              <w:rPr>
                <w:rFonts w:asciiTheme="minorHAnsi" w:hAnsiTheme="minorHAnsi"/>
                <w:szCs w:val="24"/>
                <w:lang w:val="es-ES_tradnl"/>
              </w:rPr>
              <w:t xml:space="preserve"> de 20</w:t>
            </w:r>
            <w:r w:rsidR="00CE5BCA" w:rsidRPr="006D03DD">
              <w:rPr>
                <w:rFonts w:asciiTheme="minorHAnsi" w:hAnsiTheme="minorHAnsi"/>
                <w:szCs w:val="24"/>
                <w:lang w:val="es-ES_tradnl"/>
              </w:rPr>
              <w:t>20</w:t>
            </w:r>
          </w:p>
        </w:tc>
      </w:tr>
      <w:tr w:rsidR="00E53DCE" w:rsidRPr="00365D6F" w14:paraId="2A0E6738" w14:textId="77777777" w:rsidTr="00306452">
        <w:trPr>
          <w:jc w:val="center"/>
        </w:trPr>
        <w:tc>
          <w:tcPr>
            <w:tcW w:w="9889" w:type="dxa"/>
            <w:gridSpan w:val="3"/>
            <w:shd w:val="clear" w:color="auto" w:fill="auto"/>
          </w:tcPr>
          <w:p w14:paraId="1FD784CD" w14:textId="77777777" w:rsidR="00E53DCE" w:rsidRPr="006D03DD" w:rsidRDefault="00E53DCE" w:rsidP="006160CB">
            <w:pPr>
              <w:spacing w:before="0"/>
              <w:jc w:val="left"/>
              <w:rPr>
                <w:rFonts w:cs="Arial"/>
                <w:szCs w:val="24"/>
                <w:lang w:val="es-ES_tradnl"/>
              </w:rPr>
            </w:pPr>
          </w:p>
        </w:tc>
      </w:tr>
      <w:tr w:rsidR="00E53DCE" w:rsidRPr="00365D6F" w14:paraId="15EF6910" w14:textId="77777777" w:rsidTr="00306452">
        <w:trPr>
          <w:jc w:val="center"/>
        </w:trPr>
        <w:tc>
          <w:tcPr>
            <w:tcW w:w="9889" w:type="dxa"/>
            <w:gridSpan w:val="3"/>
            <w:shd w:val="clear" w:color="auto" w:fill="auto"/>
          </w:tcPr>
          <w:p w14:paraId="059A9269" w14:textId="77777777" w:rsidR="00E53DCE" w:rsidRPr="006D03DD" w:rsidRDefault="00E53DCE" w:rsidP="006160CB">
            <w:pPr>
              <w:spacing w:before="0"/>
              <w:jc w:val="left"/>
              <w:rPr>
                <w:szCs w:val="24"/>
                <w:lang w:val="es-ES_tradnl"/>
              </w:rPr>
            </w:pPr>
          </w:p>
        </w:tc>
      </w:tr>
      <w:tr w:rsidR="00E53DCE" w:rsidRPr="00583FF5" w14:paraId="340A96E5" w14:textId="77777777" w:rsidTr="00306452">
        <w:trPr>
          <w:jc w:val="center"/>
        </w:trPr>
        <w:tc>
          <w:tcPr>
            <w:tcW w:w="9889" w:type="dxa"/>
            <w:gridSpan w:val="3"/>
            <w:shd w:val="clear" w:color="auto" w:fill="auto"/>
          </w:tcPr>
          <w:p w14:paraId="1C9E5704" w14:textId="3DDAD29B" w:rsidR="00E53DCE" w:rsidRPr="006D03DD" w:rsidRDefault="00FE4822" w:rsidP="006160CB">
            <w:pPr>
              <w:spacing w:before="0"/>
              <w:jc w:val="left"/>
              <w:rPr>
                <w:b/>
                <w:bCs/>
                <w:szCs w:val="24"/>
                <w:lang w:val="es-ES_tradnl"/>
              </w:rPr>
            </w:pPr>
            <w:r w:rsidRPr="006D03DD">
              <w:rPr>
                <w:b/>
                <w:szCs w:val="24"/>
                <w:lang w:val="es-ES_tradnl"/>
              </w:rPr>
              <w:t xml:space="preserve">A las Administraciones </w:t>
            </w:r>
            <w:r w:rsidR="00852ABE" w:rsidRPr="006D03DD">
              <w:rPr>
                <w:b/>
                <w:szCs w:val="24"/>
                <w:lang w:val="es-ES_tradnl"/>
              </w:rPr>
              <w:t>Parte del Acuerdo GE06</w:t>
            </w:r>
            <w:r w:rsidR="00F73386">
              <w:rPr>
                <w:rStyle w:val="FootnoteReference"/>
                <w:b/>
                <w:szCs w:val="24"/>
                <w:lang w:val="es-ES_tradnl"/>
              </w:rPr>
              <w:footnoteReference w:id="1"/>
            </w:r>
          </w:p>
          <w:p w14:paraId="017D03E2" w14:textId="77777777" w:rsidR="00E53DCE" w:rsidRPr="006D03DD" w:rsidRDefault="00E53DCE" w:rsidP="006160CB">
            <w:pPr>
              <w:spacing w:before="0"/>
              <w:jc w:val="left"/>
              <w:rPr>
                <w:b/>
                <w:bCs/>
                <w:szCs w:val="24"/>
                <w:lang w:val="es-ES_tradnl"/>
              </w:rPr>
            </w:pPr>
          </w:p>
        </w:tc>
      </w:tr>
      <w:tr w:rsidR="00E53DCE" w:rsidRPr="00583FF5" w14:paraId="122A9A63" w14:textId="77777777" w:rsidTr="00306452">
        <w:trPr>
          <w:jc w:val="center"/>
        </w:trPr>
        <w:tc>
          <w:tcPr>
            <w:tcW w:w="9889" w:type="dxa"/>
            <w:gridSpan w:val="3"/>
            <w:shd w:val="clear" w:color="auto" w:fill="auto"/>
          </w:tcPr>
          <w:p w14:paraId="154BA5F6" w14:textId="77777777" w:rsidR="00E53DCE" w:rsidRPr="006D03DD" w:rsidRDefault="00E53DCE" w:rsidP="006160CB">
            <w:pPr>
              <w:spacing w:before="0"/>
              <w:jc w:val="left"/>
              <w:rPr>
                <w:szCs w:val="24"/>
                <w:lang w:val="es-ES_tradnl"/>
              </w:rPr>
            </w:pPr>
          </w:p>
        </w:tc>
      </w:tr>
      <w:tr w:rsidR="00E53DCE" w:rsidRPr="00583FF5" w14:paraId="264D6EA9" w14:textId="77777777" w:rsidTr="00306452">
        <w:trPr>
          <w:jc w:val="center"/>
        </w:trPr>
        <w:tc>
          <w:tcPr>
            <w:tcW w:w="9889" w:type="dxa"/>
            <w:gridSpan w:val="3"/>
            <w:shd w:val="clear" w:color="auto" w:fill="auto"/>
          </w:tcPr>
          <w:p w14:paraId="077172CA" w14:textId="77777777" w:rsidR="00E53DCE" w:rsidRPr="006D03DD" w:rsidRDefault="00E53DCE" w:rsidP="006160CB">
            <w:pPr>
              <w:spacing w:before="0"/>
              <w:jc w:val="left"/>
              <w:rPr>
                <w:szCs w:val="24"/>
                <w:lang w:val="es-ES_tradnl"/>
              </w:rPr>
            </w:pPr>
          </w:p>
        </w:tc>
      </w:tr>
      <w:tr w:rsidR="00E53DCE" w:rsidRPr="00583FF5" w14:paraId="1DB361D6" w14:textId="77777777" w:rsidTr="00306452">
        <w:trPr>
          <w:jc w:val="center"/>
        </w:trPr>
        <w:tc>
          <w:tcPr>
            <w:tcW w:w="1526" w:type="dxa"/>
            <w:shd w:val="clear" w:color="auto" w:fill="auto"/>
          </w:tcPr>
          <w:p w14:paraId="039B1F3B" w14:textId="77777777" w:rsidR="00E53DCE" w:rsidRPr="006D03DD" w:rsidRDefault="00311970" w:rsidP="006160CB">
            <w:pPr>
              <w:tabs>
                <w:tab w:val="clear" w:pos="1588"/>
                <w:tab w:val="left" w:pos="1560"/>
              </w:tabs>
              <w:spacing w:before="0"/>
              <w:jc w:val="left"/>
              <w:rPr>
                <w:szCs w:val="24"/>
                <w:lang w:val="es-ES_tradnl"/>
              </w:rPr>
            </w:pPr>
            <w:r w:rsidRPr="006D03DD">
              <w:rPr>
                <w:szCs w:val="24"/>
                <w:lang w:val="es-ES_tradnl"/>
              </w:rPr>
              <w:t>Asunto:</w:t>
            </w:r>
          </w:p>
        </w:tc>
        <w:tc>
          <w:tcPr>
            <w:tcW w:w="8363" w:type="dxa"/>
            <w:gridSpan w:val="2"/>
            <w:vMerge w:val="restart"/>
            <w:shd w:val="clear" w:color="auto" w:fill="auto"/>
          </w:tcPr>
          <w:p w14:paraId="7109BD63" w14:textId="7A16215E" w:rsidR="00E53DCE" w:rsidRPr="006D03DD" w:rsidRDefault="00493C86" w:rsidP="00BF430A">
            <w:pPr>
              <w:tabs>
                <w:tab w:val="clear" w:pos="1588"/>
                <w:tab w:val="left" w:pos="1560"/>
              </w:tabs>
              <w:spacing w:before="0"/>
              <w:jc w:val="left"/>
              <w:rPr>
                <w:b/>
                <w:bCs/>
                <w:szCs w:val="24"/>
                <w:lang w:val="es-ES_tradnl"/>
              </w:rPr>
            </w:pPr>
            <w:r w:rsidRPr="006D03DD">
              <w:rPr>
                <w:rFonts w:asciiTheme="minorHAnsi" w:hAnsiTheme="minorHAnsi" w:cs="Times New Roman"/>
                <w:b/>
                <w:bCs/>
                <w:szCs w:val="24"/>
                <w:lang w:val="es-ES_tradnl" w:eastAsia="zh-CN"/>
              </w:rPr>
              <w:t xml:space="preserve">Acuerdo Regional GE06 – </w:t>
            </w:r>
            <w:r w:rsidR="00B00625">
              <w:rPr>
                <w:rFonts w:asciiTheme="minorHAnsi" w:hAnsiTheme="minorHAnsi" w:cs="Times New Roman"/>
                <w:b/>
                <w:bCs/>
                <w:szCs w:val="24"/>
                <w:lang w:val="es-ES_tradnl" w:eastAsia="zh-CN"/>
              </w:rPr>
              <w:t>F</w:t>
            </w:r>
            <w:r w:rsidRPr="006D03DD">
              <w:rPr>
                <w:rFonts w:asciiTheme="minorHAnsi" w:hAnsiTheme="minorHAnsi" w:cs="Times New Roman"/>
                <w:b/>
                <w:bCs/>
                <w:szCs w:val="24"/>
                <w:lang w:val="es-ES_tradnl" w:eastAsia="zh-CN"/>
              </w:rPr>
              <w:t>inal del Periodo de Transición</w:t>
            </w:r>
          </w:p>
        </w:tc>
      </w:tr>
      <w:tr w:rsidR="00E53DCE" w:rsidRPr="00583FF5" w14:paraId="6667DD00" w14:textId="77777777" w:rsidTr="00306452">
        <w:trPr>
          <w:jc w:val="center"/>
        </w:trPr>
        <w:tc>
          <w:tcPr>
            <w:tcW w:w="1526" w:type="dxa"/>
            <w:shd w:val="clear" w:color="auto" w:fill="auto"/>
          </w:tcPr>
          <w:p w14:paraId="05BD08F7" w14:textId="77777777" w:rsidR="00E53DCE" w:rsidRPr="006D03D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400DA460" w14:textId="77777777" w:rsidR="00E53DCE" w:rsidRPr="006D03DD" w:rsidRDefault="00E53DCE" w:rsidP="006160CB">
            <w:pPr>
              <w:tabs>
                <w:tab w:val="clear" w:pos="1588"/>
                <w:tab w:val="left" w:pos="1560"/>
              </w:tabs>
              <w:spacing w:before="0"/>
              <w:rPr>
                <w:b/>
                <w:bCs/>
                <w:szCs w:val="24"/>
                <w:lang w:val="es-ES_tradnl"/>
              </w:rPr>
            </w:pPr>
          </w:p>
        </w:tc>
      </w:tr>
      <w:tr w:rsidR="00E53DCE" w:rsidRPr="00583FF5" w14:paraId="28FBA86E" w14:textId="77777777" w:rsidTr="002D7253">
        <w:trPr>
          <w:trHeight w:val="57"/>
          <w:jc w:val="center"/>
        </w:trPr>
        <w:tc>
          <w:tcPr>
            <w:tcW w:w="1526" w:type="dxa"/>
            <w:shd w:val="clear" w:color="auto" w:fill="auto"/>
          </w:tcPr>
          <w:p w14:paraId="399638F2" w14:textId="77777777" w:rsidR="00E53DCE" w:rsidRPr="006D03DD"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14:paraId="53135DA0" w14:textId="77777777" w:rsidR="00E53DCE" w:rsidRPr="006D03DD" w:rsidRDefault="00E53DCE" w:rsidP="006160CB">
            <w:pPr>
              <w:tabs>
                <w:tab w:val="clear" w:pos="1588"/>
                <w:tab w:val="left" w:pos="1560"/>
              </w:tabs>
              <w:spacing w:before="0"/>
              <w:rPr>
                <w:b/>
                <w:bCs/>
                <w:szCs w:val="24"/>
                <w:lang w:val="es-ES_tradnl"/>
              </w:rPr>
            </w:pPr>
          </w:p>
        </w:tc>
      </w:tr>
      <w:tr w:rsidR="00E53DCE" w:rsidRPr="00583FF5" w14:paraId="1DA36F15" w14:textId="77777777" w:rsidTr="00306452">
        <w:trPr>
          <w:jc w:val="center"/>
        </w:trPr>
        <w:tc>
          <w:tcPr>
            <w:tcW w:w="9889" w:type="dxa"/>
            <w:gridSpan w:val="3"/>
            <w:shd w:val="clear" w:color="auto" w:fill="auto"/>
          </w:tcPr>
          <w:p w14:paraId="59794D9D" w14:textId="77777777" w:rsidR="00E53DCE" w:rsidRPr="006D03DD" w:rsidRDefault="00E53DCE" w:rsidP="00E53DCE">
            <w:pPr>
              <w:tabs>
                <w:tab w:val="clear" w:pos="1588"/>
                <w:tab w:val="left" w:pos="1560"/>
              </w:tabs>
              <w:spacing w:before="0"/>
              <w:jc w:val="left"/>
              <w:rPr>
                <w:szCs w:val="24"/>
                <w:lang w:val="es-ES_tradnl"/>
              </w:rPr>
            </w:pPr>
          </w:p>
        </w:tc>
      </w:tr>
    </w:tbl>
    <w:p w14:paraId="25A80D43" w14:textId="4126A2B9" w:rsidR="00493C86" w:rsidRPr="006D03DD" w:rsidRDefault="00493C86" w:rsidP="0011156F">
      <w:pPr>
        <w:spacing w:before="240"/>
        <w:rPr>
          <w:lang w:val="es-ES_tradnl"/>
        </w:rPr>
      </w:pPr>
      <w:r w:rsidRPr="006D03DD">
        <w:rPr>
          <w:lang w:val="es-ES_tradnl"/>
        </w:rPr>
        <w:t xml:space="preserve">Mediante la Circular Administrativa CR/375 del 19 de diciembre de 2014, la Oficina de Radiocomunicaciones (BR) informó a las administraciones sobre el final, el 17 de junio de 2015, de la primera fase del </w:t>
      </w:r>
      <w:r w:rsidRPr="0011156F">
        <w:rPr>
          <w:i/>
          <w:iCs/>
          <w:lang w:val="es-ES_tradnl"/>
        </w:rPr>
        <w:t>periodo de transición</w:t>
      </w:r>
      <w:r w:rsidRPr="006D03DD">
        <w:rPr>
          <w:lang w:val="es-ES_tradnl"/>
        </w:rPr>
        <w:t xml:space="preserve"> a la televisión digital para todas las administraciones que</w:t>
      </w:r>
      <w:r w:rsidR="0011156F">
        <w:rPr>
          <w:lang w:val="es-ES_tradnl"/>
        </w:rPr>
        <w:t> </w:t>
      </w:r>
      <w:r w:rsidRPr="006D03DD">
        <w:rPr>
          <w:lang w:val="es-ES_tradnl"/>
        </w:rPr>
        <w:t>eran parte en el Acuerdo Regional, Ginebra, 2006 (GE06), excepto los países enumerados en el</w:t>
      </w:r>
      <w:r w:rsidR="0011156F">
        <w:rPr>
          <w:lang w:val="es-ES_tradnl"/>
        </w:rPr>
        <w:t> </w:t>
      </w:r>
      <w:r w:rsidRPr="006D03DD">
        <w:rPr>
          <w:lang w:val="es-ES_tradnl"/>
        </w:rPr>
        <w:t>§ 12.6 del Acuerdo GE06, para la banda 174</w:t>
      </w:r>
      <w:r w:rsidR="0011156F">
        <w:rPr>
          <w:lang w:val="es-ES_tradnl"/>
        </w:rPr>
        <w:t>-</w:t>
      </w:r>
      <w:r w:rsidRPr="006D03DD">
        <w:rPr>
          <w:lang w:val="es-ES_tradnl"/>
        </w:rPr>
        <w:t>230 MHz.</w:t>
      </w:r>
    </w:p>
    <w:p w14:paraId="3B1195FD" w14:textId="3E0B1AD8" w:rsidR="00493C86" w:rsidRPr="006D03DD" w:rsidRDefault="00493C86" w:rsidP="00F73386">
      <w:pPr>
        <w:rPr>
          <w:lang w:val="es-ES_tradnl"/>
        </w:rPr>
      </w:pPr>
      <w:r w:rsidRPr="006D03DD">
        <w:rPr>
          <w:lang w:val="es-ES_tradnl"/>
        </w:rPr>
        <w:t xml:space="preserve">La presente Carta Circular tiene por objeto informar a su Administración de que la segunda fase del </w:t>
      </w:r>
      <w:r w:rsidRPr="0011156F">
        <w:rPr>
          <w:i/>
          <w:iCs/>
          <w:lang w:val="es-ES_tradnl"/>
        </w:rPr>
        <w:t>per</w:t>
      </w:r>
      <w:r w:rsidR="006D03DD" w:rsidRPr="0011156F">
        <w:rPr>
          <w:i/>
          <w:iCs/>
          <w:lang w:val="es-ES_tradnl"/>
        </w:rPr>
        <w:t>i</w:t>
      </w:r>
      <w:r w:rsidRPr="0011156F">
        <w:rPr>
          <w:i/>
          <w:iCs/>
          <w:lang w:val="es-ES_tradnl"/>
        </w:rPr>
        <w:t>odo de transición</w:t>
      </w:r>
      <w:r w:rsidRPr="006D03DD">
        <w:rPr>
          <w:lang w:val="es-ES_tradnl"/>
        </w:rPr>
        <w:t xml:space="preserve"> para los treinta y cuatro países enumerados en la nota 7 del § 12.6, para la banda 174</w:t>
      </w:r>
      <w:r w:rsidR="0011156F">
        <w:rPr>
          <w:lang w:val="es-ES_tradnl"/>
        </w:rPr>
        <w:t>-</w:t>
      </w:r>
      <w:r w:rsidRPr="006D03DD">
        <w:rPr>
          <w:lang w:val="es-ES_tradnl"/>
        </w:rPr>
        <w:t xml:space="preserve">230 MHz, </w:t>
      </w:r>
      <w:r w:rsidRPr="006D03DD">
        <w:rPr>
          <w:b/>
          <w:bCs/>
          <w:lang w:val="es-ES_tradnl"/>
        </w:rPr>
        <w:t>finalizó el 17 de junio de 2020 a las 0001 horas UTC</w:t>
      </w:r>
      <w:r w:rsidRPr="006D03DD">
        <w:rPr>
          <w:lang w:val="es-ES_tradnl"/>
        </w:rPr>
        <w:t>.</w:t>
      </w:r>
    </w:p>
    <w:p w14:paraId="7DD19D5A" w14:textId="4549119E" w:rsidR="00493C86" w:rsidRPr="006D03DD" w:rsidRDefault="00493C86" w:rsidP="00F73386">
      <w:pPr>
        <w:rPr>
          <w:lang w:val="es-ES_tradnl"/>
        </w:rPr>
      </w:pPr>
      <w:r w:rsidRPr="006D03DD">
        <w:rPr>
          <w:lang w:val="es-ES_tradnl"/>
        </w:rPr>
        <w:t xml:space="preserve">Por consiguiente, el </w:t>
      </w:r>
      <w:r w:rsidRPr="00AF42DC">
        <w:rPr>
          <w:i/>
          <w:iCs/>
          <w:lang w:val="es-ES_tradnl"/>
        </w:rPr>
        <w:t>per</w:t>
      </w:r>
      <w:r w:rsidR="006D03DD" w:rsidRPr="00AF42DC">
        <w:rPr>
          <w:i/>
          <w:iCs/>
          <w:lang w:val="es-ES_tradnl"/>
        </w:rPr>
        <w:t>i</w:t>
      </w:r>
      <w:r w:rsidRPr="00AF42DC">
        <w:rPr>
          <w:i/>
          <w:iCs/>
          <w:lang w:val="es-ES_tradnl"/>
        </w:rPr>
        <w:t>odo de transición</w:t>
      </w:r>
      <w:r w:rsidRPr="006D03DD">
        <w:rPr>
          <w:lang w:val="es-ES_tradnl"/>
        </w:rPr>
        <w:t xml:space="preserve"> de GE06, destinado a facilitar la migración de la televisión analógica a la digital </w:t>
      </w:r>
      <w:r w:rsidR="004D2480" w:rsidRPr="006D03DD">
        <w:rPr>
          <w:lang w:val="es-ES_tradnl"/>
        </w:rPr>
        <w:t xml:space="preserve">y </w:t>
      </w:r>
      <w:r w:rsidRPr="006D03DD">
        <w:rPr>
          <w:lang w:val="es-ES_tradnl"/>
        </w:rPr>
        <w:t xml:space="preserve">que comenzó el 17 de junio de 2006, ha concluido ya. </w:t>
      </w:r>
      <w:r w:rsidR="002B5AA5" w:rsidRPr="006D03DD">
        <w:rPr>
          <w:lang w:val="es-ES_tradnl"/>
        </w:rPr>
        <w:t>En consecuencia</w:t>
      </w:r>
      <w:r w:rsidRPr="006D03DD">
        <w:rPr>
          <w:lang w:val="es-ES_tradnl"/>
        </w:rPr>
        <w:t>, el Plan analógico (GE06A) ha dejado de existir.</w:t>
      </w:r>
    </w:p>
    <w:p w14:paraId="0FC4D987" w14:textId="6908A893" w:rsidR="00493C86" w:rsidRPr="006D03DD" w:rsidRDefault="00E17652" w:rsidP="00F73386">
      <w:pPr>
        <w:rPr>
          <w:lang w:val="es-ES_tradnl"/>
        </w:rPr>
      </w:pPr>
      <w:r w:rsidRPr="006D03DD">
        <w:rPr>
          <w:lang w:val="es-ES_tradnl"/>
        </w:rPr>
        <w:t>De acuerdo con el Acuerdo GE06, la BR ha emprendido las acciones siguientes:</w:t>
      </w:r>
    </w:p>
    <w:p w14:paraId="4BC7E39E" w14:textId="57709722" w:rsidR="00E17652" w:rsidRDefault="00F73386" w:rsidP="00F73386">
      <w:pPr>
        <w:pStyle w:val="enumlev1"/>
        <w:rPr>
          <w:lang w:val="es-ES_tradnl"/>
        </w:rPr>
      </w:pPr>
      <w:r w:rsidRPr="00F73386">
        <w:rPr>
          <w:lang w:val="es-ES_tradnl"/>
        </w:rPr>
        <w:t>•</w:t>
      </w:r>
      <w:r>
        <w:rPr>
          <w:lang w:val="es-ES_tradnl"/>
        </w:rPr>
        <w:tab/>
      </w:r>
      <w:r w:rsidR="00E17652" w:rsidRPr="006D03DD">
        <w:rPr>
          <w:lang w:val="es-ES_tradnl"/>
        </w:rPr>
        <w:t>Todas las asignaciones previamente registradas en el plan GE06A han sido suprimidas, en aplicación del § 12.6 del Acuerdo GE06;</w:t>
      </w:r>
    </w:p>
    <w:p w14:paraId="5BF5EE60" w14:textId="57019AE7" w:rsidR="00E17652" w:rsidRDefault="00F73386" w:rsidP="00F73386">
      <w:pPr>
        <w:pStyle w:val="enumlev1"/>
        <w:rPr>
          <w:rFonts w:cstheme="majorBidi"/>
          <w:szCs w:val="24"/>
          <w:lang w:val="es-ES_tradnl"/>
        </w:rPr>
      </w:pPr>
      <w:r w:rsidRPr="00F73386">
        <w:rPr>
          <w:lang w:val="es-ES_tradnl"/>
        </w:rPr>
        <w:t>•</w:t>
      </w:r>
      <w:r>
        <w:rPr>
          <w:lang w:val="es-ES_tradnl"/>
        </w:rPr>
        <w:tab/>
      </w:r>
      <w:r w:rsidR="002B5AA5" w:rsidRPr="006D03DD">
        <w:rPr>
          <w:rFonts w:cstheme="majorBidi"/>
          <w:szCs w:val="24"/>
          <w:lang w:val="es-ES_tradnl"/>
        </w:rPr>
        <w:t>La parte</w:t>
      </w:r>
      <w:r w:rsidR="00E17652" w:rsidRPr="006D03DD">
        <w:rPr>
          <w:rFonts w:cstheme="majorBidi"/>
          <w:szCs w:val="24"/>
          <w:lang w:val="es-ES_tradnl"/>
        </w:rPr>
        <w:t xml:space="preserve"> correspondiente al GE06A ha sido eliminad</w:t>
      </w:r>
      <w:r w:rsidR="002B5AA5" w:rsidRPr="006D03DD">
        <w:rPr>
          <w:rFonts w:cstheme="majorBidi"/>
          <w:szCs w:val="24"/>
          <w:lang w:val="es-ES_tradnl"/>
        </w:rPr>
        <w:t>a</w:t>
      </w:r>
      <w:r w:rsidR="00E17652" w:rsidRPr="006D03DD">
        <w:rPr>
          <w:rFonts w:cstheme="majorBidi"/>
          <w:szCs w:val="24"/>
          <w:lang w:val="es-ES_tradnl"/>
        </w:rPr>
        <w:t xml:space="preserve"> del software de </w:t>
      </w:r>
      <w:r w:rsidR="002B5AA5" w:rsidRPr="006D03DD">
        <w:rPr>
          <w:rFonts w:cstheme="majorBidi"/>
          <w:szCs w:val="24"/>
          <w:lang w:val="es-ES_tradnl"/>
        </w:rPr>
        <w:t xml:space="preserve">la </w:t>
      </w:r>
      <w:r w:rsidR="00E17652" w:rsidRPr="006D03DD">
        <w:rPr>
          <w:rFonts w:cstheme="majorBidi"/>
          <w:szCs w:val="24"/>
          <w:lang w:val="es-ES_tradnl"/>
        </w:rPr>
        <w:t>BR (TerRaSys y eBCD);</w:t>
      </w:r>
    </w:p>
    <w:p w14:paraId="56E02DB9" w14:textId="4107200E" w:rsidR="006A3B03" w:rsidRDefault="00F73386" w:rsidP="00F73386">
      <w:pPr>
        <w:pStyle w:val="enumlev1"/>
        <w:rPr>
          <w:rFonts w:cstheme="majorBidi"/>
          <w:szCs w:val="24"/>
          <w:lang w:val="es-ES_tradnl"/>
        </w:rPr>
      </w:pPr>
      <w:r w:rsidRPr="00F73386">
        <w:rPr>
          <w:rFonts w:cstheme="majorBidi"/>
          <w:szCs w:val="24"/>
          <w:lang w:val="es-ES_tradnl"/>
        </w:rPr>
        <w:t>•</w:t>
      </w:r>
      <w:r>
        <w:rPr>
          <w:rFonts w:cstheme="majorBidi"/>
          <w:szCs w:val="24"/>
          <w:lang w:val="es-ES_tradnl"/>
        </w:rPr>
        <w:tab/>
      </w:r>
      <w:r w:rsidR="00E17652" w:rsidRPr="006D03DD">
        <w:rPr>
          <w:rFonts w:cstheme="majorBidi"/>
          <w:szCs w:val="24"/>
          <w:lang w:val="es-ES_tradnl"/>
        </w:rPr>
        <w:t xml:space="preserve">Las asignaciones de televisión analógica sujetas al Acuerdo GE06 e inscritas en el Registro Internacional de Frecuencias </w:t>
      </w:r>
      <w:r w:rsidR="00911DF0">
        <w:rPr>
          <w:rFonts w:cstheme="majorBidi"/>
          <w:szCs w:val="24"/>
          <w:lang w:val="es-ES_tradnl"/>
        </w:rPr>
        <w:t xml:space="preserve">se </w:t>
      </w:r>
      <w:r w:rsidR="00E17652" w:rsidRPr="006D03DD">
        <w:rPr>
          <w:rFonts w:cstheme="majorBidi"/>
          <w:szCs w:val="24"/>
          <w:lang w:val="es-ES_tradnl"/>
        </w:rPr>
        <w:t xml:space="preserve">han </w:t>
      </w:r>
      <w:r w:rsidR="00911DF0">
        <w:rPr>
          <w:rFonts w:cstheme="majorBidi"/>
          <w:szCs w:val="24"/>
          <w:lang w:val="es-ES_tradnl"/>
        </w:rPr>
        <w:t xml:space="preserve">mantenido en </w:t>
      </w:r>
      <w:r w:rsidR="00E17652" w:rsidRPr="006D03DD">
        <w:rPr>
          <w:rFonts w:cstheme="majorBidi"/>
          <w:szCs w:val="24"/>
          <w:lang w:val="es-ES_tradnl"/>
        </w:rPr>
        <w:t xml:space="preserve">el mismo, excepto aquellas que las administraciones solicitaron </w:t>
      </w:r>
      <w:r w:rsidR="00911DF0">
        <w:rPr>
          <w:rFonts w:cstheme="majorBidi"/>
          <w:szCs w:val="24"/>
          <w:lang w:val="es-ES_tradnl"/>
        </w:rPr>
        <w:t>suprimir</w:t>
      </w:r>
      <w:r w:rsidR="00E17652" w:rsidRPr="006D03DD">
        <w:rPr>
          <w:rFonts w:cstheme="majorBidi"/>
          <w:szCs w:val="24"/>
          <w:lang w:val="es-ES_tradnl"/>
        </w:rPr>
        <w:t xml:space="preserve">. Tales asignaciones </w:t>
      </w:r>
      <w:r w:rsidR="00911DF0">
        <w:rPr>
          <w:rFonts w:cstheme="majorBidi"/>
          <w:szCs w:val="24"/>
          <w:lang w:val="es-ES_tradnl"/>
        </w:rPr>
        <w:t>mante</w:t>
      </w:r>
      <w:r w:rsidR="00E17652" w:rsidRPr="006D03DD">
        <w:rPr>
          <w:rFonts w:cstheme="majorBidi"/>
          <w:szCs w:val="24"/>
          <w:lang w:val="es-ES_tradnl"/>
        </w:rPr>
        <w:t>nidas sólo pueden funcionar con la condición de no causar interferencia inaceptable a asignaciones conformes al Acuerdo GE06, ni reclamar protección frente a las mismas.</w:t>
      </w:r>
    </w:p>
    <w:p w14:paraId="12825376" w14:textId="743D7C83" w:rsidR="00E17652" w:rsidRPr="006D03DD" w:rsidRDefault="006A3B03" w:rsidP="00F73386">
      <w:pPr>
        <w:pStyle w:val="enumlev1"/>
        <w:rPr>
          <w:rFonts w:cstheme="majorBidi"/>
          <w:szCs w:val="24"/>
          <w:lang w:val="es-ES_tradnl"/>
        </w:rPr>
      </w:pPr>
      <w:r w:rsidRPr="006A3B03">
        <w:rPr>
          <w:szCs w:val="24"/>
          <w:lang w:val="es-ES_tradnl"/>
        </w:rPr>
        <w:t>•</w:t>
      </w:r>
      <w:r>
        <w:rPr>
          <w:szCs w:val="24"/>
          <w:lang w:val="es-ES_tradnl"/>
        </w:rPr>
        <w:tab/>
      </w:r>
      <w:r w:rsidR="00E17652" w:rsidRPr="006D03DD">
        <w:rPr>
          <w:szCs w:val="24"/>
          <w:lang w:val="es-ES_tradnl"/>
        </w:rPr>
        <w:t xml:space="preserve">La </w:t>
      </w:r>
      <w:r w:rsidR="00E17652" w:rsidRPr="006D03DD">
        <w:rPr>
          <w:rFonts w:cstheme="majorBidi"/>
          <w:szCs w:val="24"/>
          <w:lang w:val="es-ES_tradnl"/>
        </w:rPr>
        <w:t>BR también mantuvo sin cambios en el Registro las asignaciones analógicas que utilizan las inscripciones digitales del Plan GE06 e inscritas en virtud de la disposición 5.1.3 del Artículo 5 del Acuerdo.</w:t>
      </w:r>
    </w:p>
    <w:p w14:paraId="748D29CB" w14:textId="3F553DB8" w:rsidR="004D2480" w:rsidRPr="006D03DD" w:rsidRDefault="004D2480" w:rsidP="004D2480">
      <w:pPr>
        <w:rPr>
          <w:rFonts w:cstheme="majorBidi"/>
          <w:szCs w:val="24"/>
          <w:lang w:val="es-ES_tradnl"/>
        </w:rPr>
      </w:pPr>
      <w:r w:rsidRPr="006D03DD">
        <w:rPr>
          <w:rFonts w:cstheme="majorBidi"/>
          <w:szCs w:val="24"/>
          <w:lang w:val="es-ES_tradnl"/>
        </w:rPr>
        <w:lastRenderedPageBreak/>
        <w:t xml:space="preserve">Una vez finalizado el </w:t>
      </w:r>
      <w:r w:rsidR="002B5AA5" w:rsidRPr="006D03DD">
        <w:rPr>
          <w:rFonts w:cstheme="majorBidi"/>
          <w:i/>
          <w:iCs/>
          <w:szCs w:val="24"/>
          <w:lang w:val="es-ES_tradnl"/>
        </w:rPr>
        <w:t>Per</w:t>
      </w:r>
      <w:r w:rsidR="006D03DD">
        <w:rPr>
          <w:rFonts w:cstheme="majorBidi"/>
          <w:i/>
          <w:iCs/>
          <w:szCs w:val="24"/>
          <w:lang w:val="es-ES_tradnl"/>
        </w:rPr>
        <w:t>i</w:t>
      </w:r>
      <w:r w:rsidR="002B5AA5" w:rsidRPr="006D03DD">
        <w:rPr>
          <w:rFonts w:cstheme="majorBidi"/>
          <w:i/>
          <w:iCs/>
          <w:szCs w:val="24"/>
          <w:lang w:val="es-ES_tradnl"/>
        </w:rPr>
        <w:t xml:space="preserve">odo </w:t>
      </w:r>
      <w:r w:rsidRPr="006D03DD">
        <w:rPr>
          <w:rFonts w:cstheme="majorBidi"/>
          <w:i/>
          <w:iCs/>
          <w:szCs w:val="24"/>
          <w:lang w:val="es-ES_tradnl"/>
        </w:rPr>
        <w:t xml:space="preserve">de </w:t>
      </w:r>
      <w:r w:rsidR="002B5AA5" w:rsidRPr="006D03DD">
        <w:rPr>
          <w:rFonts w:cstheme="majorBidi"/>
          <w:i/>
          <w:iCs/>
          <w:szCs w:val="24"/>
          <w:lang w:val="es-ES_tradnl"/>
        </w:rPr>
        <w:t>Transición</w:t>
      </w:r>
      <w:r w:rsidRPr="006D03DD">
        <w:rPr>
          <w:rFonts w:cstheme="majorBidi"/>
          <w:szCs w:val="24"/>
          <w:lang w:val="es-ES_tradnl"/>
        </w:rPr>
        <w:t xml:space="preserve">, las asignaciones de frecuencia a las estaciones de televisión analógica dejan de estar protegidas de las estaciones que funcionan de conformidad con el Acuerdo GE06. No obstante, las administraciones podrán seguir utilizando estaciones analógicas </w:t>
      </w:r>
      <w:r w:rsidRPr="00B00625">
        <w:rPr>
          <w:rFonts w:cstheme="majorBidi"/>
          <w:szCs w:val="24"/>
          <w:lang w:val="es-ES_tradnl"/>
        </w:rPr>
        <w:t>de la siguiente manera:</w:t>
      </w:r>
    </w:p>
    <w:p w14:paraId="3157EF2A" w14:textId="0450F6CE" w:rsidR="004D2480" w:rsidRDefault="00F73386" w:rsidP="00F73386">
      <w:pPr>
        <w:pStyle w:val="enumlev1"/>
        <w:rPr>
          <w:rFonts w:cstheme="majorBidi"/>
          <w:szCs w:val="24"/>
          <w:lang w:val="es-ES_tradnl"/>
        </w:rPr>
      </w:pPr>
      <w:r w:rsidRPr="00F73386">
        <w:rPr>
          <w:rFonts w:cstheme="majorBidi"/>
          <w:szCs w:val="24"/>
          <w:lang w:val="es-ES_tradnl"/>
        </w:rPr>
        <w:t>•</w:t>
      </w:r>
      <w:r>
        <w:rPr>
          <w:rFonts w:cstheme="majorBidi"/>
          <w:szCs w:val="24"/>
          <w:lang w:val="es-ES_tradnl"/>
        </w:rPr>
        <w:tab/>
      </w:r>
      <w:r w:rsidR="004D2480" w:rsidRPr="006D03DD">
        <w:rPr>
          <w:rFonts w:cstheme="majorBidi"/>
          <w:szCs w:val="24"/>
          <w:lang w:val="es-ES_tradnl"/>
        </w:rPr>
        <w:t>en virtud de la disposición 5.1.3 del Acuerdo en el contexto de una inscripción de un plan digital registrado en el Plan GE06D. Si dicha asignación analógica notificada recibe conclusiones favorables, se inscribirá en el Registro con la misma protección que la inscripción en el plan digital;</w:t>
      </w:r>
    </w:p>
    <w:p w14:paraId="56748699" w14:textId="5E88C25A" w:rsidR="004D2480" w:rsidRPr="006D03DD" w:rsidRDefault="00F73386" w:rsidP="00F73386">
      <w:pPr>
        <w:pStyle w:val="enumlev1"/>
        <w:rPr>
          <w:rFonts w:cstheme="majorBidi"/>
          <w:szCs w:val="24"/>
          <w:lang w:val="es-ES_tradnl"/>
        </w:rPr>
      </w:pPr>
      <w:r w:rsidRPr="00F73386">
        <w:rPr>
          <w:rFonts w:cstheme="majorBidi"/>
          <w:szCs w:val="24"/>
          <w:lang w:val="es-ES_tradnl"/>
        </w:rPr>
        <w:t>•</w:t>
      </w:r>
      <w:r>
        <w:rPr>
          <w:rFonts w:cstheme="majorBidi"/>
          <w:szCs w:val="24"/>
          <w:lang w:val="es-ES_tradnl"/>
        </w:rPr>
        <w:tab/>
      </w:r>
      <w:r w:rsidR="004D2480" w:rsidRPr="006D03DD">
        <w:rPr>
          <w:rFonts w:cstheme="majorBidi"/>
          <w:szCs w:val="24"/>
          <w:lang w:val="es-ES_tradnl"/>
        </w:rPr>
        <w:t xml:space="preserve">sobre la base de la no interferencia y la no protección con respecto a las </w:t>
      </w:r>
      <w:r w:rsidR="00B00625">
        <w:rPr>
          <w:rFonts w:cstheme="majorBidi"/>
          <w:szCs w:val="24"/>
          <w:lang w:val="es-ES_tradnl"/>
        </w:rPr>
        <w:t>A</w:t>
      </w:r>
      <w:r w:rsidR="004D2480" w:rsidRPr="006D03DD">
        <w:rPr>
          <w:rFonts w:cstheme="majorBidi"/>
          <w:szCs w:val="24"/>
          <w:lang w:val="es-ES_tradnl"/>
        </w:rPr>
        <w:t>dministraciones-</w:t>
      </w:r>
      <w:r w:rsidR="00B00625">
        <w:rPr>
          <w:rFonts w:cstheme="majorBidi"/>
          <w:szCs w:val="24"/>
          <w:lang w:val="es-ES_tradnl"/>
        </w:rPr>
        <w:t>P</w:t>
      </w:r>
      <w:r w:rsidR="004D2480" w:rsidRPr="006D03DD">
        <w:rPr>
          <w:rFonts w:cstheme="majorBidi"/>
          <w:szCs w:val="24"/>
          <w:lang w:val="es-ES_tradnl"/>
        </w:rPr>
        <w:t xml:space="preserve">arte del Acuerdo GE06. Se recomienda encarecidamente la coordinación de las estaciones de televisión analógica con las administraciones vecinas para garantizar su funcionamiento </w:t>
      </w:r>
      <w:r w:rsidR="002B5AA5" w:rsidRPr="006D03DD">
        <w:rPr>
          <w:rFonts w:cstheme="majorBidi"/>
          <w:szCs w:val="24"/>
          <w:lang w:val="es-ES_tradnl"/>
        </w:rPr>
        <w:t>libre de</w:t>
      </w:r>
      <w:r w:rsidR="004D2480" w:rsidRPr="006D03DD">
        <w:rPr>
          <w:rFonts w:cstheme="majorBidi"/>
          <w:szCs w:val="24"/>
          <w:lang w:val="es-ES_tradnl"/>
        </w:rPr>
        <w:t xml:space="preserve"> interferencias.</w:t>
      </w:r>
    </w:p>
    <w:p w14:paraId="23A6ADDA" w14:textId="4B23E86A" w:rsidR="00A354E4" w:rsidRPr="006D03DD" w:rsidRDefault="004D2480" w:rsidP="00F73386">
      <w:pPr>
        <w:rPr>
          <w:lang w:val="es-ES_tradnl"/>
        </w:rPr>
      </w:pPr>
      <w:r w:rsidRPr="006D03DD">
        <w:rPr>
          <w:lang w:val="es-ES_tradnl"/>
        </w:rPr>
        <w:t>La Oficina de Radiocomunicaciones queda a disposición de su Administración para cualquier aclaración que necesite</w:t>
      </w:r>
      <w:r w:rsidR="00A354E4" w:rsidRPr="006D03DD">
        <w:rPr>
          <w:lang w:val="es-ES_tradnl"/>
        </w:rPr>
        <w:t>.</w:t>
      </w:r>
    </w:p>
    <w:p w14:paraId="4C685B43" w14:textId="03D76CD8" w:rsidR="00A354E4" w:rsidRPr="006D03DD" w:rsidRDefault="00EB0779" w:rsidP="00F73386">
      <w:pPr>
        <w:spacing w:before="1080"/>
        <w:jc w:val="left"/>
        <w:rPr>
          <w:lang w:val="es-ES_tradnl"/>
        </w:rPr>
      </w:pPr>
      <w:r w:rsidRPr="006D03DD">
        <w:rPr>
          <w:lang w:val="es-ES_tradnl"/>
        </w:rPr>
        <w:t>Mario Maniewicz</w:t>
      </w:r>
      <w:r w:rsidR="00721638" w:rsidRPr="006D03DD">
        <w:rPr>
          <w:lang w:val="es-ES_tradnl"/>
        </w:rPr>
        <w:br/>
      </w:r>
      <w:r w:rsidR="00A354E4" w:rsidRPr="006D03DD">
        <w:rPr>
          <w:lang w:val="es-ES_tradnl"/>
        </w:rPr>
        <w:t>Director</w:t>
      </w:r>
    </w:p>
    <w:p w14:paraId="5A81F5BA" w14:textId="77777777" w:rsidR="00A354E4" w:rsidRPr="006D03DD" w:rsidRDefault="00A354E4" w:rsidP="00F73386">
      <w:pPr>
        <w:pStyle w:val="toc0"/>
        <w:keepLines w:val="0"/>
        <w:spacing w:before="4440" w:line="240" w:lineRule="auto"/>
        <w:rPr>
          <w:sz w:val="18"/>
          <w:szCs w:val="18"/>
          <w:lang w:val="es-ES_tradnl"/>
        </w:rPr>
      </w:pPr>
      <w:r w:rsidRPr="0082739A">
        <w:rPr>
          <w:sz w:val="18"/>
          <w:szCs w:val="18"/>
          <w:u w:val="single"/>
          <w:lang w:val="es-ES_tradnl"/>
        </w:rPr>
        <w:t>Distribución</w:t>
      </w:r>
      <w:r w:rsidRPr="006D03DD">
        <w:rPr>
          <w:sz w:val="18"/>
          <w:szCs w:val="18"/>
          <w:lang w:val="es-ES_tradnl"/>
        </w:rPr>
        <w:t>:</w:t>
      </w:r>
    </w:p>
    <w:p w14:paraId="46BCB8FC" w14:textId="77777777" w:rsidR="00A354E4" w:rsidRPr="00804CB4" w:rsidRDefault="00721638" w:rsidP="00804CB4">
      <w:pPr>
        <w:pStyle w:val="enumlev1"/>
        <w:spacing w:line="240" w:lineRule="auto"/>
        <w:rPr>
          <w:b/>
          <w:sz w:val="18"/>
          <w:szCs w:val="18"/>
          <w:lang w:val="es-ES_tradnl"/>
        </w:rPr>
      </w:pPr>
      <w:r w:rsidRPr="00804CB4">
        <w:rPr>
          <w:sz w:val="18"/>
          <w:szCs w:val="18"/>
          <w:lang w:val="es-ES_tradnl"/>
        </w:rPr>
        <w:t>–</w:t>
      </w:r>
      <w:r w:rsidR="00A354E4" w:rsidRPr="00804CB4">
        <w:rPr>
          <w:sz w:val="18"/>
          <w:szCs w:val="18"/>
          <w:lang w:val="es-ES_tradnl"/>
        </w:rPr>
        <w:tab/>
        <w:t>Administraciones de los Estados Miembros de la UIT</w:t>
      </w:r>
    </w:p>
    <w:p w14:paraId="51118246" w14:textId="77777777" w:rsidR="00A354E4" w:rsidRPr="00804CB4" w:rsidRDefault="00721638" w:rsidP="00804CB4">
      <w:pPr>
        <w:pStyle w:val="enumlev1"/>
        <w:spacing w:before="0" w:line="240" w:lineRule="auto"/>
        <w:rPr>
          <w:sz w:val="18"/>
          <w:szCs w:val="18"/>
          <w:lang w:val="es-ES_tradnl"/>
        </w:rPr>
      </w:pPr>
      <w:r w:rsidRPr="00804CB4">
        <w:rPr>
          <w:sz w:val="18"/>
          <w:szCs w:val="18"/>
          <w:lang w:val="es-ES_tradnl"/>
        </w:rPr>
        <w:t>–</w:t>
      </w:r>
      <w:r w:rsidR="00A354E4" w:rsidRPr="00804CB4">
        <w:rPr>
          <w:sz w:val="18"/>
          <w:szCs w:val="18"/>
          <w:lang w:val="es-ES_tradnl"/>
        </w:rPr>
        <w:tab/>
        <w:t>Miembros de la Junta del Reglamento de Radiocomunicaciones</w:t>
      </w:r>
    </w:p>
    <w:sectPr w:rsidR="00A354E4" w:rsidRPr="00804CB4" w:rsidSect="00745623">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255B" w14:textId="77777777" w:rsidR="00CD6516" w:rsidRDefault="00CD6516">
      <w:r>
        <w:separator/>
      </w:r>
    </w:p>
  </w:endnote>
  <w:endnote w:type="continuationSeparator" w:id="0">
    <w:p w14:paraId="6952AFEF" w14:textId="77777777" w:rsidR="00CD6516" w:rsidRDefault="00CD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EA85" w14:textId="005A9506" w:rsidR="00700062" w:rsidRPr="00745623" w:rsidRDefault="00745623" w:rsidP="00745623">
    <w:pPr>
      <w:pStyle w:val="Footer"/>
      <w:rPr>
        <w:sz w:val="16"/>
        <w:szCs w:val="16"/>
        <w:lang w:val="es-ES"/>
      </w:rPr>
    </w:pPr>
    <w:r w:rsidRPr="00745623">
      <w:rPr>
        <w:noProof/>
        <w:sz w:val="16"/>
        <w:szCs w:val="16"/>
        <w:lang w:val="en-GB"/>
      </w:rPr>
      <w:fldChar w:fldCharType="begin"/>
    </w:r>
    <w:r w:rsidRPr="00745623">
      <w:rPr>
        <w:noProof/>
        <w:sz w:val="16"/>
        <w:szCs w:val="16"/>
        <w:lang w:val="es-ES"/>
      </w:rPr>
      <w:instrText xml:space="preserve"> FILENAME \p  \* MERGEFORMAT </w:instrText>
    </w:r>
    <w:r w:rsidRPr="00745623">
      <w:rPr>
        <w:noProof/>
        <w:sz w:val="16"/>
        <w:szCs w:val="16"/>
        <w:lang w:val="en-GB"/>
      </w:rPr>
      <w:fldChar w:fldCharType="separate"/>
    </w:r>
    <w:r w:rsidR="0082739A">
      <w:rPr>
        <w:noProof/>
        <w:sz w:val="16"/>
        <w:szCs w:val="16"/>
        <w:lang w:val="es-ES"/>
      </w:rPr>
      <w:t>P:\ESP\ITU-R\BR\DIR\CR\400\463S.docx</w:t>
    </w:r>
    <w:r w:rsidRPr="00745623">
      <w:rPr>
        <w:noProof/>
        <w:sz w:val="16"/>
        <w:szCs w:val="16"/>
        <w:lang w:val="en-GB"/>
      </w:rPr>
      <w:fldChar w:fldCharType="end"/>
    </w:r>
    <w:r w:rsidRPr="00745623">
      <w:rPr>
        <w:noProof/>
        <w:sz w:val="16"/>
        <w:szCs w:val="16"/>
        <w:lang w:val="es-ES"/>
      </w:rPr>
      <w:t xml:space="preserve"> (473792)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E19A2" w14:textId="3612D650" w:rsidR="001B0343" w:rsidRPr="001A7EB8" w:rsidRDefault="001B0343" w:rsidP="001A7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7AE7" w14:textId="76830D09" w:rsidR="00A80EFE" w:rsidRDefault="00912DAB" w:rsidP="00812335">
    <w:pPr>
      <w:pStyle w:val="FirstFooter"/>
      <w:spacing w:before="240" w:line="240" w:lineRule="auto"/>
      <w:ind w:left="-397" w:right="-397"/>
      <w:jc w:val="center"/>
      <w:rPr>
        <w:rStyle w:val="Hyperlink"/>
        <w:color w:val="3E8EDE"/>
        <w:sz w:val="18"/>
        <w:szCs w:val="18"/>
        <w:lang w:val="es-ES"/>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Tel</w:t>
    </w:r>
    <w:r w:rsidR="00943978">
      <w:rPr>
        <w:color w:val="3E8EDE"/>
        <w:sz w:val="18"/>
        <w:szCs w:val="18"/>
        <w:lang w:val="es-ES"/>
      </w:rPr>
      <w:t>.</w:t>
    </w:r>
    <w:r w:rsidRPr="00311970">
      <w:rPr>
        <w:color w:val="3E8EDE"/>
        <w:sz w:val="18"/>
        <w:szCs w:val="18"/>
        <w:lang w:val="es-ES"/>
      </w:rPr>
      <w:t xml:space="preserve">: +41 22 730 5111 • </w:t>
    </w:r>
    <w:r w:rsidR="00943978" w:rsidRPr="00311970">
      <w:rPr>
        <w:color w:val="3E8EDE"/>
        <w:sz w:val="18"/>
        <w:szCs w:val="18"/>
        <w:lang w:val="es-ES"/>
      </w:rPr>
      <w:t>Correo-e:</w:t>
    </w:r>
    <w:r w:rsidR="00943978" w:rsidRPr="00345938">
      <w:rPr>
        <w:sz w:val="18"/>
        <w:szCs w:val="18"/>
        <w:lang w:val="es-ES_tradnl"/>
      </w:rPr>
      <w:t xml:space="preserve"> </w:t>
    </w:r>
    <w:hyperlink r:id="rId1" w:history="1">
      <w:r w:rsidR="00943978" w:rsidRPr="00311970">
        <w:rPr>
          <w:rStyle w:val="Hyperlink"/>
          <w:color w:val="3E8EDE"/>
          <w:sz w:val="18"/>
          <w:szCs w:val="18"/>
          <w:lang w:val="es-ES"/>
        </w:rPr>
        <w:t>itumail@itu.int</w:t>
      </w:r>
    </w:hyperlink>
    <w:r w:rsidR="00943978" w:rsidRPr="00311970">
      <w:rPr>
        <w:color w:val="3E8EDE"/>
        <w:sz w:val="18"/>
        <w:szCs w:val="18"/>
        <w:lang w:val="es-ES"/>
      </w:rPr>
      <w:t xml:space="preserve"> •</w:t>
    </w:r>
    <w:r w:rsidR="00943978" w:rsidRPr="00943978">
      <w:rPr>
        <w:color w:val="3E8EDE"/>
        <w:sz w:val="18"/>
        <w:szCs w:val="18"/>
        <w:lang w:val="es-ES"/>
      </w:rPr>
      <w:t xml:space="preserve"> </w:t>
    </w:r>
    <w:r w:rsidR="00943978" w:rsidRPr="00311970">
      <w:rPr>
        <w:color w:val="3E8EDE"/>
        <w:sz w:val="18"/>
        <w:szCs w:val="18"/>
        <w:lang w:val="es-ES"/>
      </w:rPr>
      <w:t xml:space="preserve">Fax: +41 22 733 7256 • </w:t>
    </w:r>
    <w:hyperlink r:id="rId2" w:history="1">
      <w:r w:rsidR="00943978" w:rsidRPr="00C94B16">
        <w:rPr>
          <w:rStyle w:val="Hyperlink"/>
          <w:sz w:val="18"/>
          <w:szCs w:val="18"/>
          <w:lang w:val="es-ES"/>
        </w:rPr>
        <w:t>www.itu.int</w:t>
      </w:r>
    </w:hyperlink>
    <w:r w:rsidRPr="00311970">
      <w:rPr>
        <w:color w:val="3E8EDE"/>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2643" w14:textId="77777777" w:rsidR="00CD6516" w:rsidRDefault="00CD6516">
      <w:r>
        <w:t>____________________</w:t>
      </w:r>
    </w:p>
  </w:footnote>
  <w:footnote w:type="continuationSeparator" w:id="0">
    <w:p w14:paraId="1E6789C5" w14:textId="77777777" w:rsidR="00CD6516" w:rsidRDefault="00CD6516">
      <w:r>
        <w:continuationSeparator/>
      </w:r>
    </w:p>
  </w:footnote>
  <w:footnote w:id="1">
    <w:p w14:paraId="14A1282A" w14:textId="0C37F23C" w:rsidR="00F73386" w:rsidRPr="00F73386" w:rsidRDefault="00F73386">
      <w:pPr>
        <w:pStyle w:val="FootnoteText"/>
        <w:rPr>
          <w:lang w:val="es-ES"/>
        </w:rPr>
      </w:pPr>
      <w:r>
        <w:rPr>
          <w:rStyle w:val="FootnoteReference"/>
        </w:rPr>
        <w:footnoteRef/>
      </w:r>
      <w:r>
        <w:rPr>
          <w:lang w:val="es-ES"/>
        </w:rPr>
        <w:tab/>
      </w:r>
      <w:r w:rsidRPr="00F73386">
        <w:rPr>
          <w:rFonts w:asciiTheme="minorHAnsi" w:hAnsiTheme="minorHAnsi" w:cs="Times New Roman"/>
          <w:i/>
          <w:iCs/>
          <w:szCs w:val="20"/>
          <w:lang w:val="es-ES"/>
        </w:rPr>
        <w:t>Esta Carta Circular se dirige principalmente a los Estados Miembros de la UIT de la Región 1 (salvo Mongolia) y a la República Islámica del Irán. Para los demás Estados Miembros del Sector UIT-R fuera del área de planificación del Acuerdo GE06 sólo tiene carácter informativo.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F78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86C84">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81727"/>
      <w:docPartObj>
        <w:docPartGallery w:val="Page Numbers (Top of Page)"/>
        <w:docPartUnique/>
      </w:docPartObj>
    </w:sdtPr>
    <w:sdtEndPr>
      <w:rPr>
        <w:noProof/>
        <w:sz w:val="18"/>
        <w:szCs w:val="18"/>
      </w:rPr>
    </w:sdtEndPr>
    <w:sdtContent>
      <w:p w14:paraId="4439BD5C" w14:textId="0FFB9CE2" w:rsidR="00E915AF" w:rsidRPr="00611987" w:rsidRDefault="00611987" w:rsidP="00745623">
        <w:pPr>
          <w:pStyle w:val="Header"/>
          <w:jc w:val="center"/>
          <w:rPr>
            <w:sz w:val="18"/>
            <w:szCs w:val="18"/>
          </w:rPr>
        </w:pPr>
        <w:r w:rsidRPr="00611987">
          <w:rPr>
            <w:sz w:val="18"/>
            <w:szCs w:val="18"/>
          </w:rPr>
          <w:fldChar w:fldCharType="begin"/>
        </w:r>
        <w:r w:rsidRPr="00611987">
          <w:rPr>
            <w:sz w:val="18"/>
            <w:szCs w:val="18"/>
          </w:rPr>
          <w:instrText xml:space="preserve"> PAGE   \* MERGEFORMAT </w:instrText>
        </w:r>
        <w:r w:rsidRPr="00611987">
          <w:rPr>
            <w:sz w:val="18"/>
            <w:szCs w:val="18"/>
          </w:rPr>
          <w:fldChar w:fldCharType="separate"/>
        </w:r>
        <w:r w:rsidRPr="00611987">
          <w:rPr>
            <w:noProof/>
            <w:sz w:val="18"/>
            <w:szCs w:val="18"/>
          </w:rPr>
          <w:t>2</w:t>
        </w:r>
        <w:r w:rsidRPr="00611987">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CE5BCA" w14:paraId="71DE1692" w14:textId="77777777" w:rsidTr="00DF640B">
      <w:tc>
        <w:tcPr>
          <w:tcW w:w="9955" w:type="dxa"/>
          <w:noWrap/>
          <w:tcMar>
            <w:left w:w="0" w:type="dxa"/>
          </w:tcMar>
        </w:tcPr>
        <w:p w14:paraId="481F3FC4" w14:textId="77777777" w:rsidR="00CE5BCA" w:rsidRDefault="00CE5BCA" w:rsidP="00CE5BCA">
          <w:pPr>
            <w:pStyle w:val="Header"/>
            <w:spacing w:before="120" w:line="360" w:lineRule="auto"/>
            <w:jc w:val="center"/>
          </w:pPr>
          <w:r w:rsidRPr="008E52B1">
            <w:rPr>
              <w:noProof/>
              <w:color w:val="3399FF"/>
              <w:lang w:val="en-GB" w:eastAsia="zh-CN"/>
            </w:rPr>
            <w:drawing>
              <wp:inline distT="0" distB="0" distL="0" distR="0" wp14:anchorId="7014CD1B" wp14:editId="690D7E91">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07A265F3" w14:textId="77777777" w:rsidR="00E915AF" w:rsidRPr="00CE5BCA" w:rsidRDefault="00E915AF" w:rsidP="00CE5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F4178B"/>
    <w:multiLevelType w:val="hybridMultilevel"/>
    <w:tmpl w:val="C3D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7316632E"/>
    <w:multiLevelType w:val="hybridMultilevel"/>
    <w:tmpl w:val="3BF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6"/>
  </w:num>
  <w:num w:numId="6">
    <w:abstractNumId w:val="9"/>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354E4"/>
    <w:rsid w:val="00006A31"/>
    <w:rsid w:val="00006C82"/>
    <w:rsid w:val="00010E30"/>
    <w:rsid w:val="00015C76"/>
    <w:rsid w:val="00024ED8"/>
    <w:rsid w:val="00026CF8"/>
    <w:rsid w:val="00030BD7"/>
    <w:rsid w:val="00031E64"/>
    <w:rsid w:val="00034340"/>
    <w:rsid w:val="00035CB3"/>
    <w:rsid w:val="00045A8D"/>
    <w:rsid w:val="0005167A"/>
    <w:rsid w:val="00054E5D"/>
    <w:rsid w:val="00070258"/>
    <w:rsid w:val="0007323C"/>
    <w:rsid w:val="00086D03"/>
    <w:rsid w:val="000A096A"/>
    <w:rsid w:val="000A2CE5"/>
    <w:rsid w:val="000A375E"/>
    <w:rsid w:val="000A7051"/>
    <w:rsid w:val="000B0AF6"/>
    <w:rsid w:val="000B0E9B"/>
    <w:rsid w:val="000B2CAE"/>
    <w:rsid w:val="000C03C7"/>
    <w:rsid w:val="000C2AD0"/>
    <w:rsid w:val="000D3F3B"/>
    <w:rsid w:val="000E3DEE"/>
    <w:rsid w:val="000E4BCD"/>
    <w:rsid w:val="000E7D64"/>
    <w:rsid w:val="000E7E49"/>
    <w:rsid w:val="00100B72"/>
    <w:rsid w:val="00101F7D"/>
    <w:rsid w:val="00103C76"/>
    <w:rsid w:val="0011156F"/>
    <w:rsid w:val="0011265F"/>
    <w:rsid w:val="00117282"/>
    <w:rsid w:val="00117389"/>
    <w:rsid w:val="00121C2D"/>
    <w:rsid w:val="00134404"/>
    <w:rsid w:val="00144DFB"/>
    <w:rsid w:val="00161E53"/>
    <w:rsid w:val="00166957"/>
    <w:rsid w:val="00176813"/>
    <w:rsid w:val="00182B8E"/>
    <w:rsid w:val="0018454A"/>
    <w:rsid w:val="00187CA3"/>
    <w:rsid w:val="00196710"/>
    <w:rsid w:val="00196770"/>
    <w:rsid w:val="00197324"/>
    <w:rsid w:val="001A7EB8"/>
    <w:rsid w:val="001B0343"/>
    <w:rsid w:val="001B05A3"/>
    <w:rsid w:val="001B351B"/>
    <w:rsid w:val="001B42C9"/>
    <w:rsid w:val="001C06DB"/>
    <w:rsid w:val="001C6971"/>
    <w:rsid w:val="001D2785"/>
    <w:rsid w:val="001D7070"/>
    <w:rsid w:val="001F2170"/>
    <w:rsid w:val="001F3948"/>
    <w:rsid w:val="001F5A49"/>
    <w:rsid w:val="002000DC"/>
    <w:rsid w:val="00201097"/>
    <w:rsid w:val="00201B6E"/>
    <w:rsid w:val="002302B3"/>
    <w:rsid w:val="00230C66"/>
    <w:rsid w:val="00235A29"/>
    <w:rsid w:val="00241526"/>
    <w:rsid w:val="002443A2"/>
    <w:rsid w:val="00266E74"/>
    <w:rsid w:val="00275C81"/>
    <w:rsid w:val="00283C3B"/>
    <w:rsid w:val="002861E6"/>
    <w:rsid w:val="00286C84"/>
    <w:rsid w:val="00287D18"/>
    <w:rsid w:val="002A2618"/>
    <w:rsid w:val="002A5DD7"/>
    <w:rsid w:val="002B0CAC"/>
    <w:rsid w:val="002B5AA5"/>
    <w:rsid w:val="002D5A15"/>
    <w:rsid w:val="002D5BDD"/>
    <w:rsid w:val="002D7253"/>
    <w:rsid w:val="002E3D27"/>
    <w:rsid w:val="002F0890"/>
    <w:rsid w:val="002F2531"/>
    <w:rsid w:val="002F4967"/>
    <w:rsid w:val="00306452"/>
    <w:rsid w:val="00311970"/>
    <w:rsid w:val="00316935"/>
    <w:rsid w:val="003266ED"/>
    <w:rsid w:val="00326C68"/>
    <w:rsid w:val="0033029C"/>
    <w:rsid w:val="003370B8"/>
    <w:rsid w:val="00345D38"/>
    <w:rsid w:val="00352097"/>
    <w:rsid w:val="00365D6F"/>
    <w:rsid w:val="003666FF"/>
    <w:rsid w:val="0037309C"/>
    <w:rsid w:val="00377647"/>
    <w:rsid w:val="00380A6E"/>
    <w:rsid w:val="003836D4"/>
    <w:rsid w:val="003974CD"/>
    <w:rsid w:val="003A1F49"/>
    <w:rsid w:val="003A55ED"/>
    <w:rsid w:val="003A5D52"/>
    <w:rsid w:val="003A5F64"/>
    <w:rsid w:val="003B2BDA"/>
    <w:rsid w:val="003B55EC"/>
    <w:rsid w:val="003C2EA7"/>
    <w:rsid w:val="003C3D26"/>
    <w:rsid w:val="003C4471"/>
    <w:rsid w:val="003C7D41"/>
    <w:rsid w:val="003D4A69"/>
    <w:rsid w:val="003E504F"/>
    <w:rsid w:val="003E78D6"/>
    <w:rsid w:val="00400573"/>
    <w:rsid w:val="004007A3"/>
    <w:rsid w:val="00406D71"/>
    <w:rsid w:val="00413F0D"/>
    <w:rsid w:val="004171BF"/>
    <w:rsid w:val="004326DB"/>
    <w:rsid w:val="0043682E"/>
    <w:rsid w:val="00447ECB"/>
    <w:rsid w:val="00451485"/>
    <w:rsid w:val="004623F7"/>
    <w:rsid w:val="004659AE"/>
    <w:rsid w:val="00480F51"/>
    <w:rsid w:val="00481124"/>
    <w:rsid w:val="004815EB"/>
    <w:rsid w:val="00487569"/>
    <w:rsid w:val="00493C86"/>
    <w:rsid w:val="00496864"/>
    <w:rsid w:val="00496920"/>
    <w:rsid w:val="004978D5"/>
    <w:rsid w:val="004A3CEF"/>
    <w:rsid w:val="004A4496"/>
    <w:rsid w:val="004A5F47"/>
    <w:rsid w:val="004B11AB"/>
    <w:rsid w:val="004B7C9A"/>
    <w:rsid w:val="004C6779"/>
    <w:rsid w:val="004D2480"/>
    <w:rsid w:val="004D733B"/>
    <w:rsid w:val="004E0DC4"/>
    <w:rsid w:val="004E0FB5"/>
    <w:rsid w:val="004E43BB"/>
    <w:rsid w:val="004E460D"/>
    <w:rsid w:val="004F178E"/>
    <w:rsid w:val="004F4543"/>
    <w:rsid w:val="004F57BB"/>
    <w:rsid w:val="004F5886"/>
    <w:rsid w:val="00505309"/>
    <w:rsid w:val="0050789B"/>
    <w:rsid w:val="005224A1"/>
    <w:rsid w:val="005266D6"/>
    <w:rsid w:val="00533FCA"/>
    <w:rsid w:val="00534372"/>
    <w:rsid w:val="0053662D"/>
    <w:rsid w:val="00543DF8"/>
    <w:rsid w:val="00546101"/>
    <w:rsid w:val="00551D3A"/>
    <w:rsid w:val="00553DD7"/>
    <w:rsid w:val="005638CF"/>
    <w:rsid w:val="005651E9"/>
    <w:rsid w:val="0056741E"/>
    <w:rsid w:val="0057325A"/>
    <w:rsid w:val="0057469A"/>
    <w:rsid w:val="00580589"/>
    <w:rsid w:val="00580814"/>
    <w:rsid w:val="00583A0B"/>
    <w:rsid w:val="00583FF5"/>
    <w:rsid w:val="00585F3A"/>
    <w:rsid w:val="005A03A3"/>
    <w:rsid w:val="005A2B92"/>
    <w:rsid w:val="005A3F66"/>
    <w:rsid w:val="005A79E9"/>
    <w:rsid w:val="005B214C"/>
    <w:rsid w:val="005B4CDA"/>
    <w:rsid w:val="005C6F58"/>
    <w:rsid w:val="005D3669"/>
    <w:rsid w:val="005E10DE"/>
    <w:rsid w:val="005E5EB3"/>
    <w:rsid w:val="005F3CB6"/>
    <w:rsid w:val="005F657C"/>
    <w:rsid w:val="006027DE"/>
    <w:rsid w:val="00602D53"/>
    <w:rsid w:val="006033E4"/>
    <w:rsid w:val="006047E5"/>
    <w:rsid w:val="00611987"/>
    <w:rsid w:val="00615BEE"/>
    <w:rsid w:val="00630391"/>
    <w:rsid w:val="0064371D"/>
    <w:rsid w:val="00650543"/>
    <w:rsid w:val="00650B2A"/>
    <w:rsid w:val="00651777"/>
    <w:rsid w:val="006550F8"/>
    <w:rsid w:val="00666D65"/>
    <w:rsid w:val="00672FF1"/>
    <w:rsid w:val="00675DB3"/>
    <w:rsid w:val="006829F3"/>
    <w:rsid w:val="006A3B03"/>
    <w:rsid w:val="006A518B"/>
    <w:rsid w:val="006B0590"/>
    <w:rsid w:val="006B49DA"/>
    <w:rsid w:val="006C2B63"/>
    <w:rsid w:val="006C53F8"/>
    <w:rsid w:val="006C7CDE"/>
    <w:rsid w:val="006D03DD"/>
    <w:rsid w:val="006F4C82"/>
    <w:rsid w:val="00700062"/>
    <w:rsid w:val="00721638"/>
    <w:rsid w:val="007232ED"/>
    <w:rsid w:val="007234B1"/>
    <w:rsid w:val="00723D08"/>
    <w:rsid w:val="00725FDA"/>
    <w:rsid w:val="00727816"/>
    <w:rsid w:val="00730B9A"/>
    <w:rsid w:val="00745623"/>
    <w:rsid w:val="00750CFA"/>
    <w:rsid w:val="007553DA"/>
    <w:rsid w:val="00775DB8"/>
    <w:rsid w:val="00781AED"/>
    <w:rsid w:val="00782354"/>
    <w:rsid w:val="007921A7"/>
    <w:rsid w:val="007A5A2F"/>
    <w:rsid w:val="007B3DB1"/>
    <w:rsid w:val="007C3A9A"/>
    <w:rsid w:val="007C6767"/>
    <w:rsid w:val="007D183E"/>
    <w:rsid w:val="007D43D0"/>
    <w:rsid w:val="007E1833"/>
    <w:rsid w:val="007E3F13"/>
    <w:rsid w:val="007F751A"/>
    <w:rsid w:val="00800012"/>
    <w:rsid w:val="0080261F"/>
    <w:rsid w:val="00804658"/>
    <w:rsid w:val="00804CB4"/>
    <w:rsid w:val="00805A02"/>
    <w:rsid w:val="00806160"/>
    <w:rsid w:val="00812335"/>
    <w:rsid w:val="008143A4"/>
    <w:rsid w:val="0081513E"/>
    <w:rsid w:val="0082523C"/>
    <w:rsid w:val="0082739A"/>
    <w:rsid w:val="0084508E"/>
    <w:rsid w:val="00851116"/>
    <w:rsid w:val="00852ABE"/>
    <w:rsid w:val="00854131"/>
    <w:rsid w:val="0085652D"/>
    <w:rsid w:val="0087694B"/>
    <w:rsid w:val="00880F4D"/>
    <w:rsid w:val="008B1F39"/>
    <w:rsid w:val="008B35A3"/>
    <w:rsid w:val="008B37E1"/>
    <w:rsid w:val="008B45F8"/>
    <w:rsid w:val="008C2E74"/>
    <w:rsid w:val="008D5409"/>
    <w:rsid w:val="008D7E6D"/>
    <w:rsid w:val="008E006D"/>
    <w:rsid w:val="008E38B4"/>
    <w:rsid w:val="008F4F21"/>
    <w:rsid w:val="008F7C5C"/>
    <w:rsid w:val="00904D4A"/>
    <w:rsid w:val="009076D7"/>
    <w:rsid w:val="00911DF0"/>
    <w:rsid w:val="00912DAB"/>
    <w:rsid w:val="009151BA"/>
    <w:rsid w:val="00925023"/>
    <w:rsid w:val="009277BC"/>
    <w:rsid w:val="00927D57"/>
    <w:rsid w:val="009303EF"/>
    <w:rsid w:val="00931A51"/>
    <w:rsid w:val="00943978"/>
    <w:rsid w:val="00947185"/>
    <w:rsid w:val="009518B3"/>
    <w:rsid w:val="00963D9D"/>
    <w:rsid w:val="0096799C"/>
    <w:rsid w:val="00967C1D"/>
    <w:rsid w:val="009769DA"/>
    <w:rsid w:val="0098013E"/>
    <w:rsid w:val="00981B54"/>
    <w:rsid w:val="009842C3"/>
    <w:rsid w:val="00985454"/>
    <w:rsid w:val="009A009A"/>
    <w:rsid w:val="009A6BB6"/>
    <w:rsid w:val="009B3F43"/>
    <w:rsid w:val="009B5CFA"/>
    <w:rsid w:val="009C161F"/>
    <w:rsid w:val="009C56B4"/>
    <w:rsid w:val="009D0C18"/>
    <w:rsid w:val="009D12ED"/>
    <w:rsid w:val="009D51A2"/>
    <w:rsid w:val="009E04A8"/>
    <w:rsid w:val="009E3AC9"/>
    <w:rsid w:val="009E4595"/>
    <w:rsid w:val="009E4AEC"/>
    <w:rsid w:val="009E5BD8"/>
    <w:rsid w:val="009E681E"/>
    <w:rsid w:val="009F641E"/>
    <w:rsid w:val="00A119E6"/>
    <w:rsid w:val="00A20FBC"/>
    <w:rsid w:val="00A31370"/>
    <w:rsid w:val="00A34D6F"/>
    <w:rsid w:val="00A354E4"/>
    <w:rsid w:val="00A41F91"/>
    <w:rsid w:val="00A43B53"/>
    <w:rsid w:val="00A47B0F"/>
    <w:rsid w:val="00A63355"/>
    <w:rsid w:val="00A72E50"/>
    <w:rsid w:val="00A7596D"/>
    <w:rsid w:val="00A80EFE"/>
    <w:rsid w:val="00A963DF"/>
    <w:rsid w:val="00A96D3A"/>
    <w:rsid w:val="00AA40BD"/>
    <w:rsid w:val="00AB1056"/>
    <w:rsid w:val="00AC0C22"/>
    <w:rsid w:val="00AC3896"/>
    <w:rsid w:val="00AD2CF2"/>
    <w:rsid w:val="00AE2D88"/>
    <w:rsid w:val="00AE6F6F"/>
    <w:rsid w:val="00AF3325"/>
    <w:rsid w:val="00AF34D9"/>
    <w:rsid w:val="00AF42DC"/>
    <w:rsid w:val="00AF5B37"/>
    <w:rsid w:val="00AF70DA"/>
    <w:rsid w:val="00B00625"/>
    <w:rsid w:val="00B019D3"/>
    <w:rsid w:val="00B15683"/>
    <w:rsid w:val="00B17172"/>
    <w:rsid w:val="00B34CF9"/>
    <w:rsid w:val="00B36331"/>
    <w:rsid w:val="00B37559"/>
    <w:rsid w:val="00B4054B"/>
    <w:rsid w:val="00B579B0"/>
    <w:rsid w:val="00B57D11"/>
    <w:rsid w:val="00B649D7"/>
    <w:rsid w:val="00B7010D"/>
    <w:rsid w:val="00B77135"/>
    <w:rsid w:val="00B81C2F"/>
    <w:rsid w:val="00B90743"/>
    <w:rsid w:val="00B90C45"/>
    <w:rsid w:val="00B933BE"/>
    <w:rsid w:val="00BD6738"/>
    <w:rsid w:val="00BD7E5E"/>
    <w:rsid w:val="00BE63DB"/>
    <w:rsid w:val="00BE6574"/>
    <w:rsid w:val="00BF1EEB"/>
    <w:rsid w:val="00BF430A"/>
    <w:rsid w:val="00C07319"/>
    <w:rsid w:val="00C16FD2"/>
    <w:rsid w:val="00C2509B"/>
    <w:rsid w:val="00C4395E"/>
    <w:rsid w:val="00C47FFD"/>
    <w:rsid w:val="00C51E92"/>
    <w:rsid w:val="00C57E2C"/>
    <w:rsid w:val="00C608B7"/>
    <w:rsid w:val="00C630CE"/>
    <w:rsid w:val="00C66F24"/>
    <w:rsid w:val="00C76D7F"/>
    <w:rsid w:val="00C813AA"/>
    <w:rsid w:val="00C9291E"/>
    <w:rsid w:val="00CA3F44"/>
    <w:rsid w:val="00CA4E58"/>
    <w:rsid w:val="00CB2C5F"/>
    <w:rsid w:val="00CB3771"/>
    <w:rsid w:val="00CB44BF"/>
    <w:rsid w:val="00CB5153"/>
    <w:rsid w:val="00CD6516"/>
    <w:rsid w:val="00CE076A"/>
    <w:rsid w:val="00CE463D"/>
    <w:rsid w:val="00CE5BCA"/>
    <w:rsid w:val="00D10BA0"/>
    <w:rsid w:val="00D21694"/>
    <w:rsid w:val="00D239B4"/>
    <w:rsid w:val="00D24EB5"/>
    <w:rsid w:val="00D35AB9"/>
    <w:rsid w:val="00D41571"/>
    <w:rsid w:val="00D416A0"/>
    <w:rsid w:val="00D46808"/>
    <w:rsid w:val="00D47672"/>
    <w:rsid w:val="00D5123C"/>
    <w:rsid w:val="00D55560"/>
    <w:rsid w:val="00D57B34"/>
    <w:rsid w:val="00D61C5A"/>
    <w:rsid w:val="00D63BFF"/>
    <w:rsid w:val="00D6567D"/>
    <w:rsid w:val="00D6790C"/>
    <w:rsid w:val="00D709E3"/>
    <w:rsid w:val="00D73277"/>
    <w:rsid w:val="00D73EE3"/>
    <w:rsid w:val="00D76586"/>
    <w:rsid w:val="00D82657"/>
    <w:rsid w:val="00D87E20"/>
    <w:rsid w:val="00D95308"/>
    <w:rsid w:val="00D97EF5"/>
    <w:rsid w:val="00DA4037"/>
    <w:rsid w:val="00DE66A5"/>
    <w:rsid w:val="00DF2B50"/>
    <w:rsid w:val="00E01059"/>
    <w:rsid w:val="00E04C86"/>
    <w:rsid w:val="00E05931"/>
    <w:rsid w:val="00E17344"/>
    <w:rsid w:val="00E17652"/>
    <w:rsid w:val="00E20F30"/>
    <w:rsid w:val="00E2189C"/>
    <w:rsid w:val="00E25BB1"/>
    <w:rsid w:val="00E27BBA"/>
    <w:rsid w:val="00E30E3F"/>
    <w:rsid w:val="00E35E8F"/>
    <w:rsid w:val="00E428AB"/>
    <w:rsid w:val="00E438E8"/>
    <w:rsid w:val="00E453A3"/>
    <w:rsid w:val="00E511D0"/>
    <w:rsid w:val="00E520E2"/>
    <w:rsid w:val="00E530C4"/>
    <w:rsid w:val="00E53DCE"/>
    <w:rsid w:val="00E55996"/>
    <w:rsid w:val="00E64254"/>
    <w:rsid w:val="00E67928"/>
    <w:rsid w:val="00E70FB5"/>
    <w:rsid w:val="00E84A9E"/>
    <w:rsid w:val="00E915AF"/>
    <w:rsid w:val="00E96415"/>
    <w:rsid w:val="00EA15B3"/>
    <w:rsid w:val="00EB0779"/>
    <w:rsid w:val="00EB2358"/>
    <w:rsid w:val="00EB3EB8"/>
    <w:rsid w:val="00EC00EF"/>
    <w:rsid w:val="00EC02FE"/>
    <w:rsid w:val="00EC4A96"/>
    <w:rsid w:val="00EC4BED"/>
    <w:rsid w:val="00EE03A0"/>
    <w:rsid w:val="00EE62C7"/>
    <w:rsid w:val="00F424BF"/>
    <w:rsid w:val="00F44FC3"/>
    <w:rsid w:val="00F46107"/>
    <w:rsid w:val="00F468C5"/>
    <w:rsid w:val="00F52F39"/>
    <w:rsid w:val="00F60B4C"/>
    <w:rsid w:val="00F6184F"/>
    <w:rsid w:val="00F73139"/>
    <w:rsid w:val="00F73386"/>
    <w:rsid w:val="00F8310E"/>
    <w:rsid w:val="00F86FA3"/>
    <w:rsid w:val="00F914DD"/>
    <w:rsid w:val="00F939AF"/>
    <w:rsid w:val="00FA2358"/>
    <w:rsid w:val="00FB2592"/>
    <w:rsid w:val="00FB2810"/>
    <w:rsid w:val="00FB61F2"/>
    <w:rsid w:val="00FB7A2C"/>
    <w:rsid w:val="00FC0A08"/>
    <w:rsid w:val="00FC0B3E"/>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38F66"/>
  <w15:docId w15:val="{7693958B-A366-4F1E-9324-BB6C6A2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4E4"/>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enumlev1Char">
    <w:name w:val="enumlev1 Char"/>
    <w:basedOn w:val="DefaultParagraphFont"/>
    <w:link w:val="enumlev1"/>
    <w:locked/>
    <w:rsid w:val="00A354E4"/>
    <w:rPr>
      <w:sz w:val="24"/>
      <w:szCs w:val="22"/>
      <w:lang w:val="en-US" w:eastAsia="en-US"/>
    </w:rPr>
  </w:style>
  <w:style w:type="paragraph" w:customStyle="1" w:styleId="Reasons">
    <w:name w:val="Reasons"/>
    <w:basedOn w:val="Normal"/>
    <w:qFormat/>
    <w:rsid w:val="00F939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CE5BCA"/>
    <w:rPr>
      <w:sz w:val="24"/>
      <w:szCs w:val="22"/>
      <w:lang w:val="en-US" w:eastAsia="en-US"/>
    </w:rPr>
  </w:style>
  <w:style w:type="character" w:styleId="FollowedHyperlink">
    <w:name w:val="FollowedHyperlink"/>
    <w:basedOn w:val="DefaultParagraphFont"/>
    <w:semiHidden/>
    <w:unhideWhenUsed/>
    <w:rsid w:val="0053662D"/>
    <w:rPr>
      <w:color w:val="800080" w:themeColor="followedHyperlink"/>
      <w:u w:val="single"/>
    </w:rPr>
  </w:style>
  <w:style w:type="character" w:styleId="UnresolvedMention">
    <w:name w:val="Unresolved Mention"/>
    <w:basedOn w:val="DefaultParagraphFont"/>
    <w:uiPriority w:val="99"/>
    <w:semiHidden/>
    <w:unhideWhenUsed/>
    <w:rsid w:val="0094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6EB1D-9E00-47DC-ABCF-BFCFCC7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TotalTime>
  <Pages>1</Pages>
  <Words>488</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dc:creator>
  <cp:lastModifiedBy>Portocarrero, Monica</cp:lastModifiedBy>
  <cp:revision>3</cp:revision>
  <cp:lastPrinted>2016-11-30T06:19:00Z</cp:lastPrinted>
  <dcterms:created xsi:type="dcterms:W3CDTF">2020-08-06T06:45:00Z</dcterms:created>
  <dcterms:modified xsi:type="dcterms:W3CDTF">2020-08-06T06:45:00Z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