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89" w:type="dxa"/>
        <w:jc w:val="center"/>
        <w:tblLayout w:type="fixed"/>
        <w:tblLook w:val="04A0" w:firstRow="1" w:lastRow="0" w:firstColumn="1" w:lastColumn="0" w:noHBand="0" w:noVBand="1"/>
      </w:tblPr>
      <w:tblGrid>
        <w:gridCol w:w="1526"/>
        <w:gridCol w:w="5528"/>
        <w:gridCol w:w="2835"/>
      </w:tblGrid>
      <w:tr w:rsidR="00E53DCE" w:rsidRPr="003D2A04" w14:paraId="613B2466" w14:textId="77777777" w:rsidTr="004228FA">
        <w:trPr>
          <w:jc w:val="center"/>
        </w:trPr>
        <w:tc>
          <w:tcPr>
            <w:tcW w:w="9889" w:type="dxa"/>
            <w:gridSpan w:val="3"/>
            <w:shd w:val="clear" w:color="auto" w:fill="auto"/>
          </w:tcPr>
          <w:p w14:paraId="15AAB1C7" w14:textId="77777777" w:rsidR="00E53DCE" w:rsidRPr="003D2A04" w:rsidRDefault="00E53DCE" w:rsidP="00BC77EC">
            <w:pPr>
              <w:spacing w:before="0" w:line="240" w:lineRule="auto"/>
              <w:jc w:val="left"/>
              <w:rPr>
                <w:rFonts w:cstheme="minorHAnsi"/>
                <w:b/>
                <w:bCs/>
                <w:color w:val="808080"/>
                <w:sz w:val="28"/>
                <w:szCs w:val="28"/>
                <w:lang w:val="fr-FR"/>
              </w:rPr>
            </w:pPr>
            <w:r w:rsidRPr="003D2A04">
              <w:rPr>
                <w:rFonts w:cstheme="minorHAnsi"/>
                <w:b/>
                <w:bCs/>
                <w:color w:val="808080"/>
                <w:sz w:val="28"/>
                <w:szCs w:val="28"/>
                <w:lang w:val="fr-FR"/>
              </w:rPr>
              <w:t>Bureau des radiocommunications (BR)</w:t>
            </w:r>
          </w:p>
          <w:p w14:paraId="5072DF35" w14:textId="77777777" w:rsidR="00E53DCE" w:rsidRPr="003D2A04" w:rsidRDefault="00E53DCE" w:rsidP="00BC77EC">
            <w:pPr>
              <w:spacing w:before="0" w:line="240" w:lineRule="auto"/>
              <w:jc w:val="left"/>
              <w:rPr>
                <w:rFonts w:cstheme="minorHAnsi"/>
                <w:b/>
                <w:bCs/>
                <w:color w:val="808080"/>
                <w:sz w:val="28"/>
                <w:szCs w:val="28"/>
                <w:lang w:val="fr-FR"/>
              </w:rPr>
            </w:pPr>
          </w:p>
          <w:p w14:paraId="61E9CBC5" w14:textId="77777777" w:rsidR="00E53DCE" w:rsidRPr="003D2A04" w:rsidRDefault="00E53DCE" w:rsidP="00BC77EC">
            <w:pPr>
              <w:spacing w:before="0" w:line="240" w:lineRule="auto"/>
              <w:jc w:val="left"/>
              <w:rPr>
                <w:rFonts w:cs="Times New Roman Bold"/>
                <w:b/>
                <w:bCs/>
                <w:color w:val="808080"/>
                <w:sz w:val="28"/>
                <w:szCs w:val="28"/>
                <w:lang w:val="fr-FR"/>
              </w:rPr>
            </w:pPr>
          </w:p>
        </w:tc>
      </w:tr>
      <w:tr w:rsidR="00E53DCE" w:rsidRPr="003D2A04" w14:paraId="1E174721" w14:textId="77777777" w:rsidTr="004228FA">
        <w:trPr>
          <w:jc w:val="center"/>
        </w:trPr>
        <w:tc>
          <w:tcPr>
            <w:tcW w:w="7054" w:type="dxa"/>
            <w:gridSpan w:val="2"/>
            <w:shd w:val="clear" w:color="auto" w:fill="auto"/>
          </w:tcPr>
          <w:p w14:paraId="34F0431C" w14:textId="6CD42D7C" w:rsidR="00E53DCE" w:rsidRPr="003D2A04" w:rsidRDefault="00AA781A" w:rsidP="00BC77EC">
            <w:pPr>
              <w:spacing w:before="0" w:line="240" w:lineRule="auto"/>
              <w:jc w:val="left"/>
              <w:rPr>
                <w:sz w:val="28"/>
                <w:szCs w:val="28"/>
                <w:lang w:val="fr-FR"/>
              </w:rPr>
            </w:pPr>
            <w:r w:rsidRPr="003D2A04">
              <w:rPr>
                <w:szCs w:val="24"/>
                <w:lang w:val="fr-FR"/>
              </w:rPr>
              <w:t>Lettre circulaire</w:t>
            </w:r>
          </w:p>
          <w:p w14:paraId="004B4BCA" w14:textId="0E687E88" w:rsidR="00E53DCE" w:rsidRPr="003D2A04" w:rsidRDefault="00AA781A" w:rsidP="00BC77EC">
            <w:pPr>
              <w:spacing w:before="0" w:line="240" w:lineRule="auto"/>
              <w:jc w:val="left"/>
              <w:rPr>
                <w:b/>
                <w:bCs/>
                <w:sz w:val="28"/>
                <w:szCs w:val="28"/>
                <w:lang w:val="fr-FR"/>
              </w:rPr>
            </w:pPr>
            <w:r w:rsidRPr="003D2A04">
              <w:rPr>
                <w:b/>
                <w:bCs/>
                <w:szCs w:val="24"/>
                <w:lang w:val="fr-FR"/>
              </w:rPr>
              <w:t>CR</w:t>
            </w:r>
            <w:r w:rsidR="00617A60" w:rsidRPr="003D2A04">
              <w:rPr>
                <w:b/>
                <w:bCs/>
                <w:szCs w:val="24"/>
                <w:lang w:val="fr-FR"/>
              </w:rPr>
              <w:t>/463</w:t>
            </w:r>
          </w:p>
        </w:tc>
        <w:tc>
          <w:tcPr>
            <w:tcW w:w="2835" w:type="dxa"/>
            <w:shd w:val="clear" w:color="auto" w:fill="auto"/>
          </w:tcPr>
          <w:p w14:paraId="63A723DA" w14:textId="40D8E8AB" w:rsidR="00E53DCE" w:rsidRPr="003D2A04" w:rsidRDefault="00617A60" w:rsidP="00BC77EC">
            <w:pPr>
              <w:spacing w:before="0" w:line="240" w:lineRule="auto"/>
              <w:jc w:val="right"/>
              <w:rPr>
                <w:sz w:val="28"/>
                <w:szCs w:val="28"/>
                <w:lang w:val="fr-FR"/>
              </w:rPr>
            </w:pPr>
            <w:r w:rsidRPr="003D2A04">
              <w:rPr>
                <w:szCs w:val="24"/>
                <w:lang w:val="fr-FR"/>
              </w:rPr>
              <w:t>Genève, le</w:t>
            </w:r>
            <w:r w:rsidR="00C41F5A">
              <w:rPr>
                <w:szCs w:val="24"/>
                <w:lang w:val="fr-FR"/>
              </w:rPr>
              <w:t xml:space="preserve"> </w:t>
            </w:r>
            <w:r w:rsidR="005531B1">
              <w:rPr>
                <w:szCs w:val="24"/>
                <w:lang w:val="fr-FR"/>
              </w:rPr>
              <w:t>6</w:t>
            </w:r>
            <w:r w:rsidR="00C41F5A">
              <w:rPr>
                <w:szCs w:val="24"/>
                <w:lang w:val="fr-FR"/>
              </w:rPr>
              <w:t xml:space="preserve"> août</w:t>
            </w:r>
            <w:r w:rsidRPr="003D2A04">
              <w:rPr>
                <w:szCs w:val="24"/>
                <w:lang w:val="fr-FR"/>
              </w:rPr>
              <w:t xml:space="preserve"> 2020</w:t>
            </w:r>
          </w:p>
        </w:tc>
      </w:tr>
      <w:tr w:rsidR="00E53DCE" w:rsidRPr="003D2A04" w14:paraId="57F973ED" w14:textId="77777777" w:rsidTr="004228FA">
        <w:trPr>
          <w:jc w:val="center"/>
        </w:trPr>
        <w:tc>
          <w:tcPr>
            <w:tcW w:w="9889" w:type="dxa"/>
            <w:gridSpan w:val="3"/>
            <w:shd w:val="clear" w:color="auto" w:fill="auto"/>
          </w:tcPr>
          <w:p w14:paraId="7E10722F" w14:textId="77777777" w:rsidR="00E53DCE" w:rsidRPr="003D2A04" w:rsidRDefault="00E53DCE" w:rsidP="00BC77EC">
            <w:pPr>
              <w:spacing w:before="0" w:line="240" w:lineRule="auto"/>
              <w:jc w:val="left"/>
              <w:rPr>
                <w:rFonts w:cs="Arial"/>
                <w:szCs w:val="24"/>
                <w:lang w:val="fr-FR"/>
              </w:rPr>
            </w:pPr>
          </w:p>
        </w:tc>
      </w:tr>
      <w:tr w:rsidR="00E53DCE" w:rsidRPr="003D2A04" w14:paraId="364F7A76" w14:textId="77777777" w:rsidTr="004228FA">
        <w:trPr>
          <w:jc w:val="center"/>
        </w:trPr>
        <w:tc>
          <w:tcPr>
            <w:tcW w:w="9889" w:type="dxa"/>
            <w:gridSpan w:val="3"/>
            <w:shd w:val="clear" w:color="auto" w:fill="auto"/>
          </w:tcPr>
          <w:p w14:paraId="17E138DF" w14:textId="77777777" w:rsidR="00E53DCE" w:rsidRPr="003D2A04" w:rsidRDefault="00E53DCE" w:rsidP="00BC77EC">
            <w:pPr>
              <w:spacing w:before="0" w:line="240" w:lineRule="auto"/>
              <w:jc w:val="left"/>
              <w:rPr>
                <w:szCs w:val="24"/>
                <w:lang w:val="fr-FR"/>
              </w:rPr>
            </w:pPr>
          </w:p>
        </w:tc>
      </w:tr>
      <w:tr w:rsidR="00E53DCE" w:rsidRPr="001262CD" w14:paraId="2E1FCECA" w14:textId="77777777" w:rsidTr="004228FA">
        <w:trPr>
          <w:jc w:val="center"/>
        </w:trPr>
        <w:tc>
          <w:tcPr>
            <w:tcW w:w="9889" w:type="dxa"/>
            <w:gridSpan w:val="3"/>
            <w:shd w:val="clear" w:color="auto" w:fill="auto"/>
          </w:tcPr>
          <w:p w14:paraId="2219C43B" w14:textId="0FE87D4B" w:rsidR="00E53DCE" w:rsidRPr="003D2A04" w:rsidRDefault="00617A60" w:rsidP="00BC77EC">
            <w:pPr>
              <w:pStyle w:val="Footnoteref"/>
              <w:spacing w:line="240" w:lineRule="auto"/>
            </w:pPr>
            <w:r w:rsidRPr="003D2A04">
              <w:t>Aux Administrations parties à l'Accord GE06</w:t>
            </w:r>
            <w:r w:rsidRPr="00B229F9">
              <w:rPr>
                <w:rStyle w:val="FootnoteReference"/>
                <w:b w:val="0"/>
              </w:rPr>
              <w:footnoteReference w:id="1"/>
            </w:r>
          </w:p>
          <w:p w14:paraId="5189CA39" w14:textId="77777777" w:rsidR="00E53DCE" w:rsidRPr="003D2A04" w:rsidRDefault="00E53DCE" w:rsidP="00BC77EC">
            <w:pPr>
              <w:spacing w:before="0" w:line="240" w:lineRule="auto"/>
              <w:jc w:val="left"/>
              <w:rPr>
                <w:b/>
                <w:bCs/>
                <w:szCs w:val="24"/>
                <w:lang w:val="fr-FR"/>
              </w:rPr>
            </w:pPr>
          </w:p>
        </w:tc>
      </w:tr>
      <w:tr w:rsidR="00E53DCE" w:rsidRPr="001262CD" w14:paraId="43124CC5" w14:textId="77777777" w:rsidTr="004228FA">
        <w:trPr>
          <w:jc w:val="center"/>
        </w:trPr>
        <w:tc>
          <w:tcPr>
            <w:tcW w:w="9889" w:type="dxa"/>
            <w:gridSpan w:val="3"/>
            <w:shd w:val="clear" w:color="auto" w:fill="auto"/>
          </w:tcPr>
          <w:p w14:paraId="154CEC4F" w14:textId="77777777" w:rsidR="00E53DCE" w:rsidRPr="003D2A04" w:rsidRDefault="00E53DCE" w:rsidP="00BC77EC">
            <w:pPr>
              <w:spacing w:before="0" w:line="240" w:lineRule="auto"/>
              <w:jc w:val="left"/>
              <w:rPr>
                <w:szCs w:val="24"/>
                <w:lang w:val="fr-FR"/>
              </w:rPr>
            </w:pPr>
          </w:p>
        </w:tc>
      </w:tr>
      <w:tr w:rsidR="00E53DCE" w:rsidRPr="001262CD" w14:paraId="21C44596" w14:textId="77777777" w:rsidTr="004228FA">
        <w:trPr>
          <w:jc w:val="center"/>
        </w:trPr>
        <w:tc>
          <w:tcPr>
            <w:tcW w:w="9889" w:type="dxa"/>
            <w:gridSpan w:val="3"/>
            <w:shd w:val="clear" w:color="auto" w:fill="auto"/>
          </w:tcPr>
          <w:p w14:paraId="3017F2A4" w14:textId="77777777" w:rsidR="00E53DCE" w:rsidRPr="003D2A04" w:rsidRDefault="00E53DCE" w:rsidP="00BC77EC">
            <w:pPr>
              <w:spacing w:before="0" w:line="240" w:lineRule="auto"/>
              <w:jc w:val="left"/>
              <w:rPr>
                <w:szCs w:val="24"/>
                <w:lang w:val="fr-FR"/>
              </w:rPr>
            </w:pPr>
          </w:p>
        </w:tc>
      </w:tr>
      <w:tr w:rsidR="00E53DCE" w:rsidRPr="001262CD" w14:paraId="638CF86F" w14:textId="77777777" w:rsidTr="004228FA">
        <w:trPr>
          <w:jc w:val="center"/>
        </w:trPr>
        <w:tc>
          <w:tcPr>
            <w:tcW w:w="1526" w:type="dxa"/>
            <w:shd w:val="clear" w:color="auto" w:fill="auto"/>
          </w:tcPr>
          <w:p w14:paraId="01AE5454" w14:textId="77777777" w:rsidR="00E53DCE" w:rsidRPr="003D2A04" w:rsidRDefault="003471C9" w:rsidP="00BC77EC">
            <w:pPr>
              <w:tabs>
                <w:tab w:val="clear" w:pos="1588"/>
                <w:tab w:val="left" w:pos="1560"/>
              </w:tabs>
              <w:spacing w:before="0" w:line="240" w:lineRule="auto"/>
              <w:jc w:val="left"/>
              <w:rPr>
                <w:szCs w:val="24"/>
                <w:lang w:val="fr-FR"/>
              </w:rPr>
            </w:pPr>
            <w:proofErr w:type="gramStart"/>
            <w:r w:rsidRPr="003D2A04">
              <w:rPr>
                <w:lang w:val="fr-FR"/>
              </w:rPr>
              <w:t>Objet</w:t>
            </w:r>
            <w:r w:rsidR="00E53DCE" w:rsidRPr="003D2A04">
              <w:rPr>
                <w:szCs w:val="24"/>
                <w:lang w:val="fr-FR"/>
              </w:rPr>
              <w:t>:</w:t>
            </w:r>
            <w:proofErr w:type="gramEnd"/>
          </w:p>
        </w:tc>
        <w:tc>
          <w:tcPr>
            <w:tcW w:w="8363" w:type="dxa"/>
            <w:gridSpan w:val="2"/>
            <w:vMerge w:val="restart"/>
            <w:shd w:val="clear" w:color="auto" w:fill="auto"/>
          </w:tcPr>
          <w:p w14:paraId="17E5BCE9" w14:textId="1F23324D" w:rsidR="00E53DCE" w:rsidRPr="003D2A04" w:rsidRDefault="00617A60" w:rsidP="00BC77EC">
            <w:pPr>
              <w:tabs>
                <w:tab w:val="clear" w:pos="1588"/>
                <w:tab w:val="left" w:pos="1560"/>
              </w:tabs>
              <w:spacing w:before="0" w:line="240" w:lineRule="auto"/>
              <w:rPr>
                <w:b/>
                <w:bCs/>
                <w:szCs w:val="24"/>
                <w:lang w:val="fr-FR"/>
              </w:rPr>
            </w:pPr>
            <w:r w:rsidRPr="003D2A04">
              <w:rPr>
                <w:b/>
                <w:bCs/>
                <w:szCs w:val="24"/>
                <w:lang w:val="fr-FR"/>
              </w:rPr>
              <w:t>Accord régional GE06 –</w:t>
            </w:r>
            <w:r w:rsidR="00BC77EC">
              <w:rPr>
                <w:b/>
                <w:bCs/>
                <w:szCs w:val="24"/>
                <w:lang w:val="fr-FR"/>
              </w:rPr>
              <w:t xml:space="preserve"> F</w:t>
            </w:r>
            <w:r w:rsidRPr="003D2A04">
              <w:rPr>
                <w:b/>
                <w:bCs/>
                <w:szCs w:val="24"/>
                <w:lang w:val="fr-FR"/>
              </w:rPr>
              <w:t>in de la période de transition</w:t>
            </w:r>
          </w:p>
        </w:tc>
      </w:tr>
      <w:tr w:rsidR="00E53DCE" w:rsidRPr="001262CD" w14:paraId="7EC3D95D" w14:textId="77777777" w:rsidTr="004228FA">
        <w:trPr>
          <w:jc w:val="center"/>
        </w:trPr>
        <w:tc>
          <w:tcPr>
            <w:tcW w:w="1526" w:type="dxa"/>
            <w:shd w:val="clear" w:color="auto" w:fill="auto"/>
          </w:tcPr>
          <w:p w14:paraId="3223973D" w14:textId="77777777" w:rsidR="00E53DCE" w:rsidRPr="003D2A04" w:rsidRDefault="00E53DCE" w:rsidP="00BC77EC">
            <w:pPr>
              <w:tabs>
                <w:tab w:val="clear" w:pos="1588"/>
                <w:tab w:val="left" w:pos="1560"/>
              </w:tabs>
              <w:spacing w:before="0" w:line="240" w:lineRule="auto"/>
              <w:jc w:val="left"/>
              <w:rPr>
                <w:b/>
                <w:bCs/>
                <w:szCs w:val="24"/>
                <w:lang w:val="fr-FR"/>
              </w:rPr>
            </w:pPr>
          </w:p>
        </w:tc>
        <w:tc>
          <w:tcPr>
            <w:tcW w:w="8363" w:type="dxa"/>
            <w:gridSpan w:val="2"/>
            <w:vMerge/>
            <w:shd w:val="clear" w:color="auto" w:fill="auto"/>
          </w:tcPr>
          <w:p w14:paraId="1A6DBBA1" w14:textId="77777777" w:rsidR="00E53DCE" w:rsidRPr="003D2A04" w:rsidRDefault="00E53DCE" w:rsidP="00BC77EC">
            <w:pPr>
              <w:tabs>
                <w:tab w:val="clear" w:pos="1588"/>
                <w:tab w:val="left" w:pos="1560"/>
              </w:tabs>
              <w:spacing w:before="0" w:line="240" w:lineRule="auto"/>
              <w:rPr>
                <w:b/>
                <w:bCs/>
                <w:szCs w:val="24"/>
                <w:lang w:val="fr-FR"/>
              </w:rPr>
            </w:pPr>
          </w:p>
        </w:tc>
      </w:tr>
      <w:tr w:rsidR="00E53DCE" w:rsidRPr="001262CD" w14:paraId="600A8EEC" w14:textId="77777777" w:rsidTr="004228FA">
        <w:trPr>
          <w:jc w:val="center"/>
        </w:trPr>
        <w:tc>
          <w:tcPr>
            <w:tcW w:w="1526" w:type="dxa"/>
            <w:shd w:val="clear" w:color="auto" w:fill="auto"/>
          </w:tcPr>
          <w:p w14:paraId="3A76C8BC" w14:textId="77777777" w:rsidR="00E53DCE" w:rsidRPr="003D2A04" w:rsidRDefault="00E53DCE" w:rsidP="00BC77EC">
            <w:pPr>
              <w:tabs>
                <w:tab w:val="clear" w:pos="1588"/>
                <w:tab w:val="left" w:pos="1560"/>
              </w:tabs>
              <w:spacing w:before="0" w:line="240" w:lineRule="auto"/>
              <w:jc w:val="left"/>
              <w:rPr>
                <w:b/>
                <w:bCs/>
                <w:szCs w:val="24"/>
                <w:lang w:val="fr-FR"/>
              </w:rPr>
            </w:pPr>
          </w:p>
        </w:tc>
        <w:tc>
          <w:tcPr>
            <w:tcW w:w="8363" w:type="dxa"/>
            <w:gridSpan w:val="2"/>
            <w:vMerge/>
            <w:shd w:val="clear" w:color="auto" w:fill="auto"/>
          </w:tcPr>
          <w:p w14:paraId="79FFA930" w14:textId="77777777" w:rsidR="00E53DCE" w:rsidRPr="003D2A04" w:rsidRDefault="00E53DCE" w:rsidP="00BC77EC">
            <w:pPr>
              <w:tabs>
                <w:tab w:val="clear" w:pos="1588"/>
                <w:tab w:val="left" w:pos="1560"/>
              </w:tabs>
              <w:spacing w:before="0" w:line="240" w:lineRule="auto"/>
              <w:rPr>
                <w:b/>
                <w:bCs/>
                <w:szCs w:val="24"/>
                <w:lang w:val="fr-FR"/>
              </w:rPr>
            </w:pPr>
          </w:p>
        </w:tc>
      </w:tr>
      <w:tr w:rsidR="00E53DCE" w:rsidRPr="001262CD" w14:paraId="49634CE7" w14:textId="77777777" w:rsidTr="004228FA">
        <w:trPr>
          <w:jc w:val="center"/>
        </w:trPr>
        <w:tc>
          <w:tcPr>
            <w:tcW w:w="9889" w:type="dxa"/>
            <w:gridSpan w:val="3"/>
            <w:shd w:val="clear" w:color="auto" w:fill="auto"/>
          </w:tcPr>
          <w:p w14:paraId="1019D093" w14:textId="77777777" w:rsidR="00E53DCE" w:rsidRPr="003D2A04" w:rsidRDefault="00E53DCE" w:rsidP="00BC77EC">
            <w:pPr>
              <w:tabs>
                <w:tab w:val="clear" w:pos="1588"/>
                <w:tab w:val="left" w:pos="1560"/>
              </w:tabs>
              <w:spacing w:before="0" w:line="240" w:lineRule="auto"/>
              <w:jc w:val="left"/>
              <w:rPr>
                <w:szCs w:val="24"/>
                <w:lang w:val="fr-FR"/>
              </w:rPr>
            </w:pPr>
          </w:p>
        </w:tc>
      </w:tr>
      <w:tr w:rsidR="00E53DCE" w:rsidRPr="001262CD" w14:paraId="275E9F95" w14:textId="77777777" w:rsidTr="004228FA">
        <w:trPr>
          <w:jc w:val="center"/>
        </w:trPr>
        <w:tc>
          <w:tcPr>
            <w:tcW w:w="9889" w:type="dxa"/>
            <w:gridSpan w:val="3"/>
            <w:shd w:val="clear" w:color="auto" w:fill="auto"/>
          </w:tcPr>
          <w:p w14:paraId="018A07EC" w14:textId="77777777" w:rsidR="00E53DCE" w:rsidRPr="003D2A04" w:rsidRDefault="00E53DCE" w:rsidP="00BC77EC">
            <w:pPr>
              <w:spacing w:before="0" w:line="240" w:lineRule="auto"/>
              <w:jc w:val="left"/>
              <w:rPr>
                <w:b/>
                <w:bCs/>
                <w:szCs w:val="24"/>
                <w:lang w:val="fr-FR"/>
              </w:rPr>
            </w:pPr>
          </w:p>
        </w:tc>
      </w:tr>
    </w:tbl>
    <w:p w14:paraId="48B7BA07" w14:textId="4ABF9ED8" w:rsidR="00617A60" w:rsidRPr="003D2A04" w:rsidRDefault="00617A60" w:rsidP="001262CD">
      <w:pPr>
        <w:spacing w:before="120" w:line="240" w:lineRule="auto"/>
        <w:rPr>
          <w:szCs w:val="24"/>
          <w:lang w:val="fr-FR"/>
        </w:rPr>
      </w:pPr>
      <w:r w:rsidRPr="003D2A04">
        <w:rPr>
          <w:szCs w:val="24"/>
          <w:lang w:val="fr-FR"/>
        </w:rPr>
        <w:t xml:space="preserve">Dans la Circulaire administrative CR/375 en date du 19 décembre 2014, le Bureau des radiocommunications (BR) a informé les administrations que la première phase de la </w:t>
      </w:r>
      <w:r w:rsidRPr="003D2A04">
        <w:rPr>
          <w:i/>
          <w:iCs/>
          <w:szCs w:val="24"/>
          <w:lang w:val="fr-FR"/>
        </w:rPr>
        <w:t>période de transition</w:t>
      </w:r>
      <w:r w:rsidRPr="003D2A04">
        <w:rPr>
          <w:szCs w:val="24"/>
          <w:lang w:val="fr-FR"/>
        </w:rPr>
        <w:t xml:space="preserve"> vers la télévision numérique prendrait fin le 17 juin 2015 pour toutes les </w:t>
      </w:r>
      <w:r w:rsidR="00BC77EC">
        <w:rPr>
          <w:szCs w:val="24"/>
          <w:lang w:val="fr-FR"/>
        </w:rPr>
        <w:t>A</w:t>
      </w:r>
      <w:r w:rsidRPr="003D2A04">
        <w:rPr>
          <w:szCs w:val="24"/>
          <w:lang w:val="fr-FR"/>
        </w:rPr>
        <w:t>dministrations parties à l'Accord régional de Genève, 2006 (GE06), à l'exception des pays énumérés au § 12.6 de l'Accord GE06 pour la bande de fréquences 174-230 MHz.</w:t>
      </w:r>
    </w:p>
    <w:p w14:paraId="4B68729D" w14:textId="01DEE08D" w:rsidR="00617A60" w:rsidRPr="003D2A04" w:rsidRDefault="00617A60" w:rsidP="001262CD">
      <w:pPr>
        <w:spacing w:before="120" w:line="240" w:lineRule="auto"/>
        <w:rPr>
          <w:szCs w:val="24"/>
          <w:lang w:val="fr-FR"/>
        </w:rPr>
      </w:pPr>
      <w:r w:rsidRPr="003D2A04">
        <w:rPr>
          <w:szCs w:val="24"/>
          <w:lang w:val="fr-FR"/>
        </w:rPr>
        <w:t xml:space="preserve">La présente Lettre circulaire vise à informer votre Administration que la seconde phase de la </w:t>
      </w:r>
      <w:r w:rsidRPr="003D2A04">
        <w:rPr>
          <w:i/>
          <w:iCs/>
          <w:szCs w:val="24"/>
          <w:lang w:val="fr-FR"/>
        </w:rPr>
        <w:t>période de transition</w:t>
      </w:r>
      <w:r w:rsidRPr="003D2A04">
        <w:rPr>
          <w:szCs w:val="24"/>
          <w:lang w:val="fr-FR"/>
        </w:rPr>
        <w:t xml:space="preserve">, pour les trente-quatre pays énumérés dans la note 7 relative au § 12.6 pour la bande de fréquences 174-230 MHz, </w:t>
      </w:r>
      <w:r w:rsidRPr="003D2A04">
        <w:rPr>
          <w:b/>
          <w:bCs/>
          <w:szCs w:val="24"/>
          <w:lang w:val="fr-FR"/>
        </w:rPr>
        <w:t>a pris fin le 17 juin 2020 à 0001 heure UTC</w:t>
      </w:r>
      <w:r w:rsidRPr="003D2A04">
        <w:rPr>
          <w:szCs w:val="24"/>
          <w:lang w:val="fr-FR"/>
        </w:rPr>
        <w:t>.</w:t>
      </w:r>
    </w:p>
    <w:p w14:paraId="0101C33C" w14:textId="5E592C74" w:rsidR="00617A60" w:rsidRPr="003D2A04" w:rsidRDefault="00617A60" w:rsidP="001262CD">
      <w:pPr>
        <w:spacing w:before="120" w:line="240" w:lineRule="auto"/>
        <w:rPr>
          <w:szCs w:val="24"/>
          <w:lang w:val="fr-FR"/>
        </w:rPr>
      </w:pPr>
      <w:r w:rsidRPr="003D2A04">
        <w:rPr>
          <w:szCs w:val="24"/>
          <w:lang w:val="fr-FR"/>
        </w:rPr>
        <w:t xml:space="preserve">En conséquence, la </w:t>
      </w:r>
      <w:r w:rsidRPr="003D2A04">
        <w:rPr>
          <w:i/>
          <w:iCs/>
          <w:szCs w:val="24"/>
          <w:lang w:val="fr-FR"/>
        </w:rPr>
        <w:t>période de transition</w:t>
      </w:r>
      <w:r w:rsidRPr="003D2A04">
        <w:rPr>
          <w:szCs w:val="24"/>
          <w:lang w:val="fr-FR"/>
        </w:rPr>
        <w:t xml:space="preserve"> prévue dans l'Accord GE06, destinée à faciliter le passage de la télévision analogique à la télévision numérique, qui a débuté le 17 juin 2006, est arrivée à son terme. Par voie de conséquence, le Plan analogique (GE06A) n'existe plus.</w:t>
      </w:r>
    </w:p>
    <w:p w14:paraId="3BAB923D" w14:textId="69273C44" w:rsidR="00617A60" w:rsidRPr="003D2A04" w:rsidRDefault="00617A60" w:rsidP="001262CD">
      <w:pPr>
        <w:spacing w:line="240" w:lineRule="auto"/>
        <w:rPr>
          <w:szCs w:val="24"/>
          <w:lang w:val="fr-FR"/>
        </w:rPr>
      </w:pPr>
      <w:r w:rsidRPr="003D2A04">
        <w:rPr>
          <w:szCs w:val="24"/>
          <w:lang w:val="fr-FR"/>
        </w:rPr>
        <w:t xml:space="preserve">Conformément à l'Accord GE06, le BR a pris les mesures </w:t>
      </w:r>
      <w:proofErr w:type="gramStart"/>
      <w:r w:rsidRPr="003D2A04">
        <w:rPr>
          <w:szCs w:val="24"/>
          <w:lang w:val="fr-FR"/>
        </w:rPr>
        <w:t>suivantes:</w:t>
      </w:r>
      <w:proofErr w:type="gramEnd"/>
    </w:p>
    <w:p w14:paraId="401605E7" w14:textId="212A890F" w:rsidR="00617A60" w:rsidRPr="003D2A04" w:rsidRDefault="00617A60" w:rsidP="001262CD">
      <w:pPr>
        <w:pStyle w:val="enumlev1"/>
        <w:spacing w:line="240" w:lineRule="auto"/>
        <w:rPr>
          <w:lang w:val="fr-FR"/>
        </w:rPr>
      </w:pPr>
      <w:r w:rsidRPr="003D2A04">
        <w:rPr>
          <w:lang w:val="fr-FR"/>
        </w:rPr>
        <w:t>•</w:t>
      </w:r>
      <w:r w:rsidRPr="003D2A04">
        <w:rPr>
          <w:lang w:val="fr-FR"/>
        </w:rPr>
        <w:tab/>
        <w:t>Toutes les assignations précédemment inscrites dans le Plan GE06 ont été supprimées, en application du § 12.6 de l'Accord GE06.</w:t>
      </w:r>
    </w:p>
    <w:p w14:paraId="27ED48C2" w14:textId="2890CBAE" w:rsidR="00617A60" w:rsidRPr="003D2A04" w:rsidRDefault="00617A60" w:rsidP="001262CD">
      <w:pPr>
        <w:pStyle w:val="enumlev1"/>
        <w:spacing w:line="240" w:lineRule="auto"/>
        <w:rPr>
          <w:lang w:val="fr-FR"/>
        </w:rPr>
      </w:pPr>
      <w:r w:rsidRPr="003D2A04">
        <w:rPr>
          <w:lang w:val="fr-FR"/>
        </w:rPr>
        <w:t>•</w:t>
      </w:r>
      <w:r w:rsidRPr="003D2A04">
        <w:rPr>
          <w:lang w:val="fr-FR"/>
        </w:rPr>
        <w:tab/>
        <w:t>Le fragment GE06A a été supprimé des logiciels du BR (</w:t>
      </w:r>
      <w:proofErr w:type="spellStart"/>
      <w:r w:rsidRPr="003D2A04">
        <w:rPr>
          <w:lang w:val="fr-FR"/>
        </w:rPr>
        <w:t>TerRaSys</w:t>
      </w:r>
      <w:proofErr w:type="spellEnd"/>
      <w:r w:rsidRPr="003D2A04">
        <w:rPr>
          <w:lang w:val="fr-FR"/>
        </w:rPr>
        <w:t xml:space="preserve"> et </w:t>
      </w:r>
      <w:proofErr w:type="spellStart"/>
      <w:r w:rsidRPr="003D2A04">
        <w:rPr>
          <w:lang w:val="fr-FR"/>
        </w:rPr>
        <w:t>eBCD</w:t>
      </w:r>
      <w:proofErr w:type="spellEnd"/>
      <w:r w:rsidRPr="003D2A04">
        <w:rPr>
          <w:lang w:val="fr-FR"/>
        </w:rPr>
        <w:t>).</w:t>
      </w:r>
    </w:p>
    <w:p w14:paraId="550D0C26" w14:textId="435FC08F" w:rsidR="00617A60" w:rsidRPr="003D2A04" w:rsidRDefault="00617A60" w:rsidP="001262CD">
      <w:pPr>
        <w:pStyle w:val="enumlev1"/>
        <w:spacing w:line="240" w:lineRule="auto"/>
        <w:rPr>
          <w:lang w:val="fr-FR"/>
        </w:rPr>
      </w:pPr>
      <w:r w:rsidRPr="003D2A04">
        <w:rPr>
          <w:lang w:val="fr-FR"/>
        </w:rPr>
        <w:t>•</w:t>
      </w:r>
      <w:r w:rsidRPr="003D2A04">
        <w:rPr>
          <w:lang w:val="fr-FR"/>
        </w:rPr>
        <w:tab/>
        <w:t xml:space="preserve">Les assignations à la télévision analogique assujetties à l'Accord GE06 qui étaient inscrites dans le Fichier de référence international des fréquences ont été </w:t>
      </w:r>
      <w:r w:rsidR="00856509">
        <w:rPr>
          <w:lang w:val="fr-FR"/>
        </w:rPr>
        <w:t xml:space="preserve">conservées dans ledit </w:t>
      </w:r>
      <w:r w:rsidRPr="003D2A04">
        <w:rPr>
          <w:lang w:val="fr-FR"/>
        </w:rPr>
        <w:t>Fichier</w:t>
      </w:r>
      <w:r w:rsidR="00BC77EC">
        <w:rPr>
          <w:lang w:val="fr-FR"/>
        </w:rPr>
        <w:t xml:space="preserve"> de référence, à l'exception de</w:t>
      </w:r>
      <w:r w:rsidRPr="003D2A04">
        <w:rPr>
          <w:lang w:val="fr-FR"/>
        </w:rPr>
        <w:t xml:space="preserve"> celles que des administrations ont demandé à </w:t>
      </w:r>
      <w:r w:rsidR="00856509">
        <w:rPr>
          <w:lang w:val="fr-FR"/>
        </w:rPr>
        <w:t>supprimer</w:t>
      </w:r>
      <w:r w:rsidRPr="003D2A04">
        <w:rPr>
          <w:lang w:val="fr-FR"/>
        </w:rPr>
        <w:t>. Les assignations conservées ne pourront continuer d'être exploitées qu'à condition de ne pas causer de brouillage inacceptable aux assignations conformes à l'Accord GE06 et de ne pas demander de protection vis-à-vis de ces assignations.</w:t>
      </w:r>
    </w:p>
    <w:p w14:paraId="7097E731" w14:textId="690B3D96" w:rsidR="00617A60" w:rsidRPr="003D2A04" w:rsidRDefault="004463BD" w:rsidP="001262CD">
      <w:pPr>
        <w:pStyle w:val="enumlev1"/>
        <w:spacing w:line="240" w:lineRule="auto"/>
        <w:rPr>
          <w:lang w:val="fr-FR"/>
        </w:rPr>
      </w:pPr>
      <w:r w:rsidRPr="003D2A04">
        <w:rPr>
          <w:lang w:val="fr-FR"/>
        </w:rPr>
        <w:lastRenderedPageBreak/>
        <w:t>•</w:t>
      </w:r>
      <w:r w:rsidRPr="003D2A04">
        <w:rPr>
          <w:lang w:val="fr-FR"/>
        </w:rPr>
        <w:tab/>
      </w:r>
      <w:r w:rsidR="00617A60" w:rsidRPr="003D2A04">
        <w:rPr>
          <w:lang w:val="fr-FR"/>
        </w:rPr>
        <w:t>En outre, le BR a laissé inchangées, dans le Fichier de référence international des fréquences, les assignations analogiques qui utilisent des inscriptions numériques figurant dans le Plan GE06 et sont inscrites au titre de la disposition 5.1.3 de l'Article 5 de l'Accord.</w:t>
      </w:r>
    </w:p>
    <w:p w14:paraId="0E8D3764" w14:textId="7D1ACE22" w:rsidR="00617A60" w:rsidRPr="003D2A04" w:rsidRDefault="00617A60" w:rsidP="001262CD">
      <w:pPr>
        <w:spacing w:line="240" w:lineRule="auto"/>
        <w:rPr>
          <w:szCs w:val="24"/>
          <w:lang w:val="fr-FR"/>
        </w:rPr>
      </w:pPr>
      <w:r w:rsidRPr="003D2A04">
        <w:rPr>
          <w:szCs w:val="24"/>
          <w:lang w:val="fr-FR"/>
        </w:rPr>
        <w:t xml:space="preserve">Après la fin de la </w:t>
      </w:r>
      <w:r w:rsidRPr="003D2A04">
        <w:rPr>
          <w:i/>
          <w:iCs/>
          <w:szCs w:val="24"/>
          <w:lang w:val="fr-FR"/>
        </w:rPr>
        <w:t>période de transition</w:t>
      </w:r>
      <w:r w:rsidRPr="003D2A04">
        <w:rPr>
          <w:szCs w:val="24"/>
          <w:lang w:val="fr-FR"/>
        </w:rPr>
        <w:t xml:space="preserve">, les assignations de fréquence à des stations de télévision analogique ne bénéficieront plus d'une protection vis-à-vis des stations fonctionnant conformément à l'Accord GE06. Toutefois, les administrations pourront continuer d'utiliser les stations de télévision analogique selon les modalités </w:t>
      </w:r>
      <w:proofErr w:type="gramStart"/>
      <w:r w:rsidRPr="003D2A04">
        <w:rPr>
          <w:szCs w:val="24"/>
          <w:lang w:val="fr-FR"/>
        </w:rPr>
        <w:t>suivantes:</w:t>
      </w:r>
      <w:proofErr w:type="gramEnd"/>
    </w:p>
    <w:p w14:paraId="5A92C314" w14:textId="500567AF" w:rsidR="00617A60" w:rsidRPr="003D2A04" w:rsidRDefault="00617A60" w:rsidP="001262CD">
      <w:pPr>
        <w:pStyle w:val="enumlev1"/>
        <w:spacing w:line="240" w:lineRule="auto"/>
        <w:rPr>
          <w:lang w:val="fr-FR"/>
        </w:rPr>
      </w:pPr>
      <w:r w:rsidRPr="003D2A04">
        <w:rPr>
          <w:lang w:val="fr-FR"/>
        </w:rPr>
        <w:t>•</w:t>
      </w:r>
      <w:r w:rsidRPr="003D2A04">
        <w:rPr>
          <w:lang w:val="fr-FR"/>
        </w:rPr>
        <w:tab/>
      </w:r>
      <w:r w:rsidR="004463BD" w:rsidRPr="003D2A04">
        <w:rPr>
          <w:lang w:val="fr-FR"/>
        </w:rPr>
        <w:t>c</w:t>
      </w:r>
      <w:r w:rsidRPr="003D2A04">
        <w:rPr>
          <w:lang w:val="fr-FR"/>
        </w:rPr>
        <w:t xml:space="preserve">onformément à la disposition 5.1.3 de l'Accord, dans le cadre d'une inscription dans le plan numérique figurant dans le Plan GE06D. Si l'assignation analogique notifiée fait l'objet d'une conclusion favorable, elle sera inscrite dans le Fichier de référence international des fréquences et bénéficiera de la même protection que celle accordée à l'inscription figurant dans le Plan </w:t>
      </w:r>
      <w:proofErr w:type="gramStart"/>
      <w:r w:rsidRPr="003D2A04">
        <w:rPr>
          <w:lang w:val="fr-FR"/>
        </w:rPr>
        <w:t>numérique</w:t>
      </w:r>
      <w:r w:rsidR="004463BD" w:rsidRPr="003D2A04">
        <w:rPr>
          <w:lang w:val="fr-FR"/>
        </w:rPr>
        <w:t>;</w:t>
      </w:r>
      <w:proofErr w:type="gramEnd"/>
    </w:p>
    <w:p w14:paraId="4B52C89B" w14:textId="5904ADE4" w:rsidR="00617A60" w:rsidRPr="003D2A04" w:rsidRDefault="00617A60" w:rsidP="001262CD">
      <w:pPr>
        <w:pStyle w:val="enumlev1"/>
        <w:spacing w:line="240" w:lineRule="auto"/>
        <w:rPr>
          <w:lang w:val="fr-FR"/>
        </w:rPr>
      </w:pPr>
      <w:r w:rsidRPr="003D2A04">
        <w:rPr>
          <w:lang w:val="fr-FR"/>
        </w:rPr>
        <w:t>•</w:t>
      </w:r>
      <w:r w:rsidRPr="003D2A04">
        <w:rPr>
          <w:lang w:val="fr-FR"/>
        </w:rPr>
        <w:tab/>
      </w:r>
      <w:r w:rsidR="004463BD" w:rsidRPr="003D2A04">
        <w:rPr>
          <w:lang w:val="fr-FR"/>
        </w:rPr>
        <w:t>à</w:t>
      </w:r>
      <w:r w:rsidRPr="003D2A04">
        <w:rPr>
          <w:lang w:val="fr-FR"/>
        </w:rPr>
        <w:t xml:space="preserve"> condition de ne pas causer de brouillages et de ne pas demander à bénéficier d'une protection vis-à-vis des </w:t>
      </w:r>
      <w:r w:rsidR="00BC77EC">
        <w:rPr>
          <w:lang w:val="fr-FR"/>
        </w:rPr>
        <w:t>A</w:t>
      </w:r>
      <w:r w:rsidRPr="003D2A04">
        <w:rPr>
          <w:lang w:val="fr-FR"/>
        </w:rPr>
        <w:t>dministrations parties à l'Accord GE06. Il est vivement recommandé d'assurer une coordination des stations de télévision analogique avec les administrations des pays voisins, afin de garantir le fonctionnement exempt de brouillage de ces stations.</w:t>
      </w:r>
    </w:p>
    <w:p w14:paraId="41E6C331" w14:textId="3096947E" w:rsidR="00617A60" w:rsidRPr="003D2A04" w:rsidRDefault="00617A60" w:rsidP="001262CD">
      <w:pPr>
        <w:spacing w:before="120" w:line="240" w:lineRule="auto"/>
        <w:rPr>
          <w:szCs w:val="24"/>
          <w:lang w:val="fr-FR"/>
        </w:rPr>
      </w:pPr>
      <w:r w:rsidRPr="003D2A04">
        <w:rPr>
          <w:szCs w:val="24"/>
          <w:lang w:val="fr-FR"/>
        </w:rPr>
        <w:t>Le Bureau des radiocommunications reste à la disposition de votre Administration pour toute précision dont elle pourrait avoir besoin à cet égard.</w:t>
      </w:r>
    </w:p>
    <w:p w14:paraId="74040B66" w14:textId="77777777" w:rsidR="00617A60" w:rsidRPr="003D2A04" w:rsidRDefault="00617A60" w:rsidP="00BC77EC">
      <w:pPr>
        <w:spacing w:before="840" w:line="240" w:lineRule="auto"/>
        <w:jc w:val="left"/>
        <w:rPr>
          <w:szCs w:val="24"/>
          <w:lang w:val="fr-FR"/>
        </w:rPr>
      </w:pPr>
      <w:r w:rsidRPr="003D2A04">
        <w:rPr>
          <w:szCs w:val="24"/>
          <w:lang w:val="fr-FR"/>
        </w:rPr>
        <w:t>Mario Maniewicz</w:t>
      </w:r>
    </w:p>
    <w:p w14:paraId="5A364868" w14:textId="77777777" w:rsidR="00617A60" w:rsidRPr="003D2A04" w:rsidRDefault="00617A60" w:rsidP="00BC77EC">
      <w:pPr>
        <w:spacing w:before="0" w:line="240" w:lineRule="auto"/>
        <w:jc w:val="left"/>
        <w:rPr>
          <w:szCs w:val="24"/>
          <w:lang w:val="fr-FR"/>
        </w:rPr>
      </w:pPr>
      <w:r w:rsidRPr="003D2A04">
        <w:rPr>
          <w:szCs w:val="24"/>
          <w:lang w:val="fr-FR"/>
        </w:rPr>
        <w:t>Directeur</w:t>
      </w:r>
    </w:p>
    <w:p w14:paraId="0412FED8" w14:textId="77777777" w:rsidR="00617A60" w:rsidRPr="003D2A04" w:rsidRDefault="00617A60" w:rsidP="00BC77EC">
      <w:pPr>
        <w:spacing w:before="4440" w:line="240" w:lineRule="auto"/>
        <w:rPr>
          <w:b/>
          <w:bCs/>
          <w:sz w:val="18"/>
          <w:szCs w:val="18"/>
          <w:u w:val="single"/>
          <w:lang w:val="fr-FR"/>
        </w:rPr>
      </w:pPr>
      <w:proofErr w:type="gramStart"/>
      <w:r w:rsidRPr="003D2A04">
        <w:rPr>
          <w:b/>
          <w:bCs/>
          <w:sz w:val="18"/>
          <w:szCs w:val="18"/>
          <w:u w:val="single"/>
          <w:lang w:val="fr-FR"/>
        </w:rPr>
        <w:t>Distribution:</w:t>
      </w:r>
      <w:proofErr w:type="gramEnd"/>
    </w:p>
    <w:p w14:paraId="67C76607" w14:textId="77777777" w:rsidR="00617A60" w:rsidRPr="003D2A04" w:rsidRDefault="00617A60" w:rsidP="00BC77EC">
      <w:pPr>
        <w:pStyle w:val="enumlev1"/>
        <w:spacing w:line="240" w:lineRule="auto"/>
        <w:jc w:val="left"/>
        <w:rPr>
          <w:sz w:val="18"/>
          <w:szCs w:val="18"/>
          <w:lang w:val="fr-FR"/>
        </w:rPr>
      </w:pPr>
      <w:r w:rsidRPr="003D2A04">
        <w:rPr>
          <w:sz w:val="18"/>
          <w:szCs w:val="18"/>
          <w:lang w:val="fr-FR"/>
        </w:rPr>
        <w:t>–</w:t>
      </w:r>
      <w:r w:rsidRPr="003D2A04">
        <w:rPr>
          <w:sz w:val="18"/>
          <w:szCs w:val="18"/>
          <w:lang w:val="fr-FR"/>
        </w:rPr>
        <w:tab/>
        <w:t>Administrations des États Membres de l'UIT</w:t>
      </w:r>
    </w:p>
    <w:p w14:paraId="741CEF78" w14:textId="67A21845" w:rsidR="00E53DCE" w:rsidRPr="003D2A04" w:rsidRDefault="00617A60" w:rsidP="00BC77EC">
      <w:pPr>
        <w:pStyle w:val="enumlev1"/>
        <w:spacing w:before="0" w:line="240" w:lineRule="auto"/>
        <w:jc w:val="left"/>
        <w:rPr>
          <w:lang w:val="fr-FR"/>
        </w:rPr>
      </w:pPr>
      <w:r w:rsidRPr="003D2A04">
        <w:rPr>
          <w:sz w:val="18"/>
          <w:szCs w:val="18"/>
          <w:lang w:val="fr-FR"/>
        </w:rPr>
        <w:t>–</w:t>
      </w:r>
      <w:r w:rsidRPr="003D2A04">
        <w:rPr>
          <w:sz w:val="18"/>
          <w:szCs w:val="18"/>
          <w:lang w:val="fr-FR"/>
        </w:rPr>
        <w:tab/>
        <w:t>Membres du Comité du Règlement des radiocommunications</w:t>
      </w:r>
    </w:p>
    <w:sectPr w:rsidR="00E53DCE" w:rsidRPr="003D2A04" w:rsidSect="003F2F34">
      <w:headerReference w:type="even" r:id="rId8"/>
      <w:headerReference w:type="default" r:id="rId9"/>
      <w:headerReference w:type="first" r:id="rId10"/>
      <w:footerReference w:type="first" r:id="rId11"/>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24A701" w14:textId="77777777" w:rsidR="00632801" w:rsidRDefault="00632801">
      <w:r>
        <w:separator/>
      </w:r>
    </w:p>
  </w:endnote>
  <w:endnote w:type="continuationSeparator" w:id="0">
    <w:p w14:paraId="63C585B4" w14:textId="77777777" w:rsidR="00632801" w:rsidRDefault="00632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DA4A96" w14:textId="54C40EDC" w:rsidR="005E42F8" w:rsidRPr="00304636" w:rsidRDefault="00304636" w:rsidP="00304636">
    <w:pPr>
      <w:pStyle w:val="FirstFooter"/>
      <w:spacing w:line="240" w:lineRule="auto"/>
      <w:ind w:left="-397" w:right="-397"/>
      <w:jc w:val="center"/>
      <w:rPr>
        <w:color w:val="4F81BD"/>
        <w:sz w:val="18"/>
        <w:szCs w:val="18"/>
        <w:lang w:val="fr-FR"/>
      </w:rPr>
    </w:pPr>
    <w:r w:rsidRPr="00085B3E">
      <w:rPr>
        <w:rFonts w:asciiTheme="minorHAnsi" w:hAnsiTheme="minorHAnsi"/>
        <w:color w:val="4F81BD"/>
        <w:sz w:val="18"/>
        <w:szCs w:val="18"/>
        <w:lang w:val="fr-CH"/>
      </w:rPr>
      <w:t>Union internationale des télécommunications • Place des Nations, CH</w:t>
    </w:r>
    <w:r w:rsidRPr="00085B3E">
      <w:rPr>
        <w:rFonts w:asciiTheme="minorHAnsi" w:hAnsiTheme="minorHAnsi"/>
        <w:color w:val="4F81BD"/>
        <w:sz w:val="18"/>
        <w:szCs w:val="18"/>
        <w:lang w:val="fr-CH"/>
      </w:rPr>
      <w:noBreakHyphen/>
      <w:t xml:space="preserve">1211 Genève 20, Suisse </w:t>
    </w:r>
    <w:r w:rsidRPr="00085B3E">
      <w:rPr>
        <w:rFonts w:asciiTheme="minorHAnsi" w:hAnsiTheme="minorHAnsi"/>
        <w:color w:val="4F81BD"/>
        <w:sz w:val="18"/>
        <w:szCs w:val="18"/>
        <w:lang w:val="fr-CH"/>
      </w:rPr>
      <w:br/>
    </w:r>
    <w:proofErr w:type="gramStart"/>
    <w:r w:rsidRPr="00085B3E">
      <w:rPr>
        <w:rFonts w:asciiTheme="minorHAnsi" w:hAnsiTheme="minorHAnsi"/>
        <w:color w:val="4F81BD"/>
        <w:sz w:val="18"/>
        <w:szCs w:val="18"/>
        <w:lang w:val="fr-CH"/>
      </w:rPr>
      <w:t>Tél</w:t>
    </w:r>
    <w:r w:rsidR="00BC77EC">
      <w:rPr>
        <w:rFonts w:asciiTheme="minorHAnsi" w:hAnsiTheme="minorHAnsi"/>
        <w:color w:val="4F81BD"/>
        <w:sz w:val="18"/>
        <w:szCs w:val="18"/>
        <w:lang w:val="fr-CH"/>
      </w:rPr>
      <w:t>.</w:t>
    </w:r>
    <w:r w:rsidRPr="00085B3E">
      <w:rPr>
        <w:rFonts w:asciiTheme="minorHAnsi" w:hAnsiTheme="minorHAnsi"/>
        <w:color w:val="4F81BD"/>
        <w:sz w:val="18"/>
        <w:szCs w:val="18"/>
        <w:lang w:val="fr-CH"/>
      </w:rPr>
      <w:t>:</w:t>
    </w:r>
    <w:proofErr w:type="gramEnd"/>
    <w:r w:rsidRPr="00085B3E">
      <w:rPr>
        <w:rFonts w:asciiTheme="minorHAnsi" w:hAnsiTheme="minorHAnsi"/>
        <w:color w:val="4F81BD"/>
        <w:sz w:val="18"/>
        <w:szCs w:val="18"/>
        <w:lang w:val="fr-CH"/>
      </w:rPr>
      <w:t xml:space="preserve"> +41 22 730 5111 • </w:t>
    </w:r>
    <w:r w:rsidR="00BC77EC">
      <w:rPr>
        <w:rFonts w:asciiTheme="minorHAnsi" w:hAnsiTheme="minorHAnsi"/>
        <w:color w:val="4F81BD"/>
        <w:sz w:val="18"/>
        <w:szCs w:val="18"/>
        <w:lang w:val="fr-CH"/>
      </w:rPr>
      <w:t>C</w:t>
    </w:r>
    <w:r w:rsidRPr="00085B3E">
      <w:rPr>
        <w:rFonts w:asciiTheme="minorHAnsi" w:hAnsiTheme="minorHAnsi"/>
        <w:color w:val="4F81BD"/>
        <w:sz w:val="18"/>
        <w:szCs w:val="18"/>
        <w:lang w:val="fr-CH"/>
      </w:rPr>
      <w:t xml:space="preserve">ourriel: </w:t>
    </w:r>
    <w:hyperlink r:id="rId1" w:history="1">
      <w:r w:rsidRPr="00304636">
        <w:rPr>
          <w:rStyle w:val="Hyperlink"/>
          <w:rFonts w:asciiTheme="minorHAnsi" w:hAnsiTheme="minorHAnsi"/>
          <w:sz w:val="18"/>
          <w:szCs w:val="18"/>
          <w:lang w:val="fr-FR"/>
        </w:rPr>
        <w:t>itumail@itu.int</w:t>
      </w:r>
    </w:hyperlink>
    <w:r w:rsidRPr="00F632E9">
      <w:rPr>
        <w:rFonts w:asciiTheme="minorHAnsi" w:hAnsiTheme="minorHAnsi"/>
        <w:sz w:val="18"/>
        <w:szCs w:val="18"/>
        <w:lang w:val="fr-CH"/>
      </w:rPr>
      <w:t xml:space="preserve"> </w:t>
    </w:r>
    <w:r w:rsidRPr="00085B3E">
      <w:rPr>
        <w:rFonts w:asciiTheme="minorHAnsi" w:hAnsiTheme="minorHAnsi"/>
        <w:color w:val="4F81BD"/>
        <w:sz w:val="18"/>
        <w:szCs w:val="18"/>
        <w:lang w:val="fr-CH"/>
      </w:rPr>
      <w:t xml:space="preserve">• Fax: +41 22 733 7256 •  </w:t>
    </w:r>
    <w:r w:rsidR="001262CD">
      <w:fldChar w:fldCharType="begin"/>
    </w:r>
    <w:r w:rsidR="001262CD" w:rsidRPr="001262CD">
      <w:rPr>
        <w:lang w:val="fr-CH"/>
      </w:rPr>
      <w:instrText xml:space="preserve"> HYPERLINK "http://www.itu.int" </w:instrText>
    </w:r>
    <w:r w:rsidR="001262CD">
      <w:fldChar w:fldCharType="separate"/>
    </w:r>
    <w:r w:rsidRPr="00304636">
      <w:rPr>
        <w:rStyle w:val="Hyperlink"/>
        <w:rFonts w:asciiTheme="minorHAnsi" w:hAnsiTheme="minorHAnsi"/>
        <w:color w:val="4F81BD"/>
        <w:sz w:val="18"/>
        <w:szCs w:val="18"/>
        <w:u w:val="none"/>
        <w:lang w:val="fr-FR"/>
      </w:rPr>
      <w:t>www.itu.int</w:t>
    </w:r>
    <w:r w:rsidR="001262CD">
      <w:rPr>
        <w:rStyle w:val="Hyperlink"/>
        <w:rFonts w:asciiTheme="minorHAnsi" w:hAnsiTheme="minorHAnsi"/>
        <w:color w:val="4F81BD"/>
        <w:sz w:val="18"/>
        <w:szCs w:val="18"/>
        <w:u w:val="none"/>
        <w:lang w:val="fr-FR"/>
      </w:rPr>
      <w:fldChar w:fldCharType="end"/>
    </w:r>
    <w:r w:rsidRPr="00304636">
      <w:rPr>
        <w:color w:val="4F81BD"/>
        <w:sz w:val="18"/>
        <w:szCs w:val="18"/>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6EE010" w14:textId="77777777" w:rsidR="00632801" w:rsidRDefault="00632801">
      <w:r>
        <w:t>____________________</w:t>
      </w:r>
    </w:p>
  </w:footnote>
  <w:footnote w:type="continuationSeparator" w:id="0">
    <w:p w14:paraId="444BCF3D" w14:textId="77777777" w:rsidR="00632801" w:rsidRDefault="00632801">
      <w:r>
        <w:continuationSeparator/>
      </w:r>
    </w:p>
  </w:footnote>
  <w:footnote w:id="1">
    <w:p w14:paraId="651B6F14" w14:textId="34ED7897" w:rsidR="00617A60" w:rsidRPr="00C81179" w:rsidRDefault="00617A60" w:rsidP="00617A60">
      <w:pPr>
        <w:pStyle w:val="FootnoteText"/>
        <w:rPr>
          <w:lang w:val="fr-FR"/>
        </w:rPr>
      </w:pPr>
      <w:r>
        <w:rPr>
          <w:rStyle w:val="FootnoteReference"/>
        </w:rPr>
        <w:footnoteRef/>
      </w:r>
      <w:r>
        <w:rPr>
          <w:lang w:val="fr-FR"/>
        </w:rPr>
        <w:tab/>
      </w:r>
      <w:r w:rsidRPr="004D6A35">
        <w:rPr>
          <w:i/>
          <w:iCs/>
          <w:lang w:val="fr-FR"/>
        </w:rPr>
        <w:t>La présente Lettre circulaire s'adresse essentiellement aux États Membres de l'UIT de la Région 1 (à l'exception de la Mongolie) et à la République islamique d'Iran.</w:t>
      </w:r>
      <w:r w:rsidRPr="00E23501">
        <w:rPr>
          <w:i/>
          <w:iCs/>
          <w:lang w:val="fr-FR"/>
        </w:rPr>
        <w:t xml:space="preserve"> </w:t>
      </w:r>
      <w:r w:rsidRPr="004D6A35">
        <w:rPr>
          <w:i/>
          <w:iCs/>
          <w:lang w:val="fr-FR"/>
        </w:rPr>
        <w:t>Pour les autres États Membres de l'UIT situés en dehors de la zone de planification définie dans l'Accord GE06, elle est soumise</w:t>
      </w:r>
      <w:r>
        <w:rPr>
          <w:i/>
          <w:iCs/>
          <w:lang w:val="fr-FR"/>
        </w:rPr>
        <w:t xml:space="preserve"> à titre d'</w:t>
      </w:r>
      <w:r w:rsidRPr="004D6A35">
        <w:rPr>
          <w:i/>
          <w:iCs/>
          <w:lang w:val="fr-FR"/>
        </w:rPr>
        <w:t>information uniquement.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95B77" w14:textId="77777777" w:rsidR="00E915AF" w:rsidRPr="002569F7" w:rsidRDefault="00E915AF" w:rsidP="003F2F34">
    <w:pPr>
      <w:pStyle w:val="Header"/>
      <w:rPr>
        <w:sz w:val="18"/>
        <w:szCs w:val="16"/>
      </w:rPr>
    </w:pPr>
    <w:r w:rsidRPr="002569F7">
      <w:rPr>
        <w:sz w:val="18"/>
        <w:szCs w:val="16"/>
      </w:rPr>
      <w:tab/>
    </w:r>
    <w:r w:rsidRPr="002569F7">
      <w:rPr>
        <w:sz w:val="18"/>
        <w:szCs w:val="16"/>
      </w:rPr>
      <w:tab/>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3F2F34">
      <w:rPr>
        <w:rStyle w:val="PageNumber"/>
        <w:noProof/>
        <w:sz w:val="18"/>
        <w:szCs w:val="16"/>
      </w:rPr>
      <w:t>2</w:t>
    </w:r>
    <w:r w:rsidR="001B42C9" w:rsidRPr="002569F7">
      <w:rPr>
        <w:rStyle w:val="PageNumber"/>
        <w:sz w:val="18"/>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CD63D0" w14:textId="6C07DB51" w:rsidR="003F2F34" w:rsidRPr="003F2F34" w:rsidRDefault="003F2F34" w:rsidP="003F2F34">
    <w:pPr>
      <w:pStyle w:val="Header"/>
      <w:jc w:val="center"/>
      <w:rPr>
        <w:sz w:val="18"/>
        <w:szCs w:val="16"/>
      </w:rPr>
    </w:pPr>
    <w:r w:rsidRPr="003F2F34">
      <w:rPr>
        <w:sz w:val="18"/>
        <w:szCs w:val="16"/>
      </w:rPr>
      <w:fldChar w:fldCharType="begin"/>
    </w:r>
    <w:r w:rsidRPr="003F2F34">
      <w:rPr>
        <w:sz w:val="18"/>
        <w:szCs w:val="16"/>
      </w:rPr>
      <w:instrText xml:space="preserve"> PAGE </w:instrText>
    </w:r>
    <w:r w:rsidRPr="003F2F34">
      <w:rPr>
        <w:sz w:val="18"/>
        <w:szCs w:val="16"/>
      </w:rPr>
      <w:fldChar w:fldCharType="separate"/>
    </w:r>
    <w:r w:rsidR="00B229F9">
      <w:rPr>
        <w:noProof/>
        <w:sz w:val="18"/>
        <w:szCs w:val="16"/>
      </w:rPr>
      <w:t>2</w:t>
    </w:r>
    <w:r w:rsidRPr="003F2F34">
      <w:rPr>
        <w:sz w:val="18"/>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517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42"/>
      <w:gridCol w:w="5131"/>
    </w:tblGrid>
    <w:tr w:rsidR="004F47EA" w14:paraId="20EE6D7E" w14:textId="77777777" w:rsidTr="00304636">
      <w:tc>
        <w:tcPr>
          <w:tcW w:w="10042" w:type="dxa"/>
          <w:tcMar>
            <w:left w:w="0" w:type="dxa"/>
          </w:tcMar>
        </w:tcPr>
        <w:p w14:paraId="05766B7B" w14:textId="77777777" w:rsidR="004F47EA" w:rsidRDefault="00304636" w:rsidP="00304636">
          <w:pPr>
            <w:pStyle w:val="Header"/>
            <w:tabs>
              <w:tab w:val="clear" w:pos="794"/>
              <w:tab w:val="clear" w:pos="4820"/>
              <w:tab w:val="clear" w:pos="9639"/>
              <w:tab w:val="left" w:pos="3960"/>
              <w:tab w:val="left" w:pos="9750"/>
            </w:tabs>
            <w:spacing w:before="120" w:line="360" w:lineRule="auto"/>
            <w:ind w:right="-342"/>
            <w:jc w:val="center"/>
          </w:pPr>
          <w:r>
            <w:rPr>
              <w:noProof/>
            </w:rPr>
            <w:drawing>
              <wp:inline distT="0" distB="0" distL="0" distR="0" wp14:anchorId="2C7CBC1A" wp14:editId="4848F2DC">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5131" w:type="dxa"/>
        </w:tcPr>
        <w:p w14:paraId="2B0604AF" w14:textId="77777777" w:rsidR="004F47EA" w:rsidRDefault="004F47EA" w:rsidP="00304636">
          <w:pPr>
            <w:pStyle w:val="Header"/>
            <w:spacing w:before="240" w:line="360" w:lineRule="auto"/>
            <w:ind w:left="4065" w:hanging="4065"/>
            <w:jc w:val="right"/>
          </w:pPr>
        </w:p>
      </w:tc>
    </w:tr>
  </w:tbl>
  <w:p w14:paraId="75EB2BEC" w14:textId="77777777" w:rsidR="00E915AF" w:rsidRPr="004F47EA" w:rsidRDefault="00E915AF" w:rsidP="004F47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304636"/>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0E443D"/>
    <w:rsid w:val="00100B72"/>
    <w:rsid w:val="00101F7D"/>
    <w:rsid w:val="00103C76"/>
    <w:rsid w:val="0011265F"/>
    <w:rsid w:val="00117282"/>
    <w:rsid w:val="00117389"/>
    <w:rsid w:val="00121C2D"/>
    <w:rsid w:val="001262CD"/>
    <w:rsid w:val="00134404"/>
    <w:rsid w:val="00140EC9"/>
    <w:rsid w:val="00144DFB"/>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69F7"/>
    <w:rsid w:val="00266E74"/>
    <w:rsid w:val="00283C3B"/>
    <w:rsid w:val="002861E6"/>
    <w:rsid w:val="00287D18"/>
    <w:rsid w:val="002A2618"/>
    <w:rsid w:val="002A5DD7"/>
    <w:rsid w:val="002B0CAC"/>
    <w:rsid w:val="002D5A15"/>
    <w:rsid w:val="002D5BDD"/>
    <w:rsid w:val="002E3D27"/>
    <w:rsid w:val="002F0890"/>
    <w:rsid w:val="002F2531"/>
    <w:rsid w:val="002F4967"/>
    <w:rsid w:val="002F5AA5"/>
    <w:rsid w:val="00304636"/>
    <w:rsid w:val="00316935"/>
    <w:rsid w:val="003266ED"/>
    <w:rsid w:val="00326C68"/>
    <w:rsid w:val="003370B8"/>
    <w:rsid w:val="00345D38"/>
    <w:rsid w:val="003471C9"/>
    <w:rsid w:val="00352097"/>
    <w:rsid w:val="003666FF"/>
    <w:rsid w:val="0037309C"/>
    <w:rsid w:val="00380A6E"/>
    <w:rsid w:val="003836D4"/>
    <w:rsid w:val="00387AE4"/>
    <w:rsid w:val="003A1F49"/>
    <w:rsid w:val="003A55ED"/>
    <w:rsid w:val="003A5D52"/>
    <w:rsid w:val="003B2BDA"/>
    <w:rsid w:val="003B55EC"/>
    <w:rsid w:val="003C2EA7"/>
    <w:rsid w:val="003C4471"/>
    <w:rsid w:val="003C7D41"/>
    <w:rsid w:val="003D2A04"/>
    <w:rsid w:val="003D4418"/>
    <w:rsid w:val="003D4A69"/>
    <w:rsid w:val="003E504F"/>
    <w:rsid w:val="003E78D6"/>
    <w:rsid w:val="003F2F34"/>
    <w:rsid w:val="00400573"/>
    <w:rsid w:val="004007A3"/>
    <w:rsid w:val="00406D71"/>
    <w:rsid w:val="00411CB3"/>
    <w:rsid w:val="004228FA"/>
    <w:rsid w:val="004308CB"/>
    <w:rsid w:val="004326DB"/>
    <w:rsid w:val="0043682E"/>
    <w:rsid w:val="004463BD"/>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98"/>
    <w:rsid w:val="004E43BB"/>
    <w:rsid w:val="004E460D"/>
    <w:rsid w:val="004F178E"/>
    <w:rsid w:val="004F4543"/>
    <w:rsid w:val="004F47EA"/>
    <w:rsid w:val="004F57BB"/>
    <w:rsid w:val="00505309"/>
    <w:rsid w:val="0050789B"/>
    <w:rsid w:val="005224A1"/>
    <w:rsid w:val="00534372"/>
    <w:rsid w:val="00543DF8"/>
    <w:rsid w:val="00546101"/>
    <w:rsid w:val="005531B1"/>
    <w:rsid w:val="00553DD7"/>
    <w:rsid w:val="005638CF"/>
    <w:rsid w:val="0056741E"/>
    <w:rsid w:val="0057325A"/>
    <w:rsid w:val="0057469A"/>
    <w:rsid w:val="00580814"/>
    <w:rsid w:val="00583A0B"/>
    <w:rsid w:val="005A03A3"/>
    <w:rsid w:val="005A2B92"/>
    <w:rsid w:val="005A3F66"/>
    <w:rsid w:val="005A79E9"/>
    <w:rsid w:val="005B214C"/>
    <w:rsid w:val="005B3AD3"/>
    <w:rsid w:val="005B4CDA"/>
    <w:rsid w:val="005B62F0"/>
    <w:rsid w:val="005D3669"/>
    <w:rsid w:val="005E42F8"/>
    <w:rsid w:val="005E5EB3"/>
    <w:rsid w:val="005F3CB6"/>
    <w:rsid w:val="005F657C"/>
    <w:rsid w:val="00602D53"/>
    <w:rsid w:val="006047E5"/>
    <w:rsid w:val="00617A60"/>
    <w:rsid w:val="00632801"/>
    <w:rsid w:val="00642050"/>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50CFA"/>
    <w:rsid w:val="007553DA"/>
    <w:rsid w:val="00773F7E"/>
    <w:rsid w:val="00775DB8"/>
    <w:rsid w:val="00782354"/>
    <w:rsid w:val="007921A7"/>
    <w:rsid w:val="007B3DB1"/>
    <w:rsid w:val="007C2E1E"/>
    <w:rsid w:val="007D183E"/>
    <w:rsid w:val="007D43D0"/>
    <w:rsid w:val="007E1833"/>
    <w:rsid w:val="007E3F13"/>
    <w:rsid w:val="007F751A"/>
    <w:rsid w:val="00800012"/>
    <w:rsid w:val="0080261F"/>
    <w:rsid w:val="00806160"/>
    <w:rsid w:val="008143A4"/>
    <w:rsid w:val="0081513E"/>
    <w:rsid w:val="00854131"/>
    <w:rsid w:val="00856509"/>
    <w:rsid w:val="0085652D"/>
    <w:rsid w:val="0087694B"/>
    <w:rsid w:val="00880F4D"/>
    <w:rsid w:val="0088443B"/>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5297D"/>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9F5CC2"/>
    <w:rsid w:val="00A119E6"/>
    <w:rsid w:val="00A20FBC"/>
    <w:rsid w:val="00A231BC"/>
    <w:rsid w:val="00A31370"/>
    <w:rsid w:val="00A34D6F"/>
    <w:rsid w:val="00A41F91"/>
    <w:rsid w:val="00A63355"/>
    <w:rsid w:val="00A7596D"/>
    <w:rsid w:val="00A963DF"/>
    <w:rsid w:val="00AA211B"/>
    <w:rsid w:val="00AA781A"/>
    <w:rsid w:val="00AB1EC3"/>
    <w:rsid w:val="00AC0C22"/>
    <w:rsid w:val="00AC3896"/>
    <w:rsid w:val="00AD2CF2"/>
    <w:rsid w:val="00AE2D88"/>
    <w:rsid w:val="00AE6F6F"/>
    <w:rsid w:val="00AF3325"/>
    <w:rsid w:val="00AF34D9"/>
    <w:rsid w:val="00AF70DA"/>
    <w:rsid w:val="00B019D3"/>
    <w:rsid w:val="00B229F9"/>
    <w:rsid w:val="00B34CF9"/>
    <w:rsid w:val="00B3698A"/>
    <w:rsid w:val="00B37559"/>
    <w:rsid w:val="00B4054B"/>
    <w:rsid w:val="00B579B0"/>
    <w:rsid w:val="00B57D11"/>
    <w:rsid w:val="00B649D7"/>
    <w:rsid w:val="00B81C2F"/>
    <w:rsid w:val="00B85B7C"/>
    <w:rsid w:val="00B90743"/>
    <w:rsid w:val="00B90C45"/>
    <w:rsid w:val="00B933BE"/>
    <w:rsid w:val="00BC77EC"/>
    <w:rsid w:val="00BD6738"/>
    <w:rsid w:val="00BD7E5E"/>
    <w:rsid w:val="00BE63DB"/>
    <w:rsid w:val="00BE6574"/>
    <w:rsid w:val="00C07319"/>
    <w:rsid w:val="00C16FD2"/>
    <w:rsid w:val="00C236AF"/>
    <w:rsid w:val="00C3556B"/>
    <w:rsid w:val="00C41F5A"/>
    <w:rsid w:val="00C4395E"/>
    <w:rsid w:val="00C47FFD"/>
    <w:rsid w:val="00C51E92"/>
    <w:rsid w:val="00C57E2C"/>
    <w:rsid w:val="00C608B7"/>
    <w:rsid w:val="00C66F24"/>
    <w:rsid w:val="00C76D7F"/>
    <w:rsid w:val="00C80E64"/>
    <w:rsid w:val="00C813AA"/>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186A"/>
    <w:rsid w:val="00D47672"/>
    <w:rsid w:val="00D5123C"/>
    <w:rsid w:val="00D55560"/>
    <w:rsid w:val="00D61C5A"/>
    <w:rsid w:val="00D62111"/>
    <w:rsid w:val="00D6287C"/>
    <w:rsid w:val="00D6790C"/>
    <w:rsid w:val="00D73277"/>
    <w:rsid w:val="00D76586"/>
    <w:rsid w:val="00D82657"/>
    <w:rsid w:val="00D87E20"/>
    <w:rsid w:val="00DA4037"/>
    <w:rsid w:val="00DE66A5"/>
    <w:rsid w:val="00DF2B50"/>
    <w:rsid w:val="00E01059"/>
    <w:rsid w:val="00E04C86"/>
    <w:rsid w:val="00E13B5C"/>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A2C83"/>
    <w:rsid w:val="00EB2358"/>
    <w:rsid w:val="00EB3EB8"/>
    <w:rsid w:val="00EC00EF"/>
    <w:rsid w:val="00EC02FE"/>
    <w:rsid w:val="00EC4A96"/>
    <w:rsid w:val="00EE03A0"/>
    <w:rsid w:val="00EE1A57"/>
    <w:rsid w:val="00F424BF"/>
    <w:rsid w:val="00F44FC3"/>
    <w:rsid w:val="00F46107"/>
    <w:rsid w:val="00F468C5"/>
    <w:rsid w:val="00F52F39"/>
    <w:rsid w:val="00F6184F"/>
    <w:rsid w:val="00F73DBD"/>
    <w:rsid w:val="00F8310E"/>
    <w:rsid w:val="00F914DD"/>
    <w:rsid w:val="00FA2358"/>
    <w:rsid w:val="00FB2592"/>
    <w:rsid w:val="00FB2810"/>
    <w:rsid w:val="00FB7A2C"/>
    <w:rsid w:val="00FC2947"/>
    <w:rsid w:val="00FD398D"/>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F4F75D5"/>
  <w15:docId w15:val="{F99C1041-B9CA-419B-A44C-70D5D0440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2F8"/>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3F2F34"/>
    <w:rPr>
      <w:sz w:val="24"/>
      <w:szCs w:val="22"/>
      <w:lang w:val="en-US" w:eastAsia="en-US"/>
    </w:rPr>
  </w:style>
  <w:style w:type="paragraph" w:customStyle="1" w:styleId="Footno">
    <w:name w:val="Footno"/>
    <w:basedOn w:val="Normal"/>
    <w:rsid w:val="00617A60"/>
    <w:pPr>
      <w:spacing w:before="0"/>
      <w:jc w:val="left"/>
    </w:pPr>
    <w:rPr>
      <w:b/>
      <w:bCs/>
      <w:szCs w:val="24"/>
      <w:lang w:val="fr-FR"/>
    </w:rPr>
  </w:style>
  <w:style w:type="paragraph" w:customStyle="1" w:styleId="Footnoteref">
    <w:name w:val="Footnote ref"/>
    <w:basedOn w:val="Footno"/>
    <w:rsid w:val="00617A60"/>
  </w:style>
  <w:style w:type="character" w:styleId="FollowedHyperlink">
    <w:name w:val="FollowedHyperlink"/>
    <w:basedOn w:val="DefaultParagraphFont"/>
    <w:semiHidden/>
    <w:unhideWhenUsed/>
    <w:rsid w:val="004463B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8E03C-6947-4052-9CF8-C3931604A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546</Words>
  <Characters>3107</Characters>
  <Application>Microsoft Office Word</Application>
  <DocSecurity>0</DocSecurity>
  <Lines>25</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3646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Chanavat, Emilie</dc:creator>
  <cp:lastModifiedBy>Demoulin, Na</cp:lastModifiedBy>
  <cp:revision>3</cp:revision>
  <cp:lastPrinted>2013-03-08T10:15:00Z</cp:lastPrinted>
  <dcterms:created xsi:type="dcterms:W3CDTF">2020-08-06T06:43:00Z</dcterms:created>
  <dcterms:modified xsi:type="dcterms:W3CDTF">2020-08-06T07:49:00Z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