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778" w:type="dxa"/>
        <w:tblLayout w:type="fixed"/>
        <w:tblLook w:val="04A0" w:firstRow="1" w:lastRow="0" w:firstColumn="1" w:lastColumn="0" w:noHBand="0" w:noVBand="1"/>
      </w:tblPr>
      <w:tblGrid>
        <w:gridCol w:w="9889"/>
        <w:gridCol w:w="9889"/>
      </w:tblGrid>
      <w:tr w:rsidR="006E35E9" w:rsidRPr="007B3DB1" w14:paraId="6AB1E97A" w14:textId="77777777" w:rsidTr="006E35E9">
        <w:tc>
          <w:tcPr>
            <w:tcW w:w="9889" w:type="dxa"/>
          </w:tcPr>
          <w:p w14:paraId="1E95AC56" w14:textId="25866B0B" w:rsidR="006E35E9" w:rsidRPr="00AF70DA" w:rsidRDefault="006E35E9" w:rsidP="006E35E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 Bureau (BR)</w:t>
            </w:r>
          </w:p>
        </w:tc>
        <w:tc>
          <w:tcPr>
            <w:tcW w:w="9889" w:type="dxa"/>
            <w:shd w:val="clear" w:color="auto" w:fill="auto"/>
          </w:tcPr>
          <w:p w14:paraId="71412193" w14:textId="760E5311" w:rsidR="006E35E9" w:rsidRPr="00AF70DA" w:rsidRDefault="006E35E9" w:rsidP="006E35E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E35E9" w:rsidRPr="007B3DB1" w14:paraId="1016BD07" w14:textId="77777777" w:rsidTr="006E35E9">
        <w:tc>
          <w:tcPr>
            <w:tcW w:w="9889" w:type="dxa"/>
          </w:tcPr>
          <w:p w14:paraId="1B53FF2F" w14:textId="77777777" w:rsidR="006E35E9" w:rsidRPr="007B3DB1" w:rsidRDefault="006E35E9" w:rsidP="006E35E9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9889" w:type="dxa"/>
            <w:shd w:val="clear" w:color="auto" w:fill="auto"/>
          </w:tcPr>
          <w:p w14:paraId="4656EEDF" w14:textId="6F012E24" w:rsidR="006E35E9" w:rsidRPr="007B3DB1" w:rsidRDefault="006E35E9" w:rsidP="006E35E9">
            <w:pPr>
              <w:spacing w:before="0"/>
              <w:jc w:val="left"/>
              <w:rPr>
                <w:lang w:val="en-GB"/>
              </w:rPr>
            </w:pPr>
          </w:p>
        </w:tc>
      </w:tr>
    </w:tbl>
    <w:p w14:paraId="7BC582B3" w14:textId="77777777" w:rsidR="001870C7" w:rsidRPr="00F032C4" w:rsidRDefault="001870C7" w:rsidP="00031E64">
      <w:pPr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91"/>
        <w:gridCol w:w="3611"/>
      </w:tblGrid>
      <w:tr w:rsidR="00A009F7" w:rsidRPr="007B3DB1" w14:paraId="49F2222A" w14:textId="77777777" w:rsidTr="00821CAA">
        <w:tc>
          <w:tcPr>
            <w:tcW w:w="6028" w:type="dxa"/>
            <w:gridSpan w:val="3"/>
            <w:shd w:val="clear" w:color="auto" w:fill="auto"/>
          </w:tcPr>
          <w:p w14:paraId="74E35BFB" w14:textId="77777777" w:rsidR="0094697A" w:rsidRPr="00821CAA" w:rsidRDefault="0094697A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>Circular Letter</w:t>
            </w:r>
          </w:p>
          <w:p w14:paraId="4C82BEE3" w14:textId="39BD8424" w:rsidR="00A009F7" w:rsidRPr="00821CAA" w:rsidRDefault="0094697A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b/>
                <w:bCs/>
                <w:sz w:val="24"/>
                <w:szCs w:val="24"/>
              </w:rPr>
              <w:t>CR/</w:t>
            </w:r>
            <w:r w:rsidR="00C34B1D" w:rsidRPr="00821CAA">
              <w:rPr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3611" w:type="dxa"/>
            <w:shd w:val="clear" w:color="auto" w:fill="auto"/>
          </w:tcPr>
          <w:p w14:paraId="4EE1DD43" w14:textId="1BF2316E" w:rsidR="00A009F7" w:rsidRPr="00821CAA" w:rsidRDefault="00A009F7" w:rsidP="00474795">
            <w:pPr>
              <w:spacing w:before="0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Geneva, </w:t>
            </w:r>
            <w:r w:rsidR="008C116E">
              <w:rPr>
                <w:sz w:val="24"/>
                <w:szCs w:val="24"/>
                <w:lang w:val="en-GB"/>
              </w:rPr>
              <w:t>6</w:t>
            </w:r>
            <w:r w:rsidR="00C246BA">
              <w:rPr>
                <w:sz w:val="24"/>
                <w:szCs w:val="24"/>
                <w:lang w:val="en-GB"/>
              </w:rPr>
              <w:t xml:space="preserve"> August</w:t>
            </w:r>
            <w:r w:rsidR="00474795" w:rsidRPr="00821CAA">
              <w:rPr>
                <w:sz w:val="24"/>
                <w:szCs w:val="24"/>
                <w:lang w:val="en-GB"/>
              </w:rPr>
              <w:t xml:space="preserve"> </w:t>
            </w:r>
            <w:r w:rsidR="00D92FE3" w:rsidRPr="00821CAA">
              <w:rPr>
                <w:sz w:val="24"/>
                <w:szCs w:val="24"/>
                <w:lang w:val="en-GB"/>
              </w:rPr>
              <w:t>2020</w:t>
            </w:r>
          </w:p>
        </w:tc>
      </w:tr>
      <w:tr w:rsidR="00A009F7" w:rsidRPr="005D484F" w14:paraId="0B73C4CC" w14:textId="77777777" w:rsidTr="00821CAA">
        <w:tc>
          <w:tcPr>
            <w:tcW w:w="1526" w:type="dxa"/>
            <w:shd w:val="clear" w:color="auto" w:fill="auto"/>
          </w:tcPr>
          <w:p w14:paraId="69158264" w14:textId="1D4179CA" w:rsidR="00A009F7" w:rsidRPr="00821CAA" w:rsidRDefault="00A009F7" w:rsidP="00911D9E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fr-CH"/>
              </w:rPr>
              <w:tab/>
              <w:t xml:space="preserve">               </w:t>
            </w:r>
          </w:p>
        </w:tc>
        <w:tc>
          <w:tcPr>
            <w:tcW w:w="4111" w:type="dxa"/>
            <w:shd w:val="clear" w:color="auto" w:fill="auto"/>
          </w:tcPr>
          <w:p w14:paraId="79382E0F" w14:textId="5021AA7F" w:rsidR="00A009F7" w:rsidRPr="00821CAA" w:rsidRDefault="00A009F7" w:rsidP="00F142B4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391" w:type="dxa"/>
            <w:shd w:val="clear" w:color="auto" w:fill="auto"/>
          </w:tcPr>
          <w:p w14:paraId="7B4BFFB0" w14:textId="77777777" w:rsidR="00A009F7" w:rsidRPr="00821CAA" w:rsidRDefault="00A009F7" w:rsidP="00911D9E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3611" w:type="dxa"/>
            <w:shd w:val="clear" w:color="auto" w:fill="auto"/>
          </w:tcPr>
          <w:p w14:paraId="2D9D0816" w14:textId="77777777" w:rsidR="00A009F7" w:rsidRPr="00821CAA" w:rsidRDefault="00A009F7" w:rsidP="00911D9E">
            <w:pPr>
              <w:spacing w:before="0"/>
              <w:jc w:val="left"/>
              <w:rPr>
                <w:rFonts w:cs="Arial"/>
                <w:sz w:val="24"/>
                <w:szCs w:val="24"/>
                <w:lang w:val="es-ES"/>
              </w:rPr>
            </w:pPr>
          </w:p>
          <w:p w14:paraId="7C4C0549" w14:textId="77777777" w:rsidR="00A009F7" w:rsidRPr="00821CAA" w:rsidRDefault="00A009F7" w:rsidP="00911D9E">
            <w:pPr>
              <w:spacing w:before="0"/>
              <w:jc w:val="left"/>
              <w:rPr>
                <w:rFonts w:cs="Arial"/>
                <w:sz w:val="24"/>
                <w:szCs w:val="24"/>
                <w:lang w:val="es-ES"/>
              </w:rPr>
            </w:pPr>
            <w:r w:rsidRPr="00821CAA">
              <w:rPr>
                <w:sz w:val="24"/>
                <w:szCs w:val="24"/>
                <w:lang w:val="es-ES"/>
              </w:rPr>
              <w:tab/>
            </w:r>
            <w:r w:rsidRPr="00821CAA">
              <w:rPr>
                <w:sz w:val="24"/>
                <w:szCs w:val="24"/>
                <w:lang w:val="es-ES"/>
              </w:rPr>
              <w:tab/>
            </w:r>
          </w:p>
        </w:tc>
      </w:tr>
      <w:tr w:rsidR="0094697A" w:rsidRPr="00372625" w14:paraId="054A054D" w14:textId="77777777" w:rsidTr="00821CAA">
        <w:tc>
          <w:tcPr>
            <w:tcW w:w="5637" w:type="dxa"/>
            <w:gridSpan w:val="2"/>
            <w:shd w:val="clear" w:color="auto" w:fill="auto"/>
          </w:tcPr>
          <w:p w14:paraId="7C124F6B" w14:textId="5F07A36B" w:rsidR="0094697A" w:rsidRPr="00821CAA" w:rsidRDefault="0094697A" w:rsidP="0094697A">
            <w:pPr>
              <w:spacing w:before="0"/>
              <w:rPr>
                <w:b/>
                <w:bCs/>
                <w:sz w:val="24"/>
                <w:szCs w:val="24"/>
              </w:rPr>
            </w:pPr>
            <w:r w:rsidRPr="00821CAA">
              <w:rPr>
                <w:b/>
                <w:bCs/>
                <w:sz w:val="24"/>
                <w:szCs w:val="24"/>
                <w:lang w:val="en-GB"/>
              </w:rPr>
              <w:t>To Administrations Party to the GE06 Agreement</w:t>
            </w:r>
            <w:r w:rsidR="000C715E" w:rsidRPr="00821CAA">
              <w:rPr>
                <w:rStyle w:val="FootnoteReference"/>
                <w:b/>
                <w:bCs/>
                <w:sz w:val="24"/>
                <w:szCs w:val="24"/>
                <w:lang w:val="en-GB"/>
              </w:rPr>
              <w:footnoteReference w:id="1"/>
            </w:r>
          </w:p>
          <w:p w14:paraId="190B31A6" w14:textId="16B54766" w:rsidR="0094697A" w:rsidRPr="00821CAA" w:rsidRDefault="0094697A" w:rsidP="00F142B4">
            <w:pPr>
              <w:spacing w:before="0"/>
              <w:ind w:left="-817" w:firstLine="817"/>
              <w:jc w:val="left"/>
              <w:rPr>
                <w:sz w:val="24"/>
                <w:szCs w:val="24"/>
                <w:lang w:val="en-GB"/>
              </w:rPr>
            </w:pPr>
            <w:bookmarkStart w:id="0" w:name="Contact"/>
            <w:bookmarkEnd w:id="0"/>
          </w:p>
        </w:tc>
        <w:tc>
          <w:tcPr>
            <w:tcW w:w="391" w:type="dxa"/>
            <w:shd w:val="clear" w:color="auto" w:fill="auto"/>
          </w:tcPr>
          <w:p w14:paraId="5D7C64AD" w14:textId="77777777" w:rsidR="0094697A" w:rsidRPr="00821CAA" w:rsidRDefault="0094697A" w:rsidP="00D92FE3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vMerge w:val="restart"/>
            <w:shd w:val="clear" w:color="auto" w:fill="auto"/>
          </w:tcPr>
          <w:p w14:paraId="030474E5" w14:textId="3F024685" w:rsidR="0094697A" w:rsidRPr="00821CAA" w:rsidRDefault="0094697A" w:rsidP="00D92FE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  <w:p w14:paraId="54944864" w14:textId="77777777" w:rsidR="0094697A" w:rsidRPr="00821CAA" w:rsidRDefault="0094697A" w:rsidP="00D92FE3">
            <w:pPr>
              <w:spacing w:before="0"/>
              <w:rPr>
                <w:sz w:val="24"/>
                <w:szCs w:val="24"/>
                <w:lang w:val="en-GB"/>
              </w:rPr>
            </w:pPr>
          </w:p>
          <w:p w14:paraId="137B892B" w14:textId="0B1A9105" w:rsidR="0094697A" w:rsidRPr="00821CAA" w:rsidRDefault="0094697A" w:rsidP="00D92FE3">
            <w:pPr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92FE3" w:rsidRPr="00031E64" w14:paraId="29B2E957" w14:textId="77777777" w:rsidTr="00821CAA">
        <w:trPr>
          <w:trHeight w:val="144"/>
        </w:trPr>
        <w:tc>
          <w:tcPr>
            <w:tcW w:w="1526" w:type="dxa"/>
            <w:shd w:val="clear" w:color="auto" w:fill="auto"/>
          </w:tcPr>
          <w:p w14:paraId="03BA03D0" w14:textId="06E1B020" w:rsidR="00D92FE3" w:rsidRPr="00821CAA" w:rsidRDefault="00D92FE3" w:rsidP="00D92FE3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F5D1" w14:textId="4E0A9422" w:rsidR="00D92FE3" w:rsidRPr="00821CAA" w:rsidRDefault="00D92FE3" w:rsidP="00F142B4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14:paraId="7B530FB0" w14:textId="77777777" w:rsidR="00D92FE3" w:rsidRPr="00821CAA" w:rsidRDefault="00D92FE3" w:rsidP="00D92FE3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11" w:type="dxa"/>
            <w:vMerge/>
            <w:shd w:val="clear" w:color="auto" w:fill="auto"/>
          </w:tcPr>
          <w:p w14:paraId="3C8DDF0E" w14:textId="77777777" w:rsidR="00D92FE3" w:rsidRPr="00821CAA" w:rsidRDefault="00D92FE3" w:rsidP="00D92FE3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640EC" w:rsidRPr="00E30792" w14:paraId="4FB22AB8" w14:textId="77777777" w:rsidTr="00821CAA">
        <w:trPr>
          <w:trHeight w:val="490"/>
        </w:trPr>
        <w:tc>
          <w:tcPr>
            <w:tcW w:w="1526" w:type="dxa"/>
            <w:shd w:val="clear" w:color="auto" w:fill="auto"/>
          </w:tcPr>
          <w:p w14:paraId="7D66951A" w14:textId="11CE8931" w:rsidR="004640EC" w:rsidRPr="00821CAA" w:rsidRDefault="004640EC" w:rsidP="00820118">
            <w:pPr>
              <w:spacing w:before="0" w:line="240" w:lineRule="exact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821CAA">
              <w:rPr>
                <w:rFonts w:asciiTheme="minorHAnsi" w:hAnsiTheme="minorHAnsi"/>
                <w:sz w:val="24"/>
                <w:szCs w:val="24"/>
                <w:lang w:val="en-GB"/>
              </w:rPr>
              <w:t>Subject:</w:t>
            </w:r>
          </w:p>
          <w:p w14:paraId="6372F27D" w14:textId="77777777" w:rsidR="004640EC" w:rsidRPr="00821CAA" w:rsidRDefault="004640EC" w:rsidP="00820118">
            <w:pPr>
              <w:spacing w:before="0" w:line="240" w:lineRule="exact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B2EB69B" w14:textId="77777777" w:rsidR="00C57473" w:rsidRDefault="00C57473" w:rsidP="00820118">
            <w:pPr>
              <w:spacing w:before="0" w:line="240" w:lineRule="exact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AEFCE5D" w14:textId="77777777" w:rsidR="004640EC" w:rsidRPr="00821CAA" w:rsidRDefault="004640EC" w:rsidP="00821CAA">
            <w:pPr>
              <w:spacing w:before="0" w:line="240" w:lineRule="exact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113" w:type="dxa"/>
            <w:gridSpan w:val="3"/>
            <w:shd w:val="clear" w:color="auto" w:fill="auto"/>
          </w:tcPr>
          <w:p w14:paraId="0C5C6598" w14:textId="58752D2E" w:rsidR="004640EC" w:rsidRPr="00821CAA" w:rsidRDefault="0094697A" w:rsidP="00821CAA">
            <w:pPr>
              <w:spacing w:before="0" w:line="240" w:lineRule="exact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</w:pPr>
            <w:bookmarkStart w:id="1" w:name="Subject"/>
            <w:bookmarkEnd w:id="1"/>
            <w:r w:rsidRPr="00821C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GE06 Regional Agreement – </w:t>
            </w:r>
            <w:r w:rsidR="00821C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e</w:t>
            </w:r>
            <w:r w:rsidRPr="00821C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nd of the Transition Period</w:t>
            </w:r>
          </w:p>
        </w:tc>
      </w:tr>
      <w:tr w:rsidR="004640EC" w:rsidRPr="00E30792" w14:paraId="6D35E50D" w14:textId="77777777" w:rsidTr="00821CAA">
        <w:trPr>
          <w:trHeight w:val="710"/>
        </w:trPr>
        <w:tc>
          <w:tcPr>
            <w:tcW w:w="9639" w:type="dxa"/>
            <w:gridSpan w:val="4"/>
            <w:shd w:val="clear" w:color="auto" w:fill="auto"/>
          </w:tcPr>
          <w:p w14:paraId="662361A0" w14:textId="3C759D42" w:rsidR="00B42F4C" w:rsidRPr="00821CAA" w:rsidRDefault="00D7169B" w:rsidP="00497E0A">
            <w:pPr>
              <w:spacing w:before="120" w:after="120"/>
              <w:jc w:val="lowKashida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>By</w:t>
            </w:r>
            <w:r w:rsidR="00C34B1D" w:rsidRPr="00821CAA">
              <w:rPr>
                <w:sz w:val="24"/>
                <w:szCs w:val="24"/>
                <w:lang w:val="en-GB"/>
              </w:rPr>
              <w:t xml:space="preserve"> </w:t>
            </w:r>
            <w:r w:rsidR="00A80F70" w:rsidRPr="00821CAA">
              <w:rPr>
                <w:sz w:val="24"/>
                <w:szCs w:val="24"/>
                <w:lang w:val="en-GB"/>
              </w:rPr>
              <w:t>Administrative</w:t>
            </w:r>
            <w:r w:rsidRPr="00821CAA">
              <w:rPr>
                <w:sz w:val="24"/>
                <w:szCs w:val="24"/>
                <w:lang w:val="en-GB"/>
              </w:rPr>
              <w:t xml:space="preserve"> </w:t>
            </w:r>
            <w:r w:rsidR="00A80F70" w:rsidRPr="00821CAA">
              <w:rPr>
                <w:sz w:val="24"/>
                <w:szCs w:val="24"/>
                <w:lang w:val="en-GB"/>
              </w:rPr>
              <w:t>Circular</w:t>
            </w:r>
            <w:r w:rsidRPr="00821CAA">
              <w:rPr>
                <w:sz w:val="24"/>
                <w:szCs w:val="24"/>
                <w:lang w:val="en-GB"/>
              </w:rPr>
              <w:t xml:space="preserve"> </w:t>
            </w:r>
            <w:r w:rsidRPr="00821CAA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CR/375 of 19 December 2014</w:t>
            </w:r>
            <w:r w:rsidR="00C34B1D" w:rsidRPr="00821CAA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t>,</w:t>
            </w:r>
            <w:r w:rsidRPr="00821CA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Pr="00821CAA">
              <w:rPr>
                <w:sz w:val="24"/>
                <w:szCs w:val="24"/>
                <w:lang w:val="en-GB"/>
              </w:rPr>
              <w:t>t</w:t>
            </w:r>
            <w:r w:rsidR="00DE18BE" w:rsidRPr="00821CAA">
              <w:rPr>
                <w:sz w:val="24"/>
                <w:szCs w:val="24"/>
                <w:lang w:val="en-GB"/>
              </w:rPr>
              <w:t xml:space="preserve">he Radiocommunication Bureau (BR) </w:t>
            </w:r>
            <w:r w:rsidRPr="00821CAA">
              <w:rPr>
                <w:sz w:val="24"/>
                <w:szCs w:val="24"/>
                <w:lang w:val="en-GB"/>
              </w:rPr>
              <w:t xml:space="preserve">informed </w:t>
            </w:r>
            <w:r w:rsidR="005C289B" w:rsidRPr="00821CAA">
              <w:rPr>
                <w:sz w:val="24"/>
                <w:szCs w:val="24"/>
                <w:lang w:val="en-GB"/>
              </w:rPr>
              <w:t xml:space="preserve"> administrations about the end</w:t>
            </w:r>
            <w:r w:rsidR="00821CAA">
              <w:rPr>
                <w:sz w:val="24"/>
                <w:szCs w:val="24"/>
                <w:lang w:val="en-GB"/>
              </w:rPr>
              <w:t xml:space="preserve">, </w:t>
            </w:r>
            <w:r w:rsidR="00821CAA" w:rsidRPr="00E2672D">
              <w:rPr>
                <w:sz w:val="24"/>
                <w:szCs w:val="24"/>
              </w:rPr>
              <w:t>on 17 June 2015</w:t>
            </w:r>
            <w:r w:rsidR="00821CAA">
              <w:rPr>
                <w:sz w:val="24"/>
                <w:szCs w:val="24"/>
              </w:rPr>
              <w:t>,</w:t>
            </w:r>
            <w:r w:rsidR="00A80F70" w:rsidRPr="00821CAA">
              <w:rPr>
                <w:sz w:val="24"/>
                <w:szCs w:val="24"/>
              </w:rPr>
              <w:t xml:space="preserve"> </w:t>
            </w:r>
            <w:r w:rsidR="005C289B" w:rsidRPr="00821CAA">
              <w:rPr>
                <w:sz w:val="24"/>
                <w:szCs w:val="24"/>
                <w:lang w:val="en-GB"/>
              </w:rPr>
              <w:t xml:space="preserve">of the first phase of the </w:t>
            </w:r>
            <w:r w:rsidR="005C289B" w:rsidRPr="00821CAA">
              <w:rPr>
                <w:i/>
                <w:iCs/>
                <w:sz w:val="24"/>
                <w:szCs w:val="24"/>
                <w:lang w:val="en-GB"/>
              </w:rPr>
              <w:t>Transition period</w:t>
            </w:r>
            <w:r w:rsidR="005C289B" w:rsidRPr="00821CAA">
              <w:rPr>
                <w:sz w:val="24"/>
                <w:szCs w:val="24"/>
                <w:lang w:val="en-GB"/>
              </w:rPr>
              <w:t xml:space="preserve"> to digital television</w:t>
            </w:r>
            <w:r w:rsidR="00993FCF" w:rsidRPr="00821CAA">
              <w:rPr>
                <w:sz w:val="24"/>
                <w:szCs w:val="24"/>
                <w:lang w:val="en-GB"/>
              </w:rPr>
              <w:t xml:space="preserve"> </w:t>
            </w:r>
            <w:r w:rsidR="005C289B" w:rsidRPr="00821CAA">
              <w:rPr>
                <w:sz w:val="24"/>
                <w:szCs w:val="24"/>
                <w:lang w:val="en-GB"/>
              </w:rPr>
              <w:t xml:space="preserve">for all </w:t>
            </w:r>
            <w:r w:rsidR="001D453C" w:rsidRPr="00821CAA">
              <w:rPr>
                <w:sz w:val="24"/>
                <w:szCs w:val="24"/>
                <w:lang w:val="en-GB"/>
              </w:rPr>
              <w:t>administrations</w:t>
            </w:r>
            <w:r w:rsidR="005C289B" w:rsidRPr="00821CAA">
              <w:rPr>
                <w:sz w:val="24"/>
                <w:szCs w:val="24"/>
                <w:lang w:val="en-GB"/>
              </w:rPr>
              <w:t>-parties to the Regional Agreement</w:t>
            </w:r>
            <w:r w:rsidR="000C715E" w:rsidRPr="00821CAA">
              <w:rPr>
                <w:sz w:val="24"/>
                <w:szCs w:val="24"/>
                <w:lang w:val="en-GB"/>
              </w:rPr>
              <w:t>,</w:t>
            </w:r>
            <w:r w:rsidR="005C289B" w:rsidRPr="00821CAA">
              <w:rPr>
                <w:sz w:val="24"/>
                <w:szCs w:val="24"/>
                <w:lang w:val="en-GB"/>
              </w:rPr>
              <w:t xml:space="preserve"> Geneva, 2006 (GE06), excep</w:t>
            </w:r>
            <w:r w:rsidR="00B42F4C" w:rsidRPr="00821CAA">
              <w:rPr>
                <w:sz w:val="24"/>
                <w:szCs w:val="24"/>
                <w:lang w:val="en-GB"/>
              </w:rPr>
              <w:t>t</w:t>
            </w:r>
            <w:r w:rsidR="00A80F70" w:rsidRPr="00821CAA">
              <w:rPr>
                <w:sz w:val="24"/>
                <w:szCs w:val="24"/>
                <w:lang w:val="en-GB"/>
              </w:rPr>
              <w:t xml:space="preserve"> </w:t>
            </w:r>
            <w:r w:rsidR="005C289B" w:rsidRPr="00821CAA">
              <w:rPr>
                <w:sz w:val="24"/>
                <w:szCs w:val="24"/>
                <w:lang w:val="en-GB"/>
              </w:rPr>
              <w:t xml:space="preserve">the countries 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listed in </w:t>
            </w:r>
            <w:r w:rsidR="00A80F70" w:rsidRPr="00821CAA">
              <w:rPr>
                <w:sz w:val="24"/>
                <w:szCs w:val="24"/>
                <w:lang w:val="en-GB"/>
              </w:rPr>
              <w:t>§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 12.6 of </w:t>
            </w:r>
            <w:r w:rsidR="00A80F70" w:rsidRPr="00821CAA">
              <w:rPr>
                <w:sz w:val="24"/>
                <w:szCs w:val="24"/>
                <w:lang w:val="en-GB"/>
              </w:rPr>
              <w:t xml:space="preserve">the </w:t>
            </w:r>
            <w:r w:rsidR="00B42F4C" w:rsidRPr="00821CAA">
              <w:rPr>
                <w:sz w:val="24"/>
                <w:szCs w:val="24"/>
                <w:lang w:val="en-GB"/>
              </w:rPr>
              <w:t>GE06</w:t>
            </w:r>
            <w:r w:rsidR="00A80F70" w:rsidRPr="00821CAA">
              <w:rPr>
                <w:sz w:val="24"/>
                <w:szCs w:val="24"/>
                <w:lang w:val="en-GB"/>
              </w:rPr>
              <w:t xml:space="preserve"> Agreement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, </w:t>
            </w:r>
            <w:r w:rsidR="00993FCF" w:rsidRPr="00821CAA">
              <w:rPr>
                <w:sz w:val="24"/>
                <w:szCs w:val="24"/>
                <w:lang w:val="en-GB"/>
              </w:rPr>
              <w:t>for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 the band 174 - 230 </w:t>
            </w:r>
            <w:proofErr w:type="spellStart"/>
            <w:r w:rsidR="00B42F4C" w:rsidRPr="00821CAA">
              <w:rPr>
                <w:sz w:val="24"/>
                <w:szCs w:val="24"/>
                <w:lang w:val="en-GB"/>
              </w:rPr>
              <w:t>MHz</w:t>
            </w:r>
            <w:r w:rsidR="005C289B" w:rsidRPr="00821CAA">
              <w:rPr>
                <w:sz w:val="24"/>
                <w:szCs w:val="24"/>
                <w:lang w:val="en-GB"/>
              </w:rPr>
              <w:t>.</w:t>
            </w:r>
            <w:proofErr w:type="spellEnd"/>
          </w:p>
          <w:p w14:paraId="4E05722D" w14:textId="4D5D4079" w:rsidR="00D92FE3" w:rsidRPr="00821CAA" w:rsidRDefault="00B42F4C" w:rsidP="00497E0A">
            <w:pPr>
              <w:spacing w:before="120" w:after="120"/>
              <w:jc w:val="lowKashida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The purpose of this Circular Letter </w:t>
            </w:r>
            <w:r w:rsidR="00DE18BE" w:rsidRPr="00821CAA">
              <w:rPr>
                <w:sz w:val="24"/>
                <w:szCs w:val="24"/>
                <w:lang w:val="en-GB"/>
              </w:rPr>
              <w:t>is</w:t>
            </w:r>
            <w:r w:rsidRPr="00821CAA">
              <w:rPr>
                <w:sz w:val="24"/>
                <w:szCs w:val="24"/>
                <w:lang w:val="en-GB"/>
              </w:rPr>
              <w:t xml:space="preserve"> to </w:t>
            </w:r>
            <w:r w:rsidR="00DE18BE" w:rsidRPr="00821CAA">
              <w:rPr>
                <w:sz w:val="24"/>
                <w:szCs w:val="24"/>
                <w:lang w:val="en-GB"/>
              </w:rPr>
              <w:t xml:space="preserve">inform your Administration that </w:t>
            </w:r>
            <w:r w:rsidR="00394157" w:rsidRPr="00821CAA">
              <w:rPr>
                <w:sz w:val="24"/>
                <w:szCs w:val="24"/>
                <w:lang w:val="en-GB"/>
              </w:rPr>
              <w:t>t</w:t>
            </w:r>
            <w:r w:rsidR="00D92FE3" w:rsidRPr="00821CAA">
              <w:rPr>
                <w:sz w:val="24"/>
                <w:szCs w:val="24"/>
                <w:lang w:val="en-GB"/>
              </w:rPr>
              <w:t>he</w:t>
            </w:r>
            <w:r w:rsidR="00993FCF" w:rsidRPr="00821CAA">
              <w:rPr>
                <w:sz w:val="24"/>
                <w:szCs w:val="24"/>
                <w:lang w:val="en-GB"/>
              </w:rPr>
              <w:t xml:space="preserve"> second phase of the</w:t>
            </w:r>
            <w:r w:rsidR="00D92FE3" w:rsidRPr="00821CAA">
              <w:rPr>
                <w:sz w:val="24"/>
                <w:szCs w:val="24"/>
                <w:lang w:val="en-GB"/>
              </w:rPr>
              <w:t xml:space="preserve"> </w:t>
            </w:r>
            <w:r w:rsidR="00146192" w:rsidRPr="00821CAA">
              <w:rPr>
                <w:i/>
                <w:iCs/>
                <w:sz w:val="24"/>
                <w:szCs w:val="24"/>
                <w:lang w:val="en-GB"/>
              </w:rPr>
              <w:t>T</w:t>
            </w:r>
            <w:r w:rsidR="00D92FE3" w:rsidRPr="00821CAA">
              <w:rPr>
                <w:i/>
                <w:iCs/>
                <w:sz w:val="24"/>
                <w:szCs w:val="24"/>
                <w:lang w:val="en-GB"/>
              </w:rPr>
              <w:t>ransition period</w:t>
            </w:r>
            <w:r w:rsidR="00993FCF" w:rsidRPr="00821CAA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993FCF" w:rsidRPr="00821CAA">
              <w:rPr>
                <w:sz w:val="24"/>
                <w:szCs w:val="24"/>
                <w:lang w:val="en-GB"/>
              </w:rPr>
              <w:t xml:space="preserve">for the thirty-four countries </w:t>
            </w:r>
            <w:r w:rsidR="0004091F" w:rsidRPr="00821CAA">
              <w:rPr>
                <w:sz w:val="24"/>
                <w:szCs w:val="24"/>
                <w:lang w:val="en-GB"/>
              </w:rPr>
              <w:t>listed</w:t>
            </w:r>
            <w:r w:rsidR="00993FCF" w:rsidRPr="00821CAA">
              <w:rPr>
                <w:sz w:val="24"/>
                <w:szCs w:val="24"/>
                <w:lang w:val="en-GB"/>
              </w:rPr>
              <w:t xml:space="preserve"> in footnote 7 to </w:t>
            </w:r>
            <w:r w:rsidR="00A80F70" w:rsidRPr="00821CAA">
              <w:rPr>
                <w:sz w:val="24"/>
                <w:szCs w:val="24"/>
                <w:lang w:val="en-GB"/>
              </w:rPr>
              <w:t>§</w:t>
            </w:r>
            <w:r w:rsidR="00993FCF" w:rsidRPr="00821CAA">
              <w:rPr>
                <w:sz w:val="24"/>
                <w:szCs w:val="24"/>
                <w:lang w:val="en-GB"/>
              </w:rPr>
              <w:t xml:space="preserve"> 12.6, for the band 174 - 230 MHz</w:t>
            </w:r>
            <w:r w:rsidR="00DD5B46" w:rsidRPr="00821CAA">
              <w:rPr>
                <w:sz w:val="24"/>
                <w:szCs w:val="24"/>
                <w:lang w:val="en-GB"/>
              </w:rPr>
              <w:t>,</w:t>
            </w:r>
            <w:r w:rsidR="00D92FE3" w:rsidRPr="00821CAA">
              <w:rPr>
                <w:sz w:val="24"/>
                <w:szCs w:val="24"/>
                <w:lang w:val="en-GB"/>
              </w:rPr>
              <w:t xml:space="preserve"> </w:t>
            </w:r>
            <w:r w:rsidR="002A4476" w:rsidRPr="00821CAA">
              <w:rPr>
                <w:b/>
                <w:bCs/>
                <w:sz w:val="24"/>
                <w:szCs w:val="24"/>
                <w:lang w:val="en-GB"/>
              </w:rPr>
              <w:t>ended</w:t>
            </w:r>
            <w:r w:rsidR="002A4476" w:rsidRPr="00821CAA">
              <w:rPr>
                <w:sz w:val="24"/>
                <w:szCs w:val="24"/>
                <w:lang w:val="en-GB"/>
              </w:rPr>
              <w:t xml:space="preserve"> </w:t>
            </w:r>
            <w:r w:rsidR="00D92FE3" w:rsidRPr="00821CAA">
              <w:rPr>
                <w:b/>
                <w:bCs/>
                <w:sz w:val="24"/>
                <w:szCs w:val="24"/>
                <w:lang w:val="en-GB"/>
              </w:rPr>
              <w:t>on 17 June 20</w:t>
            </w:r>
            <w:r w:rsidR="00635CF8" w:rsidRPr="00821CAA">
              <w:rPr>
                <w:b/>
                <w:bCs/>
                <w:sz w:val="24"/>
                <w:szCs w:val="24"/>
                <w:lang w:val="en-GB"/>
              </w:rPr>
              <w:t>20</w:t>
            </w:r>
            <w:r w:rsidR="00D92FE3" w:rsidRPr="00821CAA">
              <w:rPr>
                <w:b/>
                <w:bCs/>
                <w:sz w:val="24"/>
                <w:szCs w:val="24"/>
                <w:lang w:val="en-GB"/>
              </w:rPr>
              <w:t xml:space="preserve"> at 0001 hours UTC</w:t>
            </w:r>
            <w:r w:rsidR="00394157" w:rsidRPr="00821CAA">
              <w:rPr>
                <w:sz w:val="24"/>
                <w:szCs w:val="24"/>
                <w:lang w:val="en-GB"/>
              </w:rPr>
              <w:t>.</w:t>
            </w:r>
          </w:p>
          <w:p w14:paraId="219BF91B" w14:textId="58016C14" w:rsidR="000C715E" w:rsidRPr="00821CAA" w:rsidRDefault="00DE18BE" w:rsidP="00497E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 w:line="259" w:lineRule="auto"/>
              <w:jc w:val="lowKashida"/>
              <w:textAlignment w:val="auto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>Consequently,</w:t>
            </w:r>
            <w:r w:rsidR="002A4476" w:rsidRPr="00821CAA">
              <w:rPr>
                <w:sz w:val="24"/>
                <w:szCs w:val="24"/>
                <w:lang w:val="en-GB"/>
              </w:rPr>
              <w:t xml:space="preserve"> 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the GE06 </w:t>
            </w:r>
            <w:r w:rsidR="00B42F4C" w:rsidRPr="00821CAA">
              <w:rPr>
                <w:i/>
                <w:iCs/>
                <w:sz w:val="24"/>
                <w:szCs w:val="24"/>
                <w:lang w:val="en-GB"/>
              </w:rPr>
              <w:t>Transition period</w:t>
            </w:r>
            <w:r w:rsidR="00993FCF" w:rsidRPr="00821CAA">
              <w:rPr>
                <w:sz w:val="24"/>
                <w:szCs w:val="24"/>
                <w:lang w:val="en-GB"/>
              </w:rPr>
              <w:t xml:space="preserve"> intended to facilitate the migration from analogue to digital television, that started on 17 June 2006,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 has 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now </w:t>
            </w:r>
            <w:r w:rsidR="00982944">
              <w:rPr>
                <w:sz w:val="24"/>
                <w:szCs w:val="24"/>
                <w:lang w:val="en-GB"/>
              </w:rPr>
              <w:t>concluded</w:t>
            </w:r>
            <w:r w:rsidR="000C715E" w:rsidRPr="00821CAA">
              <w:rPr>
                <w:sz w:val="24"/>
                <w:szCs w:val="24"/>
                <w:lang w:val="en-GB"/>
              </w:rPr>
              <w:t xml:space="preserve">. </w:t>
            </w:r>
            <w:r w:rsidR="00982944">
              <w:rPr>
                <w:sz w:val="24"/>
                <w:szCs w:val="24"/>
                <w:lang w:val="en-GB"/>
              </w:rPr>
              <w:t>As a result, t</w:t>
            </w:r>
            <w:r w:rsidR="002A4476" w:rsidRPr="00821CAA">
              <w:rPr>
                <w:sz w:val="24"/>
                <w:szCs w:val="24"/>
                <w:lang w:val="en-GB"/>
              </w:rPr>
              <w:t>he analogue Plan (GE06A) does not exist anymore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. </w:t>
            </w:r>
          </w:p>
          <w:p w14:paraId="2DC5E217" w14:textId="29FCA2FE" w:rsidR="00DD5B46" w:rsidRPr="00821CAA" w:rsidRDefault="00A80F70" w:rsidP="00497E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 w:line="259" w:lineRule="auto"/>
              <w:jc w:val="lowKashida"/>
              <w:textAlignment w:val="auto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According </w:t>
            </w:r>
            <w:r w:rsidR="00AC6046" w:rsidRPr="00821CAA">
              <w:rPr>
                <w:sz w:val="24"/>
                <w:szCs w:val="24"/>
                <w:lang w:val="en-GB"/>
              </w:rPr>
              <w:t>to</w:t>
            </w:r>
            <w:r w:rsidR="00B42F4C" w:rsidRPr="00821CAA">
              <w:rPr>
                <w:sz w:val="24"/>
                <w:szCs w:val="24"/>
                <w:lang w:val="en-GB"/>
              </w:rPr>
              <w:t xml:space="preserve"> the GE</w:t>
            </w:r>
            <w:r w:rsidR="00993FCF" w:rsidRPr="00821CAA">
              <w:rPr>
                <w:sz w:val="24"/>
                <w:szCs w:val="24"/>
                <w:lang w:val="en-GB"/>
              </w:rPr>
              <w:t>06 Agreement</w:t>
            </w:r>
            <w:r w:rsidR="002A4476" w:rsidRPr="00821CAA">
              <w:rPr>
                <w:sz w:val="24"/>
                <w:szCs w:val="24"/>
                <w:lang w:val="en-GB"/>
              </w:rPr>
              <w:t>,</w:t>
            </w:r>
            <w:r w:rsidR="00DE18BE" w:rsidRPr="00821CAA">
              <w:rPr>
                <w:sz w:val="24"/>
                <w:szCs w:val="24"/>
                <w:lang w:val="en-GB"/>
              </w:rPr>
              <w:t xml:space="preserve"> the following actions have been </w:t>
            </w:r>
            <w:r w:rsidRPr="00821CAA">
              <w:rPr>
                <w:sz w:val="24"/>
                <w:szCs w:val="24"/>
                <w:lang w:val="en-GB"/>
              </w:rPr>
              <w:t>under</w:t>
            </w:r>
            <w:r w:rsidR="00DE18BE" w:rsidRPr="00821CAA">
              <w:rPr>
                <w:sz w:val="24"/>
                <w:szCs w:val="24"/>
                <w:lang w:val="en-GB"/>
              </w:rPr>
              <w:t>taken by BR</w:t>
            </w:r>
            <w:r w:rsidR="00DD5B46" w:rsidRPr="00821CAA">
              <w:rPr>
                <w:sz w:val="24"/>
                <w:szCs w:val="24"/>
                <w:lang w:val="en-GB"/>
              </w:rPr>
              <w:t>:</w:t>
            </w:r>
          </w:p>
          <w:p w14:paraId="70C4A933" w14:textId="5C05A637" w:rsidR="00B32814" w:rsidRPr="00821CAA" w:rsidRDefault="002A4476" w:rsidP="00B32814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>A</w:t>
            </w:r>
            <w:r w:rsidR="00660EC6" w:rsidRPr="00821CAA">
              <w:rPr>
                <w:sz w:val="24"/>
                <w:szCs w:val="24"/>
                <w:lang w:val="en-GB"/>
              </w:rPr>
              <w:t xml:space="preserve">ll assignments </w:t>
            </w:r>
            <w:r w:rsidR="00DE18BE" w:rsidRPr="00821CAA">
              <w:rPr>
                <w:sz w:val="24"/>
                <w:szCs w:val="24"/>
                <w:lang w:val="en-GB"/>
              </w:rPr>
              <w:t xml:space="preserve">previously </w:t>
            </w:r>
            <w:r w:rsidR="00660EC6" w:rsidRPr="00821CAA">
              <w:rPr>
                <w:sz w:val="24"/>
                <w:szCs w:val="24"/>
                <w:lang w:val="en-GB"/>
              </w:rPr>
              <w:t>recorded</w:t>
            </w:r>
            <w:r w:rsidRPr="00821CAA">
              <w:rPr>
                <w:sz w:val="24"/>
                <w:szCs w:val="24"/>
                <w:lang w:val="en-GB"/>
              </w:rPr>
              <w:t xml:space="preserve"> into the GE06A plan</w:t>
            </w:r>
            <w:r w:rsidR="00660EC6" w:rsidRPr="00821CAA">
              <w:rPr>
                <w:sz w:val="24"/>
                <w:szCs w:val="24"/>
                <w:lang w:val="en-GB"/>
              </w:rPr>
              <w:t xml:space="preserve"> </w:t>
            </w:r>
            <w:r w:rsidRPr="00821CAA">
              <w:rPr>
                <w:sz w:val="24"/>
                <w:szCs w:val="24"/>
                <w:lang w:val="en-GB"/>
              </w:rPr>
              <w:t>have been</w:t>
            </w:r>
            <w:r w:rsidR="007C76DD" w:rsidRPr="00821CAA">
              <w:rPr>
                <w:sz w:val="24"/>
                <w:szCs w:val="24"/>
                <w:lang w:val="en-GB"/>
              </w:rPr>
              <w:t xml:space="preserve"> suppressed,</w:t>
            </w:r>
            <w:r w:rsidR="00660EC6" w:rsidRPr="00821CAA">
              <w:rPr>
                <w:sz w:val="24"/>
                <w:szCs w:val="24"/>
                <w:lang w:val="en-GB"/>
              </w:rPr>
              <w:t xml:space="preserve"> in application of </w:t>
            </w:r>
            <w:r w:rsidR="00403FFA" w:rsidRPr="00821CAA">
              <w:rPr>
                <w:sz w:val="24"/>
                <w:szCs w:val="24"/>
                <w:lang w:val="en-GB"/>
              </w:rPr>
              <w:t>§</w:t>
            </w:r>
            <w:r w:rsidR="00660EC6" w:rsidRPr="00821CAA">
              <w:rPr>
                <w:sz w:val="24"/>
                <w:szCs w:val="24"/>
                <w:lang w:val="en-GB"/>
              </w:rPr>
              <w:t xml:space="preserve"> 12.6 of the GE06 </w:t>
            </w:r>
            <w:proofErr w:type="gramStart"/>
            <w:r w:rsidR="00660EC6" w:rsidRPr="00821CAA">
              <w:rPr>
                <w:sz w:val="24"/>
                <w:szCs w:val="24"/>
                <w:lang w:val="en-GB"/>
              </w:rPr>
              <w:t>Agreement;</w:t>
            </w:r>
            <w:proofErr w:type="gramEnd"/>
          </w:p>
          <w:p w14:paraId="6854B0F2" w14:textId="5B08E644" w:rsidR="000718D4" w:rsidRPr="00821CAA" w:rsidRDefault="002A4476" w:rsidP="000718D4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sz w:val="24"/>
                <w:szCs w:val="24"/>
              </w:rPr>
            </w:pPr>
            <w:r w:rsidRPr="00821CAA">
              <w:rPr>
                <w:sz w:val="24"/>
                <w:szCs w:val="24"/>
              </w:rPr>
              <w:t xml:space="preserve">The </w:t>
            </w:r>
            <w:r w:rsidR="000718D4" w:rsidRPr="00821CAA">
              <w:rPr>
                <w:sz w:val="24"/>
                <w:szCs w:val="24"/>
              </w:rPr>
              <w:t xml:space="preserve">GE06A fragment </w:t>
            </w:r>
            <w:r w:rsidRPr="00821CAA">
              <w:rPr>
                <w:sz w:val="24"/>
                <w:szCs w:val="24"/>
              </w:rPr>
              <w:t>has been removed from</w:t>
            </w:r>
            <w:r w:rsidR="000718D4" w:rsidRPr="00821CAA">
              <w:rPr>
                <w:sz w:val="24"/>
                <w:szCs w:val="24"/>
              </w:rPr>
              <w:t xml:space="preserve"> </w:t>
            </w:r>
            <w:proofErr w:type="gramStart"/>
            <w:r w:rsidR="000718D4" w:rsidRPr="00821CAA">
              <w:rPr>
                <w:sz w:val="24"/>
                <w:szCs w:val="24"/>
              </w:rPr>
              <w:t>BR</w:t>
            </w:r>
            <w:r w:rsidR="00A80F70" w:rsidRPr="00821CAA">
              <w:rPr>
                <w:sz w:val="24"/>
                <w:szCs w:val="24"/>
              </w:rPr>
              <w:t>‘</w:t>
            </w:r>
            <w:proofErr w:type="gramEnd"/>
            <w:r w:rsidR="00A80F70" w:rsidRPr="00821CAA">
              <w:rPr>
                <w:sz w:val="24"/>
                <w:szCs w:val="24"/>
              </w:rPr>
              <w:t xml:space="preserve">s </w:t>
            </w:r>
            <w:r w:rsidR="000718D4" w:rsidRPr="00821CAA">
              <w:rPr>
                <w:sz w:val="24"/>
                <w:szCs w:val="24"/>
              </w:rPr>
              <w:t>software (</w:t>
            </w:r>
            <w:proofErr w:type="spellStart"/>
            <w:r w:rsidR="000718D4" w:rsidRPr="00821CAA">
              <w:rPr>
                <w:sz w:val="24"/>
                <w:szCs w:val="24"/>
              </w:rPr>
              <w:t>TerRaSys</w:t>
            </w:r>
            <w:proofErr w:type="spellEnd"/>
            <w:r w:rsidR="000718D4" w:rsidRPr="00821CAA">
              <w:rPr>
                <w:sz w:val="24"/>
                <w:szCs w:val="24"/>
              </w:rPr>
              <w:t xml:space="preserve"> and </w:t>
            </w:r>
            <w:proofErr w:type="spellStart"/>
            <w:r w:rsidR="000718D4" w:rsidRPr="00821CAA">
              <w:rPr>
                <w:sz w:val="24"/>
                <w:szCs w:val="24"/>
              </w:rPr>
              <w:t>eBCD</w:t>
            </w:r>
            <w:proofErr w:type="spellEnd"/>
            <w:r w:rsidR="000718D4" w:rsidRPr="00821CAA">
              <w:rPr>
                <w:sz w:val="24"/>
                <w:szCs w:val="24"/>
              </w:rPr>
              <w:t>);</w:t>
            </w:r>
          </w:p>
          <w:p w14:paraId="5E02F8A3" w14:textId="3FE2CFEF" w:rsidR="008F608D" w:rsidRPr="00821CAA" w:rsidRDefault="00177676" w:rsidP="000718D4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iCs/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The </w:t>
            </w:r>
            <w:r w:rsidR="00096BCB" w:rsidRPr="00821CAA">
              <w:rPr>
                <w:sz w:val="24"/>
                <w:szCs w:val="24"/>
                <w:lang w:val="en-GB"/>
              </w:rPr>
              <w:t xml:space="preserve">analogue television </w:t>
            </w:r>
            <w:r w:rsidRPr="00821CAA">
              <w:rPr>
                <w:sz w:val="24"/>
                <w:szCs w:val="24"/>
                <w:lang w:val="en-GB"/>
              </w:rPr>
              <w:t>assignments</w:t>
            </w:r>
            <w:r w:rsidR="00601EDE" w:rsidRPr="00821CAA">
              <w:rPr>
                <w:sz w:val="24"/>
                <w:szCs w:val="24"/>
                <w:lang w:val="en-GB"/>
              </w:rPr>
              <w:t xml:space="preserve">, subject to the GE06 Agreement, </w:t>
            </w:r>
            <w:r w:rsidRPr="00821CAA">
              <w:rPr>
                <w:sz w:val="24"/>
                <w:szCs w:val="24"/>
                <w:lang w:val="en-GB"/>
              </w:rPr>
              <w:t>recorded in the Master International Frequency Register (MIFR)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 have been </w:t>
            </w:r>
            <w:r w:rsidR="00371091">
              <w:rPr>
                <w:sz w:val="24"/>
                <w:szCs w:val="24"/>
                <w:lang w:val="en-GB"/>
              </w:rPr>
              <w:t>retained in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 the MIFR,</w:t>
            </w:r>
            <w:r w:rsidR="000718D4" w:rsidRPr="00821CAA">
              <w:rPr>
                <w:sz w:val="24"/>
                <w:szCs w:val="24"/>
                <w:lang w:val="en-GB"/>
              </w:rPr>
              <w:t xml:space="preserve"> </w:t>
            </w:r>
            <w:r w:rsidR="00982944" w:rsidRPr="00821CAA">
              <w:rPr>
                <w:sz w:val="24"/>
                <w:szCs w:val="24"/>
                <w:lang w:val="en-GB"/>
              </w:rPr>
              <w:t xml:space="preserve">except </w:t>
            </w:r>
            <w:r w:rsidR="000718D4" w:rsidRPr="00821CAA">
              <w:rPr>
                <w:sz w:val="24"/>
                <w:szCs w:val="24"/>
                <w:lang w:val="en-GB"/>
              </w:rPr>
              <w:t>those</w:t>
            </w:r>
            <w:r w:rsidRPr="00821CAA">
              <w:rPr>
                <w:sz w:val="24"/>
                <w:szCs w:val="24"/>
                <w:lang w:val="en-GB"/>
              </w:rPr>
              <w:t xml:space="preserve"> </w:t>
            </w:r>
            <w:r w:rsidR="00185FC0" w:rsidRPr="00821CAA">
              <w:rPr>
                <w:sz w:val="24"/>
                <w:szCs w:val="24"/>
                <w:lang w:val="en-GB"/>
              </w:rPr>
              <w:t xml:space="preserve">that administrations requested 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to </w:t>
            </w:r>
            <w:r w:rsidR="00371091">
              <w:rPr>
                <w:sz w:val="24"/>
                <w:szCs w:val="24"/>
                <w:lang w:val="en-GB"/>
              </w:rPr>
              <w:t>suppress</w:t>
            </w:r>
            <w:r w:rsidR="00601EDE" w:rsidRPr="00821CAA">
              <w:rPr>
                <w:sz w:val="24"/>
                <w:szCs w:val="24"/>
                <w:lang w:val="en-GB"/>
              </w:rPr>
              <w:t xml:space="preserve">. Such retained assignments can operate only </w:t>
            </w:r>
            <w:r w:rsidR="00601EDE" w:rsidRPr="00821CAA">
              <w:rPr>
                <w:iCs/>
                <w:sz w:val="24"/>
                <w:szCs w:val="24"/>
                <w:lang w:val="en-GB"/>
              </w:rPr>
              <w:t xml:space="preserve">under the </w:t>
            </w:r>
            <w:r w:rsidR="00601EDE" w:rsidRPr="00821CAA">
              <w:rPr>
                <w:sz w:val="24"/>
                <w:szCs w:val="24"/>
                <w:lang w:val="en-GB"/>
              </w:rPr>
              <w:t xml:space="preserve">conditions of not causing unacceptable interference to, and not claiming protection from, any assignments in conformity with the GE06 </w:t>
            </w:r>
            <w:proofErr w:type="gramStart"/>
            <w:r w:rsidR="00601EDE" w:rsidRPr="00821CAA">
              <w:rPr>
                <w:sz w:val="24"/>
                <w:szCs w:val="24"/>
                <w:lang w:val="en-GB"/>
              </w:rPr>
              <w:t>Agreement</w:t>
            </w:r>
            <w:r w:rsidR="008F608D" w:rsidRPr="00821CAA">
              <w:rPr>
                <w:sz w:val="24"/>
                <w:szCs w:val="24"/>
                <w:lang w:val="en-GB"/>
              </w:rPr>
              <w:t>;</w:t>
            </w:r>
            <w:proofErr w:type="gramEnd"/>
          </w:p>
          <w:p w14:paraId="7D347966" w14:textId="1FB32CB8" w:rsidR="001E4C15" w:rsidRPr="00821CAA" w:rsidRDefault="00AC6046" w:rsidP="000718D4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iCs/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BR </w:t>
            </w:r>
            <w:r w:rsidR="00821CAA">
              <w:rPr>
                <w:sz w:val="24"/>
                <w:szCs w:val="24"/>
                <w:lang w:val="en-GB"/>
              </w:rPr>
              <w:t xml:space="preserve">also </w:t>
            </w:r>
            <w:r w:rsidRPr="00821CAA">
              <w:rPr>
                <w:sz w:val="24"/>
                <w:szCs w:val="24"/>
                <w:lang w:val="en-GB"/>
              </w:rPr>
              <w:t>kept</w:t>
            </w:r>
            <w:r w:rsidR="007356E7" w:rsidRPr="00821CAA">
              <w:rPr>
                <w:sz w:val="24"/>
                <w:szCs w:val="24"/>
                <w:lang w:val="en-GB"/>
              </w:rPr>
              <w:t xml:space="preserve"> unchanged</w:t>
            </w:r>
            <w:r w:rsidRPr="00821CAA">
              <w:rPr>
                <w:sz w:val="24"/>
                <w:szCs w:val="24"/>
                <w:lang w:val="en-GB"/>
              </w:rPr>
              <w:t xml:space="preserve"> in the MIFR th</w:t>
            </w:r>
            <w:r w:rsidR="0004091F" w:rsidRPr="00821CAA">
              <w:rPr>
                <w:sz w:val="24"/>
                <w:szCs w:val="24"/>
                <w:lang w:val="en-GB"/>
              </w:rPr>
              <w:t>ose</w:t>
            </w:r>
            <w:r w:rsidRPr="00821CAA">
              <w:rPr>
                <w:sz w:val="24"/>
                <w:szCs w:val="24"/>
                <w:lang w:val="en-GB"/>
              </w:rPr>
              <w:t xml:space="preserve"> analogue assignments</w:t>
            </w:r>
            <w:r w:rsidR="00601EDE" w:rsidRPr="00821CAA">
              <w:rPr>
                <w:sz w:val="24"/>
                <w:szCs w:val="24"/>
                <w:lang w:val="en-GB"/>
              </w:rPr>
              <w:t xml:space="preserve">, which </w:t>
            </w:r>
            <w:r w:rsidR="000C715E" w:rsidRPr="00821CAA">
              <w:rPr>
                <w:sz w:val="24"/>
                <w:szCs w:val="24"/>
                <w:lang w:val="en-GB"/>
              </w:rPr>
              <w:t xml:space="preserve">are </w:t>
            </w:r>
            <w:r w:rsidR="0004091F" w:rsidRPr="00821CAA">
              <w:rPr>
                <w:iCs/>
                <w:sz w:val="24"/>
                <w:szCs w:val="24"/>
                <w:lang w:val="en-GB"/>
              </w:rPr>
              <w:t>us</w:t>
            </w:r>
            <w:r w:rsidR="000C715E" w:rsidRPr="00821CAA">
              <w:rPr>
                <w:iCs/>
                <w:sz w:val="24"/>
                <w:szCs w:val="24"/>
                <w:lang w:val="en-GB"/>
              </w:rPr>
              <w:t>ing</w:t>
            </w:r>
            <w:r w:rsidR="0004091F" w:rsidRPr="00821CAA">
              <w:rPr>
                <w:iCs/>
                <w:sz w:val="24"/>
                <w:szCs w:val="24"/>
                <w:lang w:val="en-GB"/>
              </w:rPr>
              <w:t xml:space="preserve"> digital entries in the GE06 Plan</w:t>
            </w:r>
            <w:r w:rsidR="0004091F" w:rsidRPr="00821CAA">
              <w:rPr>
                <w:sz w:val="24"/>
                <w:szCs w:val="24"/>
                <w:lang w:val="en-GB"/>
              </w:rPr>
              <w:t xml:space="preserve"> and</w:t>
            </w:r>
            <w:r w:rsidR="00185FC0" w:rsidRPr="00821CAA">
              <w:rPr>
                <w:sz w:val="24"/>
                <w:szCs w:val="24"/>
                <w:lang w:val="en-GB"/>
              </w:rPr>
              <w:t xml:space="preserve"> </w:t>
            </w:r>
            <w:r w:rsidR="00601EDE" w:rsidRPr="00821CAA">
              <w:rPr>
                <w:sz w:val="24"/>
                <w:szCs w:val="24"/>
                <w:lang w:val="en-GB"/>
              </w:rPr>
              <w:t>recorded under the provision 5.1.3 of Article 5 of the Agreement</w:t>
            </w:r>
            <w:r w:rsidR="00177676" w:rsidRPr="00821CAA">
              <w:rPr>
                <w:sz w:val="24"/>
                <w:szCs w:val="24"/>
                <w:lang w:val="en-GB"/>
              </w:rPr>
              <w:t>.</w:t>
            </w:r>
            <w:r w:rsidR="00E12564" w:rsidRPr="00821CAA">
              <w:rPr>
                <w:sz w:val="24"/>
                <w:szCs w:val="24"/>
                <w:lang w:val="en-GB"/>
              </w:rPr>
              <w:t xml:space="preserve"> </w:t>
            </w:r>
          </w:p>
          <w:p w14:paraId="301E4BDA" w14:textId="3AB157CE" w:rsidR="00697D99" w:rsidRPr="00821CAA" w:rsidRDefault="0004091F" w:rsidP="00497E0A">
            <w:pPr>
              <w:spacing w:before="120" w:after="120"/>
              <w:jc w:val="lowKashida"/>
              <w:rPr>
                <w:sz w:val="24"/>
                <w:szCs w:val="24"/>
                <w:lang w:val="en-GB"/>
              </w:rPr>
            </w:pPr>
            <w:r w:rsidRPr="00821CAA">
              <w:rPr>
                <w:sz w:val="24"/>
                <w:szCs w:val="24"/>
                <w:lang w:val="en-GB"/>
              </w:rPr>
              <w:t xml:space="preserve">After the end of the </w:t>
            </w:r>
            <w:r w:rsidRPr="00821CAA">
              <w:rPr>
                <w:i/>
                <w:iCs/>
                <w:sz w:val="24"/>
                <w:szCs w:val="24"/>
                <w:lang w:val="en-GB"/>
              </w:rPr>
              <w:t>Transition period</w:t>
            </w:r>
            <w:r w:rsidR="00C34B1D" w:rsidRPr="00821CAA">
              <w:rPr>
                <w:sz w:val="24"/>
                <w:szCs w:val="24"/>
                <w:lang w:val="en-GB"/>
              </w:rPr>
              <w:t>,</w:t>
            </w:r>
            <w:r w:rsidRPr="00821CAA">
              <w:rPr>
                <w:sz w:val="24"/>
                <w:szCs w:val="24"/>
                <w:lang w:val="en-GB"/>
              </w:rPr>
              <w:t xml:space="preserve"> </w:t>
            </w:r>
            <w:r w:rsidR="00AC6046" w:rsidRPr="00821CAA">
              <w:rPr>
                <w:sz w:val="24"/>
                <w:szCs w:val="24"/>
                <w:lang w:val="en-GB"/>
              </w:rPr>
              <w:t>frequency assignments to analogue television stations are no</w:t>
            </w:r>
            <w:r w:rsidR="00495BD4" w:rsidRPr="00821CAA">
              <w:rPr>
                <w:sz w:val="24"/>
                <w:szCs w:val="24"/>
                <w:lang w:val="en-GB"/>
              </w:rPr>
              <w:t xml:space="preserve"> longer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 protected</w:t>
            </w:r>
            <w:r w:rsidR="007356E7" w:rsidRPr="00821CAA">
              <w:rPr>
                <w:sz w:val="24"/>
                <w:szCs w:val="24"/>
                <w:lang w:val="en-GB"/>
              </w:rPr>
              <w:t xml:space="preserve"> from the stations operating in conformity with the GE06 Agreement</w:t>
            </w:r>
            <w:r w:rsidR="00AC6046" w:rsidRPr="00821CAA">
              <w:rPr>
                <w:sz w:val="24"/>
                <w:szCs w:val="24"/>
                <w:lang w:val="en-GB"/>
              </w:rPr>
              <w:t xml:space="preserve">. </w:t>
            </w:r>
            <w:r w:rsidRPr="00821CAA">
              <w:rPr>
                <w:sz w:val="24"/>
                <w:szCs w:val="24"/>
                <w:lang w:val="en-GB"/>
              </w:rPr>
              <w:t xml:space="preserve">However, administrations may continue to use </w:t>
            </w:r>
            <w:r w:rsidR="000C715E" w:rsidRPr="00821CAA">
              <w:rPr>
                <w:sz w:val="24"/>
                <w:szCs w:val="24"/>
                <w:lang w:val="en-GB"/>
              </w:rPr>
              <w:t>analogue</w:t>
            </w:r>
            <w:r w:rsidRPr="00821CAA">
              <w:rPr>
                <w:sz w:val="24"/>
                <w:szCs w:val="24"/>
                <w:lang w:val="en-GB"/>
              </w:rPr>
              <w:t xml:space="preserve"> </w:t>
            </w:r>
            <w:r w:rsidR="00495BD4" w:rsidRPr="00821CAA">
              <w:rPr>
                <w:sz w:val="24"/>
                <w:szCs w:val="24"/>
                <w:lang w:val="en-GB"/>
              </w:rPr>
              <w:t>stations</w:t>
            </w:r>
            <w:r w:rsidR="00697D99" w:rsidRPr="00821CAA">
              <w:rPr>
                <w:sz w:val="24"/>
                <w:szCs w:val="24"/>
                <w:lang w:val="en-GB"/>
              </w:rPr>
              <w:t xml:space="preserve"> as follows:</w:t>
            </w:r>
          </w:p>
          <w:p w14:paraId="767E27B7" w14:textId="3E5C91F4" w:rsidR="00697D99" w:rsidRPr="00D650C2" w:rsidRDefault="00697D99" w:rsidP="00D650C2">
            <w:pPr>
              <w:pStyle w:val="ListParagraph"/>
              <w:numPr>
                <w:ilvl w:val="0"/>
                <w:numId w:val="19"/>
              </w:numPr>
              <w:spacing w:before="120" w:after="120"/>
              <w:jc w:val="lowKashida"/>
              <w:rPr>
                <w:sz w:val="24"/>
                <w:szCs w:val="24"/>
                <w:lang w:val="en-GB"/>
              </w:rPr>
            </w:pPr>
            <w:r w:rsidRPr="00D650C2">
              <w:rPr>
                <w:sz w:val="24"/>
                <w:szCs w:val="24"/>
                <w:lang w:val="en-GB"/>
              </w:rPr>
              <w:lastRenderedPageBreak/>
              <w:t xml:space="preserve">under provision 5.1.3 of the Agreement </w:t>
            </w:r>
            <w:r w:rsidR="00821CAA" w:rsidRPr="00D650C2">
              <w:rPr>
                <w:sz w:val="24"/>
                <w:szCs w:val="24"/>
                <w:lang w:val="en-GB"/>
              </w:rPr>
              <w:t>under the envelope of</w:t>
            </w:r>
            <w:r w:rsidR="00392F3E" w:rsidRPr="00D650C2">
              <w:rPr>
                <w:sz w:val="24"/>
                <w:szCs w:val="24"/>
                <w:lang w:val="en-GB"/>
              </w:rPr>
              <w:t xml:space="preserve"> </w:t>
            </w:r>
            <w:r w:rsidR="00E4300C" w:rsidRPr="00D650C2">
              <w:rPr>
                <w:sz w:val="24"/>
                <w:szCs w:val="24"/>
                <w:lang w:val="en-GB"/>
              </w:rPr>
              <w:t>a recorded</w:t>
            </w:r>
            <w:r w:rsidRPr="00D650C2">
              <w:rPr>
                <w:sz w:val="24"/>
                <w:szCs w:val="24"/>
                <w:lang w:val="en-GB"/>
              </w:rPr>
              <w:t xml:space="preserve"> </w:t>
            </w:r>
            <w:r w:rsidR="00821CAA" w:rsidRPr="00D650C2">
              <w:rPr>
                <w:sz w:val="24"/>
                <w:szCs w:val="24"/>
                <w:lang w:val="en-GB"/>
              </w:rPr>
              <w:t>d</w:t>
            </w:r>
            <w:r w:rsidRPr="00D650C2">
              <w:rPr>
                <w:sz w:val="24"/>
                <w:szCs w:val="24"/>
                <w:lang w:val="en-GB"/>
              </w:rPr>
              <w:t xml:space="preserve">igital </w:t>
            </w:r>
            <w:r w:rsidR="00821CAA" w:rsidRPr="00D650C2">
              <w:rPr>
                <w:sz w:val="24"/>
                <w:szCs w:val="24"/>
                <w:lang w:val="en-GB"/>
              </w:rPr>
              <w:t>p</w:t>
            </w:r>
            <w:r w:rsidRPr="00D650C2">
              <w:rPr>
                <w:sz w:val="24"/>
                <w:szCs w:val="24"/>
                <w:lang w:val="en-GB"/>
              </w:rPr>
              <w:t xml:space="preserve">lan </w:t>
            </w:r>
            <w:r w:rsidR="00821CAA" w:rsidRPr="00D650C2">
              <w:rPr>
                <w:sz w:val="24"/>
                <w:szCs w:val="24"/>
                <w:lang w:val="en-GB"/>
              </w:rPr>
              <w:t>e</w:t>
            </w:r>
            <w:r w:rsidRPr="00D650C2">
              <w:rPr>
                <w:sz w:val="24"/>
                <w:szCs w:val="24"/>
                <w:lang w:val="en-GB"/>
              </w:rPr>
              <w:t xml:space="preserve">ntry </w:t>
            </w:r>
            <w:r w:rsidR="00E4300C" w:rsidRPr="00D650C2">
              <w:rPr>
                <w:sz w:val="24"/>
                <w:szCs w:val="24"/>
                <w:lang w:val="en-GB"/>
              </w:rPr>
              <w:t>in GE06D Plan</w:t>
            </w:r>
            <w:r w:rsidR="00821CAA" w:rsidRPr="00D650C2">
              <w:rPr>
                <w:sz w:val="24"/>
                <w:szCs w:val="24"/>
                <w:lang w:val="en-GB"/>
              </w:rPr>
              <w:t>. I</w:t>
            </w:r>
            <w:r w:rsidRPr="00D650C2">
              <w:rPr>
                <w:sz w:val="24"/>
                <w:szCs w:val="24"/>
                <w:lang w:val="en-GB"/>
              </w:rPr>
              <w:t xml:space="preserve">f </w:t>
            </w:r>
            <w:r w:rsidR="00821CAA" w:rsidRPr="00D650C2">
              <w:rPr>
                <w:sz w:val="24"/>
                <w:szCs w:val="24"/>
                <w:lang w:val="en-GB"/>
              </w:rPr>
              <w:t>such</w:t>
            </w:r>
            <w:r w:rsidRPr="00D650C2">
              <w:rPr>
                <w:sz w:val="24"/>
                <w:szCs w:val="24"/>
                <w:lang w:val="en-GB"/>
              </w:rPr>
              <w:t xml:space="preserve"> </w:t>
            </w:r>
            <w:r w:rsidR="00392F3E" w:rsidRPr="00D650C2">
              <w:rPr>
                <w:sz w:val="24"/>
                <w:szCs w:val="24"/>
                <w:lang w:val="en-GB"/>
              </w:rPr>
              <w:t xml:space="preserve">notified analogue </w:t>
            </w:r>
            <w:r w:rsidRPr="00D650C2">
              <w:rPr>
                <w:sz w:val="24"/>
                <w:szCs w:val="24"/>
                <w:lang w:val="en-GB"/>
              </w:rPr>
              <w:t xml:space="preserve">assignment </w:t>
            </w:r>
            <w:r w:rsidR="00392F3E" w:rsidRPr="00D650C2">
              <w:rPr>
                <w:sz w:val="24"/>
                <w:szCs w:val="24"/>
                <w:lang w:val="en-GB"/>
              </w:rPr>
              <w:t>receives favourable findings</w:t>
            </w:r>
            <w:r w:rsidRPr="00D650C2">
              <w:rPr>
                <w:sz w:val="24"/>
                <w:szCs w:val="24"/>
                <w:lang w:val="en-GB"/>
              </w:rPr>
              <w:t xml:space="preserve">, it will </w:t>
            </w:r>
            <w:r w:rsidR="00E4300C" w:rsidRPr="00D650C2">
              <w:rPr>
                <w:sz w:val="24"/>
                <w:szCs w:val="24"/>
                <w:lang w:val="en-GB"/>
              </w:rPr>
              <w:t xml:space="preserve">be recorded in the MIFR </w:t>
            </w:r>
            <w:r w:rsidR="00392F3E" w:rsidRPr="00D650C2">
              <w:rPr>
                <w:sz w:val="24"/>
                <w:szCs w:val="24"/>
                <w:lang w:val="en-GB"/>
              </w:rPr>
              <w:t xml:space="preserve">with the same </w:t>
            </w:r>
            <w:r w:rsidR="00E4300C" w:rsidRPr="00D650C2">
              <w:rPr>
                <w:sz w:val="24"/>
                <w:szCs w:val="24"/>
                <w:lang w:val="en-GB"/>
              </w:rPr>
              <w:t xml:space="preserve">protection </w:t>
            </w:r>
            <w:r w:rsidR="00392F3E" w:rsidRPr="00D650C2">
              <w:rPr>
                <w:sz w:val="24"/>
                <w:szCs w:val="24"/>
                <w:lang w:val="en-GB"/>
              </w:rPr>
              <w:t>as</w:t>
            </w:r>
            <w:r w:rsidR="00E4300C" w:rsidRPr="00D650C2">
              <w:rPr>
                <w:sz w:val="24"/>
                <w:szCs w:val="24"/>
                <w:lang w:val="en-GB"/>
              </w:rPr>
              <w:t xml:space="preserve"> the </w:t>
            </w:r>
            <w:r w:rsidR="00821CAA" w:rsidRPr="00D650C2">
              <w:rPr>
                <w:sz w:val="24"/>
                <w:szCs w:val="24"/>
                <w:lang w:val="en-GB"/>
              </w:rPr>
              <w:t xml:space="preserve">digital plan </w:t>
            </w:r>
            <w:proofErr w:type="gramStart"/>
            <w:r w:rsidR="00821CAA" w:rsidRPr="00D650C2">
              <w:rPr>
                <w:sz w:val="24"/>
                <w:szCs w:val="24"/>
                <w:lang w:val="en-GB"/>
              </w:rPr>
              <w:t>entry</w:t>
            </w:r>
            <w:r w:rsidR="00C34B1D" w:rsidRPr="00D650C2">
              <w:rPr>
                <w:sz w:val="24"/>
                <w:szCs w:val="24"/>
                <w:lang w:val="en-GB"/>
              </w:rPr>
              <w:t>;</w:t>
            </w:r>
            <w:proofErr w:type="gramEnd"/>
          </w:p>
          <w:p w14:paraId="554B2231" w14:textId="7D5EFF6A" w:rsidR="00495BD4" w:rsidRPr="00D650C2" w:rsidRDefault="0004091F" w:rsidP="00D650C2">
            <w:pPr>
              <w:pStyle w:val="ListParagraph"/>
              <w:numPr>
                <w:ilvl w:val="0"/>
                <w:numId w:val="19"/>
              </w:numPr>
              <w:spacing w:before="120" w:after="120"/>
              <w:jc w:val="lowKashida"/>
              <w:rPr>
                <w:sz w:val="24"/>
                <w:szCs w:val="24"/>
                <w:lang w:val="en-GB"/>
              </w:rPr>
            </w:pPr>
            <w:r w:rsidRPr="00D650C2">
              <w:rPr>
                <w:sz w:val="24"/>
                <w:szCs w:val="24"/>
                <w:lang w:val="en-GB"/>
              </w:rPr>
              <w:t>on a non-interference and non-protection basis</w:t>
            </w:r>
            <w:r w:rsidR="00495BD4" w:rsidRPr="00D650C2">
              <w:rPr>
                <w:sz w:val="24"/>
                <w:szCs w:val="24"/>
                <w:lang w:val="en-GB"/>
              </w:rPr>
              <w:t xml:space="preserve"> with respect to the administrations-parties to the GE06 Agreement</w:t>
            </w:r>
            <w:r w:rsidRPr="00D650C2">
              <w:rPr>
                <w:sz w:val="24"/>
                <w:szCs w:val="24"/>
                <w:lang w:val="en-GB"/>
              </w:rPr>
              <w:t xml:space="preserve">. </w:t>
            </w:r>
            <w:r w:rsidR="00495BD4" w:rsidRPr="00D650C2">
              <w:rPr>
                <w:sz w:val="24"/>
                <w:szCs w:val="24"/>
                <w:lang w:val="en-GB"/>
              </w:rPr>
              <w:t>Coordination of analogue television stations with</w:t>
            </w:r>
            <w:r w:rsidR="00B1114D" w:rsidRPr="00D650C2">
              <w:rPr>
                <w:sz w:val="24"/>
                <w:szCs w:val="24"/>
                <w:lang w:val="en-GB"/>
              </w:rPr>
              <w:t xml:space="preserve"> </w:t>
            </w:r>
            <w:r w:rsidR="00495BD4" w:rsidRPr="00D650C2">
              <w:rPr>
                <w:sz w:val="24"/>
                <w:szCs w:val="24"/>
                <w:lang w:val="en-GB"/>
              </w:rPr>
              <w:t xml:space="preserve">neighbouring </w:t>
            </w:r>
            <w:r w:rsidR="007356E7" w:rsidRPr="00D650C2">
              <w:rPr>
                <w:sz w:val="24"/>
                <w:szCs w:val="24"/>
                <w:lang w:val="en-GB"/>
              </w:rPr>
              <w:t xml:space="preserve">administrations </w:t>
            </w:r>
            <w:r w:rsidR="00495BD4" w:rsidRPr="00D650C2">
              <w:rPr>
                <w:sz w:val="24"/>
                <w:szCs w:val="24"/>
                <w:lang w:val="en-GB"/>
              </w:rPr>
              <w:t>is strongly recommended to ensure their interference-free operation.</w:t>
            </w:r>
          </w:p>
          <w:p w14:paraId="6D472D51" w14:textId="0BAF0B24" w:rsidR="00D92FE3" w:rsidRPr="00821CAA" w:rsidRDefault="00D92FE3" w:rsidP="00D650C2">
            <w:pPr>
              <w:spacing w:before="240" w:after="120"/>
              <w:jc w:val="lowKashida"/>
              <w:rPr>
                <w:iCs/>
                <w:sz w:val="24"/>
                <w:szCs w:val="24"/>
                <w:lang w:val="en-GB"/>
              </w:rPr>
            </w:pPr>
            <w:r w:rsidRPr="00821CAA">
              <w:rPr>
                <w:iCs/>
                <w:sz w:val="24"/>
                <w:szCs w:val="24"/>
                <w:lang w:val="en-GB"/>
              </w:rPr>
              <w:t xml:space="preserve">The </w:t>
            </w:r>
            <w:r w:rsidR="00F757E4" w:rsidRPr="00821CAA">
              <w:rPr>
                <w:iCs/>
                <w:sz w:val="24"/>
                <w:szCs w:val="24"/>
                <w:lang w:val="en-GB"/>
              </w:rPr>
              <w:t xml:space="preserve">Radiocommunication </w:t>
            </w:r>
            <w:r w:rsidRPr="00821CAA">
              <w:rPr>
                <w:iCs/>
                <w:sz w:val="24"/>
                <w:szCs w:val="24"/>
                <w:lang w:val="en-GB"/>
              </w:rPr>
              <w:t xml:space="preserve">Bureau remains at the disposal of your Administration for any clarification you may require. </w:t>
            </w:r>
          </w:p>
          <w:p w14:paraId="7B986743" w14:textId="77777777" w:rsidR="004640EC" w:rsidRPr="00821CAA" w:rsidRDefault="004640EC" w:rsidP="00615E9B">
            <w:pPr>
              <w:spacing w:before="240" w:after="240"/>
              <w:rPr>
                <w:sz w:val="24"/>
                <w:szCs w:val="24"/>
                <w:lang w:val="en-GB"/>
              </w:rPr>
            </w:pPr>
          </w:p>
          <w:p w14:paraId="011DBF05" w14:textId="4A5009E5" w:rsidR="00C34B1D" w:rsidRPr="00821CAA" w:rsidRDefault="00C34B1D" w:rsidP="00615E9B">
            <w:pPr>
              <w:spacing w:before="240" w:after="240"/>
              <w:rPr>
                <w:sz w:val="24"/>
                <w:szCs w:val="24"/>
                <w:lang w:val="en-GB"/>
              </w:rPr>
            </w:pPr>
          </w:p>
        </w:tc>
      </w:tr>
      <w:tr w:rsidR="00177676" w:rsidRPr="00E30792" w14:paraId="78BC638C" w14:textId="77777777" w:rsidTr="00821CAA">
        <w:trPr>
          <w:trHeight w:val="710"/>
        </w:trPr>
        <w:tc>
          <w:tcPr>
            <w:tcW w:w="9639" w:type="dxa"/>
            <w:gridSpan w:val="4"/>
            <w:shd w:val="clear" w:color="auto" w:fill="auto"/>
          </w:tcPr>
          <w:p w14:paraId="4926DEBB" w14:textId="3D2DE287" w:rsidR="00495BD4" w:rsidRPr="00821CAA" w:rsidRDefault="00495BD4" w:rsidP="0023517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21CA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Mario Maniewicz</w:t>
            </w:r>
          </w:p>
          <w:p w14:paraId="1F286DD5" w14:textId="77777777" w:rsidR="00177676" w:rsidRDefault="00521299" w:rsidP="00521299">
            <w:pPr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</w:p>
          <w:p w14:paraId="40D2EB4B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77964432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0DE30CBA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7903996F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2D8DE9A8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7B061631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76949563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0A7642C9" w14:textId="77777777" w:rsidR="00D650C2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  <w:p w14:paraId="6DA89DD8" w14:textId="3D33E21D" w:rsidR="00D650C2" w:rsidRPr="00821CAA" w:rsidRDefault="00D650C2" w:rsidP="00521299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</w:tbl>
    <w:p w14:paraId="510FBEAB" w14:textId="6118D681" w:rsidR="00112546" w:rsidRDefault="00112546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10E9F4A6" w14:textId="7A5B395A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18B4229D" w14:textId="51A0B0AF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1CA706A3" w14:textId="4EB6659E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46654666" w14:textId="364A9564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6651EB1A" w14:textId="6FB5331D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1576C43E" w14:textId="085336CC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7B69F364" w14:textId="2AAB47E1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07F142A8" w14:textId="4D96D82F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2EF062E9" w14:textId="77777777" w:rsidR="00D650C2" w:rsidRDefault="00D650C2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7FE03871" w14:textId="355F4C36" w:rsidR="000C715E" w:rsidRDefault="000C715E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p w14:paraId="43DB259E" w14:textId="77777777" w:rsidR="000C715E" w:rsidRPr="003D5E8F" w:rsidRDefault="000C715E" w:rsidP="00821CAA">
      <w:pPr>
        <w:tabs>
          <w:tab w:val="left" w:pos="284"/>
          <w:tab w:val="left" w:pos="568"/>
        </w:tabs>
        <w:spacing w:after="160"/>
        <w:ind w:left="142"/>
        <w:rPr>
          <w:rFonts w:asciiTheme="minorHAnsi" w:hAnsiTheme="minorHAnsi" w:cstheme="minorHAnsi"/>
          <w:b/>
          <w:bCs/>
          <w:sz w:val="18"/>
          <w:szCs w:val="18"/>
        </w:rPr>
      </w:pPr>
      <w:r w:rsidRPr="00202C00">
        <w:rPr>
          <w:rFonts w:asciiTheme="minorHAnsi" w:hAnsiTheme="minorHAnsi" w:cstheme="minorHAnsi"/>
          <w:b/>
          <w:bCs/>
          <w:sz w:val="18"/>
          <w:szCs w:val="18"/>
          <w:u w:val="single"/>
        </w:rPr>
        <w:t>Distribution</w:t>
      </w:r>
      <w:r w:rsidRPr="003D5E8F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493F080C" w14:textId="77777777" w:rsidR="000C715E" w:rsidRPr="00402460" w:rsidRDefault="000C715E" w:rsidP="00821CAA">
      <w:pPr>
        <w:spacing w:before="0" w:line="240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Administrations of Member States of the ITU</w:t>
      </w:r>
    </w:p>
    <w:p w14:paraId="1224928C" w14:textId="77777777" w:rsidR="000C715E" w:rsidRPr="00402460" w:rsidRDefault="000C715E" w:rsidP="00821CAA">
      <w:pPr>
        <w:spacing w:before="0" w:line="240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402460">
        <w:rPr>
          <w:rFonts w:asciiTheme="minorHAnsi" w:hAnsiTheme="minorHAnsi" w:cstheme="minorHAnsi"/>
          <w:sz w:val="18"/>
          <w:szCs w:val="18"/>
        </w:rPr>
        <w:t>–</w:t>
      </w:r>
      <w:r w:rsidRPr="00402460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14:paraId="23FB7DA6" w14:textId="77777777" w:rsidR="000C715E" w:rsidRPr="0023517D" w:rsidRDefault="000C715E" w:rsidP="00112546">
      <w:pPr>
        <w:spacing w:before="0" w:line="240" w:lineRule="exact"/>
        <w:jc w:val="center"/>
        <w:rPr>
          <w:rFonts w:asciiTheme="minorHAnsi" w:hAnsiTheme="minorHAnsi" w:cstheme="minorHAnsi"/>
        </w:rPr>
      </w:pPr>
    </w:p>
    <w:sectPr w:rsidR="000C715E" w:rsidRPr="0023517D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701AA" w14:textId="77777777" w:rsidR="000B3A57" w:rsidRDefault="000B3A57">
      <w:r>
        <w:separator/>
      </w:r>
    </w:p>
  </w:endnote>
  <w:endnote w:type="continuationSeparator" w:id="0">
    <w:p w14:paraId="76BB0222" w14:textId="77777777" w:rsidR="000B3A57" w:rsidRDefault="000B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1F5A" w14:textId="77777777" w:rsidR="001C39B7" w:rsidRPr="005224A1" w:rsidRDefault="001C39B7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0AD389E3" w14:textId="77777777" w:rsidR="005142D1" w:rsidRPr="009B2EC3" w:rsidRDefault="005142D1" w:rsidP="005142D1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fr-CH"/>
      </w:rPr>
    </w:pPr>
    <w:r w:rsidRPr="009B2EC3">
      <w:rPr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9B2EC3">
      <w:rPr>
        <w:color w:val="4F81BD" w:themeColor="accent1"/>
        <w:sz w:val="19"/>
        <w:szCs w:val="19"/>
        <w:lang w:val="fr-CH"/>
      </w:rPr>
      <w:t>Telecommunication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9B2EC3">
      <w:rPr>
        <w:color w:val="4F81BD" w:themeColor="accent1"/>
        <w:sz w:val="19"/>
        <w:szCs w:val="19"/>
        <w:lang w:val="fr-CH"/>
      </w:rPr>
      <w:t>Switzerland</w:t>
    </w:r>
    <w:proofErr w:type="spellEnd"/>
    <w:r w:rsidRPr="009B2EC3">
      <w:rPr>
        <w:color w:val="4F81BD" w:themeColor="accent1"/>
        <w:sz w:val="19"/>
        <w:szCs w:val="19"/>
        <w:lang w:val="fr-CH"/>
      </w:rPr>
      <w:t xml:space="preserve"> • </w:t>
    </w:r>
    <w:r w:rsidRPr="009B2EC3">
      <w:rPr>
        <w:color w:val="4F81BD" w:themeColor="accent1"/>
        <w:sz w:val="19"/>
        <w:szCs w:val="19"/>
        <w:lang w:val="fr-CH"/>
      </w:rPr>
      <w:br/>
    </w:r>
    <w:proofErr w:type="gramStart"/>
    <w:r w:rsidRPr="009B2EC3">
      <w:rPr>
        <w:color w:val="4F81BD" w:themeColor="accent1"/>
        <w:sz w:val="19"/>
        <w:szCs w:val="19"/>
        <w:lang w:val="fr-CH"/>
      </w:rPr>
      <w:t>Tel:</w:t>
    </w:r>
    <w:proofErr w:type="gramEnd"/>
    <w:r w:rsidRPr="009B2EC3">
      <w:rPr>
        <w:color w:val="4F81BD" w:themeColor="accent1"/>
        <w:sz w:val="19"/>
        <w:szCs w:val="19"/>
        <w:lang w:val="fr-CH"/>
      </w:rPr>
      <w:t xml:space="preserve">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E-mail: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 • </w:t>
    </w:r>
    <w:r w:rsidRPr="00FB65BC">
      <w:rPr>
        <w:color w:val="3E8EDE"/>
        <w:sz w:val="18"/>
        <w:szCs w:val="18"/>
        <w:lang w:val="fr-CH"/>
      </w:rPr>
      <w:t xml:space="preserve">Fax: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r>
      <w:rPr>
        <w:color w:val="4F81BD" w:themeColor="accent1"/>
        <w:sz w:val="19"/>
        <w:szCs w:val="19"/>
        <w:lang w:val="fr-CH"/>
      </w:rPr>
      <w:t>www.itu.int</w:t>
    </w:r>
  </w:p>
  <w:p w14:paraId="5D318B26" w14:textId="01ED61F4" w:rsidR="001C39B7" w:rsidRPr="005E5EB3" w:rsidRDefault="001C39B7" w:rsidP="005142D1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28F6" w14:textId="77777777" w:rsidR="000B3A57" w:rsidRDefault="000B3A57">
      <w:r>
        <w:t>____________________</w:t>
      </w:r>
    </w:p>
  </w:footnote>
  <w:footnote w:type="continuationSeparator" w:id="0">
    <w:p w14:paraId="474764A2" w14:textId="77777777" w:rsidR="000B3A57" w:rsidRDefault="000B3A57">
      <w:r>
        <w:continuationSeparator/>
      </w:r>
    </w:p>
  </w:footnote>
  <w:footnote w:id="1">
    <w:p w14:paraId="4315319D" w14:textId="2923429C" w:rsidR="000C715E" w:rsidRDefault="000C7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This Circular Letter is primarily addressed to the ITU Member States of Region 1 (except Mongolia) and to the Islamic Republic of Iran. It is for information only for other ITU Member States </w:t>
      </w:r>
      <w:r>
        <w:rPr>
          <w:i/>
          <w:iCs/>
          <w:szCs w:val="24"/>
        </w:rPr>
        <w:t>outside the planning area of the GE06 Agreement</w:t>
      </w:r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D728" w14:textId="009B322C" w:rsidR="001C39B7" w:rsidRPr="00615E9B" w:rsidRDefault="001C39B7">
    <w:pPr>
      <w:pStyle w:val="Header"/>
      <w:rPr>
        <w:sz w:val="18"/>
        <w:szCs w:val="18"/>
      </w:rPr>
    </w:pPr>
    <w:r>
      <w:tab/>
    </w:r>
    <w:r>
      <w:tab/>
    </w:r>
    <w:r w:rsidRPr="00615E9B">
      <w:rPr>
        <w:sz w:val="18"/>
        <w:szCs w:val="18"/>
      </w:rPr>
      <w:t xml:space="preserve">– </w:t>
    </w:r>
    <w:r w:rsidRPr="00615E9B">
      <w:rPr>
        <w:rStyle w:val="PageNumber"/>
        <w:sz w:val="18"/>
        <w:szCs w:val="18"/>
      </w:rPr>
      <w:fldChar w:fldCharType="begin"/>
    </w:r>
    <w:r w:rsidRPr="00615E9B">
      <w:rPr>
        <w:rStyle w:val="PageNumber"/>
        <w:sz w:val="18"/>
        <w:szCs w:val="18"/>
      </w:rPr>
      <w:instrText xml:space="preserve"> PAGE </w:instrText>
    </w:r>
    <w:r w:rsidRPr="00615E9B">
      <w:rPr>
        <w:rStyle w:val="PageNumber"/>
        <w:sz w:val="18"/>
        <w:szCs w:val="18"/>
      </w:rPr>
      <w:fldChar w:fldCharType="separate"/>
    </w:r>
    <w:r w:rsidR="00F757E4" w:rsidRPr="00615E9B">
      <w:rPr>
        <w:rStyle w:val="PageNumber"/>
        <w:noProof/>
        <w:sz w:val="18"/>
        <w:szCs w:val="18"/>
      </w:rPr>
      <w:t>2</w:t>
    </w:r>
    <w:r w:rsidRPr="00615E9B">
      <w:rPr>
        <w:rStyle w:val="PageNumber"/>
        <w:sz w:val="18"/>
        <w:szCs w:val="18"/>
      </w:rPr>
      <w:fldChar w:fldCharType="end"/>
    </w:r>
    <w:r w:rsidRPr="00615E9B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20EB8" w14:textId="0C82E8AB" w:rsidR="001C39B7" w:rsidRPr="003D0DF2" w:rsidRDefault="001C39B7">
    <w:pPr>
      <w:pStyle w:val="Header"/>
      <w:rPr>
        <w:iCs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3B5B" w14:textId="4F25798B" w:rsidR="001C39B7" w:rsidRPr="00EA15B3" w:rsidRDefault="001C39B7" w:rsidP="00EA15B3">
    <w:pPr>
      <w:pStyle w:val="Header"/>
      <w:spacing w:line="360" w:lineRule="auto"/>
    </w:pPr>
    <w:r>
      <w:tab/>
    </w:r>
    <w:r>
      <w:tab/>
    </w:r>
    <w:r w:rsidR="005142D1">
      <w:rPr>
        <w:noProof/>
        <w:lang w:val="en-GB" w:eastAsia="zh-CN"/>
      </w:rPr>
      <w:drawing>
        <wp:inline distT="0" distB="0" distL="0" distR="0" wp14:anchorId="1259C45C" wp14:editId="18CEC34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218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-142" w:firstLine="0"/>
      </w:pPr>
    </w:lvl>
    <w:lvl w:ilvl="2">
      <w:numFmt w:val="decimal"/>
      <w:lvlText w:val=""/>
      <w:lvlJc w:val="left"/>
      <w:pPr>
        <w:ind w:left="-142" w:firstLine="0"/>
      </w:pPr>
    </w:lvl>
    <w:lvl w:ilvl="3">
      <w:numFmt w:val="decimal"/>
      <w:lvlText w:val=""/>
      <w:lvlJc w:val="left"/>
      <w:pPr>
        <w:ind w:left="-142" w:firstLine="0"/>
      </w:pPr>
    </w:lvl>
    <w:lvl w:ilvl="4">
      <w:numFmt w:val="decimal"/>
      <w:lvlText w:val=""/>
      <w:lvlJc w:val="left"/>
      <w:pPr>
        <w:ind w:left="-142" w:firstLine="0"/>
      </w:pPr>
    </w:lvl>
    <w:lvl w:ilvl="5">
      <w:numFmt w:val="decimal"/>
      <w:lvlText w:val=""/>
      <w:lvlJc w:val="left"/>
      <w:pPr>
        <w:ind w:left="-142" w:firstLine="0"/>
      </w:pPr>
    </w:lvl>
    <w:lvl w:ilvl="6">
      <w:numFmt w:val="decimal"/>
      <w:lvlText w:val=""/>
      <w:lvlJc w:val="left"/>
      <w:pPr>
        <w:ind w:left="-142" w:firstLine="0"/>
      </w:pPr>
    </w:lvl>
    <w:lvl w:ilvl="7">
      <w:numFmt w:val="decimal"/>
      <w:lvlText w:val=""/>
      <w:lvlJc w:val="left"/>
      <w:pPr>
        <w:ind w:left="-142" w:firstLine="0"/>
      </w:pPr>
    </w:lvl>
    <w:lvl w:ilvl="8">
      <w:numFmt w:val="decimal"/>
      <w:lvlText w:val=""/>
      <w:lvlJc w:val="left"/>
      <w:pPr>
        <w:ind w:left="-142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C8520A"/>
    <w:multiLevelType w:val="hybridMultilevel"/>
    <w:tmpl w:val="BF9E92C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137F"/>
    <w:multiLevelType w:val="hybridMultilevel"/>
    <w:tmpl w:val="6802B488"/>
    <w:lvl w:ilvl="0" w:tplc="A0FC8EB0">
      <w:start w:val="1"/>
      <w:numFmt w:val="decimal"/>
      <w:lvlText w:val="%1)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0B9D4A54"/>
    <w:multiLevelType w:val="hybridMultilevel"/>
    <w:tmpl w:val="597A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1DF3"/>
    <w:multiLevelType w:val="hybridMultilevel"/>
    <w:tmpl w:val="4080D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5EB5"/>
    <w:multiLevelType w:val="hybridMultilevel"/>
    <w:tmpl w:val="1756C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E0058"/>
    <w:multiLevelType w:val="hybridMultilevel"/>
    <w:tmpl w:val="1A4086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B7F"/>
    <w:multiLevelType w:val="hybridMultilevel"/>
    <w:tmpl w:val="EAEAA272"/>
    <w:lvl w:ilvl="0" w:tplc="9B6AD34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7C72"/>
    <w:multiLevelType w:val="hybridMultilevel"/>
    <w:tmpl w:val="E9D2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3" w15:restartNumberingAfterBreak="0">
    <w:nsid w:val="4E1E2C27"/>
    <w:multiLevelType w:val="hybridMultilevel"/>
    <w:tmpl w:val="24541E62"/>
    <w:lvl w:ilvl="0" w:tplc="3EE434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0261"/>
    <w:multiLevelType w:val="hybridMultilevel"/>
    <w:tmpl w:val="D77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5B91"/>
    <w:multiLevelType w:val="hybridMultilevel"/>
    <w:tmpl w:val="C8AACC24"/>
    <w:lvl w:ilvl="0" w:tplc="DECE30C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20AF5"/>
    <w:multiLevelType w:val="hybridMultilevel"/>
    <w:tmpl w:val="442CBD98"/>
    <w:lvl w:ilvl="0" w:tplc="64EE9A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A0868"/>
    <w:multiLevelType w:val="hybridMultilevel"/>
    <w:tmpl w:val="7B00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F3B50"/>
    <w:multiLevelType w:val="hybridMultilevel"/>
    <w:tmpl w:val="F0629FFA"/>
    <w:lvl w:ilvl="0" w:tplc="D3167EC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D381F"/>
    <w:multiLevelType w:val="hybridMultilevel"/>
    <w:tmpl w:val="67D83E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B35F4"/>
    <w:multiLevelType w:val="hybridMultilevel"/>
    <w:tmpl w:val="656443B8"/>
    <w:lvl w:ilvl="0" w:tplc="51CE9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F01DA4"/>
    <w:multiLevelType w:val="hybridMultilevel"/>
    <w:tmpl w:val="0F4412B0"/>
    <w:lvl w:ilvl="0" w:tplc="63A88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21"/>
  </w:num>
  <w:num w:numId="5">
    <w:abstractNumId w:val="16"/>
  </w:num>
  <w:num w:numId="6">
    <w:abstractNumId w:val="13"/>
  </w:num>
  <w:num w:numId="7">
    <w:abstractNumId w:val="7"/>
  </w:num>
  <w:num w:numId="8">
    <w:abstractNumId w:val="20"/>
  </w:num>
  <w:num w:numId="9">
    <w:abstractNumId w:val="19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8"/>
  </w:num>
  <w:num w:numId="15">
    <w:abstractNumId w:val="6"/>
  </w:num>
  <w:num w:numId="16">
    <w:abstractNumId w:val="1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3459"/>
    <w:rsid w:val="00006A31"/>
    <w:rsid w:val="00006C82"/>
    <w:rsid w:val="00010E30"/>
    <w:rsid w:val="00015B2D"/>
    <w:rsid w:val="00015C76"/>
    <w:rsid w:val="00026CF8"/>
    <w:rsid w:val="00031E64"/>
    <w:rsid w:val="000333D2"/>
    <w:rsid w:val="0004091F"/>
    <w:rsid w:val="00054E5D"/>
    <w:rsid w:val="00067F35"/>
    <w:rsid w:val="00070258"/>
    <w:rsid w:val="000718D4"/>
    <w:rsid w:val="0007323C"/>
    <w:rsid w:val="00086D03"/>
    <w:rsid w:val="00096BCB"/>
    <w:rsid w:val="000A01C3"/>
    <w:rsid w:val="000A7051"/>
    <w:rsid w:val="000B0032"/>
    <w:rsid w:val="000B0AF6"/>
    <w:rsid w:val="000B0E9B"/>
    <w:rsid w:val="000B2C25"/>
    <w:rsid w:val="000B3A57"/>
    <w:rsid w:val="000B4199"/>
    <w:rsid w:val="000C03C7"/>
    <w:rsid w:val="000C6FD4"/>
    <w:rsid w:val="000C715E"/>
    <w:rsid w:val="000D59DE"/>
    <w:rsid w:val="000E3DEE"/>
    <w:rsid w:val="000F0C35"/>
    <w:rsid w:val="000F1C7F"/>
    <w:rsid w:val="000F3340"/>
    <w:rsid w:val="000F61E5"/>
    <w:rsid w:val="00100B72"/>
    <w:rsid w:val="00101F7D"/>
    <w:rsid w:val="00103C76"/>
    <w:rsid w:val="00112546"/>
    <w:rsid w:val="0011265F"/>
    <w:rsid w:val="00117282"/>
    <w:rsid w:val="00126AE4"/>
    <w:rsid w:val="00134404"/>
    <w:rsid w:val="00144DFB"/>
    <w:rsid w:val="00146192"/>
    <w:rsid w:val="00162473"/>
    <w:rsid w:val="00177676"/>
    <w:rsid w:val="00185FC0"/>
    <w:rsid w:val="001870C7"/>
    <w:rsid w:val="00187CA3"/>
    <w:rsid w:val="00196710"/>
    <w:rsid w:val="00197324"/>
    <w:rsid w:val="001B0A78"/>
    <w:rsid w:val="001B351B"/>
    <w:rsid w:val="001B7D98"/>
    <w:rsid w:val="001C0666"/>
    <w:rsid w:val="001C06DB"/>
    <w:rsid w:val="001C39B7"/>
    <w:rsid w:val="001D453C"/>
    <w:rsid w:val="001D7070"/>
    <w:rsid w:val="001E4C15"/>
    <w:rsid w:val="001F5A49"/>
    <w:rsid w:val="001F765A"/>
    <w:rsid w:val="002004E7"/>
    <w:rsid w:val="00201097"/>
    <w:rsid w:val="00201B6E"/>
    <w:rsid w:val="00205B2B"/>
    <w:rsid w:val="00206DAF"/>
    <w:rsid w:val="00211C0D"/>
    <w:rsid w:val="00211F4E"/>
    <w:rsid w:val="00225B98"/>
    <w:rsid w:val="002302B3"/>
    <w:rsid w:val="00230C66"/>
    <w:rsid w:val="0023517D"/>
    <w:rsid w:val="00235A29"/>
    <w:rsid w:val="002443A2"/>
    <w:rsid w:val="00244636"/>
    <w:rsid w:val="00250A7F"/>
    <w:rsid w:val="00255BFE"/>
    <w:rsid w:val="00257F11"/>
    <w:rsid w:val="00262C7E"/>
    <w:rsid w:val="002861E6"/>
    <w:rsid w:val="00287D18"/>
    <w:rsid w:val="002A17C1"/>
    <w:rsid w:val="002A2618"/>
    <w:rsid w:val="002A4476"/>
    <w:rsid w:val="002D01C2"/>
    <w:rsid w:val="002D3F2B"/>
    <w:rsid w:val="002D5A15"/>
    <w:rsid w:val="002D5BDD"/>
    <w:rsid w:val="002E3D27"/>
    <w:rsid w:val="002E5BED"/>
    <w:rsid w:val="002F0890"/>
    <w:rsid w:val="002F2531"/>
    <w:rsid w:val="002F4967"/>
    <w:rsid w:val="003034B1"/>
    <w:rsid w:val="00316935"/>
    <w:rsid w:val="00333894"/>
    <w:rsid w:val="003370B8"/>
    <w:rsid w:val="00337C74"/>
    <w:rsid w:val="00345D38"/>
    <w:rsid w:val="00362140"/>
    <w:rsid w:val="003666FF"/>
    <w:rsid w:val="003675C7"/>
    <w:rsid w:val="00371091"/>
    <w:rsid w:val="00372625"/>
    <w:rsid w:val="00373611"/>
    <w:rsid w:val="00392F3E"/>
    <w:rsid w:val="00394157"/>
    <w:rsid w:val="003A1E06"/>
    <w:rsid w:val="003A1F49"/>
    <w:rsid w:val="003B2BDA"/>
    <w:rsid w:val="003B4B04"/>
    <w:rsid w:val="003B55EC"/>
    <w:rsid w:val="003B5B7C"/>
    <w:rsid w:val="003C4471"/>
    <w:rsid w:val="003D0DF2"/>
    <w:rsid w:val="003E504F"/>
    <w:rsid w:val="003E78D6"/>
    <w:rsid w:val="003F2B31"/>
    <w:rsid w:val="003F6A1B"/>
    <w:rsid w:val="00403D75"/>
    <w:rsid w:val="00403FFA"/>
    <w:rsid w:val="004040B9"/>
    <w:rsid w:val="00406D71"/>
    <w:rsid w:val="00427A4F"/>
    <w:rsid w:val="004326DB"/>
    <w:rsid w:val="00432A93"/>
    <w:rsid w:val="004346EF"/>
    <w:rsid w:val="0043682E"/>
    <w:rsid w:val="00440307"/>
    <w:rsid w:val="00444AD2"/>
    <w:rsid w:val="00447ECB"/>
    <w:rsid w:val="00450319"/>
    <w:rsid w:val="004623F7"/>
    <w:rsid w:val="004640EC"/>
    <w:rsid w:val="0046482D"/>
    <w:rsid w:val="0047245B"/>
    <w:rsid w:val="00472489"/>
    <w:rsid w:val="00474795"/>
    <w:rsid w:val="00475C5D"/>
    <w:rsid w:val="0047634A"/>
    <w:rsid w:val="00480F51"/>
    <w:rsid w:val="00480FE5"/>
    <w:rsid w:val="00481124"/>
    <w:rsid w:val="004815EB"/>
    <w:rsid w:val="00484D7A"/>
    <w:rsid w:val="00487569"/>
    <w:rsid w:val="00495BD4"/>
    <w:rsid w:val="00496864"/>
    <w:rsid w:val="00496920"/>
    <w:rsid w:val="00497E0A"/>
    <w:rsid w:val="004A0379"/>
    <w:rsid w:val="004A4496"/>
    <w:rsid w:val="004A6D70"/>
    <w:rsid w:val="004B11AB"/>
    <w:rsid w:val="004B7C9A"/>
    <w:rsid w:val="004C13E7"/>
    <w:rsid w:val="004C6779"/>
    <w:rsid w:val="004C6AEE"/>
    <w:rsid w:val="004D4199"/>
    <w:rsid w:val="004D4ED0"/>
    <w:rsid w:val="004E0DC4"/>
    <w:rsid w:val="004E0FB5"/>
    <w:rsid w:val="004E43BB"/>
    <w:rsid w:val="004E442A"/>
    <w:rsid w:val="004E51FF"/>
    <w:rsid w:val="004F1016"/>
    <w:rsid w:val="004F178E"/>
    <w:rsid w:val="004F6487"/>
    <w:rsid w:val="00505309"/>
    <w:rsid w:val="0050789B"/>
    <w:rsid w:val="005142D1"/>
    <w:rsid w:val="00521299"/>
    <w:rsid w:val="005224A1"/>
    <w:rsid w:val="005229D8"/>
    <w:rsid w:val="005315F4"/>
    <w:rsid w:val="00534372"/>
    <w:rsid w:val="0053664E"/>
    <w:rsid w:val="0053796C"/>
    <w:rsid w:val="00541C5B"/>
    <w:rsid w:val="00543DF8"/>
    <w:rsid w:val="0054475A"/>
    <w:rsid w:val="00546101"/>
    <w:rsid w:val="005512DA"/>
    <w:rsid w:val="00553DD7"/>
    <w:rsid w:val="005638CF"/>
    <w:rsid w:val="005671B6"/>
    <w:rsid w:val="0056741E"/>
    <w:rsid w:val="0057325A"/>
    <w:rsid w:val="0057469A"/>
    <w:rsid w:val="00580814"/>
    <w:rsid w:val="00586DD6"/>
    <w:rsid w:val="005A03A3"/>
    <w:rsid w:val="005A2AAA"/>
    <w:rsid w:val="005A2B92"/>
    <w:rsid w:val="005A79E9"/>
    <w:rsid w:val="005B214C"/>
    <w:rsid w:val="005B3B7D"/>
    <w:rsid w:val="005C289B"/>
    <w:rsid w:val="005C2F5F"/>
    <w:rsid w:val="005C3F41"/>
    <w:rsid w:val="005C7F75"/>
    <w:rsid w:val="005D3669"/>
    <w:rsid w:val="005D4237"/>
    <w:rsid w:val="005D484F"/>
    <w:rsid w:val="005E1097"/>
    <w:rsid w:val="005E5EB3"/>
    <w:rsid w:val="005F3CB6"/>
    <w:rsid w:val="005F657C"/>
    <w:rsid w:val="00601EDE"/>
    <w:rsid w:val="00602D53"/>
    <w:rsid w:val="006047E5"/>
    <w:rsid w:val="00615E9B"/>
    <w:rsid w:val="00635CF8"/>
    <w:rsid w:val="0064371D"/>
    <w:rsid w:val="00650B2A"/>
    <w:rsid w:val="00651777"/>
    <w:rsid w:val="006550F8"/>
    <w:rsid w:val="00660EC6"/>
    <w:rsid w:val="006757E2"/>
    <w:rsid w:val="00681412"/>
    <w:rsid w:val="006921D4"/>
    <w:rsid w:val="00697D99"/>
    <w:rsid w:val="006A518B"/>
    <w:rsid w:val="006A6A97"/>
    <w:rsid w:val="006B0590"/>
    <w:rsid w:val="006B1DF8"/>
    <w:rsid w:val="006B2DB7"/>
    <w:rsid w:val="006B49DA"/>
    <w:rsid w:val="006B4A58"/>
    <w:rsid w:val="006C7CDE"/>
    <w:rsid w:val="006D4C29"/>
    <w:rsid w:val="006E35E9"/>
    <w:rsid w:val="006F72B3"/>
    <w:rsid w:val="007035C6"/>
    <w:rsid w:val="00706FFD"/>
    <w:rsid w:val="00721B82"/>
    <w:rsid w:val="007234B1"/>
    <w:rsid w:val="00727816"/>
    <w:rsid w:val="00730B9A"/>
    <w:rsid w:val="007356E7"/>
    <w:rsid w:val="00741053"/>
    <w:rsid w:val="00747FF9"/>
    <w:rsid w:val="00750CFA"/>
    <w:rsid w:val="0075152E"/>
    <w:rsid w:val="007553DA"/>
    <w:rsid w:val="00782354"/>
    <w:rsid w:val="007921A7"/>
    <w:rsid w:val="007A2C0D"/>
    <w:rsid w:val="007B26FA"/>
    <w:rsid w:val="007B3DB1"/>
    <w:rsid w:val="007B4478"/>
    <w:rsid w:val="007B5427"/>
    <w:rsid w:val="007C1B19"/>
    <w:rsid w:val="007C76DD"/>
    <w:rsid w:val="007D183E"/>
    <w:rsid w:val="007D55ED"/>
    <w:rsid w:val="007D78A8"/>
    <w:rsid w:val="007E1833"/>
    <w:rsid w:val="007E3F13"/>
    <w:rsid w:val="007E6427"/>
    <w:rsid w:val="007F751A"/>
    <w:rsid w:val="00800012"/>
    <w:rsid w:val="008143A4"/>
    <w:rsid w:val="008145EE"/>
    <w:rsid w:val="008149B3"/>
    <w:rsid w:val="0081513E"/>
    <w:rsid w:val="00820118"/>
    <w:rsid w:val="00821CAA"/>
    <w:rsid w:val="00824D31"/>
    <w:rsid w:val="008366B5"/>
    <w:rsid w:val="00850751"/>
    <w:rsid w:val="00853E4C"/>
    <w:rsid w:val="00854131"/>
    <w:rsid w:val="0085652D"/>
    <w:rsid w:val="00861338"/>
    <w:rsid w:val="0087694B"/>
    <w:rsid w:val="008871A4"/>
    <w:rsid w:val="008A1FC5"/>
    <w:rsid w:val="008C0966"/>
    <w:rsid w:val="008C116E"/>
    <w:rsid w:val="008C2E74"/>
    <w:rsid w:val="008D5409"/>
    <w:rsid w:val="008E006D"/>
    <w:rsid w:val="008E4768"/>
    <w:rsid w:val="008F4511"/>
    <w:rsid w:val="008F4F21"/>
    <w:rsid w:val="008F608D"/>
    <w:rsid w:val="00904D4A"/>
    <w:rsid w:val="00906E7D"/>
    <w:rsid w:val="00907519"/>
    <w:rsid w:val="00911D9E"/>
    <w:rsid w:val="009151BA"/>
    <w:rsid w:val="00925023"/>
    <w:rsid w:val="00926379"/>
    <w:rsid w:val="009277BC"/>
    <w:rsid w:val="00927D57"/>
    <w:rsid w:val="009307BC"/>
    <w:rsid w:val="00931A51"/>
    <w:rsid w:val="0094697A"/>
    <w:rsid w:val="00947185"/>
    <w:rsid w:val="00952426"/>
    <w:rsid w:val="00955810"/>
    <w:rsid w:val="009634C9"/>
    <w:rsid w:val="00963D9D"/>
    <w:rsid w:val="0098013E"/>
    <w:rsid w:val="00981B54"/>
    <w:rsid w:val="00982041"/>
    <w:rsid w:val="00982944"/>
    <w:rsid w:val="009842C3"/>
    <w:rsid w:val="00993FCF"/>
    <w:rsid w:val="009A009A"/>
    <w:rsid w:val="009A6BB6"/>
    <w:rsid w:val="009B3F43"/>
    <w:rsid w:val="009B53D5"/>
    <w:rsid w:val="009B5CFA"/>
    <w:rsid w:val="009C161F"/>
    <w:rsid w:val="009C56B4"/>
    <w:rsid w:val="009C76D7"/>
    <w:rsid w:val="009D51A2"/>
    <w:rsid w:val="009E04A8"/>
    <w:rsid w:val="009E4AEC"/>
    <w:rsid w:val="009E5895"/>
    <w:rsid w:val="009E5BD8"/>
    <w:rsid w:val="009E681E"/>
    <w:rsid w:val="009F3650"/>
    <w:rsid w:val="00A009F7"/>
    <w:rsid w:val="00A119E6"/>
    <w:rsid w:val="00A214F5"/>
    <w:rsid w:val="00A24A6F"/>
    <w:rsid w:val="00A31370"/>
    <w:rsid w:val="00A34D6F"/>
    <w:rsid w:val="00A35635"/>
    <w:rsid w:val="00A41F91"/>
    <w:rsid w:val="00A442A8"/>
    <w:rsid w:val="00A547DD"/>
    <w:rsid w:val="00A664ED"/>
    <w:rsid w:val="00A66D0B"/>
    <w:rsid w:val="00A700B7"/>
    <w:rsid w:val="00A75CA2"/>
    <w:rsid w:val="00A80F70"/>
    <w:rsid w:val="00A82972"/>
    <w:rsid w:val="00A963DF"/>
    <w:rsid w:val="00A97828"/>
    <w:rsid w:val="00AA5768"/>
    <w:rsid w:val="00AB10BE"/>
    <w:rsid w:val="00AC3896"/>
    <w:rsid w:val="00AC6046"/>
    <w:rsid w:val="00AE2D88"/>
    <w:rsid w:val="00AE6F6F"/>
    <w:rsid w:val="00AE726C"/>
    <w:rsid w:val="00AF3325"/>
    <w:rsid w:val="00AF34D9"/>
    <w:rsid w:val="00AF70DA"/>
    <w:rsid w:val="00B019D3"/>
    <w:rsid w:val="00B1114D"/>
    <w:rsid w:val="00B16264"/>
    <w:rsid w:val="00B32814"/>
    <w:rsid w:val="00B34CF9"/>
    <w:rsid w:val="00B37559"/>
    <w:rsid w:val="00B40242"/>
    <w:rsid w:val="00B42F4C"/>
    <w:rsid w:val="00B579B0"/>
    <w:rsid w:val="00B7724A"/>
    <w:rsid w:val="00B829AD"/>
    <w:rsid w:val="00B90C45"/>
    <w:rsid w:val="00B933BE"/>
    <w:rsid w:val="00B969C7"/>
    <w:rsid w:val="00BA060A"/>
    <w:rsid w:val="00BA71C9"/>
    <w:rsid w:val="00BD6738"/>
    <w:rsid w:val="00BD7E5E"/>
    <w:rsid w:val="00BE64CB"/>
    <w:rsid w:val="00BE6574"/>
    <w:rsid w:val="00C16FD2"/>
    <w:rsid w:val="00C22F0D"/>
    <w:rsid w:val="00C246BA"/>
    <w:rsid w:val="00C24730"/>
    <w:rsid w:val="00C34B1D"/>
    <w:rsid w:val="00C47FFD"/>
    <w:rsid w:val="00C51C9B"/>
    <w:rsid w:val="00C55C9C"/>
    <w:rsid w:val="00C57473"/>
    <w:rsid w:val="00C57E2C"/>
    <w:rsid w:val="00C608B7"/>
    <w:rsid w:val="00C66F24"/>
    <w:rsid w:val="00C813AA"/>
    <w:rsid w:val="00C826DF"/>
    <w:rsid w:val="00C9291E"/>
    <w:rsid w:val="00CA3F44"/>
    <w:rsid w:val="00CA4E58"/>
    <w:rsid w:val="00CB091D"/>
    <w:rsid w:val="00CB3771"/>
    <w:rsid w:val="00CB44BF"/>
    <w:rsid w:val="00CB5153"/>
    <w:rsid w:val="00CD656E"/>
    <w:rsid w:val="00CE076A"/>
    <w:rsid w:val="00CE463D"/>
    <w:rsid w:val="00D06CD0"/>
    <w:rsid w:val="00D10BA0"/>
    <w:rsid w:val="00D1687D"/>
    <w:rsid w:val="00D21132"/>
    <w:rsid w:val="00D24782"/>
    <w:rsid w:val="00D24EB5"/>
    <w:rsid w:val="00D30D33"/>
    <w:rsid w:val="00D31A7D"/>
    <w:rsid w:val="00D3243F"/>
    <w:rsid w:val="00D35AB9"/>
    <w:rsid w:val="00D41571"/>
    <w:rsid w:val="00D416A0"/>
    <w:rsid w:val="00D450F4"/>
    <w:rsid w:val="00D47672"/>
    <w:rsid w:val="00D5123C"/>
    <w:rsid w:val="00D55560"/>
    <w:rsid w:val="00D61C5A"/>
    <w:rsid w:val="00D650C2"/>
    <w:rsid w:val="00D7169B"/>
    <w:rsid w:val="00D77B68"/>
    <w:rsid w:val="00D843D3"/>
    <w:rsid w:val="00D85584"/>
    <w:rsid w:val="00D87E20"/>
    <w:rsid w:val="00D92FE3"/>
    <w:rsid w:val="00D97139"/>
    <w:rsid w:val="00DB40E1"/>
    <w:rsid w:val="00DD5B46"/>
    <w:rsid w:val="00DE18BE"/>
    <w:rsid w:val="00DE31F9"/>
    <w:rsid w:val="00DE43E7"/>
    <w:rsid w:val="00DE66A5"/>
    <w:rsid w:val="00DF2B50"/>
    <w:rsid w:val="00DF4B44"/>
    <w:rsid w:val="00E01280"/>
    <w:rsid w:val="00E0279E"/>
    <w:rsid w:val="00E036A4"/>
    <w:rsid w:val="00E03D73"/>
    <w:rsid w:val="00E04C86"/>
    <w:rsid w:val="00E0691B"/>
    <w:rsid w:val="00E12564"/>
    <w:rsid w:val="00E20F30"/>
    <w:rsid w:val="00E2189C"/>
    <w:rsid w:val="00E25BB1"/>
    <w:rsid w:val="00E27BBA"/>
    <w:rsid w:val="00E35279"/>
    <w:rsid w:val="00E35E8F"/>
    <w:rsid w:val="00E41CDA"/>
    <w:rsid w:val="00E428AB"/>
    <w:rsid w:val="00E4300C"/>
    <w:rsid w:val="00E438E8"/>
    <w:rsid w:val="00E453A3"/>
    <w:rsid w:val="00E515B8"/>
    <w:rsid w:val="00E520E2"/>
    <w:rsid w:val="00E62000"/>
    <w:rsid w:val="00E64254"/>
    <w:rsid w:val="00E72633"/>
    <w:rsid w:val="00E77BED"/>
    <w:rsid w:val="00E915AF"/>
    <w:rsid w:val="00E9622B"/>
    <w:rsid w:val="00E96415"/>
    <w:rsid w:val="00EA15B3"/>
    <w:rsid w:val="00EA747E"/>
    <w:rsid w:val="00EB2358"/>
    <w:rsid w:val="00EB3EB8"/>
    <w:rsid w:val="00EC02FE"/>
    <w:rsid w:val="00EC0880"/>
    <w:rsid w:val="00ED6A55"/>
    <w:rsid w:val="00F032C4"/>
    <w:rsid w:val="00F142B4"/>
    <w:rsid w:val="00F22194"/>
    <w:rsid w:val="00F37E2C"/>
    <w:rsid w:val="00F424BF"/>
    <w:rsid w:val="00F46107"/>
    <w:rsid w:val="00F468C5"/>
    <w:rsid w:val="00F52F39"/>
    <w:rsid w:val="00F559FE"/>
    <w:rsid w:val="00F57F1B"/>
    <w:rsid w:val="00F72A3D"/>
    <w:rsid w:val="00F757E4"/>
    <w:rsid w:val="00F878E0"/>
    <w:rsid w:val="00F907D6"/>
    <w:rsid w:val="00F914DD"/>
    <w:rsid w:val="00FA2358"/>
    <w:rsid w:val="00FA5A49"/>
    <w:rsid w:val="00FA7867"/>
    <w:rsid w:val="00FB2592"/>
    <w:rsid w:val="00FB2810"/>
    <w:rsid w:val="00FC2947"/>
    <w:rsid w:val="00FD0974"/>
    <w:rsid w:val="00FE0818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07391F"/>
  <w15:docId w15:val="{AE5E3957-027F-4B75-BC9B-3C8E8258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F032C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2DB7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DB7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B2DB7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B2DB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C863B-77C9-4F25-9BBA-26A1F393D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8C1AA-5D49-4004-9EC4-15924593C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1BBBC-6586-4962-9B02-7056B8FDC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6EC33-541F-4988-B8D3-B35AB19A3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dc:description/>
  <cp:lastModifiedBy>Portocarrero, Monica</cp:lastModifiedBy>
  <cp:revision>2</cp:revision>
  <cp:lastPrinted>2020-03-18T09:53:00Z</cp:lastPrinted>
  <dcterms:created xsi:type="dcterms:W3CDTF">2020-08-06T06:46:00Z</dcterms:created>
  <dcterms:modified xsi:type="dcterms:W3CDTF">2020-08-06T06:46:00Z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