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853A0E" w14:paraId="099F63CD" w14:textId="77777777" w:rsidTr="004228FA">
        <w:trPr>
          <w:jc w:val="center"/>
        </w:trPr>
        <w:tc>
          <w:tcPr>
            <w:tcW w:w="9889" w:type="dxa"/>
            <w:gridSpan w:val="3"/>
            <w:shd w:val="clear" w:color="auto" w:fill="auto"/>
          </w:tcPr>
          <w:p w14:paraId="0063BF7E" w14:textId="77777777" w:rsidR="00E53DCE" w:rsidRPr="00853A0E" w:rsidRDefault="00E53DCE" w:rsidP="006160CB">
            <w:pPr>
              <w:spacing w:before="0"/>
              <w:jc w:val="left"/>
              <w:rPr>
                <w:rFonts w:cstheme="minorHAnsi"/>
                <w:b/>
                <w:bCs/>
                <w:color w:val="808080"/>
                <w:sz w:val="28"/>
                <w:szCs w:val="28"/>
                <w:lang w:val="fr-FR"/>
              </w:rPr>
            </w:pPr>
            <w:r w:rsidRPr="00853A0E">
              <w:rPr>
                <w:rFonts w:cstheme="minorHAnsi"/>
                <w:b/>
                <w:bCs/>
                <w:color w:val="808080"/>
                <w:sz w:val="28"/>
                <w:szCs w:val="28"/>
                <w:lang w:val="fr-FR"/>
              </w:rPr>
              <w:t>Bureau des radiocommunications (BR)</w:t>
            </w:r>
          </w:p>
          <w:p w14:paraId="0DB5E8F8" w14:textId="77777777" w:rsidR="00E53DCE" w:rsidRPr="00853A0E" w:rsidRDefault="00E53DCE" w:rsidP="006160CB">
            <w:pPr>
              <w:spacing w:before="0"/>
              <w:jc w:val="left"/>
              <w:rPr>
                <w:rFonts w:cstheme="minorHAnsi"/>
                <w:b/>
                <w:bCs/>
                <w:color w:val="808080"/>
                <w:sz w:val="28"/>
                <w:szCs w:val="28"/>
                <w:lang w:val="fr-FR"/>
              </w:rPr>
            </w:pPr>
          </w:p>
          <w:p w14:paraId="16B71B4F" w14:textId="77777777" w:rsidR="00E53DCE" w:rsidRPr="00853A0E" w:rsidRDefault="00E53DCE" w:rsidP="006160CB">
            <w:pPr>
              <w:spacing w:before="0"/>
              <w:jc w:val="left"/>
              <w:rPr>
                <w:rFonts w:cs="Times New Roman Bold"/>
                <w:b/>
                <w:bCs/>
                <w:color w:val="808080"/>
                <w:sz w:val="28"/>
                <w:szCs w:val="28"/>
                <w:lang w:val="fr-FR"/>
              </w:rPr>
            </w:pPr>
          </w:p>
        </w:tc>
      </w:tr>
      <w:tr w:rsidR="00E53DCE" w:rsidRPr="00853A0E" w14:paraId="77FD2FF5" w14:textId="77777777" w:rsidTr="004228FA">
        <w:trPr>
          <w:jc w:val="center"/>
        </w:trPr>
        <w:tc>
          <w:tcPr>
            <w:tcW w:w="7054" w:type="dxa"/>
            <w:gridSpan w:val="2"/>
            <w:shd w:val="clear" w:color="auto" w:fill="auto"/>
          </w:tcPr>
          <w:p w14:paraId="42C45AB0" w14:textId="7EF52C57" w:rsidR="00E53DCE" w:rsidRPr="00853A0E" w:rsidRDefault="00AA781A" w:rsidP="006160CB">
            <w:pPr>
              <w:spacing w:before="0"/>
              <w:jc w:val="left"/>
              <w:rPr>
                <w:sz w:val="28"/>
                <w:szCs w:val="28"/>
                <w:lang w:val="fr-FR"/>
              </w:rPr>
            </w:pPr>
            <w:r w:rsidRPr="00853A0E">
              <w:rPr>
                <w:szCs w:val="24"/>
                <w:lang w:val="fr-FR"/>
              </w:rPr>
              <w:t>Lettre circulaire</w:t>
            </w:r>
          </w:p>
          <w:p w14:paraId="01D7EC36" w14:textId="030D4FD7" w:rsidR="00E53DCE" w:rsidRPr="00853A0E" w:rsidRDefault="00AA781A" w:rsidP="006160CB">
            <w:pPr>
              <w:spacing w:before="0"/>
              <w:jc w:val="left"/>
              <w:rPr>
                <w:b/>
                <w:bCs/>
                <w:sz w:val="28"/>
                <w:szCs w:val="28"/>
                <w:lang w:val="fr-FR"/>
              </w:rPr>
            </w:pPr>
            <w:r w:rsidRPr="00853A0E">
              <w:rPr>
                <w:b/>
                <w:bCs/>
                <w:szCs w:val="24"/>
                <w:lang w:val="fr-FR"/>
              </w:rPr>
              <w:t>CR</w:t>
            </w:r>
            <w:r w:rsidR="00006A9B">
              <w:rPr>
                <w:b/>
                <w:bCs/>
                <w:szCs w:val="24"/>
                <w:lang w:val="fr-FR"/>
              </w:rPr>
              <w:t>/</w:t>
            </w:r>
            <w:r w:rsidR="00404826" w:rsidRPr="00853A0E">
              <w:rPr>
                <w:b/>
                <w:bCs/>
                <w:szCs w:val="24"/>
                <w:lang w:val="fr-FR"/>
              </w:rPr>
              <w:t>462</w:t>
            </w:r>
          </w:p>
        </w:tc>
        <w:tc>
          <w:tcPr>
            <w:tcW w:w="2835" w:type="dxa"/>
            <w:shd w:val="clear" w:color="auto" w:fill="auto"/>
          </w:tcPr>
          <w:p w14:paraId="538D8A3D" w14:textId="7005AF23" w:rsidR="00E53DCE" w:rsidRPr="00853A0E" w:rsidRDefault="00404826" w:rsidP="00304636">
            <w:pPr>
              <w:spacing w:before="0"/>
              <w:jc w:val="right"/>
              <w:rPr>
                <w:sz w:val="28"/>
                <w:szCs w:val="28"/>
                <w:lang w:val="fr-FR"/>
              </w:rPr>
            </w:pPr>
            <w:r w:rsidRPr="00853A0E">
              <w:rPr>
                <w:szCs w:val="24"/>
                <w:lang w:val="fr-FR"/>
              </w:rPr>
              <w:t>Genève, le 1er juillet 2020</w:t>
            </w:r>
          </w:p>
        </w:tc>
      </w:tr>
      <w:tr w:rsidR="00E53DCE" w:rsidRPr="00853A0E" w14:paraId="103B4009" w14:textId="77777777" w:rsidTr="004228FA">
        <w:trPr>
          <w:jc w:val="center"/>
        </w:trPr>
        <w:tc>
          <w:tcPr>
            <w:tcW w:w="9889" w:type="dxa"/>
            <w:gridSpan w:val="3"/>
            <w:shd w:val="clear" w:color="auto" w:fill="auto"/>
          </w:tcPr>
          <w:p w14:paraId="4725CD21" w14:textId="77777777" w:rsidR="00E53DCE" w:rsidRPr="00853A0E" w:rsidRDefault="00E53DCE" w:rsidP="006160CB">
            <w:pPr>
              <w:spacing w:before="0"/>
              <w:jc w:val="left"/>
              <w:rPr>
                <w:rFonts w:cs="Arial"/>
                <w:szCs w:val="24"/>
                <w:lang w:val="fr-FR"/>
              </w:rPr>
            </w:pPr>
          </w:p>
        </w:tc>
      </w:tr>
      <w:tr w:rsidR="00E53DCE" w:rsidRPr="00853A0E" w14:paraId="42BFA253" w14:textId="77777777" w:rsidTr="004228FA">
        <w:trPr>
          <w:jc w:val="center"/>
        </w:trPr>
        <w:tc>
          <w:tcPr>
            <w:tcW w:w="9889" w:type="dxa"/>
            <w:gridSpan w:val="3"/>
            <w:shd w:val="clear" w:color="auto" w:fill="auto"/>
          </w:tcPr>
          <w:p w14:paraId="4C1452F7" w14:textId="77777777" w:rsidR="00E53DCE" w:rsidRPr="00853A0E" w:rsidRDefault="00E53DCE" w:rsidP="006160CB">
            <w:pPr>
              <w:spacing w:before="0"/>
              <w:jc w:val="left"/>
              <w:rPr>
                <w:szCs w:val="24"/>
                <w:lang w:val="fr-FR"/>
              </w:rPr>
            </w:pPr>
          </w:p>
        </w:tc>
      </w:tr>
      <w:tr w:rsidR="00E53DCE" w:rsidRPr="00853A0E" w14:paraId="6D4DA341" w14:textId="77777777" w:rsidTr="004228FA">
        <w:trPr>
          <w:jc w:val="center"/>
        </w:trPr>
        <w:tc>
          <w:tcPr>
            <w:tcW w:w="9889" w:type="dxa"/>
            <w:gridSpan w:val="3"/>
            <w:shd w:val="clear" w:color="auto" w:fill="auto"/>
          </w:tcPr>
          <w:p w14:paraId="4CC326C3" w14:textId="6DE0D2BF" w:rsidR="00E53DCE" w:rsidRPr="00853A0E" w:rsidRDefault="00EE1A57" w:rsidP="006160CB">
            <w:pPr>
              <w:spacing w:before="0"/>
              <w:jc w:val="left"/>
              <w:rPr>
                <w:b/>
                <w:bCs/>
                <w:szCs w:val="24"/>
                <w:lang w:val="fr-FR"/>
              </w:rPr>
            </w:pPr>
            <w:r w:rsidRPr="00853A0E">
              <w:rPr>
                <w:b/>
                <w:bCs/>
                <w:szCs w:val="24"/>
                <w:lang w:val="fr-FR"/>
              </w:rPr>
              <w:t xml:space="preserve">Aux Administrations des </w:t>
            </w:r>
            <w:r w:rsidR="00404826" w:rsidRPr="00853A0E">
              <w:rPr>
                <w:b/>
                <w:bCs/>
                <w:szCs w:val="24"/>
                <w:lang w:val="fr-FR"/>
              </w:rPr>
              <w:t>É</w:t>
            </w:r>
            <w:r w:rsidRPr="00853A0E">
              <w:rPr>
                <w:b/>
                <w:bCs/>
                <w:szCs w:val="24"/>
                <w:lang w:val="fr-FR"/>
              </w:rPr>
              <w:t>tats Membres de l'UIT</w:t>
            </w:r>
          </w:p>
          <w:p w14:paraId="75B2F428" w14:textId="77777777" w:rsidR="00E53DCE" w:rsidRPr="00853A0E" w:rsidRDefault="00E53DCE" w:rsidP="006160CB">
            <w:pPr>
              <w:spacing w:before="0"/>
              <w:jc w:val="left"/>
              <w:rPr>
                <w:b/>
                <w:bCs/>
                <w:szCs w:val="24"/>
                <w:lang w:val="fr-FR"/>
              </w:rPr>
            </w:pPr>
          </w:p>
        </w:tc>
      </w:tr>
      <w:tr w:rsidR="00E53DCE" w:rsidRPr="00853A0E" w14:paraId="1324C38A" w14:textId="77777777" w:rsidTr="004228FA">
        <w:trPr>
          <w:jc w:val="center"/>
        </w:trPr>
        <w:tc>
          <w:tcPr>
            <w:tcW w:w="9889" w:type="dxa"/>
            <w:gridSpan w:val="3"/>
            <w:shd w:val="clear" w:color="auto" w:fill="auto"/>
          </w:tcPr>
          <w:p w14:paraId="567CF736" w14:textId="77777777" w:rsidR="00E53DCE" w:rsidRPr="00853A0E" w:rsidRDefault="00E53DCE" w:rsidP="006160CB">
            <w:pPr>
              <w:spacing w:before="0"/>
              <w:jc w:val="left"/>
              <w:rPr>
                <w:szCs w:val="24"/>
                <w:lang w:val="fr-FR"/>
              </w:rPr>
            </w:pPr>
          </w:p>
        </w:tc>
      </w:tr>
      <w:tr w:rsidR="00E53DCE" w:rsidRPr="00853A0E" w14:paraId="11F4BC11" w14:textId="77777777" w:rsidTr="004228FA">
        <w:trPr>
          <w:jc w:val="center"/>
        </w:trPr>
        <w:tc>
          <w:tcPr>
            <w:tcW w:w="9889" w:type="dxa"/>
            <w:gridSpan w:val="3"/>
            <w:shd w:val="clear" w:color="auto" w:fill="auto"/>
          </w:tcPr>
          <w:p w14:paraId="046E2E59" w14:textId="77777777" w:rsidR="00E53DCE" w:rsidRPr="00853A0E" w:rsidRDefault="00E53DCE" w:rsidP="006160CB">
            <w:pPr>
              <w:spacing w:before="0"/>
              <w:jc w:val="left"/>
              <w:rPr>
                <w:szCs w:val="24"/>
                <w:lang w:val="fr-FR"/>
              </w:rPr>
            </w:pPr>
          </w:p>
        </w:tc>
      </w:tr>
      <w:tr w:rsidR="00E53DCE" w:rsidRPr="00853A0E" w14:paraId="0C840895" w14:textId="77777777" w:rsidTr="004228FA">
        <w:trPr>
          <w:jc w:val="center"/>
        </w:trPr>
        <w:tc>
          <w:tcPr>
            <w:tcW w:w="1526" w:type="dxa"/>
            <w:shd w:val="clear" w:color="auto" w:fill="auto"/>
          </w:tcPr>
          <w:p w14:paraId="74DF8056" w14:textId="77777777" w:rsidR="00E53DCE" w:rsidRPr="00853A0E" w:rsidRDefault="003471C9" w:rsidP="006160CB">
            <w:pPr>
              <w:tabs>
                <w:tab w:val="clear" w:pos="1588"/>
                <w:tab w:val="left" w:pos="1560"/>
              </w:tabs>
              <w:spacing w:before="0"/>
              <w:jc w:val="left"/>
              <w:rPr>
                <w:szCs w:val="24"/>
                <w:lang w:val="fr-FR"/>
              </w:rPr>
            </w:pPr>
            <w:r w:rsidRPr="00853A0E">
              <w:rPr>
                <w:lang w:val="fr-FR"/>
              </w:rPr>
              <w:t>Objet</w:t>
            </w:r>
            <w:r w:rsidR="00E53DCE" w:rsidRPr="00853A0E">
              <w:rPr>
                <w:szCs w:val="24"/>
                <w:lang w:val="fr-FR"/>
              </w:rPr>
              <w:t>:</w:t>
            </w:r>
          </w:p>
        </w:tc>
        <w:tc>
          <w:tcPr>
            <w:tcW w:w="8363" w:type="dxa"/>
            <w:gridSpan w:val="2"/>
            <w:vMerge w:val="restart"/>
            <w:shd w:val="clear" w:color="auto" w:fill="auto"/>
          </w:tcPr>
          <w:p w14:paraId="3D4B4ADE" w14:textId="21514E8F" w:rsidR="00E53DCE" w:rsidRPr="00853A0E" w:rsidRDefault="00404826" w:rsidP="006160CB">
            <w:pPr>
              <w:tabs>
                <w:tab w:val="clear" w:pos="1588"/>
                <w:tab w:val="left" w:pos="1560"/>
              </w:tabs>
              <w:spacing w:before="0"/>
              <w:rPr>
                <w:b/>
                <w:bCs/>
                <w:szCs w:val="24"/>
                <w:lang w:val="fr-FR"/>
              </w:rPr>
            </w:pPr>
            <w:r w:rsidRPr="00853A0E">
              <w:rPr>
                <w:b/>
                <w:bCs/>
                <w:szCs w:val="24"/>
                <w:lang w:val="fr-FR"/>
              </w:rPr>
              <w:t>Suspension du service de télécopie pour la correspondance officielle</w:t>
            </w:r>
          </w:p>
        </w:tc>
      </w:tr>
      <w:tr w:rsidR="00E53DCE" w:rsidRPr="00853A0E" w14:paraId="5C5BBBF0" w14:textId="77777777" w:rsidTr="004228FA">
        <w:trPr>
          <w:jc w:val="center"/>
        </w:trPr>
        <w:tc>
          <w:tcPr>
            <w:tcW w:w="1526" w:type="dxa"/>
            <w:shd w:val="clear" w:color="auto" w:fill="auto"/>
          </w:tcPr>
          <w:p w14:paraId="4049FF1D" w14:textId="77777777" w:rsidR="00E53DCE" w:rsidRPr="00853A0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71CCE435" w14:textId="77777777" w:rsidR="00E53DCE" w:rsidRPr="00853A0E" w:rsidRDefault="00E53DCE" w:rsidP="006160CB">
            <w:pPr>
              <w:tabs>
                <w:tab w:val="clear" w:pos="1588"/>
                <w:tab w:val="left" w:pos="1560"/>
              </w:tabs>
              <w:spacing w:before="0"/>
              <w:rPr>
                <w:b/>
                <w:bCs/>
                <w:szCs w:val="24"/>
                <w:lang w:val="fr-FR"/>
              </w:rPr>
            </w:pPr>
          </w:p>
        </w:tc>
      </w:tr>
      <w:tr w:rsidR="00E53DCE" w:rsidRPr="00853A0E" w14:paraId="6ECEB522" w14:textId="77777777" w:rsidTr="004228FA">
        <w:trPr>
          <w:jc w:val="center"/>
        </w:trPr>
        <w:tc>
          <w:tcPr>
            <w:tcW w:w="1526" w:type="dxa"/>
            <w:shd w:val="clear" w:color="auto" w:fill="auto"/>
          </w:tcPr>
          <w:p w14:paraId="4645DB9A" w14:textId="77777777" w:rsidR="00E53DCE" w:rsidRPr="00853A0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01066EA1" w14:textId="77777777" w:rsidR="00E53DCE" w:rsidRPr="00853A0E" w:rsidRDefault="00E53DCE" w:rsidP="006160CB">
            <w:pPr>
              <w:tabs>
                <w:tab w:val="clear" w:pos="1588"/>
                <w:tab w:val="left" w:pos="1560"/>
              </w:tabs>
              <w:spacing w:before="0"/>
              <w:rPr>
                <w:b/>
                <w:bCs/>
                <w:szCs w:val="24"/>
                <w:lang w:val="fr-FR"/>
              </w:rPr>
            </w:pPr>
          </w:p>
        </w:tc>
      </w:tr>
      <w:tr w:rsidR="00E53DCE" w:rsidRPr="00853A0E" w14:paraId="431E88BE" w14:textId="77777777" w:rsidTr="004228FA">
        <w:trPr>
          <w:jc w:val="center"/>
        </w:trPr>
        <w:tc>
          <w:tcPr>
            <w:tcW w:w="9889" w:type="dxa"/>
            <w:gridSpan w:val="3"/>
            <w:shd w:val="clear" w:color="auto" w:fill="auto"/>
          </w:tcPr>
          <w:p w14:paraId="0B07BE5C" w14:textId="77777777" w:rsidR="00E53DCE" w:rsidRPr="00853A0E" w:rsidRDefault="00E53DCE" w:rsidP="00E53DCE">
            <w:pPr>
              <w:tabs>
                <w:tab w:val="clear" w:pos="1588"/>
                <w:tab w:val="left" w:pos="1560"/>
              </w:tabs>
              <w:spacing w:before="0"/>
              <w:jc w:val="left"/>
              <w:rPr>
                <w:szCs w:val="24"/>
                <w:lang w:val="fr-FR"/>
              </w:rPr>
            </w:pPr>
          </w:p>
        </w:tc>
      </w:tr>
      <w:tr w:rsidR="00E53DCE" w:rsidRPr="00853A0E" w14:paraId="507B64EE" w14:textId="77777777" w:rsidTr="004228FA">
        <w:trPr>
          <w:jc w:val="center"/>
        </w:trPr>
        <w:tc>
          <w:tcPr>
            <w:tcW w:w="9889" w:type="dxa"/>
            <w:gridSpan w:val="3"/>
            <w:shd w:val="clear" w:color="auto" w:fill="auto"/>
          </w:tcPr>
          <w:p w14:paraId="0570B925" w14:textId="77777777" w:rsidR="00E53DCE" w:rsidRPr="00853A0E" w:rsidRDefault="00E53DCE" w:rsidP="006160CB">
            <w:pPr>
              <w:spacing w:before="0"/>
              <w:jc w:val="left"/>
              <w:rPr>
                <w:b/>
                <w:bCs/>
                <w:szCs w:val="24"/>
                <w:lang w:val="fr-FR"/>
              </w:rPr>
            </w:pPr>
          </w:p>
        </w:tc>
      </w:tr>
    </w:tbl>
    <w:p w14:paraId="59294274" w14:textId="6841F333" w:rsidR="00404826" w:rsidRPr="00853A0E" w:rsidRDefault="00404826" w:rsidP="00901406">
      <w:pPr>
        <w:spacing w:before="120" w:line="240" w:lineRule="auto"/>
        <w:rPr>
          <w:szCs w:val="24"/>
          <w:lang w:val="fr-FR"/>
        </w:rPr>
      </w:pPr>
      <w:r w:rsidRPr="00853A0E">
        <w:rPr>
          <w:szCs w:val="24"/>
          <w:lang w:val="fr-FR"/>
        </w:rPr>
        <w:t>La présente Lettre circulaire a pour objet d'informer les membres de l'UIT de la suspension temporaire du service de télécopie pour l'envoi de la correspondance officielle aux administrations.</w:t>
      </w:r>
    </w:p>
    <w:p w14:paraId="1EE73814" w14:textId="751FB993" w:rsidR="00404826" w:rsidRPr="00853A0E" w:rsidRDefault="00404826" w:rsidP="00901406">
      <w:pPr>
        <w:spacing w:before="120" w:line="240" w:lineRule="auto"/>
        <w:rPr>
          <w:szCs w:val="24"/>
          <w:lang w:val="fr-FR"/>
        </w:rPr>
      </w:pPr>
      <w:r w:rsidRPr="00853A0E">
        <w:rPr>
          <w:rStyle w:val="Hyperlink"/>
          <w:color w:val="auto"/>
          <w:szCs w:val="24"/>
          <w:u w:val="none"/>
          <w:lang w:val="fr-FR"/>
        </w:rPr>
        <w:t xml:space="preserve">Vous n'êtes pas sans savoir qu'en raison des restrictions dues à </w:t>
      </w:r>
      <w:hyperlink r:id="rId8" w:history="1">
        <w:r w:rsidRPr="00853A0E">
          <w:rPr>
            <w:lang w:val="fr-FR"/>
          </w:rPr>
          <w:t>l'</w:t>
        </w:r>
        <w:r w:rsidRPr="00853A0E">
          <w:rPr>
            <w:rStyle w:val="Hyperlink"/>
            <w:szCs w:val="24"/>
            <w:lang w:val="fr-FR"/>
          </w:rPr>
          <w:t>épidémie de COVID-19</w:t>
        </w:r>
      </w:hyperlink>
      <w:r w:rsidRPr="00853A0E">
        <w:rPr>
          <w:rStyle w:val="Hyperlink"/>
          <w:color w:val="auto"/>
          <w:szCs w:val="24"/>
          <w:u w:val="none"/>
          <w:lang w:val="fr-FR"/>
        </w:rPr>
        <w:t>, de nombreuses administrations de télécommunication travaillent actuellement à distance,</w:t>
      </w:r>
      <w:r w:rsidRPr="00853A0E">
        <w:rPr>
          <w:szCs w:val="24"/>
          <w:lang w:val="fr-FR"/>
        </w:rPr>
        <w:t xml:space="preserve"> ce qui rend l'envoi de la correspondance par télécopie difficile, car cela nécessite un accès physique aux télécopieurs, généralement situés dans les bureaux.</w:t>
      </w:r>
    </w:p>
    <w:p w14:paraId="275F2C3C" w14:textId="721652F7" w:rsidR="00404826" w:rsidRPr="00853A0E" w:rsidRDefault="00404826" w:rsidP="00901406">
      <w:pPr>
        <w:spacing w:before="120" w:line="240" w:lineRule="auto"/>
        <w:rPr>
          <w:szCs w:val="24"/>
          <w:lang w:val="fr-FR"/>
        </w:rPr>
      </w:pPr>
      <w:r w:rsidRPr="00853A0E">
        <w:rPr>
          <w:szCs w:val="24"/>
          <w:lang w:val="fr-FR"/>
        </w:rPr>
        <w:t xml:space="preserve">Par conséquent, l'envoi de la correspondance officielle par télécopie entre le BR et les administrations des États Membres de l'UIT a été suspendu, </w:t>
      </w:r>
      <w:r w:rsidRPr="0026534A">
        <w:rPr>
          <w:i/>
          <w:iCs/>
          <w:szCs w:val="24"/>
          <w:lang w:val="fr-FR"/>
        </w:rPr>
        <w:t>de facto</w:t>
      </w:r>
      <w:r w:rsidRPr="00006A9B">
        <w:rPr>
          <w:szCs w:val="24"/>
          <w:lang w:val="fr-FR"/>
        </w:rPr>
        <w:t>,</w:t>
      </w:r>
      <w:r w:rsidRPr="00853A0E">
        <w:rPr>
          <w:szCs w:val="24"/>
          <w:lang w:val="fr-FR"/>
        </w:rPr>
        <w:t xml:space="preserve"> à partir du 17 mars 2020 pour être entièrement basculé sur le service de courrier électronique ainsi que sur d'autres canaux de communications électroniques.</w:t>
      </w:r>
    </w:p>
    <w:p w14:paraId="0930D2E4" w14:textId="0BFC722A" w:rsidR="00404826" w:rsidRPr="00853A0E" w:rsidRDefault="00404826" w:rsidP="00901406">
      <w:pPr>
        <w:spacing w:before="120" w:line="240" w:lineRule="auto"/>
        <w:rPr>
          <w:szCs w:val="24"/>
          <w:lang w:val="fr-FR"/>
        </w:rPr>
      </w:pPr>
      <w:r w:rsidRPr="00853A0E">
        <w:rPr>
          <w:szCs w:val="24"/>
          <w:lang w:val="fr-FR"/>
        </w:rPr>
        <w:t>À ce jour, la situation liée au COVID-19 dans plusieurs zones géographiques reste problématique et un certain nombre de régulateurs des télécommunications continuent de télétravailler. En outre, l'envoi des communications par courriers électroniques et via les services web s'est révélé efficace. En effet, depuis mars 2020, le BR n'a été averti d'aucun problème lié à l'absence de communications par télécopie.</w:t>
      </w:r>
    </w:p>
    <w:p w14:paraId="3117272E" w14:textId="6EB462D0" w:rsidR="00404826" w:rsidRPr="00853A0E" w:rsidRDefault="00404826" w:rsidP="00901406">
      <w:pPr>
        <w:spacing w:before="120" w:line="240" w:lineRule="auto"/>
        <w:rPr>
          <w:szCs w:val="24"/>
          <w:lang w:val="fr-FR"/>
        </w:rPr>
      </w:pPr>
      <w:r w:rsidRPr="00853A0E">
        <w:rPr>
          <w:b/>
          <w:bCs/>
          <w:szCs w:val="24"/>
          <w:lang w:val="fr-FR"/>
        </w:rPr>
        <w:t>Compte tenu de ce qui précède, la suspension du service de télécopie pour la correspondance officielle envoyée par le BR aux administrations sera prolongée jusqu'à nouvel avis. Veuillez noter que le Bureau reste en mesure de recevoir les communications envoyées par télécopie par les administrations et qu'il les prendra en compte.</w:t>
      </w:r>
    </w:p>
    <w:p w14:paraId="6046EBF2" w14:textId="77777777" w:rsidR="00404826" w:rsidRPr="00853A0E" w:rsidRDefault="00404826" w:rsidP="00901406">
      <w:pPr>
        <w:spacing w:before="120" w:line="240" w:lineRule="auto"/>
        <w:rPr>
          <w:szCs w:val="24"/>
          <w:lang w:val="fr-FR"/>
        </w:rPr>
      </w:pPr>
      <w:r w:rsidRPr="00853A0E">
        <w:rPr>
          <w:rFonts w:asciiTheme="minorHAnsi" w:hAnsiTheme="minorHAnsi" w:cstheme="minorBidi"/>
          <w:szCs w:val="24"/>
          <w:lang w:val="fr-FR"/>
        </w:rPr>
        <w:t>Le BR souhaite profiter de cette occasion pour rappeler aux Administrations qu'il est important de vérifier que les informations du Bureau concernant les adresses électroniques officielles sont à jour. Toute mise à jour nécessaire à cet égard devrait être communiquée au moyen d'une lettre dûment signée, selon la procédure indiquée dans la Lettre circulaire CR/366 du 19 juin 2014. Le BR souligne que, dans la situation actuelle, il ne sera pas envoyé de courrier de surface si l'envoi de courriers électroniques ou de communications électroniques ne fonctionne pas.</w:t>
      </w:r>
    </w:p>
    <w:p w14:paraId="73325091" w14:textId="77777777" w:rsidR="00901406" w:rsidRDefault="00901406">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Pr>
          <w:szCs w:val="24"/>
          <w:lang w:val="fr-FR"/>
        </w:rPr>
        <w:br w:type="page"/>
      </w:r>
    </w:p>
    <w:p w14:paraId="2A24158C" w14:textId="4804976F" w:rsidR="00404826" w:rsidRPr="00853A0E" w:rsidRDefault="00404826" w:rsidP="00901406">
      <w:pPr>
        <w:spacing w:before="240" w:line="240" w:lineRule="auto"/>
        <w:rPr>
          <w:szCs w:val="24"/>
          <w:lang w:val="fr-FR"/>
        </w:rPr>
      </w:pPr>
      <w:r w:rsidRPr="00853A0E">
        <w:rPr>
          <w:szCs w:val="24"/>
          <w:lang w:val="fr-FR"/>
        </w:rPr>
        <w:lastRenderedPageBreak/>
        <w:t>Nous vous informons que le BR suit la situation en permanence et que le service de télécopie sera rétabli dès que la situation s'améliorera.</w:t>
      </w:r>
    </w:p>
    <w:p w14:paraId="455B6BF5" w14:textId="43CF6A38" w:rsidR="00404826" w:rsidRDefault="00404826" w:rsidP="00901406">
      <w:pPr>
        <w:spacing w:before="240" w:line="240" w:lineRule="auto"/>
        <w:rPr>
          <w:rStyle w:val="Hyperlink"/>
          <w:color w:val="auto"/>
          <w:szCs w:val="24"/>
          <w:u w:val="none"/>
          <w:lang w:val="fr-FR"/>
        </w:rPr>
      </w:pPr>
      <w:r w:rsidRPr="00853A0E">
        <w:rPr>
          <w:szCs w:val="24"/>
          <w:lang w:val="fr-FR"/>
        </w:rPr>
        <w:t xml:space="preserve">Le BR reste à la disposition de votre Administration via l'adresse </w:t>
      </w:r>
      <w:hyperlink r:id="rId9" w:history="1">
        <w:r w:rsidRPr="00853A0E">
          <w:rPr>
            <w:rStyle w:val="Hyperlink"/>
            <w:szCs w:val="24"/>
            <w:lang w:val="fr-FR"/>
          </w:rPr>
          <w:t>brmail@itu.int</w:t>
        </w:r>
      </w:hyperlink>
      <w:r w:rsidRPr="00853A0E">
        <w:rPr>
          <w:rStyle w:val="Hyperlink"/>
          <w:color w:val="auto"/>
          <w:szCs w:val="24"/>
          <w:u w:val="none"/>
          <w:lang w:val="fr-FR"/>
        </w:rPr>
        <w:t xml:space="preserve"> pour toute précision ou assistance dont elle pourrait avoir besoin concernant les sujets traités dans la présente Lettre circulaire.</w:t>
      </w:r>
    </w:p>
    <w:p w14:paraId="072ABB64" w14:textId="0D63A507" w:rsidR="00901406" w:rsidRDefault="00901406" w:rsidP="00404826">
      <w:pPr>
        <w:spacing w:before="240" w:line="240" w:lineRule="auto"/>
        <w:jc w:val="left"/>
        <w:rPr>
          <w:rStyle w:val="Hyperlink"/>
          <w:color w:val="auto"/>
          <w:szCs w:val="24"/>
          <w:u w:val="none"/>
          <w:lang w:val="fr-FR"/>
        </w:rPr>
      </w:pPr>
    </w:p>
    <w:p w14:paraId="42BEABC6" w14:textId="77777777" w:rsidR="00901406" w:rsidRPr="00853A0E" w:rsidRDefault="00901406" w:rsidP="00404826">
      <w:pPr>
        <w:spacing w:before="240" w:line="240" w:lineRule="auto"/>
        <w:jc w:val="left"/>
        <w:rPr>
          <w:szCs w:val="24"/>
          <w:lang w:val="fr-FR"/>
        </w:rPr>
      </w:pPr>
    </w:p>
    <w:p w14:paraId="0AD862A6" w14:textId="77777777" w:rsidR="00404826" w:rsidRPr="00853A0E" w:rsidRDefault="00404826" w:rsidP="00853A0E">
      <w:pPr>
        <w:spacing w:before="840" w:line="240" w:lineRule="auto"/>
        <w:jc w:val="left"/>
        <w:rPr>
          <w:rFonts w:asciiTheme="minorHAnsi" w:hAnsiTheme="minorHAnsi" w:cstheme="minorHAnsi"/>
          <w:szCs w:val="24"/>
          <w:lang w:val="fr-FR"/>
        </w:rPr>
      </w:pPr>
      <w:r w:rsidRPr="00853A0E">
        <w:rPr>
          <w:rFonts w:asciiTheme="minorHAnsi" w:hAnsiTheme="minorHAnsi" w:cstheme="minorHAnsi"/>
          <w:szCs w:val="24"/>
          <w:lang w:val="fr-FR"/>
        </w:rPr>
        <w:t>Mario Maniewicz</w:t>
      </w:r>
    </w:p>
    <w:p w14:paraId="2A4D422A" w14:textId="77777777" w:rsidR="00404826" w:rsidRPr="00853A0E" w:rsidRDefault="00404826" w:rsidP="00404826">
      <w:pPr>
        <w:spacing w:before="0" w:line="240" w:lineRule="auto"/>
        <w:jc w:val="left"/>
        <w:rPr>
          <w:rFonts w:asciiTheme="minorHAnsi" w:hAnsiTheme="minorHAnsi" w:cstheme="minorHAnsi"/>
          <w:szCs w:val="24"/>
          <w:lang w:val="fr-FR"/>
        </w:rPr>
      </w:pPr>
      <w:bookmarkStart w:id="0" w:name="ddistribution"/>
      <w:bookmarkEnd w:id="0"/>
      <w:r w:rsidRPr="00853A0E">
        <w:rPr>
          <w:rFonts w:asciiTheme="minorHAnsi" w:hAnsiTheme="minorHAnsi" w:cstheme="minorHAnsi"/>
          <w:szCs w:val="24"/>
          <w:lang w:val="fr-FR"/>
        </w:rPr>
        <w:t>Directeur</w:t>
      </w:r>
    </w:p>
    <w:p w14:paraId="74DD7AEF" w14:textId="77777777" w:rsidR="00404826" w:rsidRPr="00853A0E" w:rsidRDefault="00404826" w:rsidP="00853A0E">
      <w:pPr>
        <w:spacing w:before="3840" w:line="240" w:lineRule="auto"/>
        <w:jc w:val="left"/>
        <w:rPr>
          <w:rFonts w:asciiTheme="minorHAnsi" w:hAnsiTheme="minorHAnsi" w:cstheme="minorHAnsi"/>
          <w:szCs w:val="24"/>
          <w:lang w:val="fr-FR"/>
        </w:rPr>
      </w:pPr>
      <w:r w:rsidRPr="00853A0E">
        <w:rPr>
          <w:bCs/>
          <w:sz w:val="18"/>
          <w:szCs w:val="18"/>
          <w:u w:val="single"/>
          <w:lang w:val="fr-FR"/>
        </w:rPr>
        <w:t>Distribution:</w:t>
      </w:r>
    </w:p>
    <w:p w14:paraId="6FC22473" w14:textId="6C0EA67F" w:rsidR="00404826" w:rsidRPr="00853A0E" w:rsidRDefault="00853A0E" w:rsidP="00853A0E">
      <w:pPr>
        <w:pStyle w:val="enumlev19pt"/>
        <w:tabs>
          <w:tab w:val="clear" w:pos="284"/>
          <w:tab w:val="clear" w:pos="1191"/>
          <w:tab w:val="clear" w:pos="1588"/>
          <w:tab w:val="clear" w:pos="1985"/>
        </w:tabs>
        <w:ind w:left="0"/>
      </w:pPr>
      <w:r w:rsidRPr="00853A0E">
        <w:t>–</w:t>
      </w:r>
      <w:r w:rsidRPr="00853A0E">
        <w:tab/>
      </w:r>
      <w:r w:rsidR="00404826" w:rsidRPr="00853A0E">
        <w:t>Administrations des États Membres de l'UIT</w:t>
      </w:r>
    </w:p>
    <w:p w14:paraId="05FD32E9" w14:textId="37600BC6" w:rsidR="00404826" w:rsidRPr="00853A0E" w:rsidRDefault="00404826" w:rsidP="00853A0E">
      <w:pPr>
        <w:pStyle w:val="enumlev19pt"/>
        <w:tabs>
          <w:tab w:val="clear" w:pos="284"/>
          <w:tab w:val="clear" w:pos="1191"/>
          <w:tab w:val="clear" w:pos="1588"/>
          <w:tab w:val="clear" w:pos="1985"/>
        </w:tabs>
        <w:ind w:left="0"/>
      </w:pPr>
      <w:r w:rsidRPr="00853A0E">
        <w:t>–</w:t>
      </w:r>
      <w:r w:rsidR="00853A0E" w:rsidRPr="00853A0E">
        <w:tab/>
      </w:r>
      <w:r w:rsidRPr="00853A0E">
        <w:t>Membres du Comité du Règlement des radiocommunications</w:t>
      </w:r>
    </w:p>
    <w:sectPr w:rsidR="00404826" w:rsidRPr="00853A0E" w:rsidSect="003F2F3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38D67" w14:textId="77777777" w:rsidR="00404826" w:rsidRDefault="00404826">
      <w:r>
        <w:separator/>
      </w:r>
    </w:p>
  </w:endnote>
  <w:endnote w:type="continuationSeparator" w:id="0">
    <w:p w14:paraId="6B6568DD" w14:textId="77777777" w:rsidR="00404826" w:rsidRDefault="0040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156C7" w14:textId="77777777" w:rsidR="005E42F8" w:rsidRPr="00304636" w:rsidRDefault="00304636"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t xml:space="preserve">Tél: +41 22 730 5111 • courriel: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Pr="00304636">
        <w:rPr>
          <w:rStyle w:val="Hyperlink"/>
          <w:rFonts w:asciiTheme="minorHAnsi" w:hAnsiTheme="minorHAnsi"/>
          <w:color w:val="4F81BD"/>
          <w:sz w:val="18"/>
          <w:szCs w:val="18"/>
          <w:u w:val="none"/>
          <w:lang w:val="fr-FR"/>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8E3DE" w14:textId="77777777" w:rsidR="00404826" w:rsidRDefault="00404826">
      <w:r>
        <w:t>____________________</w:t>
      </w:r>
    </w:p>
  </w:footnote>
  <w:footnote w:type="continuationSeparator" w:id="0">
    <w:p w14:paraId="2D5B9956" w14:textId="77777777" w:rsidR="00404826" w:rsidRDefault="00404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C3F81"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4E122"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3F163FB3" w14:textId="77777777" w:rsidTr="00304636">
      <w:tc>
        <w:tcPr>
          <w:tcW w:w="10042" w:type="dxa"/>
          <w:tcMar>
            <w:left w:w="0" w:type="dxa"/>
          </w:tcMar>
        </w:tcPr>
        <w:p w14:paraId="541D5B66"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56695F94" wp14:editId="2384922D">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05483B43" w14:textId="77777777" w:rsidR="004F47EA" w:rsidRDefault="004F47EA" w:rsidP="00304636">
          <w:pPr>
            <w:pStyle w:val="Header"/>
            <w:spacing w:before="240" w:line="360" w:lineRule="auto"/>
            <w:ind w:left="4065" w:hanging="4065"/>
            <w:jc w:val="right"/>
          </w:pPr>
        </w:p>
      </w:tc>
    </w:tr>
  </w:tbl>
  <w:p w14:paraId="53967F02"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A9B"/>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534A"/>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4826"/>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3A0E"/>
    <w:rsid w:val="00854131"/>
    <w:rsid w:val="0085652D"/>
    <w:rsid w:val="0087694B"/>
    <w:rsid w:val="00880F4D"/>
    <w:rsid w:val="0088443B"/>
    <w:rsid w:val="008B35A3"/>
    <w:rsid w:val="008B37E1"/>
    <w:rsid w:val="008B45F8"/>
    <w:rsid w:val="008C2E74"/>
    <w:rsid w:val="008D5409"/>
    <w:rsid w:val="008E006D"/>
    <w:rsid w:val="008E38B4"/>
    <w:rsid w:val="008F4F21"/>
    <w:rsid w:val="00901406"/>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C4CD9"/>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A69689"/>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FollowedHyperlink">
    <w:name w:val="FollowedHyperlink"/>
    <w:basedOn w:val="DefaultParagraphFont"/>
    <w:semiHidden/>
    <w:unhideWhenUsed/>
    <w:rsid w:val="00853A0E"/>
    <w:rPr>
      <w:color w:val="800080" w:themeColor="followedHyperlink"/>
      <w:u w:val="single"/>
    </w:rPr>
  </w:style>
  <w:style w:type="paragraph" w:customStyle="1" w:styleId="enumlev19pt">
    <w:name w:val="enumlev1 + 9 pt"/>
    <w:aliases w:val="First line:  0 cm,Before:  0 pt,Line spacing:  single"/>
    <w:basedOn w:val="enumlev1"/>
    <w:rsid w:val="00853A0E"/>
    <w:pPr>
      <w:tabs>
        <w:tab w:val="clear" w:pos="794"/>
        <w:tab w:val="left" w:pos="284"/>
      </w:tabs>
      <w:spacing w:before="0" w:line="240" w:lineRule="auto"/>
      <w:ind w:firstLine="0"/>
    </w:pPr>
    <w:rPr>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4E03B-6370-4B3F-8E83-D04DE8C7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2570</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Chanavat, Emilie</dc:creator>
  <cp:lastModifiedBy>Bonnici, Adrienne</cp:lastModifiedBy>
  <cp:revision>3</cp:revision>
  <cp:lastPrinted>2013-03-08T10:15:00Z</cp:lastPrinted>
  <dcterms:created xsi:type="dcterms:W3CDTF">2020-07-06T12:14:00Z</dcterms:created>
  <dcterms:modified xsi:type="dcterms:W3CDTF">2020-07-06T12:15:00Z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